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237490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UNITED STATES</w:t>
      </w:r>
    </w:p>
    <w:p>
      <w:pPr>
        <w:jc w:val="center"/>
        <w:ind w:right="-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Washington, D.C. 20549</w:t>
      </w:r>
    </w:p>
    <w:p>
      <w:pPr>
        <w:spacing w:after="0" w:line="117"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FORM 10-Q</w:t>
      </w:r>
    </w:p>
    <w:p>
      <w:pPr>
        <w:spacing w:after="0" w:line="104" w:lineRule="exact"/>
        <w:rPr>
          <w:sz w:val="24"/>
          <w:szCs w:val="24"/>
          <w:color w:val="auto"/>
        </w:rPr>
      </w:pPr>
    </w:p>
    <w:p>
      <w:pPr>
        <w:ind w:left="3070" w:right="300" w:hanging="3070"/>
        <w:spacing w:after="0" w:line="340" w:lineRule="auto"/>
        <w:tabs>
          <w:tab w:leader="none" w:pos="77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spacing w:after="0" w:line="35"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3650" w:right="280" w:hanging="3650"/>
        <w:spacing w:after="0" w:line="340" w:lineRule="auto"/>
        <w:tabs>
          <w:tab w:leader="none" w:pos="77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1832610</wp:posOffset>
            </wp:positionH>
            <wp:positionV relativeFrom="paragraph">
              <wp:posOffset>13970</wp:posOffset>
            </wp:positionV>
            <wp:extent cx="2828925"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Sun Country Airlines Holdings, Inc.</w:t>
      </w:r>
    </w:p>
    <w:p>
      <w:pPr>
        <w:spacing w:after="0" w:line="18"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tbl>
      <w:tblPr>
        <w:tblLayout w:type="fixed"/>
        <w:tblInd w:w="170" w:type="dxa"/>
        <w:tblCellMar>
          <w:top w:w="0" w:type="dxa"/>
          <w:left w:w="0" w:type="dxa"/>
          <w:bottom w:w="0" w:type="dxa"/>
          <w:right w:w="0" w:type="dxa"/>
        </w:tblCellMar>
      </w:tblPr>
      <w:tr>
        <w:trPr>
          <w:trHeight w:val="20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Delaware</w:t>
            </w:r>
          </w:p>
        </w:tc>
        <w:tc>
          <w:tcPr>
            <w:tcW w:w="3560" w:type="dxa"/>
            <w:vAlign w:val="bottom"/>
          </w:tcPr>
          <w:p>
            <w:pPr>
              <w:jc w:val="right"/>
              <w:ind w:right="810"/>
              <w:spacing w:after="0"/>
              <w:rPr>
                <w:sz w:val="20"/>
                <w:szCs w:val="20"/>
                <w:color w:val="auto"/>
              </w:rPr>
            </w:pPr>
            <w:r>
              <w:rPr>
                <w:rFonts w:ascii="Arial" w:cs="Arial" w:eastAsia="Arial" w:hAnsi="Arial"/>
                <w:sz w:val="18"/>
                <w:szCs w:val="18"/>
                <w:color w:val="auto"/>
              </w:rPr>
              <w:t>82-4092570</w:t>
            </w:r>
          </w:p>
        </w:tc>
      </w:tr>
      <w:tr>
        <w:trPr>
          <w:trHeight w:val="21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560" w:type="dxa"/>
            <w:vAlign w:val="bottom"/>
          </w:tcPr>
          <w:p>
            <w:pPr>
              <w:jc w:val="center"/>
              <w:ind w:left="710"/>
              <w:spacing w:after="0"/>
              <w:rPr>
                <w:sz w:val="20"/>
                <w:szCs w:val="20"/>
                <w:color w:val="auto"/>
              </w:rPr>
            </w:pPr>
            <w:r>
              <w:rPr>
                <w:rFonts w:ascii="Arial" w:cs="Arial" w:eastAsia="Arial" w:hAnsi="Arial"/>
                <w:sz w:val="18"/>
                <w:szCs w:val="18"/>
                <w:color w:val="auto"/>
                <w:w w:val="99"/>
              </w:rPr>
              <w:t>(I.R.S. Employer Identification No.)</w:t>
            </w:r>
          </w:p>
        </w:tc>
      </w:tr>
      <w:tr>
        <w:trPr>
          <w:trHeight w:val="391"/>
        </w:trPr>
        <w:tc>
          <w:tcPr>
            <w:tcW w:w="5420" w:type="dxa"/>
            <w:vAlign w:val="bottom"/>
          </w:tcPr>
          <w:p>
            <w:pPr>
              <w:jc w:val="center"/>
              <w:ind w:right="670"/>
              <w:spacing w:after="0"/>
              <w:rPr>
                <w:sz w:val="20"/>
                <w:szCs w:val="20"/>
                <w:color w:val="auto"/>
              </w:rPr>
            </w:pPr>
            <w:r>
              <w:rPr>
                <w:rFonts w:ascii="Arial" w:cs="Arial" w:eastAsia="Arial" w:hAnsi="Arial"/>
                <w:sz w:val="18"/>
                <w:szCs w:val="18"/>
                <w:color w:val="auto"/>
                <w:w w:val="99"/>
              </w:rPr>
              <w:t>2005 Cargo Road</w:t>
            </w:r>
          </w:p>
        </w:tc>
        <w:tc>
          <w:tcPr>
            <w:tcW w:w="3560" w:type="dxa"/>
            <w:vAlign w:val="bottom"/>
          </w:tcPr>
          <w:p>
            <w:pPr>
              <w:spacing w:after="0"/>
              <w:rPr>
                <w:sz w:val="24"/>
                <w:szCs w:val="24"/>
                <w:color w:val="auto"/>
              </w:rPr>
            </w:pPr>
          </w:p>
        </w:tc>
      </w:tr>
      <w:tr>
        <w:trPr>
          <w:trHeight w:val="203"/>
        </w:trPr>
        <w:tc>
          <w:tcPr>
            <w:tcW w:w="5420" w:type="dxa"/>
            <w:vAlign w:val="bottom"/>
          </w:tcPr>
          <w:p>
            <w:pPr>
              <w:jc w:val="center"/>
              <w:ind w:right="670"/>
              <w:spacing w:after="0" w:line="202" w:lineRule="exact"/>
              <w:rPr>
                <w:sz w:val="20"/>
                <w:szCs w:val="20"/>
                <w:color w:val="auto"/>
              </w:rPr>
            </w:pPr>
            <w:r>
              <w:rPr>
                <w:rFonts w:ascii="Arial" w:cs="Arial" w:eastAsia="Arial" w:hAnsi="Arial"/>
                <w:sz w:val="18"/>
                <w:szCs w:val="18"/>
                <w:color w:val="auto"/>
              </w:rPr>
              <w:t>Minneapolis, Minnesota</w:t>
            </w:r>
          </w:p>
        </w:tc>
        <w:tc>
          <w:tcPr>
            <w:tcW w:w="3560" w:type="dxa"/>
            <w:vAlign w:val="bottom"/>
          </w:tcPr>
          <w:p>
            <w:pPr>
              <w:jc w:val="right"/>
              <w:ind w:right="1050"/>
              <w:spacing w:after="0" w:line="202" w:lineRule="exact"/>
              <w:rPr>
                <w:sz w:val="20"/>
                <w:szCs w:val="20"/>
                <w:color w:val="auto"/>
              </w:rPr>
            </w:pPr>
            <w:r>
              <w:rPr>
                <w:rFonts w:ascii="Arial" w:cs="Arial" w:eastAsia="Arial" w:hAnsi="Arial"/>
                <w:sz w:val="18"/>
                <w:szCs w:val="18"/>
                <w:color w:val="auto"/>
              </w:rPr>
              <w:t>55450</w:t>
            </w:r>
          </w:p>
        </w:tc>
      </w:tr>
      <w:tr>
        <w:trPr>
          <w:trHeight w:val="217"/>
        </w:trPr>
        <w:tc>
          <w:tcPr>
            <w:tcW w:w="5420" w:type="dxa"/>
            <w:vAlign w:val="bottom"/>
          </w:tcPr>
          <w:p>
            <w:pPr>
              <w:jc w:val="center"/>
              <w:ind w:right="690"/>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jc w:val="center"/>
              <w:ind w:left="710"/>
              <w:spacing w:after="0"/>
              <w:rPr>
                <w:sz w:val="20"/>
                <w:szCs w:val="20"/>
                <w:color w:val="auto"/>
              </w:rPr>
            </w:pPr>
            <w:r>
              <w:rPr>
                <w:rFonts w:ascii="Arial" w:cs="Arial" w:eastAsia="Arial" w:hAnsi="Arial"/>
                <w:sz w:val="18"/>
                <w:szCs w:val="18"/>
                <w:color w:val="auto"/>
                <w:w w:val="98"/>
              </w:rPr>
              <w:t>(Zip Code)</w:t>
            </w:r>
          </w:p>
        </w:tc>
      </w:tr>
    </w:tbl>
    <w:p>
      <w:pPr>
        <w:spacing w:after="0" w:line="67"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Registrant’s telephone number, including area code: (651) 681-3900</w:t>
      </w:r>
    </w:p>
    <w:p>
      <w:pPr>
        <w:spacing w:after="0" w:line="117"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9"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8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Title of each class</w:t>
            </w:r>
          </w:p>
        </w:tc>
        <w:tc>
          <w:tcPr>
            <w:tcW w:w="234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Trading Symbol</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10"/>
        </w:trPr>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320" w:type="dxa"/>
            <w:vAlign w:val="bottom"/>
          </w:tcPr>
          <w:p>
            <w:pPr>
              <w:spacing w:after="0"/>
              <w:rPr>
                <w:sz w:val="18"/>
                <w:szCs w:val="18"/>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SNCY</w:t>
            </w:r>
          </w:p>
        </w:tc>
        <w:tc>
          <w:tcPr>
            <w:tcW w:w="340" w:type="dxa"/>
            <w:vAlign w:val="bottom"/>
          </w:tcPr>
          <w:p>
            <w:pPr>
              <w:spacing w:after="0"/>
              <w:rPr>
                <w:sz w:val="18"/>
                <w:szCs w:val="18"/>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66" w:lineRule="exact"/>
        <w:rPr>
          <w:sz w:val="24"/>
          <w:szCs w:val="24"/>
          <w:color w:val="auto"/>
        </w:rPr>
      </w:pPr>
    </w:p>
    <w:p>
      <w:pPr>
        <w:ind w:left="10" w:right="200" w:firstLine="324"/>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4"/>
          <w:szCs w:val="24"/>
          <w:color w:val="auto"/>
        </w:rPr>
      </w:pPr>
    </w:p>
    <w:p>
      <w:pPr>
        <w:jc w:val="center"/>
        <w:ind w:right="-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10" w:right="20" w:firstLine="324"/>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jc w:val="center"/>
        <w:ind w:right="-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10" w:right="260" w:firstLine="324"/>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79" w:right="839" w:bottom="1440" w:gutter="0" w:footer="0" w:header="0"/>
        </w:sectPr>
      </w:pPr>
    </w:p>
    <w:p>
      <w:pPr>
        <w:spacing w:after="0" w:line="311" w:lineRule="exact"/>
        <w:rPr>
          <w:sz w:val="24"/>
          <w:szCs w:val="24"/>
          <w:color w:val="auto"/>
        </w:rPr>
      </w:pPr>
    </w:p>
    <w:p>
      <w:pPr>
        <w:ind w:left="127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right"/>
        <w:spacing w:after="0" w:line="261" w:lineRule="auto"/>
        <w:rPr>
          <w:sz w:val="20"/>
          <w:szCs w:val="20"/>
          <w:color w:val="auto"/>
        </w:rPr>
      </w:pPr>
      <w:r>
        <w:rPr>
          <w:rFonts w:ascii="Arial" w:cs="Arial" w:eastAsia="Arial" w:hAnsi="Arial"/>
          <w:sz w:val="18"/>
          <w:szCs w:val="18"/>
          <w:color w:val="auto"/>
        </w:rPr>
        <w:t>Accelerated filer Smaller reporting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both"/>
        <w:ind w:firstLine="480"/>
        <w:spacing w:after="0" w:line="291" w:lineRule="auto"/>
        <w:rPr>
          <w:sz w:val="20"/>
          <w:szCs w:val="20"/>
          <w:color w:val="auto"/>
        </w:rPr>
      </w:pPr>
      <w:r>
        <w:rPr>
          <w:rFonts w:ascii="Arial" w:cs="Arial" w:eastAsia="Arial" w:hAnsi="Arial"/>
          <w:sz w:val="17"/>
          <w:szCs w:val="17"/>
          <w:color w:val="auto"/>
        </w:rPr>
        <w:t>Non-accelerated filer Emerging growth company</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1" w:lineRule="exact"/>
        <w:rPr>
          <w:sz w:val="24"/>
          <w:szCs w:val="24"/>
          <w:color w:val="auto"/>
        </w:rPr>
      </w:pPr>
    </w:p>
    <w:p>
      <w:pPr>
        <w:sectPr>
          <w:pgSz w:w="11900" w:h="16838" w:orient="portrait"/>
          <w:cols w:equalWidth="0" w:num="6">
            <w:col w:w="3050" w:space="200"/>
            <w:col w:w="160" w:space="640"/>
            <w:col w:w="2160" w:space="200"/>
            <w:col w:w="600" w:space="720"/>
            <w:col w:w="2140" w:space="200"/>
            <w:col w:w="160"/>
          </w:cols>
          <w:pgMar w:left="830" w:top="679" w:right="839" w:bottom="1440" w:gutter="0" w:footer="0" w:header="0"/>
          <w:type w:val="continuous"/>
        </w:sectPr>
      </w:pPr>
    </w:p>
    <w:p>
      <w:pPr>
        <w:ind w:left="10" w:right="40" w:firstLine="324"/>
        <w:spacing w:after="0" w:line="21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0" w:lineRule="exact"/>
        <w:rPr>
          <w:sz w:val="24"/>
          <w:szCs w:val="24"/>
          <w:color w:val="auto"/>
        </w:rPr>
      </w:pPr>
    </w:p>
    <w:p>
      <w:pPr>
        <w:jc w:val="center"/>
        <w:ind w:right="59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jc w:val="center"/>
        <w:ind w:right="-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Number of shares outstanding by each class of common stock, as of September 30, 2021:</w:t>
      </w:r>
    </w:p>
    <w:p>
      <w:pPr>
        <w:spacing w:after="0" w:line="63"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Common Stock, $0.01 par value – 57,551,741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469265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48895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79"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Page</w:t>
            </w:r>
          </w:p>
        </w:tc>
      </w:tr>
      <w:tr>
        <w:trPr>
          <w:trHeight w:val="372"/>
        </w:trPr>
        <w:tc>
          <w:tcPr>
            <w:tcW w:w="834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tcPr>
          <w:p>
            <w:pPr>
              <w:spacing w:after="0"/>
              <w:rPr>
                <w:sz w:val="24"/>
                <w:szCs w:val="24"/>
                <w:color w:val="auto"/>
              </w:rPr>
            </w:pPr>
          </w:p>
        </w:tc>
      </w:tr>
      <w:tr>
        <w:trPr>
          <w:trHeight w:val="20"/>
        </w:trPr>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2"/>
        </w:trPr>
        <w:tc>
          <w:tcPr>
            <w:tcW w:w="26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5800" w:type="dxa"/>
            <w:vAlign w:val="bottom"/>
            <w:gridSpan w:val="18"/>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183"/>
        </w:trPr>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2"/>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Changes in Stockholders’ Equity</w:t>
              </w:r>
            </w:hyperlink>
          </w:p>
        </w:tc>
        <w:tc>
          <w:tcPr>
            <w:tcW w:w="2000" w:type="dxa"/>
            <w:vAlign w:val="bottom"/>
            <w:gridSpan w:val="2"/>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r>
      <w:tr>
        <w:trPr>
          <w:trHeight w:val="183"/>
        </w:trPr>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0" w:type="dxa"/>
            <w:vAlign w:val="bottom"/>
            <w:gridSpan w:val="32"/>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385"/>
        </w:trPr>
        <w:tc>
          <w:tcPr>
            <w:tcW w:w="540" w:type="dxa"/>
            <w:vAlign w:val="bottom"/>
            <w:gridSpan w:val="3"/>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40" w:type="dxa"/>
            <w:vAlign w:val="bottom"/>
            <w:tcBorders>
              <w:top w:val="single" w:sz="8" w:color="0000EE"/>
            </w:tcBorders>
          </w:tcPr>
          <w:p>
            <w:pPr>
              <w:spacing w:after="0"/>
              <w:rPr>
                <w:sz w:val="24"/>
                <w:szCs w:val="24"/>
                <w:color w:val="auto"/>
              </w:rPr>
            </w:pPr>
          </w:p>
        </w:tc>
        <w:tc>
          <w:tcPr>
            <w:tcW w:w="1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Company Background</w:t>
              </w:r>
            </w:hyperlink>
          </w:p>
        </w:tc>
        <w:tc>
          <w:tcPr>
            <w:tcW w:w="2360" w:type="dxa"/>
            <w:vAlign w:val="bottom"/>
            <w:tcBorders>
              <w:top w:val="single" w:sz="8" w:color="0000EE"/>
            </w:tcBorders>
            <w:gridSpan w:val="8"/>
          </w:tcPr>
          <w:p>
            <w:pPr>
              <w:spacing w:after="0"/>
              <w:rPr>
                <w:sz w:val="24"/>
                <w:szCs w:val="24"/>
                <w:color w:val="auto"/>
              </w:rPr>
            </w:pPr>
          </w:p>
        </w:tc>
        <w:tc>
          <w:tcPr>
            <w:tcW w:w="306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183"/>
        </w:trPr>
        <w:tc>
          <w:tcPr>
            <w:tcW w:w="780" w:type="dxa"/>
            <w:vAlign w:val="bottom"/>
            <w:gridSpan w:val="5"/>
          </w:tcPr>
          <w:p>
            <w:pPr>
              <w:spacing w:after="0"/>
              <w:rPr>
                <w:sz w:val="15"/>
                <w:szCs w:val="15"/>
                <w:color w:val="auto"/>
              </w:rPr>
            </w:pPr>
          </w:p>
        </w:tc>
        <w:tc>
          <w:tcPr>
            <w:tcW w:w="100" w:type="dxa"/>
            <w:vAlign w:val="bottom"/>
          </w:tcPr>
          <w:p>
            <w:pPr>
              <w:jc w:val="right"/>
              <w:spacing w:after="0" w:line="18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2</w:t>
              </w:r>
            </w:hyperlink>
          </w:p>
        </w:tc>
        <w:tc>
          <w:tcPr>
            <w:tcW w:w="240" w:type="dxa"/>
            <w:vAlign w:val="bottom"/>
          </w:tcPr>
          <w:p>
            <w:pPr>
              <w:spacing w:after="0"/>
              <w:rPr>
                <w:sz w:val="15"/>
                <w:szCs w:val="15"/>
                <w:color w:val="auto"/>
              </w:rPr>
            </w:pPr>
          </w:p>
        </w:tc>
        <w:tc>
          <w:tcPr>
            <w:tcW w:w="7220" w:type="dxa"/>
            <w:vAlign w:val="bottom"/>
            <w:gridSpan w:val="2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Basis of Presentation</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9</w:t>
            </w:r>
          </w:p>
        </w:tc>
      </w:tr>
      <w:tr>
        <w:trPr>
          <w:trHeight w:val="20"/>
        </w:trPr>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5"/>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3</w:t>
              </w:r>
            </w:hyperlink>
          </w:p>
        </w:tc>
        <w:tc>
          <w:tcPr>
            <w:tcW w:w="240" w:type="dxa"/>
            <w:vAlign w:val="bottom"/>
          </w:tcPr>
          <w:p>
            <w:pPr>
              <w:spacing w:after="0"/>
              <w:rPr>
                <w:sz w:val="15"/>
                <w:szCs w:val="15"/>
                <w:color w:val="auto"/>
              </w:rPr>
            </w:pPr>
          </w:p>
        </w:tc>
        <w:tc>
          <w:tcPr>
            <w:tcW w:w="27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Impact of the COVID-19 Pandemic</w:t>
              </w:r>
            </w:hyperlink>
          </w:p>
        </w:tc>
        <w:tc>
          <w:tcPr>
            <w:tcW w:w="4440" w:type="dxa"/>
            <w:vAlign w:val="bottom"/>
            <w:gridSpan w:val="9"/>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10</w:t>
            </w:r>
          </w:p>
        </w:tc>
      </w:tr>
      <w:tr>
        <w:trPr>
          <w:trHeight w:val="183"/>
        </w:trPr>
        <w:tc>
          <w:tcPr>
            <w:tcW w:w="780" w:type="dxa"/>
            <w:vAlign w:val="bottom"/>
            <w:gridSpan w:val="5"/>
          </w:tcPr>
          <w:p>
            <w:pPr>
              <w:spacing w:after="0"/>
              <w:rPr>
                <w:sz w:val="15"/>
                <w:szCs w:val="15"/>
                <w:color w:val="auto"/>
              </w:rPr>
            </w:pPr>
          </w:p>
        </w:tc>
        <w:tc>
          <w:tcPr>
            <w:tcW w:w="100" w:type="dxa"/>
            <w:vAlign w:val="bottom"/>
          </w:tcPr>
          <w:p>
            <w:pPr>
              <w:jc w:val="right"/>
              <w:spacing w:after="0" w:line="18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4</w:t>
              </w:r>
            </w:hyperlink>
          </w:p>
        </w:tc>
        <w:tc>
          <w:tcPr>
            <w:tcW w:w="240" w:type="dxa"/>
            <w:vAlign w:val="bottom"/>
          </w:tcPr>
          <w:p>
            <w:pPr>
              <w:spacing w:after="0"/>
              <w:rPr>
                <w:sz w:val="15"/>
                <w:szCs w:val="15"/>
                <w:color w:val="auto"/>
              </w:rPr>
            </w:pPr>
          </w:p>
        </w:tc>
        <w:tc>
          <w:tcPr>
            <w:tcW w:w="7220" w:type="dxa"/>
            <w:vAlign w:val="bottom"/>
            <w:gridSpan w:val="28"/>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Revenue</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12</w:t>
            </w:r>
          </w:p>
        </w:tc>
      </w:tr>
      <w:tr>
        <w:trPr>
          <w:trHeight w:val="20"/>
        </w:trPr>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5"/>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5</w:t>
              </w:r>
            </w:hyperlink>
          </w:p>
        </w:tc>
        <w:tc>
          <w:tcPr>
            <w:tcW w:w="240" w:type="dxa"/>
            <w:vAlign w:val="bottom"/>
          </w:tcPr>
          <w:p>
            <w:pPr>
              <w:spacing w:after="0"/>
              <w:rPr>
                <w:sz w:val="15"/>
                <w:szCs w:val="15"/>
                <w:color w:val="auto"/>
              </w:rPr>
            </w:pPr>
          </w:p>
        </w:tc>
        <w:tc>
          <w:tcPr>
            <w:tcW w:w="15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Earnings per Share</w:t>
              </w:r>
            </w:hyperlink>
          </w:p>
        </w:tc>
        <w:tc>
          <w:tcPr>
            <w:tcW w:w="5660" w:type="dxa"/>
            <w:vAlign w:val="bottom"/>
            <w:gridSpan w:val="16"/>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14</w:t>
            </w:r>
          </w:p>
        </w:tc>
      </w:tr>
      <w:tr>
        <w:trPr>
          <w:trHeight w:val="183"/>
        </w:trPr>
        <w:tc>
          <w:tcPr>
            <w:tcW w:w="780" w:type="dxa"/>
            <w:vAlign w:val="bottom"/>
            <w:gridSpan w:val="5"/>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6</w:t>
              </w:r>
            </w:hyperlink>
          </w:p>
        </w:tc>
        <w:tc>
          <w:tcPr>
            <w:tcW w:w="240" w:type="dxa"/>
            <w:vAlign w:val="bottom"/>
          </w:tcPr>
          <w:p>
            <w:pPr>
              <w:spacing w:after="0"/>
              <w:rPr>
                <w:sz w:val="15"/>
                <w:szCs w:val="15"/>
                <w:color w:val="auto"/>
              </w:rPr>
            </w:pPr>
          </w:p>
        </w:tc>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Aircraft</w:t>
              </w:r>
            </w:hyperlink>
          </w:p>
        </w:tc>
        <w:tc>
          <w:tcPr>
            <w:tcW w:w="6640" w:type="dxa"/>
            <w:vAlign w:val="bottom"/>
            <w:gridSpan w:val="26"/>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15</w:t>
            </w:r>
          </w:p>
        </w:tc>
      </w:tr>
      <w:tr>
        <w:trPr>
          <w:trHeight w:val="183"/>
        </w:trPr>
        <w:tc>
          <w:tcPr>
            <w:tcW w:w="780" w:type="dxa"/>
            <w:vAlign w:val="bottom"/>
            <w:gridSpan w:val="5"/>
          </w:tcPr>
          <w:p>
            <w:pPr>
              <w:spacing w:after="0"/>
              <w:rPr>
                <w:sz w:val="15"/>
                <w:szCs w:val="15"/>
                <w:color w:val="auto"/>
              </w:rPr>
            </w:pPr>
          </w:p>
        </w:tc>
        <w:tc>
          <w:tcPr>
            <w:tcW w:w="100" w:type="dxa"/>
            <w:vAlign w:val="bottom"/>
          </w:tcPr>
          <w:p>
            <w:pPr>
              <w:jc w:val="right"/>
              <w:spacing w:after="0" w:line="18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7</w:t>
              </w:r>
            </w:hyperlink>
          </w:p>
        </w:tc>
        <w:tc>
          <w:tcPr>
            <w:tcW w:w="240" w:type="dxa"/>
            <w:vAlign w:val="bottom"/>
          </w:tcPr>
          <w:p>
            <w:pPr>
              <w:spacing w:after="0"/>
              <w:rPr>
                <w:sz w:val="15"/>
                <w:szCs w:val="15"/>
                <w:color w:val="auto"/>
              </w:rPr>
            </w:pPr>
          </w:p>
        </w:tc>
        <w:tc>
          <w:tcPr>
            <w:tcW w:w="7220" w:type="dxa"/>
            <w:vAlign w:val="bottom"/>
            <w:gridSpan w:val="2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Debt</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18</w:t>
            </w:r>
          </w:p>
        </w:tc>
      </w:tr>
      <w:tr>
        <w:trPr>
          <w:trHeight w:val="20"/>
        </w:trPr>
        <w:tc>
          <w:tcPr>
            <w:tcW w:w="6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780" w:type="dxa"/>
            <w:vAlign w:val="bottom"/>
            <w:gridSpan w:val="5"/>
          </w:tcPr>
          <w:p>
            <w:pPr>
              <w:spacing w:after="0"/>
              <w:rPr>
                <w:sz w:val="15"/>
                <w:szCs w:val="15"/>
                <w:color w:val="auto"/>
              </w:rPr>
            </w:pPr>
          </w:p>
        </w:tc>
        <w:tc>
          <w:tcPr>
            <w:tcW w:w="100" w:type="dxa"/>
            <w:vAlign w:val="bottom"/>
          </w:tcPr>
          <w:p>
            <w:pPr>
              <w:jc w:val="right"/>
              <w:spacing w:after="0" w:line="18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8</w:t>
              </w:r>
            </w:hyperlink>
          </w:p>
        </w:tc>
        <w:tc>
          <w:tcPr>
            <w:tcW w:w="240" w:type="dxa"/>
            <w:vAlign w:val="bottom"/>
          </w:tcPr>
          <w:p>
            <w:pPr>
              <w:spacing w:after="0"/>
              <w:rPr>
                <w:sz w:val="15"/>
                <w:szCs w:val="15"/>
                <w:color w:val="auto"/>
              </w:rPr>
            </w:pPr>
          </w:p>
        </w:tc>
        <w:tc>
          <w:tcPr>
            <w:tcW w:w="7220" w:type="dxa"/>
            <w:vAlign w:val="bottom"/>
            <w:gridSpan w:val="2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Fuel Derivatives and Risk Management</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20</w:t>
            </w:r>
          </w:p>
        </w:tc>
      </w:tr>
      <w:tr>
        <w:trPr>
          <w:trHeight w:val="183"/>
        </w:trPr>
        <w:tc>
          <w:tcPr>
            <w:tcW w:w="780" w:type="dxa"/>
            <w:vAlign w:val="bottom"/>
            <w:gridSpan w:val="5"/>
          </w:tcPr>
          <w:p>
            <w:pPr>
              <w:spacing w:after="0"/>
              <w:rPr>
                <w:sz w:val="15"/>
                <w:szCs w:val="15"/>
                <w:color w:val="auto"/>
              </w:rPr>
            </w:pPr>
          </w:p>
        </w:tc>
        <w:tc>
          <w:tcPr>
            <w:tcW w:w="1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9</w:t>
              </w:r>
            </w:hyperlink>
          </w:p>
        </w:tc>
        <w:tc>
          <w:tcPr>
            <w:tcW w:w="240" w:type="dxa"/>
            <w:vAlign w:val="bottom"/>
          </w:tcPr>
          <w:p>
            <w:pPr>
              <w:spacing w:after="0"/>
              <w:rPr>
                <w:sz w:val="15"/>
                <w:szCs w:val="15"/>
                <w:color w:val="auto"/>
              </w:rPr>
            </w:pPr>
          </w:p>
        </w:tc>
        <w:tc>
          <w:tcPr>
            <w:tcW w:w="206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Fair Value Measurements</w:t>
              </w:r>
            </w:hyperlink>
          </w:p>
        </w:tc>
        <w:tc>
          <w:tcPr>
            <w:tcW w:w="1080" w:type="dxa"/>
            <w:vAlign w:val="bottom"/>
            <w:tcBorders>
              <w:top w:val="single" w:sz="8" w:color="0000EE"/>
            </w:tcBorders>
            <w:gridSpan w:val="4"/>
          </w:tcPr>
          <w:p>
            <w:pPr>
              <w:spacing w:after="0"/>
              <w:rPr>
                <w:sz w:val="15"/>
                <w:szCs w:val="15"/>
                <w:color w:val="auto"/>
              </w:rPr>
            </w:pPr>
          </w:p>
        </w:tc>
        <w:tc>
          <w:tcPr>
            <w:tcW w:w="4080" w:type="dxa"/>
            <w:vAlign w:val="bottom"/>
            <w:gridSpan w:val="8"/>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21</w:t>
            </w:r>
          </w:p>
        </w:tc>
      </w:tr>
      <w:tr>
        <w:trPr>
          <w:trHeight w:val="183"/>
        </w:trPr>
        <w:tc>
          <w:tcPr>
            <w:tcW w:w="6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10</w:t>
              </w:r>
            </w:hyperlink>
          </w:p>
        </w:tc>
        <w:tc>
          <w:tcPr>
            <w:tcW w:w="240" w:type="dxa"/>
            <w:vAlign w:val="bottom"/>
          </w:tcPr>
          <w:p>
            <w:pPr>
              <w:spacing w:after="0"/>
              <w:rPr>
                <w:sz w:val="15"/>
                <w:szCs w:val="15"/>
                <w:color w:val="auto"/>
              </w:rPr>
            </w:pPr>
          </w:p>
        </w:tc>
        <w:tc>
          <w:tcPr>
            <w:tcW w:w="112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Income Taxes</w:t>
              </w:r>
            </w:hyperlink>
          </w:p>
        </w:tc>
        <w:tc>
          <w:tcPr>
            <w:tcW w:w="6100" w:type="dxa"/>
            <w:vAlign w:val="bottom"/>
            <w:gridSpan w:val="2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22</w:t>
            </w:r>
          </w:p>
        </w:tc>
      </w:tr>
      <w:tr>
        <w:trPr>
          <w:trHeight w:val="183"/>
        </w:trPr>
        <w:tc>
          <w:tcPr>
            <w:tcW w:w="6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11</w:t>
              </w:r>
            </w:hyperlink>
          </w:p>
        </w:tc>
        <w:tc>
          <w:tcPr>
            <w:tcW w:w="240" w:type="dxa"/>
            <w:vAlign w:val="bottom"/>
          </w:tcPr>
          <w:p>
            <w:pPr>
              <w:spacing w:after="0"/>
              <w:rPr>
                <w:sz w:val="15"/>
                <w:szCs w:val="15"/>
                <w:color w:val="auto"/>
              </w:rPr>
            </w:pPr>
          </w:p>
        </w:tc>
        <w:tc>
          <w:tcPr>
            <w:tcW w:w="14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Special Items, net</w:t>
              </w:r>
            </w:hyperlink>
          </w:p>
        </w:tc>
        <w:tc>
          <w:tcPr>
            <w:tcW w:w="5780" w:type="dxa"/>
            <w:vAlign w:val="bottom"/>
            <w:gridSpan w:val="1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23</w:t>
            </w:r>
          </w:p>
        </w:tc>
      </w:tr>
      <w:tr>
        <w:trPr>
          <w:trHeight w:val="183"/>
        </w:trPr>
        <w:tc>
          <w:tcPr>
            <w:tcW w:w="6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12</w:t>
              </w:r>
            </w:hyperlink>
          </w:p>
        </w:tc>
        <w:tc>
          <w:tcPr>
            <w:tcW w:w="240" w:type="dxa"/>
            <w:vAlign w:val="bottom"/>
          </w:tcPr>
          <w:p>
            <w:pPr>
              <w:spacing w:after="0"/>
              <w:rPr>
                <w:sz w:val="15"/>
                <w:szCs w:val="15"/>
                <w:color w:val="auto"/>
              </w:rPr>
            </w:pPr>
          </w:p>
        </w:tc>
        <w:tc>
          <w:tcPr>
            <w:tcW w:w="2720" w:type="dxa"/>
            <w:vAlign w:val="bottom"/>
            <w:tcBorders>
              <w:bottom w:val="single" w:sz="8" w:color="0000EE"/>
            </w:tcBorders>
            <w:gridSpan w:val="1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Commitments and Contingencies</w:t>
              </w:r>
            </w:hyperlink>
          </w:p>
        </w:tc>
        <w:tc>
          <w:tcPr>
            <w:tcW w:w="4500" w:type="dxa"/>
            <w:vAlign w:val="bottom"/>
            <w:gridSpan w:val="10"/>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24</w:t>
            </w:r>
          </w:p>
        </w:tc>
      </w:tr>
      <w:tr>
        <w:trPr>
          <w:trHeight w:val="183"/>
        </w:trPr>
        <w:tc>
          <w:tcPr>
            <w:tcW w:w="6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13</w:t>
              </w:r>
            </w:hyperlink>
          </w:p>
        </w:tc>
        <w:tc>
          <w:tcPr>
            <w:tcW w:w="240" w:type="dxa"/>
            <w:vAlign w:val="bottom"/>
          </w:tcPr>
          <w:p>
            <w:pPr>
              <w:spacing w:after="0"/>
              <w:rPr>
                <w:sz w:val="15"/>
                <w:szCs w:val="15"/>
                <w:color w:val="auto"/>
              </w:rPr>
            </w:pPr>
          </w:p>
        </w:tc>
        <w:tc>
          <w:tcPr>
            <w:tcW w:w="1700" w:type="dxa"/>
            <w:vAlign w:val="bottom"/>
            <w:tcBorders>
              <w:bottom w:val="single" w:sz="8" w:color="0000EE"/>
            </w:tcBorders>
            <w:gridSpan w:val="14"/>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Operating Segments</w:t>
              </w:r>
            </w:hyperlink>
          </w:p>
        </w:tc>
        <w:tc>
          <w:tcPr>
            <w:tcW w:w="552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24</w:t>
            </w:r>
          </w:p>
        </w:tc>
      </w:tr>
      <w:tr>
        <w:trPr>
          <w:trHeight w:val="183"/>
        </w:trPr>
        <w:tc>
          <w:tcPr>
            <w:tcW w:w="680" w:type="dxa"/>
            <w:vAlign w:val="bottom"/>
            <w:gridSpan w:val="4"/>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14</w:t>
              </w:r>
            </w:hyperlink>
          </w:p>
        </w:tc>
        <w:tc>
          <w:tcPr>
            <w:tcW w:w="240" w:type="dxa"/>
            <w:vAlign w:val="bottom"/>
          </w:tcPr>
          <w:p>
            <w:pPr>
              <w:spacing w:after="0"/>
              <w:rPr>
                <w:sz w:val="15"/>
                <w:szCs w:val="15"/>
                <w:color w:val="auto"/>
              </w:rPr>
            </w:pPr>
          </w:p>
        </w:tc>
        <w:tc>
          <w:tcPr>
            <w:tcW w:w="15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Subsequent Events</w:t>
              </w:r>
            </w:hyperlink>
          </w:p>
        </w:tc>
        <w:tc>
          <w:tcPr>
            <w:tcW w:w="5640" w:type="dxa"/>
            <w:vAlign w:val="bottom"/>
            <w:gridSpan w:val="15"/>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25</w:t>
            </w:r>
          </w:p>
        </w:tc>
      </w:tr>
      <w:tr>
        <w:trPr>
          <w:trHeight w:val="385"/>
        </w:trPr>
        <w:tc>
          <w:tcPr>
            <w:tcW w:w="260" w:type="dxa"/>
            <w:vAlign w:val="bottom"/>
          </w:tcPr>
          <w:p>
            <w:pPr>
              <w:spacing w:after="0"/>
              <w:rPr>
                <w:sz w:val="24"/>
                <w:szCs w:val="24"/>
                <w:color w:val="auto"/>
              </w:rPr>
            </w:pPr>
          </w:p>
        </w:tc>
        <w:tc>
          <w:tcPr>
            <w:tcW w:w="7680" w:type="dxa"/>
            <w:vAlign w:val="bottom"/>
            <w:tcBorders>
              <w:bottom w:val="single" w:sz="8" w:color="0000EE"/>
            </w:tcBorders>
            <w:gridSpan w:val="33"/>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Item 2. Management’s Discussion and Analysis of Financial Condition and Results of Operations</w:t>
              </w:r>
            </w:hyperlink>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183"/>
        </w:trPr>
        <w:tc>
          <w:tcPr>
            <w:tcW w:w="260" w:type="dxa"/>
            <w:vAlign w:val="bottom"/>
          </w:tcPr>
          <w:p>
            <w:pPr>
              <w:spacing w:after="0"/>
              <w:rPr>
                <w:sz w:val="15"/>
                <w:szCs w:val="15"/>
                <w:color w:val="auto"/>
              </w:rPr>
            </w:pPr>
          </w:p>
        </w:tc>
        <w:tc>
          <w:tcPr>
            <w:tcW w:w="8080" w:type="dxa"/>
            <w:vAlign w:val="bottom"/>
            <w:gridSpan w:val="34"/>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3. Quantitative and Qualitative Disclosures About Market Risk</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r>
      <w:tr>
        <w:trPr>
          <w:trHeight w:val="183"/>
        </w:trPr>
        <w:tc>
          <w:tcPr>
            <w:tcW w:w="260" w:type="dxa"/>
            <w:vAlign w:val="bottom"/>
          </w:tcPr>
          <w:p>
            <w:pPr>
              <w:spacing w:after="0"/>
              <w:rPr>
                <w:sz w:val="15"/>
                <w:szCs w:val="15"/>
                <w:color w:val="auto"/>
              </w:rPr>
            </w:pPr>
          </w:p>
        </w:tc>
        <w:tc>
          <w:tcPr>
            <w:tcW w:w="530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4. Controls and Procedures</w:t>
              </w:r>
            </w:hyperlink>
          </w:p>
        </w:tc>
        <w:tc>
          <w:tcPr>
            <w:tcW w:w="2780" w:type="dxa"/>
            <w:vAlign w:val="bottom"/>
            <w:gridSpan w:val="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57</w:t>
            </w:r>
          </w:p>
        </w:tc>
      </w:tr>
      <w:tr>
        <w:trPr>
          <w:trHeight w:val="20"/>
        </w:trPr>
        <w:tc>
          <w:tcPr>
            <w:tcW w:w="260" w:type="dxa"/>
            <w:vAlign w:val="bottom"/>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20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Part II. Other Information</w:t>
              </w:r>
            </w:hyperlink>
          </w:p>
        </w:tc>
        <w:tc>
          <w:tcPr>
            <w:tcW w:w="6340" w:type="dxa"/>
            <w:vAlign w:val="bottom"/>
            <w:gridSpan w:val="23"/>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260" w:type="dxa"/>
            <w:vAlign w:val="bottom"/>
          </w:tcPr>
          <w:p>
            <w:pPr>
              <w:spacing w:after="0"/>
              <w:rPr>
                <w:sz w:val="15"/>
                <w:szCs w:val="15"/>
                <w:color w:val="auto"/>
              </w:rPr>
            </w:pPr>
          </w:p>
        </w:tc>
        <w:tc>
          <w:tcPr>
            <w:tcW w:w="8080" w:type="dxa"/>
            <w:vAlign w:val="bottom"/>
            <w:gridSpan w:val="3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Item 1. Legal Proceedings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58</w:t>
            </w:r>
          </w:p>
        </w:tc>
      </w:tr>
      <w:tr>
        <w:trPr>
          <w:trHeight w:val="183"/>
        </w:trPr>
        <w:tc>
          <w:tcPr>
            <w:tcW w:w="260" w:type="dxa"/>
            <w:vAlign w:val="bottom"/>
          </w:tcPr>
          <w:p>
            <w:pPr>
              <w:spacing w:after="0"/>
              <w:rPr>
                <w:sz w:val="15"/>
                <w:szCs w:val="15"/>
                <w:color w:val="auto"/>
              </w:rPr>
            </w:pPr>
          </w:p>
        </w:tc>
        <w:tc>
          <w:tcPr>
            <w:tcW w:w="17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5"/>
          </w:tcPr>
          <w:p>
            <w:pPr>
              <w:spacing w:after="0"/>
              <w:rPr>
                <w:sz w:val="15"/>
                <w:szCs w:val="15"/>
                <w:color w:val="auto"/>
              </w:rPr>
            </w:pPr>
          </w:p>
        </w:tc>
        <w:tc>
          <w:tcPr>
            <w:tcW w:w="6000" w:type="dxa"/>
            <w:vAlign w:val="bottom"/>
            <w:gridSpan w:val="19"/>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58</w:t>
            </w:r>
          </w:p>
        </w:tc>
      </w:tr>
      <w:tr>
        <w:trPr>
          <w:trHeight w:val="183"/>
        </w:trPr>
        <w:tc>
          <w:tcPr>
            <w:tcW w:w="260" w:type="dxa"/>
            <w:vAlign w:val="bottom"/>
          </w:tcPr>
          <w:p>
            <w:pPr>
              <w:spacing w:after="0"/>
              <w:rPr>
                <w:sz w:val="15"/>
                <w:szCs w:val="15"/>
                <w:color w:val="auto"/>
              </w:rPr>
            </w:pPr>
          </w:p>
        </w:tc>
        <w:tc>
          <w:tcPr>
            <w:tcW w:w="8080" w:type="dxa"/>
            <w:vAlign w:val="bottom"/>
            <w:gridSpan w:val="3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2. Unregistered Sales of Equity Securities and Use of Proceeds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70</w:t>
            </w:r>
          </w:p>
        </w:tc>
      </w:tr>
      <w:tr>
        <w:trPr>
          <w:trHeight w:val="183"/>
        </w:trPr>
        <w:tc>
          <w:tcPr>
            <w:tcW w:w="260" w:type="dxa"/>
            <w:vAlign w:val="bottom"/>
          </w:tcPr>
          <w:p>
            <w:pPr>
              <w:spacing w:after="0"/>
              <w:rPr>
                <w:sz w:val="15"/>
                <w:szCs w:val="15"/>
                <w:color w:val="auto"/>
              </w:rPr>
            </w:pPr>
          </w:p>
        </w:tc>
        <w:tc>
          <w:tcPr>
            <w:tcW w:w="544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3. Defaults Upon Senior Securities</w:t>
              </w:r>
            </w:hyperlink>
          </w:p>
        </w:tc>
        <w:tc>
          <w:tcPr>
            <w:tcW w:w="26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70</w:t>
            </w:r>
          </w:p>
        </w:tc>
      </w:tr>
      <w:tr>
        <w:trPr>
          <w:trHeight w:val="183"/>
        </w:trPr>
        <w:tc>
          <w:tcPr>
            <w:tcW w:w="260" w:type="dxa"/>
            <w:vAlign w:val="bottom"/>
          </w:tcPr>
          <w:p>
            <w:pPr>
              <w:spacing w:after="0"/>
              <w:rPr>
                <w:sz w:val="15"/>
                <w:szCs w:val="15"/>
                <w:color w:val="auto"/>
              </w:rPr>
            </w:pPr>
          </w:p>
        </w:tc>
        <w:tc>
          <w:tcPr>
            <w:tcW w:w="31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Item 4. Mine Safety Disclosures</w:t>
              </w:r>
            </w:hyperlink>
          </w:p>
        </w:tc>
        <w:tc>
          <w:tcPr>
            <w:tcW w:w="4940" w:type="dxa"/>
            <w:vAlign w:val="bottom"/>
            <w:gridSpan w:val="11"/>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70</w:t>
            </w:r>
          </w:p>
        </w:tc>
      </w:tr>
      <w:tr>
        <w:trPr>
          <w:trHeight w:val="183"/>
        </w:trPr>
        <w:tc>
          <w:tcPr>
            <w:tcW w:w="26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Item 5. Other Information</w:t>
              </w:r>
            </w:hyperlink>
          </w:p>
        </w:tc>
        <w:tc>
          <w:tcPr>
            <w:tcW w:w="560" w:type="dxa"/>
            <w:vAlign w:val="bottom"/>
            <w:tcBorders>
              <w:top w:val="single" w:sz="8" w:color="0000EE"/>
            </w:tcBorders>
            <w:gridSpan w:val="6"/>
          </w:tcPr>
          <w:p>
            <w:pPr>
              <w:spacing w:after="0"/>
              <w:rPr>
                <w:sz w:val="15"/>
                <w:szCs w:val="15"/>
                <w:color w:val="auto"/>
              </w:rPr>
            </w:pPr>
          </w:p>
        </w:tc>
        <w:tc>
          <w:tcPr>
            <w:tcW w:w="552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70</w:t>
            </w:r>
          </w:p>
        </w:tc>
      </w:tr>
      <w:tr>
        <w:trPr>
          <w:trHeight w:val="183"/>
        </w:trPr>
        <w:tc>
          <w:tcPr>
            <w:tcW w:w="260" w:type="dxa"/>
            <w:vAlign w:val="bottom"/>
          </w:tcPr>
          <w:p>
            <w:pPr>
              <w:spacing w:after="0"/>
              <w:rPr>
                <w:sz w:val="15"/>
                <w:szCs w:val="15"/>
                <w:color w:val="auto"/>
              </w:rPr>
            </w:pPr>
          </w:p>
        </w:tc>
        <w:tc>
          <w:tcPr>
            <w:tcW w:w="8080" w:type="dxa"/>
            <w:vAlign w:val="bottom"/>
            <w:gridSpan w:val="34"/>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Item 6. Exhibits</w:t>
              </w:r>
            </w:hyperlink>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71</w:t>
            </w:r>
          </w:p>
        </w:tc>
      </w:tr>
      <w:tr>
        <w:trPr>
          <w:trHeight w:val="20"/>
        </w:trPr>
        <w:tc>
          <w:tcPr>
            <w:tcW w:w="260" w:type="dxa"/>
            <w:vAlign w:val="bottom"/>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88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Signatures</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66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275,332</w:t>
            </w:r>
          </w:p>
        </w:tc>
        <w:tc>
          <w:tcPr>
            <w:tcW w:w="160" w:type="dxa"/>
            <w:vAlign w:val="bottom"/>
          </w:tcPr>
          <w:p>
            <w:pPr>
              <w:spacing w:after="0"/>
              <w:rPr>
                <w:sz w:val="17"/>
                <w:szCs w:val="17"/>
                <w:color w:val="auto"/>
              </w:rPr>
            </w:pPr>
          </w:p>
        </w:tc>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62,028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15,693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5,997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an allowance for credit losses of $232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$224, respectively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31,221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Short-term Lessor Maintenance Deposits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Inventory, net of a reserve for obsolescence of $1,257 and $996,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11,155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Derivative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1,299</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346,441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126,740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Property &amp; Equipment, net: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Aircraft and Flight Equipment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435,901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331,685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Leasehold Improvements and Ground Equipment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Computer Hardware and Software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8,459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Finance Lease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189,689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Rotable Parts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9,331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Property &amp; Equipment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662,385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479,580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Accumulated Depreciation &amp; Amortization</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(101,356)</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(65,065)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Property &amp; Equipment, net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561,029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414,515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90,110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65,215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121,269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Deposits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Long-term Lessor Maintenance Deposits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23,226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19,149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5,828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Other Assets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434,843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512,012</w:t>
            </w:r>
          </w:p>
        </w:tc>
        <w:tc>
          <w:tcPr>
            <w:tcW w:w="0" w:type="dxa"/>
            <w:vAlign w:val="bottom"/>
          </w:tcPr>
          <w:p>
            <w:pPr>
              <w:spacing w:after="0"/>
              <w:rPr>
                <w:sz w:val="1"/>
                <w:szCs w:val="1"/>
                <w:color w:val="auto"/>
              </w:rPr>
            </w:pPr>
          </w:p>
        </w:tc>
      </w:tr>
      <w:tr>
        <w:trPr>
          <w:trHeight w:val="196"/>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1,342,313</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35,676</w:t>
            </w:r>
          </w:p>
        </w:tc>
        <w:tc>
          <w:tcPr>
            <w:tcW w:w="4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Accrued Salaries, Wages, and Benefits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21,718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Accrued Transportation Taxes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8,882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 Traffic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105,048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Over-market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Loyalty Program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10,175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17,353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19,835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8,884</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241,620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253,743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Long-term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Over-market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11,505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164,902</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Loyalty Program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10,136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63,139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266,985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256,345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Income Tax Receivable Agreement Liability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95,400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5,746</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617,813</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515,707</w:t>
            </w:r>
          </w:p>
        </w:tc>
        <w:tc>
          <w:tcPr>
            <w:tcW w:w="0" w:type="dxa"/>
            <w:vAlign w:val="bottom"/>
          </w:tcPr>
          <w:p>
            <w:pPr>
              <w:spacing w:after="0"/>
              <w:rPr>
                <w:sz w:val="1"/>
                <w:szCs w:val="1"/>
                <w:color w:val="auto"/>
              </w:rPr>
            </w:pPr>
          </w:p>
        </w:tc>
      </w:tr>
      <w:tr>
        <w:trPr>
          <w:trHeight w:val="196"/>
        </w:trPr>
        <w:tc>
          <w:tcPr>
            <w:tcW w:w="5900" w:type="dxa"/>
            <w:vAlign w:val="bottom"/>
            <w:gridSpan w:val="2"/>
          </w:tcPr>
          <w:p>
            <w:pPr>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859,433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769,450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200"/>
              <w:spacing w:after="0" w:line="201" w:lineRule="exact"/>
              <w:rPr>
                <w:sz w:val="20"/>
                <w:szCs w:val="20"/>
                <w:color w:val="auto"/>
              </w:rPr>
            </w:pPr>
            <w:r>
              <w:rPr>
                <w:rFonts w:ascii="Arial" w:cs="Arial" w:eastAsia="Arial" w:hAnsi="Arial"/>
                <w:sz w:val="18"/>
                <w:szCs w:val="18"/>
                <w:color w:val="auto"/>
              </w:rPr>
              <w:t>Common stock with $0.01 par value, 995,000,000 shares authorized,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00"/>
              <w:spacing w:after="0" w:line="202" w:lineRule="exact"/>
              <w:rPr>
                <w:sz w:val="20"/>
                <w:szCs w:val="20"/>
                <w:color w:val="auto"/>
              </w:rPr>
            </w:pPr>
            <w:r>
              <w:rPr>
                <w:rFonts w:ascii="Arial" w:cs="Arial" w:eastAsia="Arial" w:hAnsi="Arial"/>
                <w:sz w:val="18"/>
                <w:szCs w:val="18"/>
                <w:color w:val="auto"/>
              </w:rPr>
              <w:t>57,551,741 and 46,839,659 issued and outstanding at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00"/>
              <w:spacing w:after="0" w:line="203" w:lineRule="exact"/>
              <w:rPr>
                <w:sz w:val="20"/>
                <w:szCs w:val="20"/>
                <w:color w:val="auto"/>
              </w:rPr>
            </w:pPr>
            <w:r>
              <w:rPr>
                <w:rFonts w:ascii="Arial" w:cs="Arial" w:eastAsia="Arial" w:hAnsi="Arial"/>
                <w:sz w:val="18"/>
                <w:szCs w:val="18"/>
                <w:color w:val="auto"/>
              </w:rPr>
              <w:t>September 30, 2021 and December 31, 2020, respectively.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576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80" w:type="dxa"/>
            <w:vAlign w:val="bottom"/>
          </w:tcPr>
          <w:p>
            <w:pPr>
              <w:ind w:left="200"/>
              <w:spacing w:after="0" w:line="201" w:lineRule="exact"/>
              <w:rPr>
                <w:sz w:val="20"/>
                <w:szCs w:val="20"/>
                <w:color w:val="auto"/>
              </w:rPr>
            </w:pPr>
            <w:r>
              <w:rPr>
                <w:rFonts w:ascii="Arial" w:cs="Arial" w:eastAsia="Arial" w:hAnsi="Arial"/>
                <w:sz w:val="18"/>
                <w:szCs w:val="18"/>
                <w:color w:val="auto"/>
              </w:rPr>
              <w:t>Preferred stock with $0.01 par value, 5,000,000 shares authorized, no</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200"/>
              <w:spacing w:after="0" w:line="202" w:lineRule="exact"/>
              <w:rPr>
                <w:sz w:val="20"/>
                <w:szCs w:val="20"/>
                <w:color w:val="auto"/>
              </w:rPr>
            </w:pPr>
            <w:r>
              <w:rPr>
                <w:rFonts w:ascii="Arial" w:cs="Arial" w:eastAsia="Arial" w:hAnsi="Arial"/>
                <w:sz w:val="18"/>
                <w:szCs w:val="18"/>
                <w:color w:val="auto"/>
              </w:rPr>
              <w:t>shares issued and outstanding at September 30, 2021 and December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31, 2020.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Loans to Stockholders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481,108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248,525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482,880</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1,342,313</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579"/>
        <w:spacing w:after="0" w:line="253" w:lineRule="auto"/>
        <w:rPr>
          <w:sz w:val="20"/>
          <w:szCs w:val="20"/>
          <w:color w:val="auto"/>
        </w:rPr>
      </w:pPr>
      <w:r>
        <w:rPr>
          <w:rFonts w:ascii="Arial" w:cs="Arial" w:eastAsia="Arial" w:hAnsi="Arial"/>
          <w:sz w:val="18"/>
          <w:szCs w:val="18"/>
          <w:b w:val="1"/>
          <w:bCs w:val="1"/>
          <w:color w:val="auto"/>
        </w:rPr>
        <w:t>CONDENSED CONSOLIDATED STATEMENTS OF OPERATIONS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578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5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Passenger</w:t>
            </w:r>
          </w:p>
        </w:tc>
        <w:tc>
          <w:tcPr>
            <w:tcW w:w="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147,718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62,472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377,042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272,299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Cargo</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68,084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5,338</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Revenue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173,663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77,973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450,464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293,679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Aircraft Fuel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36,647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13,139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90,631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Salaries, Wages, and Benefits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43,424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129,815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Aircraft Rent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13,339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23,376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Maintenance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30,170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5,470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2,921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16,402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Ground Handling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7,873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19,654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Landing Fees and Airport Rent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29,606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Special Items,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(32,852)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(64,333)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Operating, net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18,629</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50,026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34,363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151,661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69,156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354,290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271,865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22,002</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8,817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96,174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21,814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18,505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Non-operating Income (Expense),</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(5,802)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(4,967)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(16,206)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16,200</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3,850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95,244</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tcPr>
          <w:p>
            <w:pPr>
              <w:ind w:left="80"/>
              <w:spacing w:after="0" w:line="196" w:lineRule="exact"/>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2,297</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17,172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13,903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2,927</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78,072</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per share to common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8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bottom w:val="single" w:sz="8" w:color="CCEEFF"/>
            </w:tcBorders>
            <w:shd w:val="clear" w:color="auto" w:fill="CCEEFF"/>
          </w:tcPr>
          <w:p>
            <w:pPr>
              <w:ind w:left="80"/>
              <w:spacing w:after="0" w:line="183"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0.23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57,355,104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46,805,950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54,368,231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46,805,950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61,712,378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48,350,943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58,699,991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48,350,943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Nine Months Ended September 30, 2020</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1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4"/>
          </w:tcPr>
          <w:p>
            <w:pPr>
              <w:jc w:val="right"/>
              <w:ind w:right="208"/>
              <w:spacing w:after="0" w:line="155" w:lineRule="exact"/>
              <w:rPr>
                <w:sz w:val="20"/>
                <w:szCs w:val="20"/>
                <w:color w:val="auto"/>
              </w:rPr>
            </w:pPr>
            <w:r>
              <w:rPr>
                <w:rFonts w:ascii="Arial" w:cs="Arial" w:eastAsia="Arial" w:hAnsi="Arial"/>
                <w:sz w:val="14"/>
                <w:szCs w:val="14"/>
                <w:b w:val="1"/>
                <w:bCs w:val="1"/>
                <w:color w:val="auto"/>
              </w:rPr>
              <w:t>Common Stock</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Loans to</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Additional</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Retained</w:t>
            </w: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Warrants</w:t>
            </w: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2019</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6,800,065</w:t>
            </w:r>
          </w:p>
        </w:tc>
        <w:tc>
          <w:tcPr>
            <w:tcW w:w="34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68</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244,928</w:t>
            </w:r>
          </w:p>
        </w:tc>
        <w:tc>
          <w:tcPr>
            <w:tcW w:w="8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$ 42,228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283,724</w:t>
            </w:r>
          </w:p>
        </w:tc>
        <w:tc>
          <w:tcPr>
            <w:tcW w:w="0" w:type="dxa"/>
            <w:vAlign w:val="bottom"/>
          </w:tcPr>
          <w:p>
            <w:pPr>
              <w:spacing w:after="0"/>
              <w:rPr>
                <w:sz w:val="1"/>
                <w:szCs w:val="1"/>
                <w:color w:val="auto"/>
              </w:rPr>
            </w:pP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Exercise of Apollo Warrants</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40,005,885</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(379)</w:t>
            </w:r>
          </w:p>
        </w:tc>
        <w:tc>
          <w:tcPr>
            <w:tcW w:w="16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7,251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March 31, 2020</w:t>
            </w: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46,805,950</w:t>
            </w:r>
          </w:p>
        </w:tc>
        <w:tc>
          <w:tcPr>
            <w:tcW w:w="34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3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244,918</w:t>
            </w:r>
          </w:p>
        </w:tc>
        <w:tc>
          <w:tcPr>
            <w:tcW w:w="80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$ 49,479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291,365</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Loss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vMerge w:val="continue"/>
          </w:tcPr>
          <w:p>
            <w:pPr>
              <w:spacing w:after="0"/>
              <w:rPr>
                <w:sz w:val="12"/>
                <w:szCs w:val="12"/>
                <w:color w:val="auto"/>
              </w:rPr>
            </w:pPr>
          </w:p>
        </w:tc>
        <w:tc>
          <w:tcPr>
            <w:tcW w:w="10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(6,040)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95"/>
        </w:trPr>
        <w:tc>
          <w:tcPr>
            <w:tcW w:w="2160" w:type="dxa"/>
            <w:vAlign w:val="bottom"/>
          </w:tcPr>
          <w:p>
            <w:pPr>
              <w:spacing w:after="0" w:line="155" w:lineRule="exact"/>
              <w:rPr>
                <w:sz w:val="20"/>
                <w:szCs w:val="20"/>
                <w:color w:val="auto"/>
              </w:rPr>
            </w:pPr>
            <w:r>
              <w:rPr>
                <w:rFonts w:ascii="Arial" w:cs="Arial" w:eastAsia="Arial" w:hAnsi="Arial"/>
                <w:sz w:val="14"/>
                <w:szCs w:val="14"/>
                <w:color w:val="auto"/>
              </w:rPr>
              <w:t>June 30, 2020</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46,805,950</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468</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245,306</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$ 43,439</w:t>
            </w:r>
          </w:p>
        </w:tc>
        <w:tc>
          <w:tcPr>
            <w:tcW w:w="160" w:type="dxa"/>
            <w:vAlign w:val="bottom"/>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285,713</w:t>
            </w:r>
          </w:p>
        </w:tc>
        <w:tc>
          <w:tcPr>
            <w:tcW w:w="0" w:type="dxa"/>
            <w:vAlign w:val="bottom"/>
          </w:tcPr>
          <w:p>
            <w:pPr>
              <w:spacing w:after="0"/>
              <w:rPr>
                <w:sz w:val="1"/>
                <w:szCs w:val="1"/>
                <w:color w:val="auto"/>
              </w:rPr>
            </w:pPr>
          </w:p>
        </w:tc>
      </w:tr>
      <w:tr>
        <w:trPr>
          <w:trHeight w:val="143"/>
        </w:trPr>
        <w:tc>
          <w:tcPr>
            <w:tcW w:w="21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Net Income</w:t>
            </w:r>
          </w:p>
        </w:tc>
        <w:tc>
          <w:tcPr>
            <w:tcW w:w="9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2,927</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2,927</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20"/>
                <w:szCs w:val="20"/>
                <w:color w:val="auto"/>
              </w:rPr>
            </w:pPr>
            <w:r>
              <w:rPr>
                <w:rFonts w:ascii="Arial" w:cs="Arial" w:eastAsia="Arial" w:hAnsi="Arial"/>
                <w:sz w:val="14"/>
                <w:szCs w:val="14"/>
                <w:color w:val="auto"/>
              </w:rPr>
              <w:t>Amazon Warrants</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56"/>
        </w:trPr>
        <w:tc>
          <w:tcPr>
            <w:tcW w:w="2160" w:type="dxa"/>
            <w:vAlign w:val="bottom"/>
          </w:tcPr>
          <w:p>
            <w:pPr>
              <w:spacing w:after="0" w:line="155" w:lineRule="exact"/>
              <w:rPr>
                <w:sz w:val="20"/>
                <w:szCs w:val="20"/>
                <w:color w:val="auto"/>
              </w:rPr>
            </w:pPr>
            <w:r>
              <w:rPr>
                <w:rFonts w:ascii="Arial" w:cs="Arial" w:eastAsia="Arial" w:hAnsi="Arial"/>
                <w:sz w:val="14"/>
                <w:szCs w:val="14"/>
                <w:color w:val="auto"/>
              </w:rPr>
              <w:t>September 30, 2020</w:t>
            </w:r>
          </w:p>
        </w:tc>
        <w:tc>
          <w:tcPr>
            <w:tcW w:w="10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46,805,950</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468</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(3,500)</w:t>
            </w: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246,735</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$ 46,366</w:t>
            </w:r>
          </w:p>
        </w:tc>
        <w:tc>
          <w:tcPr>
            <w:tcW w:w="16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290,069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0"/>
          </w:tcPr>
          <w:p>
            <w:pPr>
              <w:jc w:val="right"/>
              <w:ind w:right="568"/>
              <w:spacing w:after="0"/>
              <w:rPr>
                <w:sz w:val="20"/>
                <w:szCs w:val="20"/>
                <w:color w:val="auto"/>
              </w:rPr>
            </w:pPr>
            <w:r>
              <w:rPr>
                <w:rFonts w:ascii="Arial" w:cs="Arial" w:eastAsia="Arial" w:hAnsi="Arial"/>
                <w:sz w:val="14"/>
                <w:szCs w:val="14"/>
                <w:b w:val="1"/>
                <w:bCs w:val="1"/>
                <w:color w:val="auto"/>
              </w:rPr>
              <w:t>Nine Months Ended September 30, 2021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2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5"/>
        </w:trPr>
        <w:tc>
          <w:tcPr>
            <w:tcW w:w="294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Loans to</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5"/>
        </w:trPr>
        <w:tc>
          <w:tcPr>
            <w:tcW w:w="294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Stockholders</w:t>
            </w:r>
          </w:p>
        </w:tc>
        <w:tc>
          <w:tcPr>
            <w:tcW w:w="1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Paid-in Capital</w:t>
            </w: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9"/>
              </w:rPr>
              <w:t>(Deficit)</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2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December 31, 2020</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46,839,659</w:t>
            </w:r>
          </w:p>
        </w:tc>
        <w:tc>
          <w:tcPr>
            <w:tcW w:w="2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468</w:t>
            </w:r>
          </w:p>
        </w:tc>
        <w:tc>
          <w:tcPr>
            <w:tcW w:w="2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(3,500)</w:t>
            </w:r>
          </w:p>
        </w:tc>
        <w:tc>
          <w:tcPr>
            <w:tcW w:w="26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248,525</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38,324</w:t>
            </w:r>
          </w:p>
        </w:tc>
        <w:tc>
          <w:tcPr>
            <w:tcW w:w="3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283,817</w:t>
            </w: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color w:val="auto"/>
              </w:rPr>
              <w:t>Shares Surrendered by Stockholders</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(140,737)</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3,500</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(3,499)</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10,454,545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224,552</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224,657</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12,416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12,416</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Income Tax Receivable Agreement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Amazon Warrants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r>
      <w:tr>
        <w:trPr>
          <w:trHeight w:val="195"/>
        </w:trPr>
        <w:tc>
          <w:tcPr>
            <w:tcW w:w="2940" w:type="dxa"/>
            <w:vAlign w:val="bottom"/>
          </w:tcPr>
          <w:p>
            <w:pPr>
              <w:spacing w:after="0" w:line="155" w:lineRule="exact"/>
              <w:rPr>
                <w:sz w:val="20"/>
                <w:szCs w:val="20"/>
                <w:color w:val="auto"/>
              </w:rPr>
            </w:pPr>
            <w:r>
              <w:rPr>
                <w:rFonts w:ascii="Arial" w:cs="Arial" w:eastAsia="Arial" w:hAnsi="Arial"/>
                <w:sz w:val="14"/>
                <w:szCs w:val="14"/>
                <w:color w:val="auto"/>
              </w:rPr>
              <w:t>March 31, 2021</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57,153,467</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572</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473,848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(64,460)</w:t>
            </w:r>
          </w:p>
        </w:tc>
        <w:tc>
          <w:tcPr>
            <w:tcW w:w="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409,960</w:t>
            </w:r>
          </w:p>
        </w:tc>
      </w:tr>
      <w:tr>
        <w:trPr>
          <w:trHeight w:val="143"/>
        </w:trPr>
        <w:tc>
          <w:tcPr>
            <w:tcW w:w="29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Initial Public Offering Expense Adjustment</w:t>
            </w:r>
          </w:p>
        </w:tc>
        <w:tc>
          <w:tcPr>
            <w:tcW w:w="8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349</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349</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20" w:type="dxa"/>
            <w:vAlign w:val="bottom"/>
          </w:tcPr>
          <w:p>
            <w:pPr>
              <w:jc w:val="right"/>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51,753</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Amazon Warrants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1,400</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1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r>
      <w:tr>
        <w:trPr>
          <w:trHeight w:val="196"/>
        </w:trPr>
        <w:tc>
          <w:tcPr>
            <w:tcW w:w="2940" w:type="dxa"/>
            <w:vAlign w:val="bottom"/>
          </w:tcPr>
          <w:p>
            <w:pPr>
              <w:spacing w:after="0" w:line="155" w:lineRule="exact"/>
              <w:rPr>
                <w:sz w:val="20"/>
                <w:szCs w:val="20"/>
                <w:color w:val="auto"/>
              </w:rPr>
            </w:pPr>
            <w:r>
              <w:rPr>
                <w:rFonts w:ascii="Arial" w:cs="Arial" w:eastAsia="Arial" w:hAnsi="Arial"/>
                <w:sz w:val="14"/>
                <w:szCs w:val="14"/>
                <w:color w:val="auto"/>
              </w:rPr>
              <w:t>June 30, 2021</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57,158,467</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572</w:t>
            </w:r>
          </w:p>
        </w:tc>
        <w:tc>
          <w:tcPr>
            <w:tcW w:w="2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476,368</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(12,707)</w:t>
            </w:r>
          </w:p>
        </w:tc>
        <w:tc>
          <w:tcPr>
            <w:tcW w:w="3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464,233</w:t>
            </w:r>
          </w:p>
        </w:tc>
      </w:tr>
      <w:tr>
        <w:trPr>
          <w:trHeight w:val="142"/>
        </w:trPr>
        <w:tc>
          <w:tcPr>
            <w:tcW w:w="29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Exercise of Stock Options</w:t>
            </w:r>
          </w:p>
        </w:tc>
        <w:tc>
          <w:tcPr>
            <w:tcW w:w="8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393,274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2,376</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2,380</w:t>
            </w: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13,903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13,903</w:t>
            </w:r>
          </w:p>
        </w:tc>
      </w:tr>
      <w:tr>
        <w:trPr>
          <w:trHeight w:val="162"/>
        </w:trPr>
        <w:tc>
          <w:tcPr>
            <w:tcW w:w="2940" w:type="dxa"/>
            <w:vAlign w:val="bottom"/>
            <w:shd w:val="clear" w:color="auto" w:fill="CCEEFF"/>
          </w:tcPr>
          <w:p>
            <w:pPr>
              <w:spacing w:after="0"/>
              <w:rPr>
                <w:sz w:val="20"/>
                <w:szCs w:val="20"/>
                <w:color w:val="auto"/>
              </w:rPr>
            </w:pPr>
            <w:r>
              <w:rPr>
                <w:rFonts w:ascii="Arial" w:cs="Arial" w:eastAsia="Arial" w:hAnsi="Arial"/>
                <w:sz w:val="14"/>
                <w:szCs w:val="14"/>
                <w:color w:val="auto"/>
              </w:rPr>
              <w:t>Amazon Warrants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r>
      <w:tr>
        <w:trPr>
          <w:trHeight w:val="162"/>
        </w:trPr>
        <w:tc>
          <w:tcPr>
            <w:tcW w:w="29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w:t>
            </w:r>
          </w:p>
        </w:tc>
      </w:tr>
      <w:tr>
        <w:trPr>
          <w:trHeight w:val="155"/>
        </w:trPr>
        <w:tc>
          <w:tcPr>
            <w:tcW w:w="29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September 30, 2021</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57,551,741</w:t>
            </w:r>
          </w:p>
        </w:tc>
        <w:tc>
          <w:tcPr>
            <w:tcW w:w="2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576</w:t>
            </w:r>
          </w:p>
        </w:tc>
        <w:tc>
          <w:tcPr>
            <w:tcW w:w="2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481,108</w:t>
            </w:r>
          </w:p>
        </w:tc>
        <w:tc>
          <w:tcPr>
            <w:tcW w:w="2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1,196</w:t>
            </w:r>
          </w:p>
        </w:tc>
        <w:tc>
          <w:tcPr>
            <w:tcW w:w="30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482,880</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(Dollars in thousands)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23495</wp:posOffset>
            </wp:positionV>
            <wp:extent cx="56578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8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37"/>
              <w:spacing w:after="0" w:line="115" w:lineRule="exact"/>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57"/>
              <w:spacing w:after="0" w:line="115"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78,072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40,103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Tax Receivable Agreement Adjustment</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(19,800)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Reduction in Operating Lease Right-of-use Assets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12,920</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Non-Cash (Gain) Loss on Asset Transactions, net</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(12,666)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Unrealized (Gain) Loss on Fuel Derivatives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(3,527)</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Amortization of Over-market Liabilities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(4,159)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17,068</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Amazon Warrants Vested</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4,200</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4,577</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Amortization of Debt Issuance Costs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2,187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1,625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Changes in Operating Assets and Liabilities: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Inventory</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(456)</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Prepaid Expenses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Lessor Maintenance Deposits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(5,464)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(8,293)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Aircraft Lease Deposits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2,297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(4,396)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2,257</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Accrued Transportation Taxes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2,999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(10,527)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Air Traffic Liabilities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3,972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Loyalty Program Liabilities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(1,759)</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Reduction in Operating Lease Obligations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(19,983)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Other Liabilities</w:t>
            </w:r>
          </w:p>
        </w:tc>
        <w:tc>
          <w:tcPr>
            <w:tcW w:w="1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8,514</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Provided by Operating Activities</w:t>
            </w:r>
          </w:p>
        </w:tc>
        <w:tc>
          <w:tcPr>
            <w:tcW w:w="1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109,395</w:t>
            </w: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3,553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Purchases of Property &amp; Equipment</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(111,053)</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(94,307)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Purchase of Investments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Proceeds from the Sale of Investments</w:t>
            </w:r>
          </w:p>
        </w:tc>
        <w:tc>
          <w:tcPr>
            <w:tcW w:w="1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1,062</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1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(111,427)</w:t>
            </w: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(94,211)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Cash Received from Stock Offering</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235,894</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Costs of Stock Offering</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(8,706)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Proceeds from Stock Option and Warrant Exercises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2,407</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Proceeds from Borrowings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80,500</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220,307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200"/>
              <w:spacing w:after="0" w:line="135" w:lineRule="exact"/>
              <w:rPr>
                <w:sz w:val="20"/>
                <w:szCs w:val="20"/>
                <w:color w:val="auto"/>
              </w:rPr>
            </w:pPr>
            <w:r>
              <w:rPr>
                <w:rFonts w:ascii="Arial" w:cs="Arial" w:eastAsia="Arial" w:hAnsi="Arial"/>
                <w:sz w:val="13"/>
                <w:szCs w:val="13"/>
                <w:color w:val="auto"/>
              </w:rPr>
              <w:t>Repayment of Finance Lease Obligations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(9,113)</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(84,742)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Repayment of Borrowings</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(75,728)</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Debt Issuance Costs</w:t>
            </w:r>
          </w:p>
        </w:tc>
        <w:tc>
          <w:tcPr>
            <w:tcW w:w="1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(2,560)</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(3,279)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1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222,694</w:t>
            </w: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76,713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220,662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(13,945)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70,363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64,478</w:t>
            </w:r>
          </w:p>
        </w:tc>
        <w:tc>
          <w:tcPr>
            <w:tcW w:w="0" w:type="dxa"/>
            <w:vAlign w:val="bottom"/>
          </w:tcPr>
          <w:p>
            <w:pPr>
              <w:spacing w:after="0"/>
              <w:rPr>
                <w:sz w:val="1"/>
                <w:szCs w:val="1"/>
                <w:color w:val="auto"/>
              </w:rPr>
            </w:pPr>
          </w:p>
        </w:tc>
      </w:tr>
      <w:tr>
        <w:trPr>
          <w:trHeight w:val="95"/>
        </w:trPr>
        <w:tc>
          <w:tcPr>
            <w:tcW w:w="550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Cash Equivalents and Restricted Cash--End of the Period</w:t>
            </w:r>
          </w:p>
        </w:tc>
        <w:tc>
          <w:tcPr>
            <w:tcW w:w="1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291,025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information:</w:t>
            </w: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Arial" w:cs="Arial" w:eastAsia="Arial" w:hAnsi="Arial"/>
                <w:sz w:val="13"/>
                <w:szCs w:val="13"/>
                <w:color w:val="auto"/>
              </w:rPr>
              <w:t>Cash Payments for Interest</w:t>
            </w:r>
          </w:p>
        </w:tc>
        <w:tc>
          <w:tcPr>
            <w:tcW w:w="12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14,521</w:t>
            </w:r>
          </w:p>
        </w:tc>
        <w:tc>
          <w:tcPr>
            <w:tcW w:w="42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12,027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Cash Payments for Income Taxes, net</w:t>
            </w:r>
          </w:p>
        </w:tc>
        <w:tc>
          <w:tcPr>
            <w:tcW w:w="12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42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spacing w:after="0" w:line="135" w:lineRule="exact"/>
              <w:rPr>
                <w:sz w:val="20"/>
                <w:szCs w:val="20"/>
                <w:color w:val="auto"/>
              </w:rPr>
            </w:pPr>
            <w:r>
              <w:rPr>
                <w:rFonts w:ascii="Arial" w:cs="Arial" w:eastAsia="Arial" w:hAnsi="Arial"/>
                <w:sz w:val="13"/>
                <w:szCs w:val="13"/>
                <w:b w:val="1"/>
                <w:bCs w:val="1"/>
                <w:color w:val="auto"/>
              </w:rPr>
              <w:t>Non-cash transactions:</w:t>
            </w: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Lease Deposits Applied Against the Purchase of Aircraft</w:t>
            </w:r>
          </w:p>
        </w:tc>
        <w:tc>
          <w:tcPr>
            <w:tcW w:w="12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3,296</w:t>
            </w:r>
          </w:p>
        </w:tc>
        <w:tc>
          <w:tcPr>
            <w:tcW w:w="42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tcPr>
          <w:p>
            <w:pPr>
              <w:ind w:left="80"/>
              <w:spacing w:after="0" w:line="135" w:lineRule="exact"/>
              <w:rPr>
                <w:sz w:val="20"/>
                <w:szCs w:val="20"/>
                <w:color w:val="auto"/>
              </w:rPr>
            </w:pPr>
            <w:r>
              <w:rPr>
                <w:rFonts w:ascii="Arial" w:cs="Arial" w:eastAsia="Arial" w:hAnsi="Arial"/>
                <w:sz w:val="13"/>
                <w:szCs w:val="13"/>
                <w:color w:val="auto"/>
              </w:rPr>
              <w:t>Aircraft and Flight Equipment Acquired through Finance Leases</w:t>
            </w:r>
          </w:p>
        </w:tc>
        <w:tc>
          <w:tcPr>
            <w:tcW w:w="126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71,856</w:t>
            </w:r>
          </w:p>
        </w:tc>
        <w:tc>
          <w:tcPr>
            <w:tcW w:w="42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Purchases of Property &amp; Equipment in Accounts Payable</w:t>
            </w:r>
          </w:p>
        </w:tc>
        <w:tc>
          <w:tcPr>
            <w:tcW w:w="126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648</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right="439"/>
        <w:spacing w:after="0" w:line="218" w:lineRule="auto"/>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-168275</wp:posOffset>
            </wp:positionV>
            <wp:extent cx="56489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26"/>
        </w:trPr>
        <w:tc>
          <w:tcPr>
            <w:tcW w:w="662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9"/>
              </w:rPr>
              <w:t>September 30, 2021</w:t>
            </w:r>
          </w:p>
        </w:tc>
        <w:tc>
          <w:tcPr>
            <w:tcW w:w="18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9"/>
              </w:rPr>
              <w:t>September 30, 2020</w:t>
            </w:r>
          </w:p>
        </w:tc>
      </w:tr>
      <w:tr>
        <w:trPr>
          <w:trHeight w:val="128"/>
        </w:trPr>
        <w:tc>
          <w:tcPr>
            <w:tcW w:w="66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275,332</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7"/>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44,288</w:t>
            </w:r>
          </w:p>
        </w:tc>
      </w:tr>
      <w:tr>
        <w:trPr>
          <w:trHeight w:val="135"/>
        </w:trPr>
        <w:tc>
          <w:tcPr>
            <w:tcW w:w="662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Restricted Cash</w:t>
            </w: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15,693</w:t>
            </w:r>
          </w:p>
        </w:tc>
        <w:tc>
          <w:tcPr>
            <w:tcW w:w="1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6,245</w:t>
            </w:r>
          </w:p>
        </w:tc>
      </w:tr>
      <w:tr>
        <w:trPr>
          <w:trHeight w:val="128"/>
        </w:trPr>
        <w:tc>
          <w:tcPr>
            <w:tcW w:w="662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3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291,025</w:t>
            </w:r>
          </w:p>
        </w:tc>
        <w:tc>
          <w:tcPr>
            <w:tcW w:w="1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50,533</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78" w:lineRule="exact"/>
        <w:rPr>
          <w:sz w:val="20"/>
          <w:szCs w:val="20"/>
          <w:color w:val="auto"/>
        </w:rPr>
      </w:pPr>
    </w:p>
    <w:p>
      <w:pPr>
        <w:ind w:left="380" w:hanging="330"/>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8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Split</w:t>
      </w:r>
    </w:p>
    <w:p>
      <w:pPr>
        <w:spacing w:after="0" w:line="233"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8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Approval of the Omnibus Incentive Plan</w:t>
      </w:r>
    </w:p>
    <w:p>
      <w:pPr>
        <w:spacing w:after="0" w:line="233"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Restricted Stock Unit, Other Stock-Based Award, or Other Cash-Based Award granted under the Plan.</w:t>
      </w:r>
    </w:p>
    <w:p>
      <w:pPr>
        <w:spacing w:after="0" w:line="202" w:lineRule="exact"/>
        <w:rPr>
          <w:rFonts w:ascii="Arial" w:cs="Arial" w:eastAsia="Arial" w:hAnsi="Arial"/>
          <w:sz w:val="18"/>
          <w:szCs w:val="18"/>
          <w:b w:val="1"/>
          <w:bCs w:val="1"/>
          <w:color w:val="auto"/>
        </w:rPr>
      </w:pPr>
    </w:p>
    <w:p>
      <w:pPr>
        <w:ind w:left="380" w:right="5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Upon implementation of this new Plan, there were no more grants under the October 2018 equity incentive plan. Awards already issued under the 2018 plan are not impacted by the new Plan.</w:t>
      </w:r>
    </w:p>
    <w:p>
      <w:pPr>
        <w:spacing w:after="0" w:line="174"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of Common Stock and Other Stock Sales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$225,006 after deducting underwriting discounts and commissions, and other offering expenses.</w:t>
      </w:r>
    </w:p>
    <w:p>
      <w:pPr>
        <w:spacing w:after="0" w:line="204" w:lineRule="exact"/>
        <w:rPr>
          <w:rFonts w:ascii="Arial" w:cs="Arial" w:eastAsia="Arial" w:hAnsi="Arial"/>
          <w:sz w:val="18"/>
          <w:szCs w:val="18"/>
          <w:b w:val="1"/>
          <w:bCs w:val="1"/>
          <w:color w:val="auto"/>
        </w:rPr>
      </w:pPr>
    </w:p>
    <w:p>
      <w:pPr>
        <w:jc w:val="both"/>
        <w:ind w:left="380" w:right="7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4460" w:hanging="116"/>
        <w:spacing w:after="0"/>
        <w:tabs>
          <w:tab w:leader="none" w:pos="4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aggregate purchase price of $50,000 and a price per share equal to 94% of the initial public offering price of $24.00 per share.</w:t>
      </w:r>
    </w:p>
    <w:p>
      <w:pPr>
        <w:spacing w:after="0" w:line="197"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In May 2021, the Apollo Stockholder sold 7,250,000 shares of the Company’s common stock at a public offering price of $34.50 per share. The underwriters in this offering exercised their option to purchase an additional 1,087,500 shares at the public offering price, bringing the total offering to 8,337,500 shares. The Company incurred offering expenses of $640 and did not receive any of the proceeds from the offering. All proceeds went to the Apollo Stockholder.</w:t>
      </w:r>
    </w:p>
    <w:p>
      <w:pPr>
        <w:spacing w:after="0" w:line="202"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In October 2021, the Apollo Stockholder and Jude Bricker, the Company’s Chief Executive Officer (together, the “Selling Stockholders”), sold a total of 8,500,000 shares of the Company’s common stock at a public offering price of $32.50 per share. In addition, the Selling Stockholders and another existing stockholder of the Company granted the underwriters a 30-day option to purchase up to 1,275,000 additional shares of the Company’s common stock at the public offering price, less underwriting discounts and commissions. The Company incurred offering expenses of $641, through September 30, 2021, and did not receive any of the proceeds from the offering. All proceeds went to the Selling Stockholders.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Amazon Agreement</w:t>
      </w:r>
    </w:p>
    <w:p>
      <w:pPr>
        <w:spacing w:after="0" w:line="234"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number of aircraft Sun Country operates from 10 to 12.</w:t>
      </w:r>
    </w:p>
    <w:p>
      <w:pPr>
        <w:spacing w:after="0" w:line="203"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and nine months ended September 30, 2021, 189,652 and 568,956 warrants vested, respectively. The cumulative warrants vested as of September 30, 2021 were 1,454,008. During the three and nine months ended September 30, 2020, 126,435 warrants vested.</w:t>
      </w:r>
    </w:p>
    <w:p>
      <w:pPr>
        <w:spacing w:after="0" w:line="172"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3"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nine months ended September 30, 2021, there were no significant changes to the Company’s critical accounting policies.</w:t>
      </w:r>
    </w:p>
    <w:p>
      <w:pPr>
        <w:spacing w:after="0" w:line="202" w:lineRule="exact"/>
        <w:rPr>
          <w:rFonts w:ascii="Arial" w:cs="Arial" w:eastAsia="Arial" w:hAnsi="Arial"/>
          <w:sz w:val="18"/>
          <w:szCs w:val="18"/>
          <w:b w:val="1"/>
          <w:bCs w:val="1"/>
          <w:color w:val="auto"/>
        </w:rPr>
      </w:pPr>
    </w:p>
    <w:p>
      <w:pPr>
        <w:ind w:left="380" w:right="7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Certain prior period Stockholders’ Equity amounts were reclassified to conform to the current period presentation. This involved reducing the Common Stock values to $0.01 times the shares outstanding and</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4460" w:hanging="116"/>
        <w:spacing w:after="0"/>
        <w:tabs>
          <w:tab w:leader="none" w:pos="4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reclassifying those dollars to Additional Paid-In Capital. These reclasses were $238,694 as of the end of each quarter in fiscal year 2020. The reclass as of December 31, 2019 was $239,073.</w:t>
      </w:r>
    </w:p>
    <w:p>
      <w:pPr>
        <w:spacing w:after="0" w:line="197"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205"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Due to severe impacts from the global coronavirus (“COVID-19”) pandemic, seasonal variations in the demand for air travel, the volatility of aircraft fuel prices and other factors, operating results for the three and nine months ended September 30, 2021 are not necessarily indicative of operating results for future quarters or for the year ending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1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Simplifying the Accounting for Income Taxes </w:t>
      </w:r>
      <w:r>
        <w:rPr>
          <w:rFonts w:ascii="Arial" w:cs="Arial" w:eastAsia="Arial" w:hAnsi="Arial"/>
          <w:sz w:val="18"/>
          <w:szCs w:val="18"/>
          <w:color w:val="auto"/>
        </w:rPr>
        <w:t>- In December 2019, the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171"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33" w:lineRule="exact"/>
        <w:rPr>
          <w:rFonts w:ascii="Arial" w:cs="Arial" w:eastAsia="Arial" w:hAnsi="Arial"/>
          <w:sz w:val="18"/>
          <w:szCs w:val="18"/>
          <w:b w:val="1"/>
          <w:bCs w:val="1"/>
          <w:color w:val="auto"/>
        </w:rPr>
      </w:pPr>
    </w:p>
    <w:p>
      <w:pPr>
        <w:jc w:val="both"/>
        <w:ind w:left="380" w:right="59"/>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On March 11, 2020 the World Health Organization declared COVID-19 a global pandemic causing a massive market disruption to the aviation industry. While U.S. domestic passenger volumes have increased to date, those levels are still down when compared to the same time frame in 2019. The growth in the U.S. domestic air traffic since the trough in April 2020 has been led by leisure and visiting family and relatives (“VFR”) travelers as business travel remains more subdued with corporate workforces continuing to “work-from-home” and in-person meetings continuing to be conducted via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U.S. according to the Centers for Disease Control and Prevention (“the CDC”).</w:t>
      </w: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4400" w:hanging="106"/>
        <w:spacing w:after="0"/>
        <w:tabs>
          <w:tab w:leader="none" w:pos="4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The Company continues to see many countries impose strict international travel restrictions, mandatory quarantines and/or COVID testing upon return from international travel that replaces prior travel restrictions. The U.S. market has recovered significantly faster than most other countries as a result of widespread vaccine distribution igniting the leisure travel recovery. However, given the uncertainty regarding COVID-19 variants, including but not limited to the Delta variant, the demand recovery may be impacted in both international and domestic travel.</w:t>
      </w:r>
    </w:p>
    <w:p>
      <w:pPr>
        <w:spacing w:after="0" w:line="205"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These measures may have minimized the risk of infection while onboard and have increased customer confidence in safely returning to fly. Pre-and post-flight COVID-19 rapid testing has also been introduced as an additional tool to avoid mandatory quarantine periods for international and some domestic travel. This rapid testing, along with widely distributed vaccines, now mandated for airline workers, facilitate the recovery in air passenger traffic as travel restrictions are lifted across the globe.</w:t>
      </w:r>
    </w:p>
    <w:p>
      <w:pPr>
        <w:spacing w:after="0" w:line="207"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Since the beginning of the COVID-19 pandemic, the air cargo market has experienced solid growth both in terms of volumes and yields. While the pandemic has caused a worldwide economic recession, e-commerce has thrived due to a variety of factors. Air cargo operators have been in a unique position to meet e-commerce demands that require a high level of speed, reliability, and security.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34"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On March 27, 2020, the CARES Act was passed by the U.S. Government. The provisions in the CARES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202"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212529"/>
        </w:rPr>
        <w:t xml:space="preserve">The grant amount </w:t>
      </w:r>
      <w:r>
        <w:rPr>
          <w:rFonts w:ascii="Arial" w:cs="Arial" w:eastAsia="Arial" w:hAnsi="Arial"/>
          <w:sz w:val="18"/>
          <w:szCs w:val="18"/>
          <w:color w:val="000000"/>
        </w:rPr>
        <w:t>recognized under the CARES Act Payroll Support Program for the year ended</w:t>
      </w:r>
      <w:r>
        <w:rPr>
          <w:rFonts w:ascii="Arial" w:cs="Arial" w:eastAsia="Arial" w:hAnsi="Arial"/>
          <w:sz w:val="18"/>
          <w:szCs w:val="18"/>
          <w:color w:val="212529"/>
        </w:rPr>
        <w:t xml:space="preserve"> </w:t>
      </w:r>
      <w:r>
        <w:rPr>
          <w:rFonts w:ascii="Arial" w:cs="Arial" w:eastAsia="Arial" w:hAnsi="Arial"/>
          <w:sz w:val="18"/>
          <w:szCs w:val="18"/>
          <w:color w:val="000000"/>
        </w:rPr>
        <w:t>December 31, 2020 was $62,312 and was recorded in Special Items, net. During the first half of 2021, the Company received $37,040 from the Department of Treasury ("Treasury") under the Payroll Support Program Extension (“PSP2”). Further, in the first half of 2021, the Company received a grant of $34,547 under the American Rescue Plan Act of 2021 (“PSP3”) that was enacted on March 11, 2021, and authorizes the Treasury to provide additional assistance to passenger air carriers and contractors that received financial assistance under the CARES Act. During the three months ended September 30, 2021, no CARES Act grants were received. The grant amounts recognized in the nine months ended September 30, 2021 under the CARES Act of $71,587 were recorded in Special Items, net.</w:t>
      </w:r>
    </w:p>
    <w:p>
      <w:pPr>
        <w:spacing w:after="0" w:line="207"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In the three and nine months ended September 30, 2021, an additional $68 and $848, respectively, was recognized within Special Items, net. The $68 shown in the third quarter of 2021 relates to a true-up of the second quarter 2021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Under the CARES Act Loan Program, the Company received a $45,000 loan (the “CARES Act Loan”) from the Treasury on October 26, 2020, which was repaid in full on March 24, 2021.</w:t>
      </w:r>
    </w:p>
    <w:p>
      <w:pPr>
        <w:spacing w:after="0" w:line="197"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U.S. Department of Transportation ("DOT"), March 1, 2022; the prohibitions on share repurchases of listed securities and the payment of common stock (or equivalent) dividends until September 30, 2022; and restrictions on the payment of certain executive compensation until April 1, 2023.</w:t>
      </w:r>
    </w:p>
    <w:p>
      <w:pPr>
        <w:spacing w:after="0" w:line="172"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Vacations products.</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Scheduled service</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80,212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26,954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201,905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159,063</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Charter service</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33,809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23,264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88,511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60,983</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Ancillary</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33,697</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12,254</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86,626</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52,253</w:t>
            </w:r>
          </w:p>
        </w:tc>
      </w:tr>
      <w:tr>
        <w:trPr>
          <w:trHeight w:val="196"/>
        </w:trPr>
        <w:tc>
          <w:tcPr>
            <w:tcW w:w="3220" w:type="dxa"/>
            <w:vAlign w:val="bottom"/>
          </w:tcPr>
          <w:p>
            <w:pPr>
              <w:ind w:left="220"/>
              <w:spacing w:after="0" w:line="196" w:lineRule="exact"/>
              <w:rPr>
                <w:sz w:val="20"/>
                <w:szCs w:val="20"/>
                <w:color w:val="auto"/>
              </w:rPr>
            </w:pPr>
            <w:r>
              <w:rPr>
                <w:rFonts w:ascii="Arial" w:cs="Arial" w:eastAsia="Arial" w:hAnsi="Arial"/>
                <w:sz w:val="18"/>
                <w:szCs w:val="18"/>
                <w:color w:val="auto"/>
              </w:rPr>
              <w:t>Passenger</w:t>
            </w: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147,718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62,472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377,042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272,299</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17,491</w:t>
            </w:r>
          </w:p>
        </w:tc>
      </w:tr>
      <w:tr>
        <w:trPr>
          <w:trHeight w:val="203"/>
        </w:trPr>
        <w:tc>
          <w:tcPr>
            <w:tcW w:w="3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1,545</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1,229</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5,338</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3,889</w:t>
            </w:r>
          </w:p>
        </w:tc>
      </w:tr>
      <w:tr>
        <w:trPr>
          <w:trHeight w:val="196"/>
        </w:trPr>
        <w:tc>
          <w:tcPr>
            <w:tcW w:w="322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Revenue</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173,663</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77,973</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450,464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293,679</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97"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167,660</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75,289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429,508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270,062</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5,447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19,870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23,289</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1,086</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r>
      <w:tr>
        <w:trPr>
          <w:trHeight w:val="196"/>
        </w:trPr>
        <w:tc>
          <w:tcPr>
            <w:tcW w:w="3220" w:type="dxa"/>
            <w:vAlign w:val="bottom"/>
          </w:tcPr>
          <w:p>
            <w:pPr>
              <w:ind w:left="100"/>
              <w:spacing w:after="0" w:line="196" w:lineRule="exact"/>
              <w:rPr>
                <w:sz w:val="20"/>
                <w:szCs w:val="20"/>
                <w:color w:val="auto"/>
              </w:rPr>
            </w:pPr>
            <w:r>
              <w:rPr>
                <w:rFonts w:ascii="Arial" w:cs="Arial" w:eastAsia="Arial" w:hAnsi="Arial"/>
                <w:sz w:val="18"/>
                <w:szCs w:val="18"/>
                <w:color w:val="auto"/>
              </w:rPr>
              <w:t>Total Operating Revenue</w:t>
            </w: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173,663</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77,973</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450,464</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293,679</w:t>
            </w:r>
          </w:p>
        </w:tc>
      </w:tr>
      <w:tr>
        <w:trPr>
          <w:trHeight w:val="20"/>
        </w:trPr>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Contract Balances</w:t>
      </w:r>
    </w:p>
    <w:p>
      <w:pPr>
        <w:spacing w:after="0" w:line="234"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and nine months ended September 30, 2021 was $208 and $515, respectively, and is included in Maintenance expense. The expense for both the three and nine months ended September 30, 2020 was $101, since Sun Country commenced flying for Amazon in May 2020.</w:t>
      </w:r>
    </w:p>
    <w:p>
      <w:pPr>
        <w:spacing w:after="0" w:line="205"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Contract Assets and Liabilities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Assets</w:t>
            </w: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Costs to fulfill contract with Amazon</w:t>
            </w:r>
          </w:p>
        </w:tc>
        <w:tc>
          <w:tcPr>
            <w:tcW w:w="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2,995</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3,614</w:t>
            </w:r>
          </w:p>
        </w:tc>
        <w:tc>
          <w:tcPr>
            <w:tcW w:w="20" w:type="dxa"/>
            <w:vAlign w:val="bottom"/>
          </w:tcPr>
          <w:p>
            <w:pPr>
              <w:spacing w:after="0"/>
              <w:rPr>
                <w:sz w:val="21"/>
                <w:szCs w:val="21"/>
                <w:color w:val="auto"/>
              </w:rPr>
            </w:pP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Air Traffic Liabilities</w:t>
            </w:r>
          </w:p>
        </w:tc>
        <w:tc>
          <w:tcPr>
            <w:tcW w:w="3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105,048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101,075</w:t>
            </w:r>
          </w:p>
        </w:tc>
        <w:tc>
          <w:tcPr>
            <w:tcW w:w="20" w:type="dxa"/>
            <w:vAlign w:val="bottom"/>
          </w:tcPr>
          <w:p>
            <w:pPr>
              <w:spacing w:after="0"/>
              <w:rPr>
                <w:sz w:val="15"/>
                <w:szCs w:val="15"/>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Loyalty Program Liabilities</w:t>
            </w:r>
          </w:p>
        </w:tc>
        <w:tc>
          <w:tcPr>
            <w:tcW w:w="3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20,311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22,069</w:t>
            </w:r>
          </w:p>
        </w:tc>
        <w:tc>
          <w:tcPr>
            <w:tcW w:w="20" w:type="dxa"/>
            <w:vAlign w:val="bottom"/>
          </w:tcPr>
          <w:p>
            <w:pPr>
              <w:spacing w:after="0"/>
              <w:rPr>
                <w:sz w:val="17"/>
                <w:szCs w:val="17"/>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Amazon Deferred Up-front Payment</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5,240</w:t>
            </w:r>
          </w:p>
        </w:tc>
        <w:tc>
          <w:tcPr>
            <w:tcW w:w="20" w:type="dxa"/>
            <w:vAlign w:val="bottom"/>
          </w:tcPr>
          <w:p>
            <w:pPr>
              <w:spacing w:after="0"/>
              <w:rPr>
                <w:sz w:val="17"/>
                <w:szCs w:val="17"/>
                <w:color w:val="auto"/>
              </w:rPr>
            </w:pPr>
          </w:p>
        </w:tc>
      </w:tr>
      <w:tr>
        <w:trPr>
          <w:trHeight w:val="196"/>
        </w:trPr>
        <w:tc>
          <w:tcPr>
            <w:tcW w:w="5440" w:type="dxa"/>
            <w:vAlign w:val="bottom"/>
          </w:tcPr>
          <w:p>
            <w:pPr>
              <w:ind w:left="100"/>
              <w:spacing w:after="0" w:line="196" w:lineRule="exact"/>
              <w:rPr>
                <w:sz w:val="20"/>
                <w:szCs w:val="20"/>
                <w:color w:val="auto"/>
              </w:rPr>
            </w:pPr>
            <w:r>
              <w:rPr>
                <w:rFonts w:ascii="Arial" w:cs="Arial" w:eastAsia="Arial" w:hAnsi="Arial"/>
                <w:sz w:val="18"/>
                <w:szCs w:val="18"/>
                <w:color w:val="auto"/>
              </w:rPr>
              <w:t>Total Contract Liabilities</w:t>
            </w:r>
          </w:p>
        </w:tc>
        <w:tc>
          <w:tcPr>
            <w:tcW w:w="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129,821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128,384</w:t>
            </w:r>
          </w:p>
        </w:tc>
        <w:tc>
          <w:tcPr>
            <w:tcW w:w="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nine months ended September 30, 2021, $89,044 of revenue was recognized in Passenger revenue that was included in the Air Traffic Liabilities as of December 31, 2020.</w:t>
      </w:r>
    </w:p>
    <w:p>
      <w:pPr>
        <w:spacing w:after="0" w:line="202"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 This deferred up-front payment is being amortized into revenue on a pro-rata basis over the initial six years of the ATSA. For the three and nine months ended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September 30, 2021, $310 and $779 was amortized into Cargo revenue, respectively. For the three and nine months ended September 30, 2020, $146 and $184 was amortized into Cargo revenue, respectively.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Loyalty Program</w:t>
      </w:r>
    </w:p>
    <w:p>
      <w:pPr>
        <w:spacing w:after="0" w:line="234"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 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220" w:type="dxa"/>
            <w:vAlign w:val="bottom"/>
            <w:tcBorders>
              <w:bottom w:val="single" w:sz="8" w:color="CCEEFF"/>
            </w:tcBorders>
          </w:tcPr>
          <w:p>
            <w:pPr>
              <w:spacing w:after="0"/>
              <w:rPr>
                <w:sz w:val="15"/>
                <w:szCs w:val="15"/>
                <w:color w:val="auto"/>
              </w:rPr>
            </w:pPr>
          </w:p>
        </w:tc>
        <w:tc>
          <w:tcPr>
            <w:tcW w:w="4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r>
      <w:tr>
        <w:trPr>
          <w:trHeight w:val="196"/>
        </w:trPr>
        <w:tc>
          <w:tcPr>
            <w:tcW w:w="6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 January 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22,069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22,892</w:t>
            </w: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Loyalty Points Earned</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3,124</w:t>
            </w:r>
          </w:p>
        </w:tc>
      </w:tr>
      <w:tr>
        <w:trPr>
          <w:trHeight w:val="203"/>
        </w:trPr>
        <w:tc>
          <w:tcPr>
            <w:tcW w:w="63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Loyalty Points Redeemed</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(4,816)</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(3,892)</w:t>
            </w:r>
          </w:p>
        </w:tc>
      </w:tr>
      <w:tr>
        <w:trPr>
          <w:trHeight w:val="196"/>
        </w:trPr>
        <w:tc>
          <w:tcPr>
            <w:tcW w:w="6320" w:type="dxa"/>
            <w:vAlign w:val="bottom"/>
            <w:gridSpan w:val="2"/>
          </w:tcPr>
          <w:p>
            <w:pPr>
              <w:spacing w:after="0" w:line="196" w:lineRule="exact"/>
              <w:rPr>
                <w:sz w:val="20"/>
                <w:szCs w:val="20"/>
                <w:color w:val="auto"/>
              </w:rPr>
            </w:pPr>
            <w:r>
              <w:rPr>
                <w:rFonts w:ascii="Arial" w:cs="Arial" w:eastAsia="Arial" w:hAnsi="Arial"/>
                <w:sz w:val="18"/>
                <w:szCs w:val="18"/>
                <w:color w:val="auto"/>
              </w:rPr>
              <w:t>Balance – September 30</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20,311</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22,124</w:t>
            </w:r>
          </w:p>
        </w:tc>
      </w:tr>
      <w:tr>
        <w:trPr>
          <w:trHeight w:val="20"/>
        </w:trPr>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95"/>
        </w:trPr>
        <w:tc>
          <w:tcPr>
            <w:tcW w:w="22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83" w:lineRule="exact"/>
        <w:rPr>
          <w:sz w:val="20"/>
          <w:szCs w:val="20"/>
          <w:color w:val="auto"/>
        </w:rPr>
      </w:pPr>
    </w:p>
    <w:p>
      <w:pPr>
        <w:jc w:val="both"/>
        <w:ind w:left="720" w:right="79" w:hanging="319"/>
        <w:spacing w:after="0" w:line="220" w:lineRule="auto"/>
        <w:tabs>
          <w:tab w:leader="none" w:pos="720"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color w:val="auto"/>
        </w:rPr>
        <w:t>Principally relates to revenue recognized from the redemption of loyalty points for both air and non-air travel awards. 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21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 xml:space="preserve">The timing of loyalty point redemptions can vary significantly, however most new points, that are not left to expire, are redeemed within two years. </w:t>
      </w:r>
      <w:r>
        <w:rPr>
          <w:rFonts w:ascii="Arial" w:cs="Arial" w:eastAsia="Arial" w:hAnsi="Arial"/>
          <w:sz w:val="18"/>
          <w:szCs w:val="18"/>
          <w:color w:val="212529"/>
        </w:rPr>
        <w:t>Given the inherent uncertainty of the current operating environment</w:t>
      </w:r>
      <w:r>
        <w:rPr>
          <w:rFonts w:ascii="Arial" w:cs="Arial" w:eastAsia="Arial" w:hAnsi="Arial"/>
          <w:sz w:val="18"/>
          <w:szCs w:val="18"/>
          <w:color w:val="auto"/>
        </w:rPr>
        <w:t xml:space="preserve"> </w:t>
      </w:r>
      <w:r>
        <w:rPr>
          <w:rFonts w:ascii="Arial" w:cs="Arial" w:eastAsia="Arial" w:hAnsi="Arial"/>
          <w:sz w:val="18"/>
          <w:szCs w:val="18"/>
          <w:color w:val="212529"/>
        </w:rPr>
        <w:t>due to COVID-19, the Company will continue to monitor redemption patterns and will adjust estimates in the future, which could be material.</w:t>
      </w:r>
    </w:p>
    <w:p>
      <w:pPr>
        <w:spacing w:after="0" w:line="169"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33" w:lineRule="exact"/>
        <w:rPr>
          <w:rFonts w:ascii="Arial" w:cs="Arial" w:eastAsia="Arial" w:hAnsi="Arial"/>
          <w:sz w:val="18"/>
          <w:szCs w:val="18"/>
          <w:b w:val="1"/>
          <w:bCs w:val="1"/>
          <w:color w:val="auto"/>
        </w:rPr>
      </w:pPr>
    </w:p>
    <w:p>
      <w:pPr>
        <w:ind w:left="380" w:right="79"/>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Basic earnings per share, which excludes dilution, is computed by dividing Net Income available to common stockholders by the weighted average number of shares of common stock outstanding for the period.</w:t>
      </w:r>
    </w:p>
    <w:p>
      <w:pPr>
        <w:spacing w:after="0" w:line="174"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4400" w:hanging="106"/>
        <w:spacing w:after="0"/>
        <w:tabs>
          <w:tab w:leader="none" w:pos="4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25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2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32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Numerator:</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13,903</w:t>
            </w:r>
          </w:p>
        </w:tc>
        <w:tc>
          <w:tcPr>
            <w:tcW w:w="22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2,927</w:t>
            </w:r>
          </w:p>
        </w:tc>
        <w:tc>
          <w:tcPr>
            <w:tcW w:w="16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78,072</w:t>
            </w:r>
          </w:p>
        </w:tc>
        <w:tc>
          <w:tcPr>
            <w:tcW w:w="2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4,138</w:t>
            </w:r>
          </w:p>
        </w:tc>
      </w:tr>
      <w:tr>
        <w:trPr>
          <w:trHeight w:val="162"/>
        </w:trPr>
        <w:tc>
          <w:tcPr>
            <w:tcW w:w="3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Denominator:</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7"/>
        </w:trPr>
        <w:tc>
          <w:tcPr>
            <w:tcW w:w="32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 Basic</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57,355,104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46,805,950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54,368,231</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46,805,950</w:t>
            </w:r>
          </w:p>
        </w:tc>
      </w:tr>
      <w:tr>
        <w:trPr>
          <w:trHeight w:val="145"/>
        </w:trPr>
        <w:tc>
          <w:tcPr>
            <w:tcW w:w="3280" w:type="dxa"/>
            <w:vAlign w:val="bottom"/>
          </w:tcPr>
          <w:p>
            <w:pPr>
              <w:spacing w:after="0" w:line="145" w:lineRule="exact"/>
              <w:rPr>
                <w:sz w:val="20"/>
                <w:szCs w:val="20"/>
                <w:color w:val="auto"/>
              </w:rPr>
            </w:pPr>
            <w:r>
              <w:rPr>
                <w:rFonts w:ascii="Arial" w:cs="Arial" w:eastAsia="Arial" w:hAnsi="Arial"/>
                <w:sz w:val="14"/>
                <w:szCs w:val="14"/>
                <w:color w:val="auto"/>
              </w:rPr>
              <w:t>Dilutive effect of Stock Options, RSUs and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9"/>
        </w:trPr>
        <w:tc>
          <w:tcPr>
            <w:tcW w:w="3280" w:type="dxa"/>
            <w:vAlign w:val="bottom"/>
            <w:tcBorders>
              <w:bottom w:val="single" w:sz="8" w:color="CCEEFF"/>
            </w:tcBorders>
          </w:tcPr>
          <w:p>
            <w:pPr>
              <w:spacing w:after="0" w:line="179" w:lineRule="exact"/>
              <w:rPr>
                <w:sz w:val="20"/>
                <w:szCs w:val="20"/>
                <w:color w:val="auto"/>
              </w:rPr>
            </w:pPr>
            <w:r>
              <w:rPr>
                <w:rFonts w:ascii="Arial" w:cs="Arial" w:eastAsia="Arial" w:hAnsi="Arial"/>
                <w:sz w:val="14"/>
                <w:szCs w:val="14"/>
                <w:color w:val="auto"/>
              </w:rPr>
              <w:t xml:space="preserve">Warrants </w:t>
            </w:r>
            <w:r>
              <w:rPr>
                <w:rFonts w:ascii="Arial" w:cs="Arial" w:eastAsia="Arial" w:hAnsi="Arial"/>
                <w:sz w:val="20"/>
                <w:szCs w:val="20"/>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4,357,274</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1,544,993</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4,331,760</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1,544,993</w:t>
            </w:r>
          </w:p>
        </w:tc>
      </w:tr>
      <w:tr>
        <w:trPr>
          <w:trHeight w:val="147"/>
        </w:trPr>
        <w:tc>
          <w:tcPr>
            <w:tcW w:w="32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Weighted Average Common Shares Outstanding</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57"/>
        </w:trPr>
        <w:tc>
          <w:tcPr>
            <w:tcW w:w="32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 Diluted</w:t>
            </w: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61,712,378</w:t>
            </w:r>
          </w:p>
        </w:tc>
        <w:tc>
          <w:tcPr>
            <w:tcW w:w="22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48,350,943</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58,699,991</w:t>
            </w:r>
          </w:p>
        </w:tc>
        <w:tc>
          <w:tcPr>
            <w:tcW w:w="2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48,350,943</w:t>
            </w:r>
          </w:p>
        </w:tc>
      </w:tr>
      <w:tr>
        <w:trPr>
          <w:trHeight w:val="156"/>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Basic earnings per share</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r>
      <w:tr>
        <w:trPr>
          <w:trHeight w:val="177"/>
        </w:trPr>
        <w:tc>
          <w:tcPr>
            <w:tcW w:w="328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0.23</w:t>
            </w:r>
          </w:p>
        </w:tc>
        <w:tc>
          <w:tcPr>
            <w:tcW w:w="2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2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59055</wp:posOffset>
            </wp:positionV>
            <wp:extent cx="141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6" w:lineRule="exact"/>
        <w:rPr>
          <w:sz w:val="20"/>
          <w:szCs w:val="20"/>
          <w:color w:val="auto"/>
        </w:rPr>
      </w:pPr>
    </w:p>
    <w:p>
      <w:pPr>
        <w:jc w:val="both"/>
        <w:ind w:left="720" w:right="79" w:hanging="319"/>
        <w:spacing w:after="0" w:line="208" w:lineRule="auto"/>
        <w:tabs>
          <w:tab w:leader="none" w:pos="720" w:val="left"/>
        </w:tabs>
        <w:numPr>
          <w:ilvl w:val="0"/>
          <w:numId w:val="9"/>
        </w:numPr>
        <w:rPr>
          <w:rFonts w:ascii="Arial" w:cs="Arial" w:eastAsia="Arial" w:hAnsi="Arial"/>
          <w:sz w:val="24"/>
          <w:szCs w:val="24"/>
          <w:color w:val="auto"/>
          <w:vertAlign w:val="superscript"/>
        </w:rPr>
      </w:pPr>
      <w:r>
        <w:rPr>
          <w:rFonts w:ascii="Arial" w:cs="Arial" w:eastAsia="Arial" w:hAnsi="Arial"/>
          <w:sz w:val="14"/>
          <w:szCs w:val="14"/>
          <w:color w:val="auto"/>
        </w:rPr>
        <w:t>There were 3,626,851 and 3,815,215 performance-based stock options outstanding at September 30, 2021 and 2020, respectively. As a result of the Company’s initial public offering, 75% of these options are expected to meet the performance conditions and are included in dilutive options at September 30, 2021. At September 30, 2020, these options were excluded from the calculation of diluted EPS since the performance conditions were not considered likely to be met.</w:t>
      </w:r>
    </w:p>
    <w:p>
      <w:pPr>
        <w:spacing w:after="0" w:line="201"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203"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167" w:lineRule="exact"/>
        <w:rPr>
          <w:sz w:val="20"/>
          <w:szCs w:val="20"/>
          <w:color w:val="auto"/>
        </w:rPr>
      </w:pPr>
    </w:p>
    <w:p>
      <w:pPr>
        <w:ind w:left="380" w:right="7539" w:hanging="330"/>
        <w:spacing w:after="0" w:line="527" w:lineRule="auto"/>
        <w:tabs>
          <w:tab w:leader="none" w:pos="3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AIRCRAFT Aircraft Fleet</w:t>
      </w:r>
    </w:p>
    <w:p>
      <w:pPr>
        <w:ind w:left="380" w:right="79"/>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As of September 30, 2021, Sun Country operated a fleet of 47 Boeing 737-NG aircraft, consisting of 46 Boeing 737-800s and one Boeing 737-700.</w:t>
      </w:r>
    </w:p>
    <w:p>
      <w:pPr>
        <w:spacing w:after="0" w:line="200" w:lineRule="exact"/>
        <w:rPr>
          <w:rFonts w:ascii="Arial" w:cs="Arial" w:eastAsia="Arial" w:hAnsi="Arial"/>
          <w:sz w:val="17"/>
          <w:szCs w:val="17"/>
          <w:b w:val="1"/>
          <w:bCs w:val="1"/>
          <w:color w:val="auto"/>
        </w:rPr>
      </w:pPr>
    </w:p>
    <w:p>
      <w:pPr>
        <w:spacing w:after="0" w:line="212" w:lineRule="exact"/>
        <w:rPr>
          <w:rFonts w:ascii="Arial" w:cs="Arial" w:eastAsia="Arial" w:hAnsi="Arial"/>
          <w:sz w:val="17"/>
          <w:szCs w:val="17"/>
          <w:b w:val="1"/>
          <w:bCs w:val="1"/>
          <w:color w:val="auto"/>
        </w:rPr>
      </w:pPr>
    </w:p>
    <w:p>
      <w:pPr>
        <w:ind w:left="4400" w:hanging="106"/>
        <w:spacing w:after="0"/>
        <w:tabs>
          <w:tab w:leader="none" w:pos="4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summarize  the  Company’s  aircraft  fleet  activity  for  the  nine  months  ended</w:t>
      </w:r>
    </w:p>
    <w:p>
      <w:pPr>
        <w:ind w:left="380"/>
        <w:spacing w:after="0"/>
        <w:rPr>
          <w:sz w:val="20"/>
          <w:szCs w:val="20"/>
          <w:color w:val="auto"/>
        </w:rPr>
      </w:pPr>
      <w:r>
        <w:rPr>
          <w:rFonts w:ascii="Arial" w:cs="Arial" w:eastAsia="Arial" w:hAnsi="Arial"/>
          <w:sz w:val="18"/>
          <w:szCs w:val="18"/>
          <w:color w:val="auto"/>
        </w:rPr>
        <w:t>September 30, 2021 and 2020, respectively:</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Removals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 2021</w:t>
            </w: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Passenger:</w:t>
            </w: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Owned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196"/>
        </w:trPr>
        <w:tc>
          <w:tcPr>
            <w:tcW w:w="3740" w:type="dxa"/>
            <w:vAlign w:val="bottom"/>
            <w:tcBorders>
              <w:top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Sun Country Airlines’ Fleet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color w:val="auto"/>
              </w:rPr>
              <w:t>Cargo:</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Operated for Amazon</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196"/>
        </w:trPr>
        <w:tc>
          <w:tcPr>
            <w:tcW w:w="3740" w:type="dxa"/>
            <w:vAlign w:val="bottom"/>
          </w:tcPr>
          <w:p>
            <w:pPr>
              <w:ind w:left="220"/>
              <w:spacing w:after="0" w:line="196" w:lineRule="exact"/>
              <w:rPr>
                <w:sz w:val="20"/>
                <w:szCs w:val="20"/>
                <w:color w:val="auto"/>
              </w:rPr>
            </w:pPr>
            <w:r>
              <w:rPr>
                <w:rFonts w:ascii="Arial" w:cs="Arial" w:eastAsia="Arial" w:hAnsi="Arial"/>
                <w:sz w:val="18"/>
                <w:szCs w:val="18"/>
                <w:color w:val="auto"/>
              </w:rPr>
              <w:t>Total Aircraft Operated</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Six of the aircraft purchased during the nine months ended September 30, 2021 were financed through the Delayed Draw Term Loan Facility (see Note 7). All six of these were previously under operating leases. The remaining purchased aircraft was new to the Company’s fleet. During June and July 2021, the Company obtained an additional three aircraft under finance leases.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Removals</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September 30, 2020</w:t>
            </w:r>
          </w:p>
        </w:tc>
      </w:tr>
      <w:tr>
        <w:trPr>
          <w:trHeight w:val="183"/>
        </w:trPr>
        <w:tc>
          <w:tcPr>
            <w:tcW w:w="3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Passenger:</w:t>
            </w:r>
          </w:p>
        </w:tc>
        <w:tc>
          <w:tcPr>
            <w:tcW w:w="12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Owned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Finance leases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37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Seasonal leases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740" w:type="dxa"/>
            <w:vAlign w:val="bottom"/>
          </w:tcPr>
          <w:p>
            <w:pPr>
              <w:ind w:left="220"/>
              <w:spacing w:after="0" w:line="196" w:lineRule="exact"/>
              <w:rPr>
                <w:sz w:val="20"/>
                <w:szCs w:val="20"/>
                <w:color w:val="auto"/>
              </w:rPr>
            </w:pPr>
            <w:r>
              <w:rPr>
                <w:rFonts w:ascii="Arial" w:cs="Arial" w:eastAsia="Arial" w:hAnsi="Arial"/>
                <w:sz w:val="18"/>
                <w:szCs w:val="18"/>
                <w:color w:val="auto"/>
              </w:rPr>
              <w:t>Sun Country Airlines’ Fleet</w:t>
            </w: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3"/>
        </w:trPr>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Cargo:</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3740" w:type="dxa"/>
            <w:vAlign w:val="bottom"/>
          </w:tcPr>
          <w:p>
            <w:pPr>
              <w:ind w:left="100"/>
              <w:spacing w:after="0" w:line="202" w:lineRule="exact"/>
              <w:rPr>
                <w:sz w:val="20"/>
                <w:szCs w:val="20"/>
                <w:color w:val="auto"/>
              </w:rPr>
            </w:pPr>
            <w:r>
              <w:rPr>
                <w:rFonts w:ascii="Arial" w:cs="Arial" w:eastAsia="Arial" w:hAnsi="Arial"/>
                <w:sz w:val="18"/>
                <w:szCs w:val="18"/>
                <w:color w:val="auto"/>
              </w:rPr>
              <w:t>Aircraft Operated for Amazon</w:t>
            </w:r>
          </w:p>
        </w:tc>
        <w:tc>
          <w:tcPr>
            <w:tcW w:w="1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374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Aircraft Operated</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The nine passenger aircraft purchased during the nine months ended September 30, 2020 were financed through equipment trust certificates (see Note 7). Two of these aircraft were previously under operating leases, five were previously under finance leases, and the other two aircraft were new to the Company’s fleet.</w:t>
      </w:r>
    </w:p>
    <w:p>
      <w:pPr>
        <w:spacing w:after="0" w:line="205"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7).</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10 cargo aircraft added through September 30, 2020 relate to the Amazon Agreement (see Note 1).</w:t>
      </w:r>
    </w:p>
    <w:p>
      <w:pPr>
        <w:spacing w:after="0" w:line="212" w:lineRule="exact"/>
        <w:rPr>
          <w:sz w:val="20"/>
          <w:szCs w:val="20"/>
          <w:color w:val="auto"/>
        </w:rPr>
      </w:pPr>
    </w:p>
    <w:p>
      <w:pPr>
        <w:jc w:val="both"/>
        <w:ind w:left="380" w:right="79"/>
        <w:spacing w:after="0" w:line="237" w:lineRule="auto"/>
        <w:rPr>
          <w:sz w:val="20"/>
          <w:szCs w:val="20"/>
          <w:color w:val="auto"/>
        </w:rPr>
      </w:pPr>
      <w:r>
        <w:rPr>
          <w:rFonts w:ascii="Arial" w:cs="Arial" w:eastAsia="Arial" w:hAnsi="Arial"/>
          <w:sz w:val="18"/>
          <w:szCs w:val="18"/>
          <w:color w:val="auto"/>
        </w:rPr>
        <w:t>During the nine months ended September 30, 2021, the Company executed lease agreements to add three incremental aircraft to its passenger fleet. The lease expiration dates range from fiscal year 2026 to fiscal year 2029 and these leases have been classified as finance leases. During the first twelve to eighteen months of the lease term, monthly lease payments are determined based on aircraft utilization, subject to limits set forth in the lease agreements. Monthly lease payments during the remainder of the lease term consist of fixed and variable amounts as set forth in the lease agreements.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4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6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3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Aircraft Status</w:t>
            </w:r>
          </w:p>
        </w:tc>
        <w:tc>
          <w:tcPr>
            <w:tcW w:w="11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Expense Type</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Owned</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Depreciation</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8,603</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7,835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25,085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17,469</w:t>
            </w:r>
          </w:p>
        </w:tc>
      </w:tr>
      <w:tr>
        <w:trPr>
          <w:trHeight w:val="203"/>
        </w:trPr>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Leased</w:t>
            </w:r>
          </w:p>
        </w:tc>
        <w:tc>
          <w:tcPr>
            <w:tcW w:w="1320" w:type="dxa"/>
            <w:vAlign w:val="bottom"/>
            <w:gridSpan w:val="3"/>
          </w:tcPr>
          <w:p>
            <w:pPr>
              <w:spacing w:after="0" w:line="202" w:lineRule="exact"/>
              <w:rPr>
                <w:sz w:val="20"/>
                <w:szCs w:val="20"/>
                <w:color w:val="auto"/>
              </w:rPr>
            </w:pPr>
            <w:r>
              <w:rPr>
                <w:rFonts w:ascii="Arial" w:cs="Arial" w:eastAsia="Arial" w:hAnsi="Arial"/>
                <w:sz w:val="18"/>
                <w:szCs w:val="18"/>
                <w:color w:val="auto"/>
              </w:rPr>
              <w:t>Amortization</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2,977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2,478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7,846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10,917</w:t>
            </w:r>
          </w:p>
        </w:tc>
      </w:tr>
      <w:tr>
        <w:trPr>
          <w:trHeight w:val="203"/>
        </w:trPr>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Leased</w:t>
            </w:r>
          </w:p>
        </w:tc>
        <w:tc>
          <w:tcPr>
            <w:tcW w:w="1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Aircraft Rent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23,376</w:t>
            </w:r>
          </w:p>
        </w:tc>
      </w:tr>
      <w:tr>
        <w:trPr>
          <w:trHeight w:val="196"/>
        </w:trPr>
        <w:tc>
          <w:tcPr>
            <w:tcW w:w="3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15,505</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16,723</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46,270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51,762</w:t>
            </w: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Condensed Consolidated Statements of Operations.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Aircraft Lease Payment Deferrals</w:t>
      </w:r>
    </w:p>
    <w:p>
      <w:pPr>
        <w:spacing w:after="0" w:line="234"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due to COVID-19 cash flow impacts. There were no amounts deferred as of September 30, 2021 since the final payments were made in the second quarter of 2021. The amount deferred as of December 31, 2020 was $7,569, consisting of $2,133 under finance leases and $5,436 under operating leases. These deferrals were classified within the current portion of the respective lease liabilities on the Condensed Consolidated Balance Sheet as of December 31, 2020.</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34"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On April 11, 2018, the Company established a deposit contra-asset to represent the Company’s obligation to perform planned maintenance events on leased aircraft held as of that date. As of September 30, 2021 and December 31, 2020, the remaining balance of the contra-asset was $22,348 and $36,729, respectively. Of the $14,381 reduction in the contra-asset during the nine months ended September 30, 2021, $12,749 related to the purchase of six aircraft previously leased, whereupon the contra-assets and related maintenance deposits were written-off concurrently to Aircraft lease buy-out expense in Special Items, net (see Note 11). For the three months ended September 30, 2021 and 2020, the Company recognized $444 and $864, respectively, of the contra-asset as a reduction to Maintenance expense on the accompanying Condensed Consolidated Statements of Operations. For the nine months ended September 30, 2021 and 2020, the Company recognized $1,295 and $1,192, respectively, of the contra-asset as a reduction to Maintenance expense.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Over-market Liabilities</w:t>
      </w:r>
    </w:p>
    <w:p>
      <w:pPr>
        <w:spacing w:after="0" w:line="234"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At the Acquisition Date, the Company acquired liabilities related to its over-market lease rates and over-market maintenance reserve payments.</w:t>
      </w:r>
    </w:p>
    <w:p>
      <w:pPr>
        <w:spacing w:after="0" w:line="197" w:lineRule="exact"/>
        <w:rPr>
          <w:sz w:val="20"/>
          <w:szCs w:val="20"/>
          <w:color w:val="auto"/>
        </w:rPr>
      </w:pPr>
    </w:p>
    <w:p>
      <w:pPr>
        <w:jc w:val="both"/>
        <w:ind w:left="380" w:right="79"/>
        <w:spacing w:after="0" w:line="234"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Upon adopting ASU 2016-02, Leases (Topic</w:t>
      </w:r>
    </w:p>
    <w:p>
      <w:pPr>
        <w:spacing w:after="0" w:line="1" w:lineRule="exact"/>
        <w:rPr>
          <w:sz w:val="20"/>
          <w:szCs w:val="20"/>
          <w:color w:val="auto"/>
        </w:rPr>
      </w:pPr>
    </w:p>
    <w:p>
      <w:pPr>
        <w:jc w:val="both"/>
        <w:ind w:left="380" w:right="59" w:hanging="6"/>
        <w:spacing w:after="0"/>
        <w:tabs>
          <w:tab w:leader="none" w:pos="8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January 1, 2019, this liability was reclassified as an offset to the Operating Lease Right-of-use Assets. The remaining unamortized balance of this contra-asset as of September 30, 2021 and December 31, 2020 was $10,904 and $16,501, respectively and is recorded within Operating Lease Right-</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4400" w:hanging="106"/>
        <w:spacing w:after="0"/>
        <w:tabs>
          <w:tab w:leader="none" w:pos="4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of-Use Assets. During the nine months ended September 30, 2021, the Company purchased six aircraft which were previously under leases with unfavorable terms, contributing to $3,765 of the decrease.</w:t>
      </w:r>
    </w:p>
    <w:p>
      <w:pPr>
        <w:spacing w:after="0" w:line="197" w:lineRule="exact"/>
        <w:rPr>
          <w:sz w:val="20"/>
          <w:szCs w:val="20"/>
          <w:color w:val="auto"/>
        </w:rPr>
      </w:pPr>
    </w:p>
    <w:p>
      <w:pPr>
        <w:jc w:val="both"/>
        <w:ind w:left="380" w:right="59"/>
        <w:spacing w:after="0" w:line="236"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September 30, 2021 and December 31, 2020 was $15,815 and $ 37,409, respectively. Of the $21,594 reduction in the over-market maintenance reserve liabilities during the nine months ended September 30, 2021, $17,435 related to the purchase of six aircraft previously leased. The over-market liabilities for those aircraft are included in Aircraft lease buy-out expense in Special Items, net (see Note 11).</w:t>
      </w:r>
    </w:p>
    <w:p>
      <w:pPr>
        <w:spacing w:after="0" w:line="207"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Aircraft Rent expense for the three months ended September 30, 2021 and 2020, includes credits of $ 1,618 and $3,140, respectively, for the amortization of over-market liabilities established at the Acquisition Date related to lease rates and maintenance reserves. The Aircraft Rent expense credits for the nine months ended September 30, 2021 and 2020 were $5,992 and $10,970, respectively.</w:t>
      </w:r>
    </w:p>
    <w:p>
      <w:pPr>
        <w:spacing w:after="0" w:line="169"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11"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Lines of Credit </w:t>
      </w:r>
      <w:r>
        <w:rPr>
          <w:rFonts w:ascii="Arial" w:cs="Arial" w:eastAsia="Arial" w:hAnsi="Arial"/>
          <w:sz w:val="18"/>
          <w:szCs w:val="18"/>
          <w:color w:val="auto"/>
        </w:rPr>
        <w:t>– On February 10, 2021, the Company executed a five-year credit agreement with a group</w:t>
      </w:r>
      <w:r>
        <w:rPr>
          <w:rFonts w:ascii="Arial" w:cs="Arial" w:eastAsia="Arial" w:hAnsi="Arial"/>
          <w:sz w:val="18"/>
          <w:szCs w:val="18"/>
          <w:b w:val="1"/>
          <w:bCs w:val="1"/>
          <w:color w:val="auto"/>
        </w:rPr>
        <w:t xml:space="preserve"> </w:t>
      </w:r>
      <w:r>
        <w:rPr>
          <w:rFonts w:ascii="Arial" w:cs="Arial" w:eastAsia="Arial" w:hAnsi="Arial"/>
          <w:sz w:val="18"/>
          <w:szCs w:val="18"/>
          <w:color w:val="auto"/>
        </w:rPr>
        <w:t>of lenders that replaced the Company’s prior $25,000 asset-based revolving credit facility (the “ABL Facility”). The agreement provides for a $25,000 Revolving Credit Facility and a $90,000 Delayed Draw Term Loan Facility, which are collectively referred to as the “Credit Facilities.” The interest rate on borrowings is determined by various alternative base rates plus an applicable margin ranging from 4% to 5%. The interest rate currently in effect on the Delayed Draw Term Loan facility is 6%, which is the minimum interest rate allowed under the Credit Facilities agreement. Borrowings on the Delayed Draw Term Loan Facility are subject to possible interest rate adjustment in February 2022. In addition,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U.S. During the six months ended June 30, 2021, the Company drew $80,500 on the Delayed Draw Term Loan Facility to purchase six aircraft, which were previously under operating leases. Principal payments of $1,006 are due on a quarterly basis. As of September 30, 2021 , the Credit Facilities had an outstanding principal balance of $78,488. The Credit Facilities have financial covenants that require a minimum trailing 12 month EBITDAR (ranging from $62,100 as of September 30, 2021, $78,100 as of December 31, 2021, and $87,700 as of March 31, 2022 and beyond) and a minimum liquidity of $30,000 at the close of any business day.</w:t>
      </w:r>
    </w:p>
    <w:p>
      <w:pPr>
        <w:spacing w:after="0" w:line="181" w:lineRule="exact"/>
        <w:rPr>
          <w:rFonts w:ascii="Arial" w:cs="Arial" w:eastAsia="Arial" w:hAnsi="Arial"/>
          <w:sz w:val="18"/>
          <w:szCs w:val="18"/>
          <w:b w:val="1"/>
          <w:bCs w:val="1"/>
          <w:color w:val="auto"/>
        </w:rPr>
      </w:pPr>
    </w:p>
    <w:p>
      <w:pPr>
        <w:jc w:val="both"/>
        <w:ind w:left="380" w:right="59"/>
        <w:spacing w:after="0" w:line="24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w:t>
      </w:r>
      <w:r>
        <w:rPr>
          <w:rFonts w:ascii="Arial" w:cs="Arial" w:eastAsia="Arial" w:hAnsi="Arial"/>
          <w:sz w:val="18"/>
          <w:szCs w:val="18"/>
          <w:b w:val="1"/>
          <w:bCs w:val="1"/>
          <w:color w:val="auto"/>
        </w:rPr>
        <w:t xml:space="preserve"> </w:t>
      </w:r>
      <w:r>
        <w:rPr>
          <w:rFonts w:ascii="Arial" w:cs="Arial" w:eastAsia="Arial" w:hAnsi="Arial"/>
          <w:sz w:val="18"/>
          <w:szCs w:val="18"/>
          <w:color w:val="auto"/>
        </w:rPr>
        <w:t>Class C pass-through trust certificates Series 2019-1 (the “2019-1 EETC”), in an aggregate face amount of $248,587 for the purpose of financing or refinancing 13 used aircraft, which was completed in 2020. The Company is required to make semi-annual principal and interest payments each June and December. The outstanding principal balance as of September 30, 2021 was $211,605. The 13 aircraft serve as security for the loan and the total appraised value of these aircraft as of December 2019 was approximately $292,450.</w:t>
      </w:r>
    </w:p>
    <w:p>
      <w:pPr>
        <w:spacing w:after="0" w:line="200" w:lineRule="exact"/>
        <w:rPr>
          <w:rFonts w:ascii="Arial" w:cs="Arial" w:eastAsia="Arial" w:hAnsi="Arial"/>
          <w:sz w:val="18"/>
          <w:szCs w:val="18"/>
          <w:b w:val="1"/>
          <w:bCs w:val="1"/>
          <w:color w:val="auto"/>
        </w:rPr>
      </w:pPr>
    </w:p>
    <w:p>
      <w:pPr>
        <w:spacing w:after="0" w:line="216" w:lineRule="exact"/>
        <w:rPr>
          <w:rFonts w:ascii="Arial" w:cs="Arial" w:eastAsia="Arial" w:hAnsi="Arial"/>
          <w:sz w:val="18"/>
          <w:szCs w:val="18"/>
          <w:b w:val="1"/>
          <w:bCs w:val="1"/>
          <w:color w:val="auto"/>
        </w:rPr>
      </w:pPr>
    </w:p>
    <w:p>
      <w:pPr>
        <w:ind w:left="4400" w:hanging="106"/>
        <w:spacing w:after="0"/>
        <w:tabs>
          <w:tab w:leader="none" w:pos="4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 xml:space="preserve">Under the CARES Act Loan Program, on October 26, 2020, the Company was awarded a $45,000 loan, which </w:t>
      </w:r>
      <w:r>
        <w:rPr>
          <w:rFonts w:ascii="Arial" w:cs="Arial" w:eastAsia="Arial" w:hAnsi="Arial"/>
          <w:sz w:val="18"/>
          <w:szCs w:val="18"/>
          <w:color w:val="212529"/>
        </w:rPr>
        <w:t>was secured by the Company’s loyalty program and certain cash deposit accounts.</w:t>
      </w:r>
      <w:r>
        <w:rPr>
          <w:rFonts w:ascii="Arial" w:cs="Arial" w:eastAsia="Arial" w:hAnsi="Arial"/>
          <w:sz w:val="18"/>
          <w:szCs w:val="18"/>
          <w:color w:val="auto"/>
        </w:rPr>
        <w:t xml:space="preserve"> The loan bore interest at a rate per annum 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was in compliance with all covenants in its debt agreements at September 30, 2021.</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Long-term Debt includes the following:</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Notes payable under the Company's 2019-1 EETC agreement</w:t>
            </w:r>
          </w:p>
        </w:tc>
        <w:tc>
          <w:tcPr>
            <w:tcW w:w="3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dated December 2019, with original loan amounts of $248,587</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 in bi-annual installments, in June and December, through</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2027. These notes bear interest at an annual rate of</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between 4.13% and 6.95% and the weighted average interest rate</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is 4.78%.</w:t>
            </w: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211,605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227,347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Delayed Draw Term Loan Facility (see terms and conditions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above)</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78,488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 S. Department of the Treasury CARES Act Loan (see terms</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conditions above)</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45,419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to Wilmington Trust Company. Notes bear interest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an annual rate of 8.45% and were scheduled to mature Nov.</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2023 to Feb. 2024. In April 2021, these notes were repaid.</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12,506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Notes payable. These notes bear interest at an annual rate</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of approximately 5.0% and mature March 2029.</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290,572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285,801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(3,752)</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(3,338)</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(19,835)</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(26,118)</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440" w:type="dxa"/>
            <w:vAlign w:val="bottom"/>
          </w:tcPr>
          <w:p>
            <w:pPr>
              <w:ind w:left="100"/>
              <w:spacing w:after="0" w:line="196" w:lineRule="exact"/>
              <w:rPr>
                <w:sz w:val="20"/>
                <w:szCs w:val="20"/>
                <w:color w:val="auto"/>
              </w:rPr>
            </w:pPr>
            <w:r>
              <w:rPr>
                <w:rFonts w:ascii="Arial" w:cs="Arial" w:eastAsia="Arial" w:hAnsi="Arial"/>
                <w:sz w:val="18"/>
                <w:szCs w:val="18"/>
                <w:color w:val="auto"/>
              </w:rPr>
              <w:t>Total Long-term Debt</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266,985</w:t>
            </w:r>
          </w:p>
        </w:tc>
        <w:tc>
          <w:tcPr>
            <w:tcW w:w="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256,345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- 19 -</w:t>
            </w: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78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Debt Principal</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Amortization of Debt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5"/>
                <w:szCs w:val="15"/>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Issuance Costs</w:t>
            </w: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rPr>
              <w:t>Net Debt</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2021</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9,393</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30,367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(956)</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29,411</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42,358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41,477</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(758)</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43,242</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48,444</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115,119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114,853</w:t>
            </w:r>
          </w:p>
        </w:tc>
      </w:tr>
      <w:tr>
        <w:trPr>
          <w:trHeight w:val="196"/>
        </w:trPr>
        <w:tc>
          <w:tcPr>
            <w:tcW w:w="466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as of September 30, 2021</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290,572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(3,752)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286,820</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4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Amount</w:t>
            </w:r>
          </w:p>
        </w:tc>
        <w:tc>
          <w:tcPr>
            <w:tcW w:w="3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290,572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285,801</w:t>
            </w:r>
          </w:p>
        </w:tc>
        <w:tc>
          <w:tcPr>
            <w:tcW w:w="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5440" w:type="dxa"/>
            <w:vAlign w:val="bottom"/>
          </w:tcPr>
          <w:p>
            <w:pPr>
              <w:spacing w:after="0" w:line="183" w:lineRule="exact"/>
              <w:rPr>
                <w:sz w:val="20"/>
                <w:szCs w:val="20"/>
                <w:color w:val="auto"/>
              </w:rPr>
            </w:pPr>
            <w:r>
              <w:rPr>
                <w:rFonts w:ascii="Arial" w:cs="Arial" w:eastAsia="Arial" w:hAnsi="Arial"/>
                <w:sz w:val="18"/>
                <w:szCs w:val="18"/>
                <w:color w:val="auto"/>
              </w:rPr>
              <w:t>Fair Value</w:t>
            </w:r>
          </w:p>
        </w:tc>
        <w:tc>
          <w:tcPr>
            <w:tcW w:w="3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283,641</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279,119</w:t>
            </w:r>
          </w:p>
        </w:tc>
        <w:tc>
          <w:tcPr>
            <w:tcW w:w="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fair value of the Company’s debt was based on the discounted amount of future cash flows using the Company’s end -of-period incremental borrowing rate for similar obligations. The estimates were primarily based on Level 3 inputs.</w:t>
      </w:r>
    </w:p>
    <w:p>
      <w:pPr>
        <w:spacing w:after="0" w:line="167" w:lineRule="exact"/>
        <w:rPr>
          <w:sz w:val="20"/>
          <w:szCs w:val="20"/>
          <w:color w:val="auto"/>
        </w:rPr>
      </w:pPr>
    </w:p>
    <w:p>
      <w:pPr>
        <w:ind w:left="380" w:hanging="330"/>
        <w:spacing w:after="0"/>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33"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204"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September 30, 2021 and December 31, 2020. Derivatives where the payment due date is greater than one year from the balance sheet date are classified as long-term.</w:t>
      </w:r>
    </w:p>
    <w:p>
      <w:pPr>
        <w:spacing w:after="0" w:line="20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Derivative Assets (Liabilities)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7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2960" w:type="dxa"/>
            <w:vAlign w:val="bottom"/>
            <w:tcBorders>
              <w:bottom w:val="single" w:sz="8" w:color="CCEEFF"/>
            </w:tcBorders>
          </w:tcPr>
          <w:p>
            <w:pPr>
              <w:spacing w:after="0"/>
              <w:rPr>
                <w:sz w:val="13"/>
                <w:szCs w:val="13"/>
                <w:color w:val="auto"/>
              </w:rPr>
            </w:pPr>
          </w:p>
        </w:tc>
        <w:tc>
          <w:tcPr>
            <w:tcW w:w="28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 January 1</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2,233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960" w:type="dxa"/>
            <w:vAlign w:val="bottom"/>
          </w:tcPr>
          <w:p>
            <w:pPr>
              <w:spacing w:after="0" w:line="202" w:lineRule="exact"/>
              <w:rPr>
                <w:sz w:val="20"/>
                <w:szCs w:val="20"/>
                <w:color w:val="auto"/>
              </w:rPr>
            </w:pPr>
            <w:r>
              <w:rPr>
                <w:rFonts w:ascii="Arial" w:cs="Arial" w:eastAsia="Arial" w:hAnsi="Arial"/>
                <w:sz w:val="18"/>
                <w:szCs w:val="18"/>
                <w:color w:val="auto"/>
              </w:rPr>
              <w:t>Non-cash Gains (Losses)</w:t>
            </w: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3,527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(15,766)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Contract Settlements</w:t>
            </w:r>
          </w:p>
        </w:tc>
        <w:tc>
          <w:tcPr>
            <w:tcW w:w="2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(2,105)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960" w:type="dxa"/>
            <w:vAlign w:val="bottom"/>
          </w:tcPr>
          <w:p>
            <w:pPr>
              <w:spacing w:after="0" w:line="196" w:lineRule="exact"/>
              <w:rPr>
                <w:sz w:val="20"/>
                <w:szCs w:val="20"/>
                <w:color w:val="auto"/>
              </w:rPr>
            </w:pPr>
            <w:r>
              <w:rPr>
                <w:rFonts w:ascii="Arial" w:cs="Arial" w:eastAsia="Arial" w:hAnsi="Arial"/>
                <w:sz w:val="18"/>
                <w:szCs w:val="18"/>
                <w:color w:val="auto"/>
              </w:rPr>
              <w:t>Balance - September 30</w:t>
            </w:r>
          </w:p>
        </w:tc>
        <w:tc>
          <w:tcPr>
            <w:tcW w:w="28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80" w:type="dxa"/>
            <w:vAlign w:val="bottom"/>
            <w:vMerge w:val="restart"/>
          </w:tcPr>
          <w:p>
            <w:pPr>
              <w:jc w:val="right"/>
              <w:ind w:right="1410"/>
              <w:spacing w:after="0"/>
              <w:rPr>
                <w:sz w:val="20"/>
                <w:szCs w:val="20"/>
                <w:color w:val="auto"/>
              </w:rPr>
            </w:pPr>
            <w:r>
              <w:rPr>
                <w:rFonts w:ascii="Arial" w:cs="Arial" w:eastAsia="Arial" w:hAnsi="Arial"/>
                <w:sz w:val="18"/>
                <w:szCs w:val="18"/>
                <w:color w:val="auto"/>
              </w:rPr>
              <w:t>- 20 -</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30"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Fuel Derivative Gains (Losses) consist of the following:</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2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Gains (Losses)</w:t>
            </w:r>
          </w:p>
        </w:tc>
        <w:tc>
          <w:tcPr>
            <w:tcW w:w="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3,527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(15,766)</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Cash Premiums Paid</w:t>
            </w:r>
          </w:p>
        </w:tc>
        <w:tc>
          <w:tcPr>
            <w:tcW w:w="760" w:type="dxa"/>
            <w:vAlign w:val="bottom"/>
          </w:tcPr>
          <w:p>
            <w:pPr>
              <w:spacing w:after="0"/>
              <w:rPr>
                <w:sz w:val="17"/>
                <w:szCs w:val="17"/>
                <w:color w:val="auto"/>
              </w:rPr>
            </w:pPr>
          </w:p>
        </w:tc>
        <w:tc>
          <w:tcPr>
            <w:tcW w:w="5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r>
      <w:tr>
        <w:trPr>
          <w:trHeight w:val="196"/>
        </w:trPr>
        <w:tc>
          <w:tcPr>
            <w:tcW w:w="32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Fuel Derivative Gains (Losses)</w:t>
            </w:r>
          </w:p>
        </w:tc>
        <w:tc>
          <w:tcPr>
            <w:tcW w:w="7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(17,720)</w:t>
            </w:r>
          </w:p>
        </w:tc>
      </w:tr>
      <w:tr>
        <w:trPr>
          <w:trHeight w:val="20"/>
        </w:trPr>
        <w:tc>
          <w:tcPr>
            <w:tcW w:w="3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79"/>
        <w:spacing w:after="0" w:line="246" w:lineRule="auto"/>
        <w:rPr>
          <w:sz w:val="20"/>
          <w:szCs w:val="20"/>
          <w:color w:val="auto"/>
        </w:rPr>
      </w:pPr>
      <w:r>
        <w:rPr>
          <w:rFonts w:ascii="Arial" w:cs="Arial" w:eastAsia="Arial" w:hAnsi="Arial"/>
          <w:sz w:val="18"/>
          <w:szCs w:val="18"/>
          <w:color w:val="auto"/>
        </w:rPr>
        <w:t>Fuel derivative gains and losses are classified in Aircraft Fuel on the Condensed Consolidated Statements of Operations.</w:t>
      </w:r>
    </w:p>
    <w:p>
      <w:pPr>
        <w:spacing w:after="0" w:line="197" w:lineRule="exact"/>
        <w:rPr>
          <w:sz w:val="20"/>
          <w:szCs w:val="20"/>
          <w:color w:val="auto"/>
        </w:rPr>
      </w:pPr>
    </w:p>
    <w:p>
      <w:pPr>
        <w:ind w:left="380" w:right="59"/>
        <w:spacing w:after="0" w:line="246" w:lineRule="auto"/>
        <w:rPr>
          <w:sz w:val="20"/>
          <w:szCs w:val="20"/>
          <w:color w:val="auto"/>
        </w:rPr>
      </w:pPr>
      <w:r>
        <w:rPr>
          <w:rFonts w:ascii="Arial" w:cs="Arial" w:eastAsia="Arial" w:hAnsi="Arial"/>
          <w:sz w:val="18"/>
          <w:szCs w:val="18"/>
          <w:color w:val="auto"/>
        </w:rPr>
        <w:t>As of September 30, 2021, the Company had no outstanding fuel derivative contracts, but there were $248 of matured contracts that had not yet settled.</w:t>
      </w:r>
    </w:p>
    <w:p>
      <w:pPr>
        <w:spacing w:after="0" w:line="161"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205"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12" w:lineRule="exact"/>
        <w:rPr>
          <w:sz w:val="20"/>
          <w:szCs w:val="20"/>
          <w:color w:val="auto"/>
        </w:rPr>
      </w:pPr>
    </w:p>
    <w:p>
      <w:pPr>
        <w:jc w:val="both"/>
        <w:ind w:left="2000" w:right="59" w:hanging="975"/>
        <w:spacing w:after="0" w:line="23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205" w:lineRule="exact"/>
        <w:rPr>
          <w:sz w:val="20"/>
          <w:szCs w:val="20"/>
          <w:color w:val="auto"/>
        </w:rPr>
      </w:pPr>
    </w:p>
    <w:p>
      <w:pPr>
        <w:jc w:val="both"/>
        <w:ind w:left="2000" w:right="79" w:hanging="975"/>
        <w:spacing w:after="0" w:line="246"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ind w:left="380" w:right="79"/>
        <w:spacing w:after="0" w:line="246" w:lineRule="auto"/>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175" w:lineRule="exact"/>
        <w:rPr>
          <w:sz w:val="20"/>
          <w:szCs w:val="20"/>
          <w:color w:val="auto"/>
        </w:rPr>
      </w:pPr>
    </w:p>
    <w:p>
      <w:pPr>
        <w:jc w:val="both"/>
        <w:ind w:left="380" w:right="59"/>
        <w:spacing w:after="0" w:line="247"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fair 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55"/>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54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Fuel Derivative Contracts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196"/>
        </w:trPr>
        <w:tc>
          <w:tcPr>
            <w:tcW w:w="4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55"/>
        </w:trPr>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3"/>
                <w:szCs w:val="13"/>
                <w:color w:val="auto"/>
              </w:rPr>
            </w:pPr>
          </w:p>
        </w:tc>
        <w:tc>
          <w:tcPr>
            <w:tcW w:w="540" w:type="dxa"/>
            <w:vAlign w:val="bottom"/>
          </w:tcPr>
          <w:p>
            <w:pPr>
              <w:jc w:val="right"/>
              <w:ind w:right="76"/>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980" w:type="dxa"/>
            <w:vAlign w:val="bottom"/>
          </w:tcPr>
          <w:p>
            <w:pPr>
              <w:ind w:left="100"/>
              <w:spacing w:after="0" w:line="202" w:lineRule="exact"/>
              <w:rPr>
                <w:sz w:val="20"/>
                <w:szCs w:val="20"/>
                <w:color w:val="auto"/>
              </w:rPr>
            </w:pPr>
            <w:r>
              <w:rPr>
                <w:rFonts w:ascii="Arial" w:cs="Arial" w:eastAsia="Arial" w:hAnsi="Arial"/>
                <w:sz w:val="18"/>
                <w:szCs w:val="18"/>
                <w:color w:val="auto"/>
              </w:rPr>
              <w:t>Fuel Derivative Contracts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r>
      <w:tr>
        <w:trPr>
          <w:trHeight w:val="196"/>
        </w:trPr>
        <w:tc>
          <w:tcPr>
            <w:tcW w:w="49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measured at fair value on a recurring basis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r>
      <w:tr>
        <w:trPr>
          <w:trHeight w:val="20"/>
        </w:trPr>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80" w:right="59"/>
        <w:spacing w:after="0" w:line="237" w:lineRule="auto"/>
        <w:rPr>
          <w:sz w:val="20"/>
          <w:szCs w:val="20"/>
          <w:color w:val="auto"/>
        </w:rPr>
      </w:pPr>
      <w:r>
        <w:rPr>
          <w:rFonts w:ascii="Arial" w:cs="Arial" w:eastAsia="Arial" w:hAnsi="Arial"/>
          <w:sz w:val="18"/>
          <w:szCs w:val="18"/>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205"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The Company’s debt portfolio consists of 2019-1 EETC certificates, borrowings under the Delayed Draw Term Loan Facility, and fixed-rate notes payable. See Note 7 for debt fair values.</w:t>
      </w:r>
    </w:p>
    <w:p>
      <w:pPr>
        <w:spacing w:after="0" w:line="161"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3" w:lineRule="exact"/>
        <w:rPr>
          <w:rFonts w:ascii="Arial" w:cs="Arial" w:eastAsia="Arial" w:hAnsi="Arial"/>
          <w:sz w:val="18"/>
          <w:szCs w:val="18"/>
          <w:b w:val="1"/>
          <w:bCs w:val="1"/>
          <w:color w:val="auto"/>
        </w:rPr>
      </w:pPr>
    </w:p>
    <w:p>
      <w:pPr>
        <w:jc w:val="both"/>
        <w:ind w:left="380" w:right="59"/>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and nine months ended September 30, 2021 was 14.2% and 18.0%, respectively. The effective tax rate for the three and nine months ended September 30, 2020 was</w:t>
      </w:r>
    </w:p>
    <w:p>
      <w:pPr>
        <w:spacing w:after="0" w:line="1"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24.0% and 26.2%, respectively. The effective tax rate represents a blend of federal and state taxes and includes the impact of certain nondeductible or nontaxable items. The decrease in the three-month rate is primarily due to a favorable permanent benefit related to stock compensation. The decrease in the nine-month rate is primarily due to favorable permanent differences related to the Tax Receivable Agreement and stock compensation deductions.</w:t>
      </w:r>
    </w:p>
    <w:p>
      <w:pPr>
        <w:spacing w:after="0" w:line="180"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Company’s IPO, the Company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2" w:lineRule="exact"/>
        <w:rPr>
          <w:rFonts w:ascii="Arial" w:cs="Arial" w:eastAsia="Arial" w:hAnsi="Arial"/>
          <w:sz w:val="18"/>
          <w:szCs w:val="18"/>
          <w:b w:val="1"/>
          <w:bCs w:val="1"/>
          <w:color w:val="auto"/>
        </w:rPr>
      </w:pPr>
    </w:p>
    <w:p>
      <w:pPr>
        <w:jc w:val="both"/>
        <w:ind w:left="380" w:right="59"/>
        <w:spacing w:after="0"/>
        <w:rPr>
          <w:rFonts w:ascii="Arial" w:cs="Arial" w:eastAsia="Arial" w:hAnsi="Arial"/>
          <w:sz w:val="18"/>
          <w:szCs w:val="18"/>
          <w:b w:val="1"/>
          <w:bCs w:val="1"/>
          <w:color w:val="auto"/>
        </w:rPr>
      </w:pPr>
      <w:r>
        <w:rPr>
          <w:rFonts w:ascii="Arial" w:cs="Arial" w:eastAsia="Arial" w:hAnsi="Arial"/>
          <w:sz w:val="18"/>
          <w:szCs w:val="18"/>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4400" w:hanging="106"/>
        <w:spacing w:after="0"/>
        <w:tabs>
          <w:tab w:leader="none" w:pos="44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governmental programs, the Company is not required to make payments under the Tax Receivable Agreement for Pre-IPO Tax Attributes utilized in such periods. Based on the Company's current participation in the CARES Act Program, the Company does not expect to make payments under the Tax Receivable Agreement until 2023, and thus is presented in "Long-term Liabilities" on the Condensed Consolidated Balance Sheet.</w:t>
      </w:r>
    </w:p>
    <w:p>
      <w:pPr>
        <w:spacing w:after="0" w:line="202" w:lineRule="exact"/>
        <w:rPr>
          <w:sz w:val="20"/>
          <w:szCs w:val="20"/>
          <w:color w:val="auto"/>
        </w:rPr>
      </w:pPr>
    </w:p>
    <w:p>
      <w:pPr>
        <w:jc w:val="both"/>
        <w:ind w:left="380" w:right="59"/>
        <w:spacing w:after="0" w:line="235" w:lineRule="auto"/>
        <w:rPr>
          <w:sz w:val="20"/>
          <w:szCs w:val="20"/>
          <w:color w:val="auto"/>
        </w:rPr>
      </w:pPr>
      <w:r>
        <w:rPr>
          <w:rFonts w:ascii="Arial" w:cs="Arial" w:eastAsia="Arial" w:hAnsi="Arial"/>
          <w:sz w:val="18"/>
          <w:szCs w:val="18"/>
          <w:color w:val="auto"/>
        </w:rPr>
        <w:t>If the Company does not generate sufficient taxable income in the aggregate over the term of the Tax Receivable Agreement to utilize the tax benefits, then it would not be required to make the related TRA payments. Upon the closing of the IPO, the Company recognized a non-current liability of $115,200 which represented undiscounted aggregate payments that were expected to be paid to the TRA holders under the Tax Receivable Agreement, with an offset to Stockholders' Equity. Subsequent changes in the measurement of the liability are being adjusted through the Consolidated Statements of Operations. 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the second quarter of 2021, the Company reduced the TRA liability balance by $18,700, from $ 115,200 to $96,500. The offsetting credit was recorded in Other Non-operating Income. The decrease in the TRA liability was mainly due to the receipt of the PSP3 grant of $34,547, which extended the time period in which distributions made to shareholders are restricted from March 31, 2022 to September 30, 2022, and also resulted in an increase in forecasted 2021 pre-tax income.</w:t>
      </w:r>
    </w:p>
    <w:p>
      <w:pPr>
        <w:spacing w:after="0" w:line="200" w:lineRule="exact"/>
        <w:rPr>
          <w:sz w:val="20"/>
          <w:szCs w:val="20"/>
          <w:color w:val="auto"/>
        </w:rPr>
      </w:pPr>
    </w:p>
    <w:p>
      <w:pPr>
        <w:jc w:val="both"/>
        <w:ind w:left="380" w:right="59"/>
        <w:spacing w:after="0" w:line="238" w:lineRule="auto"/>
        <w:rPr>
          <w:sz w:val="20"/>
          <w:szCs w:val="20"/>
          <w:color w:val="auto"/>
        </w:rPr>
      </w:pPr>
      <w:r>
        <w:rPr>
          <w:rFonts w:ascii="Arial" w:cs="Arial" w:eastAsia="Arial" w:hAnsi="Arial"/>
          <w:sz w:val="18"/>
          <w:szCs w:val="18"/>
          <w:color w:val="auto"/>
        </w:rPr>
        <w:t>An additional $1,100 reduction in the liability was made during the three months ended September 30, 2021, due to actual financial results exceeding forecasted results used in the valuation of the TRA. Since recording the initial estimate and through September 30, 2021, the Company has reduced the TRA liability balance by $19,800, from $115,200 to $95,400.</w:t>
      </w:r>
    </w:p>
    <w:p>
      <w:pPr>
        <w:spacing w:after="0" w:line="169"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33"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Special Items, net on the Condensed Consolidated Statements of Operations consist of the following:</w:t>
      </w:r>
    </w:p>
    <w:p>
      <w:pPr>
        <w:spacing w:after="0" w:line="19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22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220" w:type="dxa"/>
            <w:vAlign w:val="bottom"/>
            <w:gridSpan w:val="2"/>
            <w:shd w:val="clear" w:color="auto" w:fill="CCEEFF"/>
          </w:tcPr>
          <w:p>
            <w:pPr>
              <w:spacing w:after="0" w:line="195" w:lineRule="exact"/>
              <w:rPr>
                <w:sz w:val="20"/>
                <w:szCs w:val="20"/>
                <w:color w:val="auto"/>
              </w:rPr>
            </w:pPr>
            <w:r>
              <w:rPr>
                <w:rFonts w:ascii="Arial" w:cs="Arial" w:eastAsia="Arial" w:hAnsi="Arial"/>
                <w:sz w:val="16"/>
                <w:szCs w:val="16"/>
                <w:color w:val="auto"/>
              </w:rPr>
              <w:t xml:space="preserve">CARES Act grant recognition </w:t>
            </w:r>
            <w:r>
              <w:rPr>
                <w:rFonts w:ascii="Arial" w:cs="Arial" w:eastAsia="Arial" w:hAnsi="Arial"/>
                <w:sz w:val="22"/>
                <w:szCs w:val="22"/>
                <w:color w:val="auto"/>
                <w:vertAlign w:val="superscript"/>
              </w:rPr>
              <w:t>(1)</w:t>
            </w:r>
          </w:p>
        </w:tc>
        <w:tc>
          <w:tcPr>
            <w:tcW w:w="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(30,796)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(62,312)</w:t>
            </w:r>
          </w:p>
        </w:tc>
        <w:tc>
          <w:tcPr>
            <w:tcW w:w="0" w:type="dxa"/>
            <w:vAlign w:val="bottom"/>
          </w:tcPr>
          <w:p>
            <w:pPr>
              <w:spacing w:after="0"/>
              <w:rPr>
                <w:sz w:val="1"/>
                <w:szCs w:val="1"/>
                <w:color w:val="auto"/>
              </w:rPr>
            </w:pPr>
          </w:p>
        </w:tc>
      </w:tr>
      <w:tr>
        <w:trPr>
          <w:trHeight w:val="188"/>
        </w:trPr>
        <w:tc>
          <w:tcPr>
            <w:tcW w:w="3220" w:type="dxa"/>
            <w:vAlign w:val="bottom"/>
            <w:gridSpan w:val="2"/>
          </w:tcPr>
          <w:p>
            <w:pPr>
              <w:spacing w:after="0" w:line="189" w:lineRule="exact"/>
              <w:rPr>
                <w:sz w:val="20"/>
                <w:szCs w:val="20"/>
                <w:color w:val="auto"/>
              </w:rPr>
            </w:pPr>
            <w:r>
              <w:rPr>
                <w:rFonts w:ascii="Arial" w:cs="Arial" w:eastAsia="Arial" w:hAnsi="Arial"/>
                <w:sz w:val="18"/>
                <w:szCs w:val="18"/>
                <w:color w:val="auto"/>
              </w:rPr>
              <w:t>CARES Act employee retention credit</w:t>
            </w:r>
          </w:p>
        </w:tc>
        <w:tc>
          <w:tcPr>
            <w:tcW w:w="760" w:type="dxa"/>
            <w:vAlign w:val="bottom"/>
          </w:tcPr>
          <w:p>
            <w:pPr>
              <w:spacing w:after="0"/>
              <w:rPr>
                <w:sz w:val="16"/>
                <w:szCs w:val="16"/>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6"/>
                <w:szCs w:val="16"/>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(2,069)</w:t>
            </w:r>
          </w:p>
        </w:tc>
        <w:tc>
          <w:tcPr>
            <w:tcW w:w="24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20"/>
                <w:szCs w:val="20"/>
                <w:color w:val="auto"/>
              </w:rPr>
            </w:pPr>
            <w:r>
              <w:rPr>
                <w:rFonts w:ascii="Arial" w:cs="Arial" w:eastAsia="Arial" w:hAnsi="Arial"/>
                <w:sz w:val="13"/>
                <w:szCs w:val="13"/>
                <w:color w:val="auto"/>
              </w:rPr>
              <w:t>(2)</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Aircraft lease buy-out expense </w:t>
            </w:r>
            <w:r>
              <w:rPr>
                <w:rFonts w:ascii="Arial" w:cs="Arial" w:eastAsia="Arial" w:hAnsi="Arial"/>
                <w:sz w:val="23"/>
                <w:szCs w:val="23"/>
                <w:color w:val="auto"/>
                <w:vertAlign w:val="superscript"/>
              </w:rPr>
              <w:t>(3)</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6,963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CCEEFF"/>
            </w:tcBorders>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Special Items, net</w:t>
            </w:r>
          </w:p>
        </w:tc>
        <w:tc>
          <w:tcPr>
            <w:tcW w:w="7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(32,852)</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(65,456)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(64,333)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720" w:right="79" w:hanging="319"/>
        <w:spacing w:after="0" w:line="23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first half of 2021, the Treasury awarded the Company grants totaling $37,040 under PSP2. Further, during the first half of 2021, the Company received a grant of $34,547 under PSP3. The grant amount recognized under the CARES Act Payroll Support Program for the nine months ended September 30, 2020 was $62,312, of which $31,516 was recognized in the second quarter and $30,796 was recognized in the third quarter.</w:t>
      </w: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4400" w:hanging="106"/>
        <w:spacing w:after="0"/>
        <w:tabs>
          <w:tab w:leader="none" w:pos="44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720" w:right="79" w:hanging="319"/>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CARES Act Employee Retention credit relates to a refundable tax credit against certain employment taxes. The $68 shown in the third quarter of fiscal year 2021 relates to a true-up of the second quarter 2021 credit.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Five aircraft were purchased in March 2021 that were previously under operating leases. One additional aircraft was purchased in April 2021 that was previously under an operating lease. Aircraft lease buy-out expense represents the net costs incurred to terminate the leases on those six aircraft. This includes the associated lease termination costs, write-off of previously capitalized maintenance deposits, and the write-off of over-market liabilities (see Note 6).</w:t>
      </w:r>
    </w:p>
    <w:p>
      <w:pPr>
        <w:spacing w:after="0" w:line="166"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3" w:lineRule="exact"/>
        <w:rPr>
          <w:rFonts w:ascii="Arial" w:cs="Arial" w:eastAsia="Arial" w:hAnsi="Arial"/>
          <w:sz w:val="18"/>
          <w:szCs w:val="18"/>
          <w:b w:val="1"/>
          <w:bCs w:val="1"/>
          <w:color w:val="auto"/>
        </w:rPr>
      </w:pPr>
    </w:p>
    <w:p>
      <w:pPr>
        <w:ind w:left="380" w:right="7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has contractual obligations and commitments primarily with regard to lease arrangements, repayment of debt (see Note 7) and probable future purchases of aircraft.</w:t>
      </w:r>
    </w:p>
    <w:p>
      <w:pPr>
        <w:spacing w:after="0" w:line="196" w:lineRule="exact"/>
        <w:rPr>
          <w:rFonts w:ascii="Arial" w:cs="Arial" w:eastAsia="Arial" w:hAnsi="Arial"/>
          <w:sz w:val="18"/>
          <w:szCs w:val="18"/>
          <w:b w:val="1"/>
          <w:bCs w:val="1"/>
          <w:color w:val="auto"/>
        </w:rPr>
      </w:pPr>
    </w:p>
    <w:p>
      <w:pPr>
        <w:ind w:left="380" w:right="7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Sun Country also has a contractual obligation to pay its pre-IPO stockholders under the terms of the income Tax Receivable Agreement (see Note 10).</w:t>
      </w:r>
    </w:p>
    <w:p>
      <w:pPr>
        <w:spacing w:after="0" w:line="196" w:lineRule="exact"/>
        <w:rPr>
          <w:rFonts w:ascii="Arial" w:cs="Arial" w:eastAsia="Arial" w:hAnsi="Arial"/>
          <w:sz w:val="18"/>
          <w:szCs w:val="18"/>
          <w:b w:val="1"/>
          <w:bCs w:val="1"/>
          <w:color w:val="auto"/>
        </w:rPr>
      </w:pPr>
    </w:p>
    <w:p>
      <w:pPr>
        <w:jc w:val="both"/>
        <w:ind w:left="380" w:right="59"/>
        <w:spacing w:after="0"/>
        <w:rPr>
          <w:rFonts w:ascii="Arial" w:cs="Arial" w:eastAsia="Arial" w:hAnsi="Arial"/>
          <w:sz w:val="18"/>
          <w:szCs w:val="18"/>
          <w:b w:val="1"/>
          <w:bCs w:val="1"/>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167" w:lineRule="exact"/>
        <w:rPr>
          <w:rFonts w:ascii="Arial" w:cs="Arial" w:eastAsia="Arial" w:hAnsi="Arial"/>
          <w:sz w:val="18"/>
          <w:szCs w:val="18"/>
          <w:b w:val="1"/>
          <w:bCs w:val="1"/>
          <w:color w:val="auto"/>
        </w:rPr>
      </w:pPr>
    </w:p>
    <w:p>
      <w:pPr>
        <w:ind w:left="380" w:hanging="330"/>
        <w:spacing w:after="0"/>
        <w:tabs>
          <w:tab w:leader="none" w:pos="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33" w:lineRule="exact"/>
        <w:rPr>
          <w:rFonts w:ascii="Arial" w:cs="Arial" w:eastAsia="Arial" w:hAnsi="Arial"/>
          <w:sz w:val="18"/>
          <w:szCs w:val="18"/>
          <w:b w:val="1"/>
          <w:bCs w:val="1"/>
          <w:color w:val="auto"/>
        </w:rPr>
      </w:pPr>
    </w:p>
    <w:p>
      <w:pPr>
        <w:jc w:val="both"/>
        <w:ind w:left="380" w:right="59"/>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defined as components of an enterprise about which separate financial information is both available and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148"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Passenger segment has two internal passenger groups (Scheduled and Charter), but since resources are shared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148" w:lineRule="exact"/>
        <w:rPr>
          <w:rFonts w:ascii="Arial" w:cs="Arial" w:eastAsia="Arial" w:hAnsi="Arial"/>
          <w:sz w:val="18"/>
          <w:szCs w:val="18"/>
          <w:b w:val="1"/>
          <w:bCs w:val="1"/>
          <w:color w:val="auto"/>
        </w:rPr>
      </w:pPr>
    </w:p>
    <w:p>
      <w:pPr>
        <w:jc w:val="both"/>
        <w:ind w:left="380" w:right="5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Cargo segment began providing air cargo services under the ATSA in May 2020. Fuel consumed in Cargo operations is directly reimbursed by Amazon and therefore aircraft fuel revenue is presented net of such reimbursements on the Condensed Consolidated Statements of Operations. Fuel consumed in Cargo maintenance activities is included in the Cargo segment. Certain operating expenses are directly attributable to the Cargo operating segment.</w:t>
      </w:r>
    </w:p>
    <w:p>
      <w:pPr>
        <w:spacing w:after="0" w:line="148" w:lineRule="exact"/>
        <w:rPr>
          <w:rFonts w:ascii="Arial" w:cs="Arial" w:eastAsia="Arial" w:hAnsi="Arial"/>
          <w:sz w:val="18"/>
          <w:szCs w:val="18"/>
          <w:b w:val="1"/>
          <w:bCs w:val="1"/>
          <w:color w:val="auto"/>
        </w:rPr>
      </w:pPr>
    </w:p>
    <w:p>
      <w:pPr>
        <w:ind w:left="380" w:right="5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w:t>
      </w:r>
    </w:p>
    <w:p>
      <w:pPr>
        <w:spacing w:after="0" w:line="200" w:lineRule="exact"/>
        <w:rPr>
          <w:rFonts w:ascii="Arial" w:cs="Arial" w:eastAsia="Arial" w:hAnsi="Arial"/>
          <w:sz w:val="18"/>
          <w:szCs w:val="18"/>
          <w:b w:val="1"/>
          <w:bCs w:val="1"/>
          <w:color w:val="auto"/>
        </w:rPr>
      </w:pPr>
    </w:p>
    <w:p>
      <w:pPr>
        <w:spacing w:after="0" w:line="212" w:lineRule="exact"/>
        <w:rPr>
          <w:rFonts w:ascii="Arial" w:cs="Arial" w:eastAsia="Arial" w:hAnsi="Arial"/>
          <w:sz w:val="18"/>
          <w:szCs w:val="18"/>
          <w:b w:val="1"/>
          <w:bCs w:val="1"/>
          <w:color w:val="auto"/>
        </w:rPr>
      </w:pPr>
    </w:p>
    <w:p>
      <w:pPr>
        <w:ind w:left="4400" w:hanging="106"/>
        <w:spacing w:after="0"/>
        <w:tabs>
          <w:tab w:leader="none" w:pos="44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3119"/>
        <w:spacing w:after="0" w:line="253"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578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400" w:lineRule="exact"/>
        <w:rPr>
          <w:sz w:val="20"/>
          <w:szCs w:val="20"/>
          <w:color w:val="auto"/>
        </w:rPr>
      </w:pPr>
    </w:p>
    <w:p>
      <w:pPr>
        <w:jc w:val="both"/>
        <w:ind w:left="380" w:right="59"/>
        <w:spacing w:after="0" w:line="246" w:lineRule="auto"/>
        <w:rPr>
          <w:sz w:val="20"/>
          <w:szCs w:val="20"/>
          <w:color w:val="auto"/>
        </w:rPr>
      </w:pPr>
      <w:r>
        <w:rPr>
          <w:rFonts w:ascii="Arial" w:cs="Arial" w:eastAsia="Arial" w:hAnsi="Arial"/>
          <w:sz w:val="18"/>
          <w:szCs w:val="18"/>
          <w:color w:val="auto"/>
        </w:rPr>
        <w:t>nature of the respective expense. CARES Act credits, included in Special Items, net, are allocated based on the respective segment salaries, wages, and benefits.</w:t>
      </w:r>
    </w:p>
    <w:p>
      <w:pPr>
        <w:spacing w:after="0" w:line="143" w:lineRule="exact"/>
        <w:rPr>
          <w:sz w:val="20"/>
          <w:szCs w:val="20"/>
          <w:color w:val="auto"/>
        </w:rPr>
      </w:pPr>
    </w:p>
    <w:p>
      <w:pPr>
        <w:jc w:val="both"/>
        <w:ind w:left="380" w:right="59"/>
        <w:spacing w:after="0"/>
        <w:rPr>
          <w:sz w:val="20"/>
          <w:szCs w:val="20"/>
          <w:color w:val="auto"/>
        </w:rPr>
      </w:pPr>
      <w:r>
        <w:rPr>
          <w:rFonts w:ascii="Arial" w:cs="Arial" w:eastAsia="Arial" w:hAnsi="Arial"/>
          <w:sz w:val="18"/>
          <w:szCs w:val="18"/>
          <w:color w:val="auto"/>
        </w:rPr>
        <w:t>The following tables present financial information for the Company’s two operating segments: Passenger and Cargo. Assets by segment are not reviewed by the Chief Operating Decision Maker and have not been presented herein.</w:t>
      </w:r>
    </w:p>
    <w:p>
      <w:pPr>
        <w:spacing w:after="0" w:line="19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 September 30, 2021</w:t>
            </w:r>
          </w:p>
        </w:tc>
        <w:tc>
          <w:tcPr>
            <w:tcW w:w="2880" w:type="dxa"/>
            <w:vAlign w:val="bottom"/>
            <w:gridSpan w:val="13"/>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Passenger</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Cargo</w:t>
            </w: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3"/>
                <w:szCs w:val="13"/>
                <w:color w:val="auto"/>
              </w:rPr>
            </w:pPr>
          </w:p>
        </w:tc>
        <w:tc>
          <w:tcPr>
            <w:tcW w:w="960" w:type="dxa"/>
            <w:vAlign w:val="bottom"/>
            <w:tcBorders>
              <w:top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Passenger</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300"/>
              <w:spacing w:after="0" w:line="156" w:lineRule="exact"/>
              <w:rPr>
                <w:sz w:val="20"/>
                <w:szCs w:val="20"/>
                <w:color w:val="auto"/>
              </w:rPr>
            </w:pPr>
            <w:r>
              <w:rPr>
                <w:rFonts w:ascii="Arial" w:cs="Arial" w:eastAsia="Arial" w:hAnsi="Arial"/>
                <w:sz w:val="13"/>
                <w:szCs w:val="13"/>
                <w:b w:val="1"/>
                <w:bCs w:val="1"/>
                <w:color w:val="auto"/>
                <w:w w:val="99"/>
              </w:rPr>
              <w:t>Cargo</w:t>
            </w:r>
            <w:r>
              <w:rPr>
                <w:rFonts w:ascii="Arial" w:cs="Arial" w:eastAsia="Arial" w:hAnsi="Arial"/>
                <w:sz w:val="18"/>
                <w:szCs w:val="18"/>
                <w:b w:val="1"/>
                <w:bCs w:val="1"/>
                <w:color w:val="auto"/>
                <w:w w:val="99"/>
                <w:vertAlign w:val="superscript"/>
              </w:rPr>
              <w:t>(1)</w:t>
            </w:r>
          </w:p>
        </w:tc>
        <w:tc>
          <w:tcPr>
            <w:tcW w:w="92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r>
      <w:tr>
        <w:trPr>
          <w:trHeight w:val="196"/>
        </w:trPr>
        <w:tc>
          <w:tcPr>
            <w:tcW w:w="2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$ 149,263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24,400</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$ 173,663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63,701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14,272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77,973</w:t>
            </w:r>
          </w:p>
        </w:tc>
        <w:tc>
          <w:tcPr>
            <w:tcW w:w="20" w:type="dxa"/>
            <w:vAlign w:val="bottom"/>
          </w:tcPr>
          <w:p>
            <w:pPr>
              <w:spacing w:after="0"/>
              <w:rPr>
                <w:sz w:val="17"/>
                <w:szCs w:val="17"/>
                <w:color w:val="auto"/>
              </w:rPr>
            </w:pPr>
          </w:p>
        </w:tc>
      </w:tr>
      <w:tr>
        <w:trPr>
          <w:trHeight w:val="182"/>
        </w:trPr>
        <w:tc>
          <w:tcPr>
            <w:tcW w:w="232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Non-Fuel Operating</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3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Expenses</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99,279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15,800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115,079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76,377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12,492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88,869</w:t>
            </w:r>
          </w:p>
        </w:tc>
        <w:tc>
          <w:tcPr>
            <w:tcW w:w="20" w:type="dxa"/>
            <w:vAlign w:val="bottom"/>
          </w:tcPr>
          <w:p>
            <w:pPr>
              <w:spacing w:after="0"/>
              <w:rPr>
                <w:sz w:val="17"/>
                <w:szCs w:val="17"/>
                <w:color w:val="auto"/>
              </w:rPr>
            </w:pPr>
          </w:p>
        </w:tc>
      </w:tr>
      <w:tr>
        <w:trPr>
          <w:trHeight w:val="203"/>
        </w:trPr>
        <w:tc>
          <w:tcPr>
            <w:tcW w:w="2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Aircraft Fuel</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36,556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13,139</w:t>
            </w:r>
          </w:p>
        </w:tc>
        <w:tc>
          <w:tcPr>
            <w:tcW w:w="20" w:type="dxa"/>
            <w:vAlign w:val="bottom"/>
          </w:tcPr>
          <w:p>
            <w:pPr>
              <w:spacing w:after="0"/>
              <w:rPr>
                <w:sz w:val="17"/>
                <w:szCs w:val="17"/>
                <w:color w:val="auto"/>
              </w:rPr>
            </w:pPr>
          </w:p>
        </w:tc>
      </w:tr>
      <w:tr>
        <w:trPr>
          <w:trHeight w:val="203"/>
        </w:trPr>
        <w:tc>
          <w:tcPr>
            <w:tcW w:w="2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Items, net</w:t>
            </w: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(25,534)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(7,318)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(32,852)</w:t>
            </w:r>
          </w:p>
        </w:tc>
        <w:tc>
          <w:tcPr>
            <w:tcW w:w="20" w:type="dxa"/>
            <w:vAlign w:val="bottom"/>
          </w:tcPr>
          <w:p>
            <w:pPr>
              <w:spacing w:after="0"/>
              <w:rPr>
                <w:sz w:val="17"/>
                <w:szCs w:val="17"/>
                <w:color w:val="auto"/>
              </w:rPr>
            </w:pPr>
          </w:p>
        </w:tc>
      </w:tr>
      <w:tr>
        <w:trPr>
          <w:trHeight w:val="196"/>
        </w:trPr>
        <w:tc>
          <w:tcPr>
            <w:tcW w:w="2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135,770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15,891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151,661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63,982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69,156</w:t>
            </w:r>
          </w:p>
        </w:tc>
        <w:tc>
          <w:tcPr>
            <w:tcW w:w="20" w:type="dxa"/>
            <w:vAlign w:val="bottom"/>
          </w:tcPr>
          <w:p>
            <w:pPr>
              <w:spacing w:after="0"/>
              <w:rPr>
                <w:sz w:val="17"/>
                <w:szCs w:val="17"/>
                <w:color w:val="auto"/>
              </w:rPr>
            </w:pPr>
          </w:p>
        </w:tc>
      </w:tr>
      <w:tr>
        <w:trPr>
          <w:trHeight w:val="236"/>
        </w:trPr>
        <w:tc>
          <w:tcPr>
            <w:tcW w:w="23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Operating Income (Loss)</w:t>
            </w:r>
          </w:p>
        </w:tc>
        <w:tc>
          <w:tcPr>
            <w:tcW w:w="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13,493</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8,509</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9,098</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8,817</w:t>
            </w:r>
          </w:p>
        </w:tc>
        <w:tc>
          <w:tcPr>
            <w:tcW w:w="20" w:type="dxa"/>
            <w:vAlign w:val="bottom"/>
          </w:tcPr>
          <w:p>
            <w:pPr>
              <w:spacing w:after="0"/>
              <w:rPr>
                <w:sz w:val="20"/>
                <w:szCs w:val="20"/>
                <w:color w:val="auto"/>
              </w:rPr>
            </w:pPr>
          </w:p>
        </w:tc>
      </w:tr>
      <w:tr>
        <w:trPr>
          <w:trHeight w:val="183"/>
        </w:trPr>
        <w:tc>
          <w:tcPr>
            <w:tcW w:w="23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r>
      <w:tr>
        <w:trPr>
          <w:trHeight w:val="203"/>
        </w:trPr>
        <w:tc>
          <w:tcPr>
            <w:tcW w:w="2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(6,286)</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(5,157)</w:t>
            </w:r>
          </w:p>
        </w:tc>
        <w:tc>
          <w:tcPr>
            <w:tcW w:w="20" w:type="dxa"/>
            <w:vAlign w:val="bottom"/>
          </w:tcPr>
          <w:p>
            <w:pPr>
              <w:spacing w:after="0"/>
              <w:rPr>
                <w:sz w:val="17"/>
                <w:szCs w:val="17"/>
                <w:color w:val="auto"/>
              </w:rPr>
            </w:pPr>
          </w:p>
        </w:tc>
      </w:tr>
      <w:tr>
        <w:trPr>
          <w:trHeight w:val="203"/>
        </w:trPr>
        <w:tc>
          <w:tcPr>
            <w:tcW w:w="2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r>
      <w:tr>
        <w:trPr>
          <w:trHeight w:val="196"/>
        </w:trPr>
        <w:tc>
          <w:tcPr>
            <w:tcW w:w="232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3,850</w:t>
            </w:r>
          </w:p>
        </w:tc>
        <w:tc>
          <w:tcPr>
            <w:tcW w:w="20" w:type="dxa"/>
            <w:vAlign w:val="bottom"/>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 September 30, 2021</w:t>
            </w:r>
          </w:p>
        </w:tc>
        <w:tc>
          <w:tcPr>
            <w:tcW w:w="2880" w:type="dxa"/>
            <w:vAlign w:val="bottom"/>
            <w:gridSpan w:val="13"/>
          </w:tcPr>
          <w:p>
            <w:pPr>
              <w:ind w:left="60"/>
              <w:spacing w:after="0"/>
              <w:rPr>
                <w:sz w:val="20"/>
                <w:szCs w:val="20"/>
                <w:color w:val="auto"/>
              </w:rPr>
            </w:pPr>
            <w:r>
              <w:rPr>
                <w:rFonts w:ascii="Arial" w:cs="Arial" w:eastAsia="Arial" w:hAnsi="Arial"/>
                <w:sz w:val="14"/>
                <w:szCs w:val="14"/>
                <w:b w:val="1"/>
                <w:bCs w:val="1"/>
                <w:color w:val="auto"/>
              </w:rPr>
              <w:t>Nine Months Ended September 30, 2020</w:t>
            </w:r>
          </w:p>
        </w:tc>
      </w:tr>
      <w:tr>
        <w:trPr>
          <w:trHeight w:val="155"/>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Passenger</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Cargo</w:t>
            </w:r>
          </w:p>
        </w:tc>
        <w:tc>
          <w:tcPr>
            <w:tcW w:w="9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3"/>
                <w:szCs w:val="13"/>
                <w:color w:val="auto"/>
              </w:rPr>
            </w:pPr>
          </w:p>
        </w:tc>
        <w:tc>
          <w:tcPr>
            <w:tcW w:w="960" w:type="dxa"/>
            <w:vAlign w:val="bottom"/>
            <w:tcBorders>
              <w:top w:val="single" w:sz="8" w:color="auto"/>
            </w:tcBorders>
            <w:gridSpan w:val="4"/>
          </w:tcPr>
          <w:p>
            <w:pPr>
              <w:ind w:left="40"/>
              <w:spacing w:after="0" w:line="155" w:lineRule="exact"/>
              <w:rPr>
                <w:sz w:val="20"/>
                <w:szCs w:val="20"/>
                <w:color w:val="auto"/>
              </w:rPr>
            </w:pPr>
            <w:r>
              <w:rPr>
                <w:rFonts w:ascii="Arial" w:cs="Arial" w:eastAsia="Arial" w:hAnsi="Arial"/>
                <w:sz w:val="14"/>
                <w:szCs w:val="14"/>
                <w:b w:val="1"/>
                <w:bCs w:val="1"/>
                <w:color w:val="auto"/>
              </w:rPr>
              <w:t>Passenger</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ind w:right="260"/>
              <w:spacing w:after="0" w:line="156" w:lineRule="exact"/>
              <w:rPr>
                <w:sz w:val="20"/>
                <w:szCs w:val="20"/>
                <w:color w:val="auto"/>
              </w:rPr>
            </w:pPr>
            <w:r>
              <w:rPr>
                <w:rFonts w:ascii="Arial" w:cs="Arial" w:eastAsia="Arial" w:hAnsi="Arial"/>
                <w:sz w:val="13"/>
                <w:szCs w:val="13"/>
                <w:b w:val="1"/>
                <w:bCs w:val="1"/>
                <w:color w:val="auto"/>
              </w:rPr>
              <w:t>Cargo</w:t>
            </w:r>
            <w:r>
              <w:rPr>
                <w:rFonts w:ascii="Arial" w:cs="Arial" w:eastAsia="Arial" w:hAnsi="Arial"/>
                <w:sz w:val="18"/>
                <w:szCs w:val="18"/>
                <w:b w:val="1"/>
                <w:bCs w:val="1"/>
                <w:color w:val="auto"/>
                <w:vertAlign w:val="superscript"/>
              </w:rPr>
              <w:t>(1)</w:t>
            </w: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9"/>
              </w:rPr>
              <w:t>Consolidated</w:t>
            </w:r>
          </w:p>
        </w:tc>
        <w:tc>
          <w:tcPr>
            <w:tcW w:w="20" w:type="dxa"/>
            <w:vAlign w:val="bottom"/>
          </w:tcPr>
          <w:p>
            <w:pPr>
              <w:spacing w:after="0"/>
              <w:rPr>
                <w:sz w:val="13"/>
                <w:szCs w:val="13"/>
                <w:color w:val="auto"/>
              </w:rPr>
            </w:pPr>
          </w:p>
        </w:tc>
      </w:tr>
      <w:tr>
        <w:trPr>
          <w:trHeight w:val="196"/>
        </w:trPr>
        <w:tc>
          <w:tcPr>
            <w:tcW w:w="2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8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$ 382,380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68,084</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$ 450,464</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$ 276,188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$ 293,679</w:t>
            </w:r>
          </w:p>
        </w:tc>
        <w:tc>
          <w:tcPr>
            <w:tcW w:w="20" w:type="dxa"/>
            <w:vAlign w:val="bottom"/>
          </w:tcPr>
          <w:p>
            <w:pPr>
              <w:spacing w:after="0"/>
              <w:rPr>
                <w:sz w:val="17"/>
                <w:szCs w:val="17"/>
                <w:color w:val="auto"/>
              </w:rPr>
            </w:pPr>
          </w:p>
        </w:tc>
      </w:tr>
      <w:tr>
        <w:trPr>
          <w:trHeight w:val="182"/>
        </w:trPr>
        <w:tc>
          <w:tcPr>
            <w:tcW w:w="2320" w:type="dxa"/>
            <w:vAlign w:val="bottom"/>
            <w:gridSpan w:val="2"/>
          </w:tcPr>
          <w:p>
            <w:pPr>
              <w:ind w:left="220"/>
              <w:spacing w:after="0" w:line="182" w:lineRule="exact"/>
              <w:rPr>
                <w:sz w:val="20"/>
                <w:szCs w:val="20"/>
                <w:color w:val="auto"/>
              </w:rPr>
            </w:pPr>
            <w:r>
              <w:rPr>
                <w:rFonts w:ascii="Arial" w:cs="Arial" w:eastAsia="Arial" w:hAnsi="Arial"/>
                <w:sz w:val="18"/>
                <w:szCs w:val="18"/>
                <w:color w:val="auto"/>
              </w:rPr>
              <w:t>Non-Fuel Operating</w:t>
            </w: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32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Expenses</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278,843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50,272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329,115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8"/>
              </w:rPr>
              <w:t>249,423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17,398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266,821</w:t>
            </w:r>
          </w:p>
        </w:tc>
        <w:tc>
          <w:tcPr>
            <w:tcW w:w="20" w:type="dxa"/>
            <w:vAlign w:val="bottom"/>
          </w:tcPr>
          <w:p>
            <w:pPr>
              <w:spacing w:after="0"/>
              <w:rPr>
                <w:sz w:val="17"/>
                <w:szCs w:val="17"/>
                <w:color w:val="auto"/>
              </w:rPr>
            </w:pPr>
          </w:p>
        </w:tc>
      </w:tr>
      <w:tr>
        <w:trPr>
          <w:trHeight w:val="203"/>
        </w:trPr>
        <w:tc>
          <w:tcPr>
            <w:tcW w:w="2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Aircraft Fuel</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90,468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69,377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69,377</w:t>
            </w:r>
          </w:p>
        </w:tc>
        <w:tc>
          <w:tcPr>
            <w:tcW w:w="20" w:type="dxa"/>
            <w:vAlign w:val="bottom"/>
          </w:tcPr>
          <w:p>
            <w:pPr>
              <w:spacing w:after="0"/>
              <w:rPr>
                <w:sz w:val="17"/>
                <w:szCs w:val="17"/>
                <w:color w:val="auto"/>
              </w:rPr>
            </w:pPr>
          </w:p>
        </w:tc>
      </w:tr>
      <w:tr>
        <w:trPr>
          <w:trHeight w:val="203"/>
        </w:trPr>
        <w:tc>
          <w:tcPr>
            <w:tcW w:w="2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Items, net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(47,055)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(18,401)</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(65,456)</w:t>
            </w:r>
          </w:p>
        </w:tc>
        <w:tc>
          <w:tcPr>
            <w:tcW w:w="120" w:type="dxa"/>
            <w:vAlign w:val="bottom"/>
          </w:tcPr>
          <w:p>
            <w:pPr>
              <w:spacing w:after="0"/>
              <w:rPr>
                <w:sz w:val="17"/>
                <w:szCs w:val="17"/>
                <w:color w:val="auto"/>
              </w:rPr>
            </w:pP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(53,646)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(10,687)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(64,333)</w:t>
            </w:r>
          </w:p>
        </w:tc>
        <w:tc>
          <w:tcPr>
            <w:tcW w:w="20" w:type="dxa"/>
            <w:vAlign w:val="bottom"/>
          </w:tcPr>
          <w:p>
            <w:pPr>
              <w:spacing w:after="0"/>
              <w:rPr>
                <w:sz w:val="17"/>
                <w:szCs w:val="17"/>
                <w:color w:val="auto"/>
              </w:rPr>
            </w:pPr>
          </w:p>
        </w:tc>
      </w:tr>
      <w:tr>
        <w:trPr>
          <w:trHeight w:val="196"/>
        </w:trPr>
        <w:tc>
          <w:tcPr>
            <w:tcW w:w="2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322,256</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32,034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354,290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265,154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271,865</w:t>
            </w:r>
          </w:p>
        </w:tc>
        <w:tc>
          <w:tcPr>
            <w:tcW w:w="20" w:type="dxa"/>
            <w:vAlign w:val="bottom"/>
          </w:tcPr>
          <w:p>
            <w:pPr>
              <w:spacing w:after="0"/>
              <w:rPr>
                <w:sz w:val="17"/>
                <w:szCs w:val="17"/>
                <w:color w:val="auto"/>
              </w:rPr>
            </w:pPr>
          </w:p>
        </w:tc>
      </w:tr>
      <w:tr>
        <w:trPr>
          <w:trHeight w:val="236"/>
        </w:trPr>
        <w:tc>
          <w:tcPr>
            <w:tcW w:w="232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Operating Income</w:t>
            </w:r>
          </w:p>
        </w:tc>
        <w:tc>
          <w:tcPr>
            <w:tcW w:w="8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  60,124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36,050</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96,174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11,034</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10,780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21,814</w:t>
            </w:r>
          </w:p>
        </w:tc>
        <w:tc>
          <w:tcPr>
            <w:tcW w:w="20" w:type="dxa"/>
            <w:vAlign w:val="bottom"/>
          </w:tcPr>
          <w:p>
            <w:pPr>
              <w:spacing w:after="0"/>
              <w:rPr>
                <w:sz w:val="20"/>
                <w:szCs w:val="20"/>
                <w:color w:val="auto"/>
              </w:rPr>
            </w:pPr>
          </w:p>
        </w:tc>
      </w:tr>
      <w:tr>
        <w:trPr>
          <w:trHeight w:val="183"/>
        </w:trPr>
        <w:tc>
          <w:tcPr>
            <w:tcW w:w="232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5"/>
                <w:szCs w:val="15"/>
                <w:color w:val="auto"/>
              </w:rPr>
            </w:pPr>
          </w:p>
        </w:tc>
      </w:tr>
      <w:tr>
        <w:trPr>
          <w:trHeight w:val="216"/>
        </w:trPr>
        <w:tc>
          <w:tcPr>
            <w:tcW w:w="232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(19,487)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(16,215)</w:t>
            </w:r>
          </w:p>
        </w:tc>
      </w:tr>
      <w:tr>
        <w:trPr>
          <w:trHeight w:val="216"/>
        </w:trPr>
        <w:tc>
          <w:tcPr>
            <w:tcW w:w="2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r>
      <w:tr>
        <w:trPr>
          <w:trHeight w:val="196"/>
        </w:trPr>
        <w:tc>
          <w:tcPr>
            <w:tcW w:w="2320" w:type="dxa"/>
            <w:vAlign w:val="bottom"/>
            <w:gridSpan w:val="2"/>
          </w:tcPr>
          <w:p>
            <w:pPr>
              <w:spacing w:after="0" w:line="196" w:lineRule="exact"/>
              <w:rPr>
                <w:sz w:val="20"/>
                <w:szCs w:val="20"/>
                <w:color w:val="auto"/>
              </w:rPr>
            </w:pPr>
            <w:r>
              <w:rPr>
                <w:rFonts w:ascii="Arial" w:cs="Arial" w:eastAsia="Arial" w:hAnsi="Arial"/>
                <w:sz w:val="18"/>
                <w:szCs w:val="18"/>
                <w:color w:val="auto"/>
              </w:rPr>
              <w:t>Income before Income Tax</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95,244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5,608</w:t>
            </w:r>
          </w:p>
        </w:tc>
        <w:tc>
          <w:tcPr>
            <w:tcW w:w="20" w:type="dxa"/>
            <w:vAlign w:val="bottom"/>
          </w:tcPr>
          <w:p>
            <w:pPr>
              <w:spacing w:after="0"/>
              <w:rPr>
                <w:sz w:val="17"/>
                <w:szCs w:val="17"/>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6"/>
        </w:trPr>
        <w:tc>
          <w:tcPr>
            <w:tcW w:w="2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80" w:lineRule="exact"/>
        <w:rPr>
          <w:sz w:val="20"/>
          <w:szCs w:val="20"/>
          <w:color w:val="auto"/>
        </w:rPr>
      </w:pPr>
    </w:p>
    <w:p>
      <w:pPr>
        <w:ind w:left="700" w:right="79" w:hanging="326"/>
        <w:spacing w:after="0" w:line="246" w:lineRule="auto"/>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air cargo operations commenced in May 2020, there are limited Cargo amounts included in the three and nine month periods ended September 30, 2020.</w:t>
      </w:r>
    </w:p>
    <w:p>
      <w:pPr>
        <w:spacing w:after="0" w:line="174"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9" w:lineRule="exact"/>
        <w:rPr>
          <w:rFonts w:ascii="Arial" w:cs="Arial" w:eastAsia="Arial" w:hAnsi="Arial"/>
          <w:sz w:val="18"/>
          <w:szCs w:val="18"/>
          <w:b w:val="1"/>
          <w:bCs w:val="1"/>
          <w:color w:val="auto"/>
        </w:rPr>
      </w:pPr>
    </w:p>
    <w:p>
      <w:pPr>
        <w:ind w:left="380" w:right="59"/>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The Company evaluated subsequent events for the period from the Balance Sheet date through November 1, 2021, the date that the Condensed Consolidated Financial Statements were available to be issued.</w:t>
      </w:r>
    </w:p>
    <w:p>
      <w:pPr>
        <w:spacing w:after="0" w:line="142" w:lineRule="exact"/>
        <w:rPr>
          <w:rFonts w:ascii="Arial" w:cs="Arial" w:eastAsia="Arial" w:hAnsi="Arial"/>
          <w:sz w:val="18"/>
          <w:szCs w:val="18"/>
          <w:b w:val="1"/>
          <w:bCs w:val="1"/>
          <w:color w:val="auto"/>
        </w:rPr>
      </w:pPr>
    </w:p>
    <w:p>
      <w:pPr>
        <w:ind w:left="4160"/>
        <w:spacing w:after="0"/>
        <w:rPr>
          <w:rFonts w:ascii="Arial" w:cs="Arial" w:eastAsia="Arial" w:hAnsi="Arial"/>
          <w:sz w:val="18"/>
          <w:szCs w:val="18"/>
          <w:b w:val="1"/>
          <w:bCs w:val="1"/>
          <w:color w:val="auto"/>
        </w:rPr>
      </w:pPr>
      <w:r>
        <w:rPr>
          <w:rFonts w:ascii="Arial" w:cs="Arial" w:eastAsia="Arial" w:hAnsi="Arial"/>
          <w:sz w:val="18"/>
          <w:szCs w:val="18"/>
          <w:color w:val="auto"/>
        </w:rPr>
        <w:t>* * * * * *</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32"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6"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unaudited condensed consolidated financial statements and the accompanying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discussed in our Final Prospectus dated March 16,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regarding recently adopted accounting pronouncements.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three and nine months ended September 30, 2021 and 2020. Also discussed is our financial position as of September 30, 2021 and December 31, 2020. This section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for the fiscal year ended December 31, 2020 included in our Registration Statement on Form S-1 (File No. 333-252858), as amended, including the final prospectus dated March 16, 2021 included therein (the “Final Prospectus”).This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“Risk Factors” to gain an understanding of the important factors that could cause actual results to differ materially from our forward-looking statements.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high growth, high margins and strong cash flows with greater resilience than other passenger airlines. We focus on serving leisure and “visiting friends and relatives” (“VFR”) passengers and charter customers as well as providing crew, maintenance and insurance (“CMI”) services to Amazon, with flights throughout the United States and to destinations in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scheduled service business combines low costs with a high 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both because it provides both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and professional sports teams. We are the primary air carrier for the National Collegiate Athletic Association (“NCAA”) Division I National Basketball Tournament (known as “March Madness”) and Division I Men’s Ice Hockey Championship (known as the “Frozen Four”). We flew over 70 college sports teams during the first nine months of 2021, which was lower than 2019 due to impacts of the COVID-19 pandemic.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December 13, 2019, we signed the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business also enables us to leverage certain assets, capabilities, and fixed costs to enhance profitability and promote growth across our Company.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Operations in Review</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have experienced a significant decline in demand related to the COVID-19 pandemic, which has caused a material decline in our 2020 and first nine months of 2021 revenues as compared to pre-pandemic levels, and has negatively impacted our financial condition and operating results.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February 10, 2021, Sun Country, Inc., our wholly-owned subsidiary (the “Borrower”), entered into a new Credit Agreement which provides for a $25,000 Revolving Credit Facility and a $90,000 Delayed Draw Term Loan Facility. We received CARES Act grants totaling $62,312 during 2020, and a CARES Act loan of $45,000 in October 2020. During the first half of 2021, we received grants totaling $37,040 and $34,547 under the Payroll Support Program Extension under the Consolidated Appropriations Act of 2021 (“PSP2”) and the American Rescue Plan Act of 2021 (“PSP3”), respectively. During the three months ended September 30, 2021, no CARES Act grants were received.</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the COVID-19 pandemic induced industry downturn has delayed our growth in 2020 and 2021 to date, we believe that our investments have positioned us to profitably grow our business in the long term following a rebound in the U.S. airline industry.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and expired passenger travel credits.</w:t>
      </w:r>
    </w:p>
    <w:p>
      <w:pPr>
        <w:spacing w:after="0" w:line="212"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business,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through our service to the U.S. Department of Defense, collegiate and professional sports teams, and casinos.</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of revenue generated from air travel-related services such as baggage</w:t>
      </w:r>
      <w:r>
        <w:rPr>
          <w:rFonts w:ascii="Arial" w:cs="Arial" w:eastAsia="Arial" w:hAnsi="Arial"/>
          <w:sz w:val="18"/>
          <w:szCs w:val="18"/>
          <w:i w:val="1"/>
          <w:iCs w:val="1"/>
          <w:color w:val="auto"/>
        </w:rPr>
        <w:t xml:space="preserve"> </w:t>
      </w:r>
      <w:r>
        <w:rPr>
          <w:rFonts w:ascii="Arial" w:cs="Arial" w:eastAsia="Arial" w:hAnsi="Arial"/>
          <w:sz w:val="18"/>
          <w:szCs w:val="18"/>
          <w:color w:val="auto"/>
        </w:rPr>
        <w:t>fees, seat selection and upgrade fees, itinerary service fees and on-board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e-commerce delivery services.</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other fees and the mark-to-market</w:t>
      </w:r>
      <w:r>
        <w:rPr>
          <w:rFonts w:ascii="Arial" w:cs="Arial" w:eastAsia="Arial" w:hAnsi="Arial"/>
          <w:sz w:val="18"/>
          <w:szCs w:val="18"/>
          <w:i w:val="1"/>
          <w:iCs w:val="1"/>
          <w:color w:val="auto"/>
        </w:rPr>
        <w:t xml:space="preserve"> </w:t>
      </w:r>
      <w:r>
        <w:rPr>
          <w:rFonts w:ascii="Arial" w:cs="Arial" w:eastAsia="Arial" w:hAnsi="Arial"/>
          <w:sz w:val="18"/>
          <w:szCs w:val="18"/>
          <w:color w:val="auto"/>
        </w:rPr>
        <w:t>gains and losses associated with our fuel derivative contracts since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85"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equity-based compensation, and profit sharing paid to employees for their services, as well as related expenses associated with medical benefits, employee benefit plans, employer payroll taxes and other employee related costs.</w:t>
      </w:r>
    </w:p>
    <w:p>
      <w:pPr>
        <w:spacing w:after="0" w:line="18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certain investment funds (the “Apollo Funds”) managed by affiliates of Apollo Global Management, Inc., which were established as part of the acquisition. See Note 6 to our Condensed Consolidated Financial Statements for further information on the over-market liabilities.</w:t>
      </w:r>
    </w:p>
    <w:p>
      <w:pPr>
        <w:spacing w:after="0" w:line="18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w:t>
      </w:r>
      <w:r>
        <w:rPr>
          <w:rFonts w:ascii="Arial" w:cs="Arial" w:eastAsia="Arial" w:hAnsi="Arial"/>
          <w:sz w:val="18"/>
          <w:szCs w:val="18"/>
          <w:i w:val="1"/>
          <w:iCs w:val="1"/>
          <w:color w:val="auto"/>
        </w:rPr>
        <w:t xml:space="preserve"> </w:t>
      </w:r>
      <w:r>
        <w:rPr>
          <w:rFonts w:ascii="Arial" w:cs="Arial" w:eastAsia="Arial" w:hAnsi="Arial"/>
          <w:sz w:val="18"/>
          <w:szCs w:val="18"/>
          <w:color w:val="auto"/>
        </w:rPr>
        <w:t>us and our third-party vendors to maintain our fleet. It excludes direct labor cost related to our own mechanics, which are included in salaries, wages, and benefits expense. It also excludes maintenance expenses, which are deferred based on the built-in overhaul method for owned and finance leased aircraft , which is subsequently amortized as a component of depreciation and amortization expense. Our maintenance expense is reduced due to recognizing a liability (or contra-asset) that offsets expenses for maintenance events incurred by the new owners of Sun Country, but paid for by the previous owners. For more information on these maintenance expense credits, see Note 6 to our Condensed Consolidated Financial Statements.</w:t>
      </w:r>
    </w:p>
    <w:p>
      <w:pPr>
        <w:spacing w:after="0" w:line="18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related global distribution systems fees, advertising, sponsorship and distribution costs, such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as the costs of our call centers, and costs associated with our loyalty program. It excludes related salary and wages of personnel, which are included in salaries, wages, and benefits expense.</w:t>
      </w:r>
    </w:p>
    <w:p>
      <w:pPr>
        <w:spacing w:after="0" w:line="179"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own and leasehold improvements, amortization of finance leased assets, as well as the amortization of finite-lived intangible assets. It also includes the depreciation of significant maintenance expenses deferred under the built-in overhaul method for owned and certain finance leased aircraft.</w:t>
      </w:r>
    </w:p>
    <w:p>
      <w:pPr>
        <w:spacing w:after="0" w:line="181"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w:t>
      </w:r>
      <w:r>
        <w:rPr>
          <w:rFonts w:ascii="Arial" w:cs="Arial" w:eastAsia="Arial" w:hAnsi="Arial"/>
          <w:sz w:val="18"/>
          <w:szCs w:val="18"/>
          <w:i w:val="1"/>
          <w:iCs w:val="1"/>
          <w:color w:val="auto"/>
        </w:rPr>
        <w:t xml:space="preserve"> </w:t>
      </w:r>
      <w:r>
        <w:rPr>
          <w:rFonts w:ascii="Arial" w:cs="Arial" w:eastAsia="Arial" w:hAnsi="Arial"/>
          <w:sz w:val="18"/>
          <w:szCs w:val="18"/>
          <w:color w:val="auto"/>
        </w:rPr>
        <w:t>counter and other ground services.</w:t>
      </w:r>
    </w:p>
    <w:p>
      <w:pPr>
        <w:spacing w:after="0" w:line="16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use of airport facilities.</w:t>
      </w:r>
    </w:p>
    <w:p>
      <w:pPr>
        <w:spacing w:after="0" w:line="160"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reflects expenses, or credits to expense, that are not representative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costs for the period presented and may vary from period to period in nature, frequency and amount.</w:t>
      </w:r>
    </w:p>
    <w:p>
      <w:pPr>
        <w:spacing w:after="0" w:line="13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1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is generally immaterial to our results of operations, reflecting the current low interest rate environment.</w:t>
      </w:r>
    </w:p>
    <w:p>
      <w:pPr>
        <w:spacing w:after="0" w:line="177"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as well as the amortization of debt financing costs.</w:t>
      </w:r>
    </w:p>
    <w:p>
      <w:pPr>
        <w:spacing w:after="0" w:line="160"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such as gain or loss on sale or retirement of assets and certain consulting expenses. The change in the TRA liability is also included here.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Income taxes are accounted for using the asset and liability method. A valuation allowance is recorded to reduce the deferred tax assets reported if, based on the weight of the evidence, it is more likely than not that some portion or all of the deferred tax assets will not be realized. Deferred taxes are recorded based on differences between the financial statement basis and tax basis of assets and liabilities and available tax loss and credit carryforwards. In assessing our ability to utilize our deferred tax assets, there is consideration on whether it is more likely than not that some or all of the deferred tax assets will be realized. All available evidence, both positive and negative, is considered in determining future taxable income on a jurisdiction by jurisdiction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28"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900" w:type="dxa"/>
            <w:vAlign w:val="bottom"/>
            <w:tcBorders>
              <w:top w:val="single" w:sz="8" w:color="auto"/>
              <w:bottom w:val="single" w:sz="8" w:color="auto"/>
            </w:tcBorders>
            <w:gridSpan w:val="9"/>
          </w:tcPr>
          <w:p>
            <w:pPr>
              <w:jc w:val="right"/>
              <w:ind w:right="326"/>
              <w:spacing w:after="0" w:line="135" w:lineRule="exact"/>
              <w:rPr>
                <w:sz w:val="20"/>
                <w:szCs w:val="20"/>
                <w:color w:val="auto"/>
              </w:rPr>
            </w:pPr>
            <w:r>
              <w:rPr>
                <w:rFonts w:ascii="Arial" w:cs="Arial" w:eastAsia="Arial" w:hAnsi="Arial"/>
                <w:sz w:val="10"/>
                <w:szCs w:val="10"/>
                <w:b w:val="1"/>
                <w:bCs w:val="1"/>
                <w:color w:val="auto"/>
              </w:rPr>
              <w:t xml:space="preserve">Three Months Ended September 30, 2021 </w:t>
            </w:r>
            <w:r>
              <w:rPr>
                <w:rFonts w:ascii="Arial" w:cs="Arial" w:eastAsia="Arial" w:hAnsi="Arial"/>
                <w:sz w:val="15"/>
                <w:szCs w:val="15"/>
                <w:b w:val="1"/>
                <w:bCs w:val="1"/>
                <w:color w:val="auto"/>
                <w:vertAlign w:val="superscript"/>
              </w:rPr>
              <w:t>(1)</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860" w:type="dxa"/>
            <w:vAlign w:val="bottom"/>
            <w:tcBorders>
              <w:top w:val="single" w:sz="8" w:color="auto"/>
              <w:bottom w:val="single" w:sz="8" w:color="auto"/>
            </w:tcBorders>
            <w:gridSpan w:val="9"/>
          </w:tcPr>
          <w:p>
            <w:pPr>
              <w:jc w:val="right"/>
              <w:ind w:right="306"/>
              <w:spacing w:after="0" w:line="135" w:lineRule="exact"/>
              <w:rPr>
                <w:sz w:val="20"/>
                <w:szCs w:val="20"/>
                <w:color w:val="auto"/>
              </w:rPr>
            </w:pPr>
            <w:r>
              <w:rPr>
                <w:rFonts w:ascii="Arial" w:cs="Arial" w:eastAsia="Arial" w:hAnsi="Arial"/>
                <w:sz w:val="10"/>
                <w:szCs w:val="10"/>
                <w:b w:val="1"/>
                <w:bCs w:val="1"/>
                <w:color w:val="auto"/>
              </w:rPr>
              <w:t xml:space="preserve">Three Months Ended September 30, 2020 </w:t>
            </w:r>
            <w:r>
              <w:rPr>
                <w:rFonts w:ascii="Arial" w:cs="Arial" w:eastAsia="Arial" w:hAnsi="Arial"/>
                <w:sz w:val="15"/>
                <w:szCs w:val="15"/>
                <w:b w:val="1"/>
                <w:bCs w:val="1"/>
                <w:color w:val="auto"/>
                <w:vertAlign w:val="superscript"/>
              </w:rPr>
              <w:t>(1)</w:t>
            </w:r>
          </w:p>
        </w:tc>
      </w:tr>
      <w:tr>
        <w:trPr>
          <w:trHeight w:val="100"/>
        </w:trPr>
        <w:tc>
          <w:tcPr>
            <w:tcW w:w="2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4"/>
          </w:tcPr>
          <w:p>
            <w:pPr>
              <w:jc w:val="center"/>
              <w:ind w:right="240"/>
              <w:spacing w:after="0" w:line="100" w:lineRule="exact"/>
              <w:rPr>
                <w:sz w:val="20"/>
                <w:szCs w:val="20"/>
                <w:color w:val="auto"/>
              </w:rPr>
            </w:pPr>
            <w:r>
              <w:rPr>
                <w:rFonts w:ascii="Arial" w:cs="Arial" w:eastAsia="Arial" w:hAnsi="Arial"/>
                <w:sz w:val="11"/>
                <w:szCs w:val="11"/>
                <w:b w:val="1"/>
                <w:bCs w:val="1"/>
                <w:color w:val="auto"/>
                <w:w w:val="96"/>
              </w:rPr>
              <w:t>Scheduled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4"/>
          </w:tcPr>
          <w:p>
            <w:pPr>
              <w:jc w:val="center"/>
              <w:ind w:right="240"/>
              <w:spacing w:after="0" w:line="100" w:lineRule="exact"/>
              <w:rPr>
                <w:sz w:val="20"/>
                <w:szCs w:val="20"/>
                <w:color w:val="auto"/>
              </w:rPr>
            </w:pPr>
            <w:r>
              <w:rPr>
                <w:rFonts w:ascii="Arial" w:cs="Arial" w:eastAsia="Arial" w:hAnsi="Arial"/>
                <w:sz w:val="11"/>
                <w:szCs w:val="11"/>
                <w:b w:val="1"/>
                <w:bCs w:val="1"/>
                <w:color w:val="auto"/>
                <w:w w:val="96"/>
              </w:rPr>
              <w:t>Scheduled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37"/>
        </w:trPr>
        <w:tc>
          <w:tcPr>
            <w:tcW w:w="2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Service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Charter</w:t>
            </w:r>
          </w:p>
        </w:tc>
        <w:tc>
          <w:tcPr>
            <w:tcW w:w="80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Cargo</w:t>
            </w: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Service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Charter</w:t>
            </w:r>
          </w:p>
        </w:tc>
        <w:tc>
          <w:tcPr>
            <w:tcW w:w="820" w:type="dxa"/>
            <w:vAlign w:val="bottom"/>
            <w:gridSpan w:val="3"/>
          </w:tcPr>
          <w:p>
            <w:pPr>
              <w:jc w:val="right"/>
              <w:ind w:right="380"/>
              <w:spacing w:after="0"/>
              <w:rPr>
                <w:sz w:val="20"/>
                <w:szCs w:val="20"/>
                <w:color w:val="auto"/>
              </w:rPr>
            </w:pPr>
            <w:r>
              <w:rPr>
                <w:rFonts w:ascii="Arial" w:cs="Arial" w:eastAsia="Arial" w:hAnsi="Arial"/>
                <w:sz w:val="11"/>
                <w:szCs w:val="11"/>
                <w:b w:val="1"/>
                <w:bCs w:val="1"/>
                <w:color w:val="auto"/>
              </w:rPr>
              <w:t>Cargo</w:t>
            </w:r>
          </w:p>
        </w:tc>
        <w:tc>
          <w:tcPr>
            <w:tcW w:w="560" w:type="dxa"/>
            <w:vAlign w:val="bottom"/>
          </w:tcPr>
          <w:p>
            <w:pPr>
              <w:jc w:val="right"/>
              <w:ind w:right="166"/>
              <w:spacing w:after="0"/>
              <w:rPr>
                <w:sz w:val="20"/>
                <w:szCs w:val="20"/>
                <w:color w:val="auto"/>
              </w:rPr>
            </w:pPr>
            <w:r>
              <w:rPr>
                <w:rFonts w:ascii="Arial" w:cs="Arial" w:eastAsia="Arial" w:hAnsi="Arial"/>
                <w:sz w:val="11"/>
                <w:szCs w:val="11"/>
                <w:b w:val="1"/>
                <w:bCs w:val="1"/>
                <w:color w:val="auto"/>
              </w:rPr>
              <w:t>Total</w:t>
            </w:r>
          </w:p>
        </w:tc>
      </w:tr>
      <w:tr>
        <w:trPr>
          <w:trHeight w:val="115"/>
        </w:trPr>
        <w:tc>
          <w:tcPr>
            <w:tcW w:w="26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9"/>
                <w:szCs w:val="9"/>
                <w:color w:val="auto"/>
              </w:rPr>
              <w:t xml:space="preserve">Departures </w:t>
            </w:r>
            <w:r>
              <w:rPr>
                <w:rFonts w:ascii="Arial" w:cs="Arial" w:eastAsia="Arial" w:hAnsi="Arial"/>
                <w:sz w:val="13"/>
                <w:szCs w:val="13"/>
                <w:color w:val="auto"/>
                <w:vertAlign w:val="superscript"/>
              </w:rPr>
              <w:t>(2)</w:t>
            </w: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5,533</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1,798</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2,912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10,299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3,364</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1,324</w:t>
            </w: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1,818</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6,549</w:t>
            </w:r>
          </w:p>
        </w:tc>
      </w:tr>
      <w:tr>
        <w:trPr>
          <w:trHeight w:val="121"/>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Block hours </w:t>
            </w:r>
            <w:r>
              <w:rPr>
                <w:rFonts w:ascii="Arial" w:cs="Arial" w:eastAsia="Arial" w:hAnsi="Arial"/>
                <w:sz w:val="14"/>
                <w:szCs w:val="14"/>
                <w:color w:val="auto"/>
                <w:vertAlign w:val="superscript"/>
              </w:rPr>
              <w:t>(2)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17,313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3,835</w:t>
            </w:r>
          </w:p>
        </w:tc>
        <w:tc>
          <w:tcPr>
            <w:tcW w:w="14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Arial" w:cs="Arial" w:eastAsia="Arial" w:hAnsi="Arial"/>
                <w:sz w:val="11"/>
                <w:szCs w:val="11"/>
                <w:color w:val="auto"/>
              </w:rPr>
              <w:t>8,533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29,842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9,998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2,920</w:t>
            </w:r>
          </w:p>
        </w:tc>
        <w:tc>
          <w:tcPr>
            <w:tcW w:w="1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5,168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18,191</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Aircraft miles </w:t>
            </w:r>
            <w:r>
              <w:rPr>
                <w:rFonts w:ascii="Arial" w:cs="Arial" w:eastAsia="Arial" w:hAnsi="Arial"/>
                <w:sz w:val="14"/>
                <w:szCs w:val="14"/>
                <w:color w:val="auto"/>
                <w:vertAlign w:val="superscript"/>
              </w:rPr>
              <w:t>(2)</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7,046,575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1,423,300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3,376,084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11,897,035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4,104,095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1,126,392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2,119,442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7,381,323</w:t>
            </w: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Available seat miles (ASMs) (thousands) </w:t>
            </w:r>
            <w:r>
              <w:rPr>
                <w:rFonts w:ascii="Arial" w:cs="Arial" w:eastAsia="Arial" w:hAnsi="Arial"/>
                <w:sz w:val="14"/>
                <w:szCs w:val="14"/>
                <w:color w:val="auto"/>
                <w:vertAlign w:val="superscript"/>
              </w:rPr>
              <w:t>(2)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1,296,555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244,393</w:t>
            </w:r>
          </w:p>
        </w:tc>
        <w:tc>
          <w:tcPr>
            <w:tcW w:w="140" w:type="dxa"/>
            <w:vAlign w:val="bottom"/>
          </w:tcPr>
          <w:p>
            <w:pPr>
              <w:spacing w:after="0"/>
              <w:rPr>
                <w:sz w:val="10"/>
                <w:szCs w:val="10"/>
                <w:color w:val="auto"/>
              </w:rPr>
            </w:pPr>
          </w:p>
        </w:tc>
        <w:tc>
          <w:tcPr>
            <w:tcW w:w="800" w:type="dxa"/>
            <w:vAlign w:val="bottom"/>
            <w:gridSpan w:val="3"/>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1,549,432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763,362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205,594</w:t>
            </w:r>
          </w:p>
        </w:tc>
        <w:tc>
          <w:tcPr>
            <w:tcW w:w="140" w:type="dxa"/>
            <w:vAlign w:val="bottom"/>
          </w:tcPr>
          <w:p>
            <w:pPr>
              <w:spacing w:after="0"/>
              <w:rPr>
                <w:sz w:val="10"/>
                <w:szCs w:val="10"/>
                <w:color w:val="auto"/>
              </w:rPr>
            </w:pPr>
          </w:p>
        </w:tc>
        <w:tc>
          <w:tcPr>
            <w:tcW w:w="820" w:type="dxa"/>
            <w:vAlign w:val="bottom"/>
            <w:gridSpan w:val="3"/>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974,584</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Total revenue per ASM (TRASM) (cents) </w:t>
            </w:r>
            <w:r>
              <w:rPr>
                <w:rFonts w:ascii="Arial" w:cs="Arial" w:eastAsia="Arial" w:hAnsi="Arial"/>
                <w:sz w:val="14"/>
                <w:szCs w:val="14"/>
                <w:color w:val="auto"/>
                <w:vertAlign w:val="superscript"/>
              </w:rPr>
              <w:t>(3)</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9.63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6.54</w:t>
            </w: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Average passenger aircraft during the period </w:t>
            </w:r>
            <w:r>
              <w:rPr>
                <w:rFonts w:ascii="Arial" w:cs="Arial" w:eastAsia="Arial" w:hAnsi="Arial"/>
                <w:sz w:val="14"/>
                <w:szCs w:val="14"/>
                <w:color w:val="auto"/>
                <w:vertAlign w:val="superscript"/>
              </w:rPr>
              <w:t>(3)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32.9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31.0</w:t>
            </w:r>
          </w:p>
        </w:tc>
      </w:tr>
      <w:tr>
        <w:trPr>
          <w:trHeight w:val="121"/>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Passenger aircraft at end of period </w:t>
            </w:r>
            <w:r>
              <w:rPr>
                <w:rFonts w:ascii="Arial" w:cs="Arial" w:eastAsia="Arial" w:hAnsi="Arial"/>
                <w:sz w:val="14"/>
                <w:szCs w:val="14"/>
                <w:color w:val="auto"/>
                <w:vertAlign w:val="superscript"/>
              </w:rPr>
              <w:t>(3)</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Cargo aircraft at end of period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Average daily aircraft utilization (hours) </w:t>
            </w:r>
            <w:r>
              <w:rPr>
                <w:rFonts w:ascii="Arial" w:cs="Arial" w:eastAsia="Arial" w:hAnsi="Arial"/>
                <w:sz w:val="14"/>
                <w:szCs w:val="14"/>
                <w:color w:val="auto"/>
                <w:vertAlign w:val="superscript"/>
              </w:rPr>
              <w:t>(3)</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w:t>
            </w: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1"/>
                <w:szCs w:val="11"/>
                <w:color w:val="auto"/>
              </w:rPr>
              <w:t>Average stage length (miles)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1,155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1,116</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Revenue passengers carried </w:t>
            </w:r>
            <w:r>
              <w:rPr>
                <w:rFonts w:ascii="Arial" w:cs="Arial" w:eastAsia="Arial" w:hAnsi="Arial"/>
                <w:sz w:val="14"/>
                <w:szCs w:val="14"/>
                <w:color w:val="auto"/>
                <w:vertAlign w:val="superscript"/>
              </w:rPr>
              <w:t>(4)</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785,348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337,887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21"/>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Revenue passenger miles (RPMs) (thousands) </w:t>
            </w:r>
            <w:r>
              <w:rPr>
                <w:rFonts w:ascii="Arial" w:cs="Arial" w:eastAsia="Arial" w:hAnsi="Arial"/>
                <w:sz w:val="14"/>
                <w:szCs w:val="14"/>
                <w:color w:val="auto"/>
                <w:vertAlign w:val="superscript"/>
              </w:rPr>
              <w:t>(4)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1,011,936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418,223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Passenger revenue per ASM (PRASM) (cents) </w:t>
            </w:r>
            <w:r>
              <w:rPr>
                <w:rFonts w:ascii="Arial" w:cs="Arial" w:eastAsia="Arial" w:hAnsi="Arial"/>
                <w:sz w:val="14"/>
                <w:szCs w:val="14"/>
                <w:color w:val="auto"/>
                <w:vertAlign w:val="superscript"/>
              </w:rPr>
              <w:t>(4)</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Load factor </w:t>
            </w:r>
            <w:r>
              <w:rPr>
                <w:rFonts w:ascii="Arial" w:cs="Arial" w:eastAsia="Arial" w:hAnsi="Arial"/>
                <w:sz w:val="14"/>
                <w:szCs w:val="14"/>
                <w:color w:val="auto"/>
                <w:vertAlign w:val="superscript"/>
              </w:rPr>
              <w:t>(4)</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78.0 %</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54.8 %</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Average base fare per passenger </w:t>
            </w:r>
            <w:r>
              <w:rPr>
                <w:rFonts w:ascii="Arial" w:cs="Arial" w:eastAsia="Arial" w:hAnsi="Arial"/>
                <w:sz w:val="14"/>
                <w:szCs w:val="14"/>
                <w:color w:val="auto"/>
                <w:vertAlign w:val="superscript"/>
              </w:rPr>
              <w:t>(4)</w:t>
            </w:r>
          </w:p>
        </w:tc>
        <w:tc>
          <w:tcPr>
            <w:tcW w:w="3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102.14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79.77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21"/>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Ancillary revenue per passenger </w:t>
            </w:r>
            <w:r>
              <w:rPr>
                <w:rFonts w:ascii="Arial" w:cs="Arial" w:eastAsia="Arial" w:hAnsi="Arial"/>
                <w:sz w:val="14"/>
                <w:szCs w:val="14"/>
                <w:color w:val="auto"/>
                <w:vertAlign w:val="superscript"/>
              </w:rPr>
              <w:t>(4)</w:t>
            </w: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42.91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36.27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Charter revenue per block hour</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8,816</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7,967</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0"/>
                <w:szCs w:val="10"/>
                <w:color w:val="auto"/>
              </w:rPr>
              <w:t xml:space="preserve">Fuel gallons consumed (thousands) </w:t>
            </w:r>
            <w:r>
              <w:rPr>
                <w:rFonts w:ascii="Arial" w:cs="Arial" w:eastAsia="Arial" w:hAnsi="Arial"/>
                <w:sz w:val="14"/>
                <w:szCs w:val="14"/>
                <w:color w:val="auto"/>
                <w:vertAlign w:val="superscript"/>
              </w:rPr>
              <w:t>(2)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13,475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2,760</w:t>
            </w:r>
          </w:p>
        </w:tc>
        <w:tc>
          <w:tcPr>
            <w:tcW w:w="140" w:type="dxa"/>
            <w:vAlign w:val="bottom"/>
          </w:tcPr>
          <w:p>
            <w:pPr>
              <w:spacing w:after="0"/>
              <w:rPr>
                <w:sz w:val="10"/>
                <w:szCs w:val="10"/>
                <w:color w:val="auto"/>
              </w:rPr>
            </w:pPr>
          </w:p>
        </w:tc>
        <w:tc>
          <w:tcPr>
            <w:tcW w:w="800" w:type="dxa"/>
            <w:vAlign w:val="bottom"/>
            <w:gridSpan w:val="3"/>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16,321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7,403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2,098</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9,558</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Fuel cost per gallon, excluding derivatives</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1.40</w:t>
            </w:r>
          </w:p>
        </w:tc>
      </w:tr>
      <w:tr>
        <w:trPr>
          <w:trHeight w:val="121"/>
        </w:trPr>
        <w:tc>
          <w:tcPr>
            <w:tcW w:w="2600" w:type="dxa"/>
            <w:vAlign w:val="bottom"/>
          </w:tcPr>
          <w:p>
            <w:pPr>
              <w:spacing w:after="0" w:line="122" w:lineRule="exact"/>
              <w:rPr>
                <w:sz w:val="20"/>
                <w:szCs w:val="20"/>
                <w:color w:val="auto"/>
              </w:rPr>
            </w:pPr>
            <w:r>
              <w:rPr>
                <w:rFonts w:ascii="Arial" w:cs="Arial" w:eastAsia="Arial" w:hAnsi="Arial"/>
                <w:sz w:val="11"/>
                <w:szCs w:val="11"/>
                <w:color w:val="auto"/>
              </w:rPr>
              <w:t>Employees at end of period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2,014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1,632</w:t>
            </w:r>
          </w:p>
        </w:tc>
      </w:tr>
      <w:tr>
        <w:trPr>
          <w:trHeight w:val="122"/>
        </w:trPr>
        <w:tc>
          <w:tcPr>
            <w:tcW w:w="26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Cost per available seat mile (CASM) (cents) </w:t>
            </w:r>
            <w:r>
              <w:rPr>
                <w:rFonts w:ascii="Arial" w:cs="Arial" w:eastAsia="Arial" w:hAnsi="Arial"/>
                <w:sz w:val="14"/>
                <w:szCs w:val="14"/>
                <w:color w:val="auto"/>
                <w:vertAlign w:val="superscript"/>
              </w:rPr>
              <w:t>(5)</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7.10</w:t>
            </w:r>
          </w:p>
        </w:tc>
      </w:tr>
      <w:tr>
        <w:trPr>
          <w:trHeight w:val="207"/>
        </w:trPr>
        <w:tc>
          <w:tcPr>
            <w:tcW w:w="2600" w:type="dxa"/>
            <w:vAlign w:val="bottom"/>
          </w:tcPr>
          <w:p>
            <w:pPr>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6"/>
                <w:szCs w:val="16"/>
                <w:color w:val="auto"/>
                <w:vertAlign w:val="superscript"/>
              </w:rPr>
              <w:t>(6)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1414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09" w:lineRule="exact"/>
        <w:rPr>
          <w:sz w:val="20"/>
          <w:szCs w:val="20"/>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operating statistics and metrics are not presented as they are not calculable or are not utilized by management.</w:t>
      </w:r>
    </w:p>
    <w:p>
      <w:pPr>
        <w:spacing w:after="0" w:line="196"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spacing w:after="0" w:line="202"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Scheduled service and charter service utilize the same fleet of aircraft. Aircraft counts and utilization metrics are shown on a system basis only.</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Passenger-related statistics and metrics are shown only for scheduled service. Charter service revenue is driven by flight statistics.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CASM is a key airline cost metric. CASM is defined as operating expenses divided by total available seat miles.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CASM is a non-GAAP measure derived from CASM by excluding fuel costs, costs related to our cargo operations, special items, and certain other costs.</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4400" w:hanging="106"/>
        <w:spacing w:after="0"/>
        <w:tabs>
          <w:tab w:leader="none" w:pos="4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900" w:type="dxa"/>
            <w:vAlign w:val="bottom"/>
            <w:tcBorders>
              <w:top w:val="single" w:sz="8" w:color="auto"/>
              <w:bottom w:val="single" w:sz="8" w:color="auto"/>
            </w:tcBorders>
            <w:gridSpan w:val="9"/>
          </w:tcPr>
          <w:p>
            <w:pPr>
              <w:jc w:val="right"/>
              <w:ind w:right="346"/>
              <w:spacing w:after="0" w:line="135" w:lineRule="exact"/>
              <w:rPr>
                <w:sz w:val="20"/>
                <w:szCs w:val="20"/>
                <w:color w:val="auto"/>
              </w:rPr>
            </w:pPr>
            <w:r>
              <w:rPr>
                <w:rFonts w:ascii="Arial" w:cs="Arial" w:eastAsia="Arial" w:hAnsi="Arial"/>
                <w:sz w:val="10"/>
                <w:szCs w:val="10"/>
                <w:b w:val="1"/>
                <w:bCs w:val="1"/>
                <w:color w:val="auto"/>
              </w:rPr>
              <w:t xml:space="preserve">Nine Months Ended September 30, 2021 </w:t>
            </w:r>
            <w:r>
              <w:rPr>
                <w:rFonts w:ascii="Arial" w:cs="Arial" w:eastAsia="Arial" w:hAnsi="Arial"/>
                <w:sz w:val="15"/>
                <w:szCs w:val="15"/>
                <w:b w:val="1"/>
                <w:bCs w:val="1"/>
                <w:color w:val="auto"/>
                <w:vertAlign w:val="superscript"/>
              </w:rPr>
              <w:t>(1)</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940" w:type="dxa"/>
            <w:vAlign w:val="bottom"/>
            <w:tcBorders>
              <w:top w:val="single" w:sz="8" w:color="auto"/>
              <w:bottom w:val="single" w:sz="8" w:color="auto"/>
            </w:tcBorders>
            <w:gridSpan w:val="9"/>
          </w:tcPr>
          <w:p>
            <w:pPr>
              <w:jc w:val="right"/>
              <w:ind w:right="366"/>
              <w:spacing w:after="0" w:line="135" w:lineRule="exact"/>
              <w:rPr>
                <w:sz w:val="20"/>
                <w:szCs w:val="20"/>
                <w:color w:val="auto"/>
              </w:rPr>
            </w:pPr>
            <w:r>
              <w:rPr>
                <w:rFonts w:ascii="Arial" w:cs="Arial" w:eastAsia="Arial" w:hAnsi="Arial"/>
                <w:sz w:val="10"/>
                <w:szCs w:val="10"/>
                <w:b w:val="1"/>
                <w:bCs w:val="1"/>
                <w:color w:val="auto"/>
              </w:rPr>
              <w:t xml:space="preserve">Nine Months Ended September 30, 2020 </w:t>
            </w:r>
            <w:r>
              <w:rPr>
                <w:rFonts w:ascii="Arial" w:cs="Arial" w:eastAsia="Arial" w:hAnsi="Arial"/>
                <w:sz w:val="15"/>
                <w:szCs w:val="15"/>
                <w:b w:val="1"/>
                <w:bCs w:val="1"/>
                <w:color w:val="auto"/>
                <w:vertAlign w:val="superscript"/>
              </w:rPr>
              <w:t>(1)</w:t>
            </w:r>
          </w:p>
        </w:tc>
      </w:tr>
      <w:tr>
        <w:trPr>
          <w:trHeight w:val="100"/>
        </w:trPr>
        <w:tc>
          <w:tcPr>
            <w:tcW w:w="2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3"/>
          </w:tcPr>
          <w:p>
            <w:pPr>
              <w:jc w:val="center"/>
              <w:ind w:right="280"/>
              <w:spacing w:after="0" w:line="100" w:lineRule="exact"/>
              <w:rPr>
                <w:sz w:val="20"/>
                <w:szCs w:val="20"/>
                <w:color w:val="auto"/>
              </w:rPr>
            </w:pPr>
            <w:r>
              <w:rPr>
                <w:rFonts w:ascii="Arial" w:cs="Arial" w:eastAsia="Arial" w:hAnsi="Arial"/>
                <w:sz w:val="11"/>
                <w:szCs w:val="11"/>
                <w:b w:val="1"/>
                <w:bCs w:val="1"/>
                <w:color w:val="auto"/>
              </w:rPr>
              <w:t>Scheduled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center"/>
              <w:ind w:right="300"/>
              <w:spacing w:after="0" w:line="100" w:lineRule="exact"/>
              <w:rPr>
                <w:sz w:val="20"/>
                <w:szCs w:val="20"/>
                <w:color w:val="auto"/>
              </w:rPr>
            </w:pPr>
            <w:r>
              <w:rPr>
                <w:rFonts w:ascii="Arial" w:cs="Arial" w:eastAsia="Arial" w:hAnsi="Arial"/>
                <w:sz w:val="11"/>
                <w:szCs w:val="11"/>
                <w:b w:val="1"/>
                <w:bCs w:val="1"/>
                <w:color w:val="auto"/>
                <w:w w:val="96"/>
              </w:rPr>
              <w:t>Scheduled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37"/>
        </w:trPr>
        <w:tc>
          <w:tcPr>
            <w:tcW w:w="2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Service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Charter</w:t>
            </w:r>
          </w:p>
        </w:tc>
        <w:tc>
          <w:tcPr>
            <w:tcW w:w="76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Cargo</w:t>
            </w: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96"/>
              </w:rPr>
              <w:t>Service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Charter</w:t>
            </w:r>
          </w:p>
        </w:tc>
        <w:tc>
          <w:tcPr>
            <w:tcW w:w="80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Cargo</w:t>
            </w: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Total</w:t>
            </w:r>
          </w:p>
        </w:tc>
      </w:tr>
      <w:tr>
        <w:trPr>
          <w:trHeight w:val="115"/>
        </w:trPr>
        <w:tc>
          <w:tcPr>
            <w:tcW w:w="25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9"/>
                <w:szCs w:val="9"/>
                <w:color w:val="auto"/>
              </w:rPr>
              <w:t xml:space="preserve">Departures </w:t>
            </w:r>
            <w:r>
              <w:rPr>
                <w:rFonts w:ascii="Arial" w:cs="Arial" w:eastAsia="Arial" w:hAnsi="Arial"/>
                <w:sz w:val="13"/>
                <w:szCs w:val="13"/>
                <w:color w:val="auto"/>
                <w:vertAlign w:val="superscript"/>
              </w:rPr>
              <w:t>(2)</w:t>
            </w: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14,777</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5,036</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8,229</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28,196</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10,546</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3,480</w:t>
            </w: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2,231</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16,396</w:t>
            </w: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Block hours </w:t>
            </w:r>
            <w:r>
              <w:rPr>
                <w:rFonts w:ascii="Arial" w:cs="Arial" w:eastAsia="Arial" w:hAnsi="Arial"/>
                <w:sz w:val="14"/>
                <w:szCs w:val="14"/>
                <w:color w:val="auto"/>
                <w:vertAlign w:val="superscript"/>
              </w:rPr>
              <w:t>(2)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48,420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10,822</w:t>
            </w: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24,973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84,648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34,416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7,853</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6,244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48,882</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Aircraft miles </w:t>
            </w:r>
            <w:r>
              <w:rPr>
                <w:rFonts w:ascii="Arial" w:cs="Arial" w:eastAsia="Arial" w:hAnsi="Arial"/>
                <w:sz w:val="14"/>
                <w:szCs w:val="14"/>
                <w:color w:val="auto"/>
                <w:vertAlign w:val="superscript"/>
              </w:rPr>
              <w:t>(2)</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19,758,087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97"/>
              </w:rPr>
              <w:t>4,005,794</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9,884,576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33,780,294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13,971,834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2,964,186</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2,574,422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19,616,211</w:t>
            </w: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Available seat miles (ASMs) (thousands) </w:t>
            </w:r>
            <w:r>
              <w:rPr>
                <w:rFonts w:ascii="Arial" w:cs="Arial" w:eastAsia="Arial" w:hAnsi="Arial"/>
                <w:sz w:val="14"/>
                <w:szCs w:val="14"/>
                <w:color w:val="auto"/>
                <w:vertAlign w:val="superscript"/>
              </w:rPr>
              <w:t>(2)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3,653,335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Arial" w:cs="Arial" w:eastAsia="Arial" w:hAnsi="Arial"/>
                <w:sz w:val="11"/>
                <w:szCs w:val="11"/>
                <w:color w:val="auto"/>
              </w:rPr>
              <w:t>693,837</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4,368,972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2,589,606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540,284</w:t>
            </w:r>
          </w:p>
        </w:tc>
        <w:tc>
          <w:tcPr>
            <w:tcW w:w="120" w:type="dxa"/>
            <w:vAlign w:val="bottom"/>
          </w:tcPr>
          <w:p>
            <w:pPr>
              <w:spacing w:after="0"/>
              <w:rPr>
                <w:sz w:val="10"/>
                <w:szCs w:val="10"/>
                <w:color w:val="auto"/>
              </w:rPr>
            </w:pPr>
          </w:p>
        </w:tc>
        <w:tc>
          <w:tcPr>
            <w:tcW w:w="80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3,149,189</w:t>
            </w:r>
          </w:p>
        </w:tc>
      </w:tr>
      <w:tr>
        <w:trPr>
          <w:trHeight w:val="121"/>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Total revenue per ASM (TRASM) (cents) </w:t>
            </w:r>
            <w:r>
              <w:rPr>
                <w:rFonts w:ascii="Arial" w:cs="Arial" w:eastAsia="Arial" w:hAnsi="Arial"/>
                <w:sz w:val="14"/>
                <w:szCs w:val="14"/>
                <w:color w:val="auto"/>
                <w:vertAlign w:val="superscript"/>
              </w:rPr>
              <w:t>(3)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8.77</w:t>
            </w: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Average passenger aircraft during the period </w:t>
            </w:r>
            <w:r>
              <w:rPr>
                <w:rFonts w:ascii="Arial" w:cs="Arial" w:eastAsia="Arial" w:hAnsi="Arial"/>
                <w:sz w:val="14"/>
                <w:szCs w:val="14"/>
                <w:color w:val="auto"/>
                <w:vertAlign w:val="superscript"/>
              </w:rPr>
              <w:t>(3)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31.4</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Passenger aircraft at end of period </w:t>
            </w:r>
            <w:r>
              <w:rPr>
                <w:rFonts w:ascii="Arial" w:cs="Arial" w:eastAsia="Arial" w:hAnsi="Arial"/>
                <w:sz w:val="14"/>
                <w:szCs w:val="14"/>
                <w:color w:val="auto"/>
                <w:vertAlign w:val="superscript"/>
              </w:rPr>
              <w:t>(3)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1"/>
                <w:szCs w:val="11"/>
                <w:color w:val="auto"/>
              </w:rPr>
              <w:t>Cargo aircraft at end of period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Average daily aircraft utilization (hours) </w:t>
            </w:r>
            <w:r>
              <w:rPr>
                <w:rFonts w:ascii="Arial" w:cs="Arial" w:eastAsia="Arial" w:hAnsi="Arial"/>
                <w:sz w:val="14"/>
                <w:szCs w:val="14"/>
                <w:color w:val="auto"/>
                <w:vertAlign w:val="superscript"/>
              </w:rPr>
              <w:t>(3)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w:t>
            </w:r>
          </w:p>
        </w:tc>
      </w:tr>
      <w:tr>
        <w:trPr>
          <w:trHeight w:val="121"/>
        </w:trPr>
        <w:tc>
          <w:tcPr>
            <w:tcW w:w="2580" w:type="dxa"/>
            <w:vAlign w:val="bottom"/>
          </w:tcPr>
          <w:p>
            <w:pPr>
              <w:spacing w:after="0" w:line="122" w:lineRule="exact"/>
              <w:rPr>
                <w:sz w:val="20"/>
                <w:szCs w:val="20"/>
                <w:color w:val="auto"/>
              </w:rPr>
            </w:pPr>
            <w:r>
              <w:rPr>
                <w:rFonts w:ascii="Arial" w:cs="Arial" w:eastAsia="Arial" w:hAnsi="Arial"/>
                <w:sz w:val="11"/>
                <w:szCs w:val="11"/>
                <w:color w:val="auto"/>
              </w:rPr>
              <w:t>Average stage length (miles)</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1,199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1,207</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Revenue passengers carried </w:t>
            </w:r>
            <w:r>
              <w:rPr>
                <w:rFonts w:ascii="Arial" w:cs="Arial" w:eastAsia="Arial" w:hAnsi="Arial"/>
                <w:sz w:val="14"/>
                <w:szCs w:val="14"/>
                <w:color w:val="auto"/>
                <w:vertAlign w:val="superscript"/>
              </w:rPr>
              <w:t>(4)</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2,038,399</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1,273,747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Revenue passenger miles (RPMs) (thousands) </w:t>
            </w:r>
            <w:r>
              <w:rPr>
                <w:rFonts w:ascii="Arial" w:cs="Arial" w:eastAsia="Arial" w:hAnsi="Arial"/>
                <w:sz w:val="14"/>
                <w:szCs w:val="14"/>
                <w:color w:val="auto"/>
                <w:vertAlign w:val="superscript"/>
              </w:rPr>
              <w:t>(4)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2,705,969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1,721,227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Passenger revenue per ASM (PRASM) (cents) </w:t>
            </w:r>
            <w:r>
              <w:rPr>
                <w:rFonts w:ascii="Arial" w:cs="Arial" w:eastAsia="Arial" w:hAnsi="Arial"/>
                <w:sz w:val="14"/>
                <w:szCs w:val="14"/>
                <w:color w:val="auto"/>
                <w:vertAlign w:val="superscript"/>
              </w:rPr>
              <w:t>(4)</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6.14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Load factor </w:t>
            </w:r>
            <w:r>
              <w:rPr>
                <w:rFonts w:ascii="Arial" w:cs="Arial" w:eastAsia="Arial" w:hAnsi="Arial"/>
                <w:sz w:val="14"/>
                <w:szCs w:val="14"/>
                <w:color w:val="auto"/>
                <w:vertAlign w:val="superscript"/>
              </w:rPr>
              <w:t>(4)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74.1 %</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66.5 %</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1"/>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Average base fare per passenger </w:t>
            </w:r>
            <w:r>
              <w:rPr>
                <w:rFonts w:ascii="Arial" w:cs="Arial" w:eastAsia="Arial" w:hAnsi="Arial"/>
                <w:sz w:val="14"/>
                <w:szCs w:val="14"/>
                <w:color w:val="auto"/>
                <w:vertAlign w:val="superscript"/>
              </w:rPr>
              <w:t>(4)</w:t>
            </w:r>
          </w:p>
        </w:tc>
        <w:tc>
          <w:tcPr>
            <w:tcW w:w="2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99.05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124.88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Ancillary revenue per passenger </w:t>
            </w:r>
            <w:r>
              <w:rPr>
                <w:rFonts w:ascii="Arial" w:cs="Arial" w:eastAsia="Arial" w:hAnsi="Arial"/>
                <w:sz w:val="14"/>
                <w:szCs w:val="14"/>
                <w:color w:val="auto"/>
                <w:vertAlign w:val="superscript"/>
              </w:rPr>
              <w:t>(4)</w:t>
            </w:r>
          </w:p>
        </w:tc>
        <w:tc>
          <w:tcPr>
            <w:tcW w:w="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41.02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Charter revenue per block hour</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8,179</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7,765</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22"/>
        </w:trPr>
        <w:tc>
          <w:tcPr>
            <w:tcW w:w="2580" w:type="dxa"/>
            <w:vAlign w:val="bottom"/>
          </w:tcPr>
          <w:p>
            <w:pPr>
              <w:spacing w:after="0" w:line="122" w:lineRule="exact"/>
              <w:rPr>
                <w:sz w:val="20"/>
                <w:szCs w:val="20"/>
                <w:color w:val="auto"/>
              </w:rPr>
            </w:pPr>
            <w:r>
              <w:rPr>
                <w:rFonts w:ascii="Arial" w:cs="Arial" w:eastAsia="Arial" w:hAnsi="Arial"/>
                <w:sz w:val="10"/>
                <w:szCs w:val="10"/>
                <w:color w:val="auto"/>
              </w:rPr>
              <w:t xml:space="preserve">Fuel gallons consumed (thousands) </w:t>
            </w:r>
            <w:r>
              <w:rPr>
                <w:rFonts w:ascii="Arial" w:cs="Arial" w:eastAsia="Arial" w:hAnsi="Arial"/>
                <w:sz w:val="14"/>
                <w:szCs w:val="14"/>
                <w:color w:val="auto"/>
                <w:vertAlign w:val="superscript"/>
              </w:rPr>
              <w:t>(2)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37,299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ind w:right="6"/>
              <w:spacing w:after="0" w:line="122" w:lineRule="exact"/>
              <w:rPr>
                <w:sz w:val="20"/>
                <w:szCs w:val="20"/>
                <w:color w:val="auto"/>
              </w:rPr>
            </w:pPr>
            <w:r>
              <w:rPr>
                <w:rFonts w:ascii="Arial" w:cs="Arial" w:eastAsia="Arial" w:hAnsi="Arial"/>
                <w:sz w:val="11"/>
                <w:szCs w:val="11"/>
                <w:color w:val="auto"/>
              </w:rPr>
              <w:t>7,739</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45,269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26,182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5,744</w:t>
            </w:r>
          </w:p>
        </w:tc>
        <w:tc>
          <w:tcPr>
            <w:tcW w:w="120" w:type="dxa"/>
            <w:vAlign w:val="bottom"/>
          </w:tcPr>
          <w:p>
            <w:pPr>
              <w:spacing w:after="0"/>
              <w:rPr>
                <w:sz w:val="10"/>
                <w:szCs w:val="10"/>
                <w:color w:val="auto"/>
              </w:rPr>
            </w:pPr>
          </w:p>
        </w:tc>
        <w:tc>
          <w:tcPr>
            <w:tcW w:w="800" w:type="dxa"/>
            <w:vAlign w:val="bottom"/>
            <w:gridSpan w:val="3"/>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32,120</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Fuel cost per gallon, excluding derivatives</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r>
      <w:tr>
        <w:trPr>
          <w:trHeight w:val="121"/>
        </w:trPr>
        <w:tc>
          <w:tcPr>
            <w:tcW w:w="2580" w:type="dxa"/>
            <w:vAlign w:val="bottom"/>
          </w:tcPr>
          <w:p>
            <w:pPr>
              <w:spacing w:after="0" w:line="122" w:lineRule="exact"/>
              <w:rPr>
                <w:sz w:val="20"/>
                <w:szCs w:val="20"/>
                <w:color w:val="auto"/>
              </w:rPr>
            </w:pPr>
            <w:r>
              <w:rPr>
                <w:rFonts w:ascii="Arial" w:cs="Arial" w:eastAsia="Arial" w:hAnsi="Arial"/>
                <w:sz w:val="11"/>
                <w:szCs w:val="11"/>
                <w:color w:val="auto"/>
              </w:rPr>
              <w:t>Employees at end of period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2,014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1,632</w:t>
            </w:r>
          </w:p>
        </w:tc>
      </w:tr>
      <w:tr>
        <w:trPr>
          <w:trHeight w:val="122"/>
        </w:trPr>
        <w:tc>
          <w:tcPr>
            <w:tcW w:w="258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 xml:space="preserve">Cost per available seat mile (CASM) (cents) </w:t>
            </w:r>
            <w:r>
              <w:rPr>
                <w:rFonts w:ascii="Arial" w:cs="Arial" w:eastAsia="Arial" w:hAnsi="Arial"/>
                <w:sz w:val="14"/>
                <w:szCs w:val="14"/>
                <w:color w:val="auto"/>
                <w:vertAlign w:val="superscript"/>
              </w:rPr>
              <w:t>(5)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8.63</w:t>
            </w:r>
          </w:p>
        </w:tc>
      </w:tr>
      <w:tr>
        <w:trPr>
          <w:trHeight w:val="207"/>
        </w:trPr>
        <w:tc>
          <w:tcPr>
            <w:tcW w:w="2580" w:type="dxa"/>
            <w:vAlign w:val="bottom"/>
          </w:tcPr>
          <w:p>
            <w:pPr>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6"/>
                <w:szCs w:val="16"/>
                <w:color w:val="auto"/>
                <w:vertAlign w:val="superscript"/>
              </w:rPr>
              <w:t>(6)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13970</wp:posOffset>
            </wp:positionV>
            <wp:extent cx="14141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09" w:lineRule="exact"/>
        <w:rPr>
          <w:sz w:val="20"/>
          <w:szCs w:val="20"/>
          <w:color w:val="auto"/>
        </w:rPr>
      </w:pPr>
    </w:p>
    <w:p>
      <w:pPr>
        <w:ind w:left="380" w:right="79" w:hanging="330"/>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operating statistics and metrics are not presented as they are not calculable or are not utilized by management.</w:t>
      </w:r>
    </w:p>
    <w:p>
      <w:pPr>
        <w:spacing w:after="0" w:line="196"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spacing w:after="0" w:line="202"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Scheduled service and charter service utilize the same fleet of aircraft. Aircraft counts and utilization metrics are shown on a system basis only.</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Passenger-related statistics and metrics are shown only for scheduled service. Charter service revenue is driven by flight statistics.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CASM is a key airline cost metric. CASM is defined as operating expenses divided by total available seat miles.</w:t>
      </w:r>
    </w:p>
    <w:p>
      <w:pPr>
        <w:spacing w:after="0" w:line="196"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CASM is a non-GAAP measure derived from CASM by excluding fuel costs, costs related to our cargo operations, special items, and certain other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4400" w:hanging="106"/>
        <w:spacing w:after="0"/>
        <w:tabs>
          <w:tab w:leader="none" w:pos="44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Statement of Operations Analysis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60" w:type="dxa"/>
            <w:vAlign w:val="bottom"/>
          </w:tcPr>
          <w:p>
            <w:pPr>
              <w:jc w:val="right"/>
              <w:ind w:right="13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92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Scheduled Service</w:t>
            </w:r>
          </w:p>
        </w:tc>
        <w:tc>
          <w:tcPr>
            <w:tcW w:w="72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80,212</w:t>
            </w:r>
          </w:p>
        </w:tc>
        <w:tc>
          <w:tcPr>
            <w:tcW w:w="48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26,954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$ 53,258</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33,809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23,264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10,545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Ancillary</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33,697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12,254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21,443</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Passenger</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147,718</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62,472</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85,246</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Cargo</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24,400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14,272</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10,128</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Revenues</w:t>
            </w:r>
          </w:p>
        </w:tc>
        <w:tc>
          <w:tcPr>
            <w:tcW w:w="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173,663</w:t>
            </w:r>
          </w:p>
        </w:tc>
        <w:tc>
          <w:tcPr>
            <w:tcW w:w="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77,973</w:t>
            </w:r>
          </w:p>
        </w:tc>
        <w:tc>
          <w:tcPr>
            <w:tcW w:w="18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95,690</w:t>
            </w:r>
          </w:p>
        </w:tc>
        <w:tc>
          <w:tcPr>
            <w:tcW w:w="160" w:type="dxa"/>
            <w:vAlign w:val="bottom"/>
            <w:tcBorders>
              <w:bottom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Fuel</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13,139</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23,508</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Salaries, Wages, and Benefits</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43,424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36,348</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7,076</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Rent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(2,485)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Maintenance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9,660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6,338</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3,322</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5,470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2,921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14,029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12,929</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1,100</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Ground Handling</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7,873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4,880</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2,993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Landing Fees and Airport Rent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12,069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8,596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3,473</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Special Items, net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(32,852)</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32,787</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Other Operating, net</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18,629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10,447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8,182</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151,661</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69,156</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82,505</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Operating Income</w:t>
            </w:r>
          </w:p>
        </w:tc>
        <w:tc>
          <w:tcPr>
            <w:tcW w:w="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22,002</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8,817</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13,185</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(6,286)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(5,157)</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(1,129)</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net</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ind w:left="200"/>
              <w:spacing w:after="0" w:line="196" w:lineRule="exact"/>
              <w:rPr>
                <w:sz w:val="20"/>
                <w:szCs w:val="20"/>
                <w:color w:val="auto"/>
              </w:rPr>
            </w:pPr>
            <w:r>
              <w:rPr>
                <w:rFonts w:ascii="Arial" w:cs="Arial" w:eastAsia="Arial" w:hAnsi="Arial"/>
                <w:sz w:val="18"/>
                <w:szCs w:val="18"/>
                <w:color w:val="auto"/>
              </w:rPr>
              <w:t>Total Non-operating Income (Expense), net</w:t>
            </w:r>
          </w:p>
        </w:tc>
        <w:tc>
          <w:tcPr>
            <w:tcW w:w="4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(5,802)</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(4,967)</w:t>
            </w:r>
          </w:p>
        </w:tc>
        <w:tc>
          <w:tcPr>
            <w:tcW w:w="180" w:type="dxa"/>
            <w:vAlign w:val="bottom"/>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(835)</w:t>
            </w:r>
          </w:p>
        </w:tc>
        <w:tc>
          <w:tcPr>
            <w:tcW w:w="160" w:type="dxa"/>
            <w:vAlign w:val="bottom"/>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80" w:type="dxa"/>
            <w:vAlign w:val="bottom"/>
          </w:tcPr>
          <w:p>
            <w:pPr>
              <w:spacing w:after="0" w:line="202" w:lineRule="exact"/>
              <w:rPr>
                <w:sz w:val="20"/>
                <w:szCs w:val="20"/>
                <w:color w:val="auto"/>
              </w:rPr>
            </w:pPr>
            <w:r>
              <w:rPr>
                <w:rFonts w:ascii="Arial" w:cs="Arial" w:eastAsia="Arial" w:hAnsi="Arial"/>
                <w:sz w:val="18"/>
                <w:szCs w:val="18"/>
                <w:color w:val="auto"/>
              </w:rPr>
              <w:t>Income before Income Tax</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16,200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3,850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12,350</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Income Tax Expense</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2,297</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923</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1,374</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48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13,903</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2,927</w:t>
            </w:r>
          </w:p>
        </w:tc>
        <w:tc>
          <w:tcPr>
            <w:tcW w:w="180" w:type="dxa"/>
            <w:vAlign w:val="bottom"/>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$ 10,976</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increased $95,690, or 123%, to $173,663 for the three months ended September 30, 2021 from $77,973 for the three months ended September 30, 2020. The increase is due to a significantly lower demand for passenger service in 2020 as a result of the COVID-19 pandemic, and growth in cargo services compared to one year ago.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$53,258, or 198%, to $80,212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from $26,954 for the three months ended September 30, 2020. The increase in scheduled service revenue was largely driven by a decline in demand for passenger service during the three months ended September 30, 2020 due to government travel restrictions, quarantine requirements, and reduced passenger demand related to the COVID-19 pandemic.</w:t>
      </w:r>
    </w:p>
    <w:p>
      <w:pPr>
        <w:spacing w:after="0" w:line="198"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table below presents select operating data for scheduled service, expressed as quarter-over-quarter changes: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3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9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Increase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5,533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3,364</w:t>
            </w:r>
          </w:p>
        </w:tc>
        <w:tc>
          <w:tcPr>
            <w:tcW w:w="2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2,169</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785,348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337,887</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447,461</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132 %</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1060" w:type="dxa"/>
            <w:vAlign w:val="bottom"/>
            <w:gridSpan w:val="2"/>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102.14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28 %</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1,011,936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418,223</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593,713</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142 %</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1,296,555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763,362</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533,193</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70 %</w:t>
            </w: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PRASM (cents)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6.19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2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03"/>
        </w:trPr>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78.0 %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54.8 %</w:t>
            </w:r>
          </w:p>
        </w:tc>
        <w:tc>
          <w:tcPr>
            <w:tcW w:w="92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9"/>
              </w:rPr>
              <w:t>23.2 pts</w:t>
            </w:r>
          </w:p>
        </w:tc>
        <w:tc>
          <w:tcPr>
            <w:tcW w:w="72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132% increase in the number of scheduled service passengers in the three months ended September 30, 2021, as compared to the three months ended September 30, 2020, was primarily due to COVID-19 pandemic related demand reductions in the prior year period. For the three months ended September 30, 2021, our average base fare was $102.14, compared to $79.77 for the three months ended September 30, 2020. The increase is the result of strong demand, coupled with a favorable capacity environment, that enabled Sun Country to achieve much stronger fares than in the third quarter of 2020.</w:t>
      </w:r>
    </w:p>
    <w:p>
      <w:pPr>
        <w:spacing w:after="0" w:line="183"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increased $10,545, or 45%, to $33,809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$23,264 for the three months ended September 30, 2020. The COVID-19 pandemic drove a decrease in our third quarter of 2020 charter service revenue. There was a 31% increase in block hours for the 2021 third quarter as compared to the 2020 third quarter. Charter revenue per block hour was $8,816 for the three months ended September 30, 2021, as compared to $7,967 for the three months ended September 30, 2020, for an increase of 11%. This revenue per block hour increase is due to the ongoing recovery from the impacts of COVID-19.</w:t>
      </w:r>
    </w:p>
    <w:p>
      <w:pPr>
        <w:spacing w:after="0" w:line="185"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b w:val="1"/>
          <w:bCs w:val="1"/>
          <w:i w:val="1"/>
          <w:iCs w:val="1"/>
          <w:color w:val="auto"/>
        </w:rPr>
        <w:t>Ancillary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Ancillary revenue increased by $21,443, or 175%, to $ 33,697 for the three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2021, from $12,254 for the three months ended September 30, 2020. The 132% increase in passengers during the period resulted in greater sales of air travel-related services such as baggage fees, seat selection and upgrade fees, and on-board sales. Ancillary revenue was $42.91 per passenger in the three months ended September 30, 2021, up from $36.27 per passenger in the three months ended September 30, 2020.</w:t>
      </w:r>
    </w:p>
    <w:p>
      <w:pPr>
        <w:spacing w:after="0" w:line="16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was $24,400 for the three months ended September 30, 2021,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$14,272 for the three months ended September 30, 2020. All of our cargo service revenue relates to the air cargo transportation services under the ATSA with Amazon that commenced in May 2020. For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three months ended September 30, 2021, departures increased to 2,912, as compared to 1,818 for the three months ended September 30, 2020, due to the timing of when the aircraft were brought into service in 2020.</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$1,545 for the three months ended September 30, 2021, as compared to $1,229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2020. This was mainly the result of an increase in revenue from Sun Country Vacations due to improved bookings and an increase in co-branded marketing revenue related to our Sun Country VISA card.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08"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Aircraft fuel expense was $36,647 for the three months ended September 30, 2021,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$13,139 for the three months ended September 30, 2020. The increase was mainly driven by a 71% increase in fuel gallons consumed resulting from a recovery in demand as demonstrated by a 64% increase in passenger service block hours, as well as a 60% increase in the average price per gallon of fuel.</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$ 7,076, or 19%, to $ 43,424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September 30, 2021, as compared to $36,348 for the three months ended September 30, 2020. The average headcount for the three months ended September 30, 2021 was 1,915, as compared to 1,646 for the three months ended September 30, 2020. A significant portion of the headcount increase was due to a ramp up in the insourcing of MSP ground handling, which was in transition from April 2020 to early 2021. Our Cargo segment was responsible for $9,805 of the consolidated salaries, wages, and benefits expense for the three months ended September 30, 2021, as compared to $8,378 for the three months ended September 30, 2020. The $ 1,427 increase over the prior year third quarter is driven by additional headcount to support the operations and the timing of when the Amazon aircraft were brought into service in 2020. The Cargo segment began in May 2020, driving additional headcount required to support the ramp up of operations and aircraft under the ATSA.</w:t>
      </w:r>
    </w:p>
    <w:p>
      <w:pPr>
        <w:spacing w:after="0" w:line="186"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$2,485, or 39%, to $3,925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$ 6,410 for the three months ended September 30, 2020. Aircraft rent expense decreased primarily due to the composition of our aircraft fleet shifting from aircraft under operating leases (for which expense is recorded within aircraft rent) to owned aircraft (for which expense is recorded through depreciation and interest expense). Specifically, in the first six months of 2021, we purchased six aircraft previously under operating leases. For the three months ended September 30, 2021 and 2020, there was an average of six and twelve aircraft under operating leases, respectively.</w:t>
      </w:r>
    </w:p>
    <w:p>
      <w:pPr>
        <w:spacing w:after="0" w:line="185"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$3,322, or 52%, to $9,660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as compared to $6,338 for the three months ended September 30, 2020. There were three landing gear events in the three months ended September 30, 2021 versus one during the three months ended September 30, 2020, resulting in a cost increase of $1,090. There was also a $1,592 increase in costs, including wheels, brakes, consumables, and expendables, driven by increased departures. Partially offsetting these increases, the cost of heavy checks decreased $945, due to two heavy checks performed in the three months ended September 30, 2021, as compared to three in the three months ended September 30, 2020. Our Cargo segment was responsible for $2,485 of the consolidated maintenance expense for the three months ended September 30, 2021, as compared to $1,602 for the prior year third quarter due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timing of when the Amazon aircraft were brought into service in 2020. The Cargo segment expense primarily relates to line maintenance since heavy maintenance is reimbursed under the ATSA.</w:t>
      </w:r>
    </w:p>
    <w:p>
      <w:pPr>
        <w:spacing w:after="0" w:line="175"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$2,549, or 87%, to $5,470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as compared to $ 2,921 for the three months ended September 30, 2020. The passenger revenue increase between these two periods was 136%, and was primarily responsible for a $1,736 increase in credit card processing fees and a $580 increase in global distribution system fees. The remaining increase primarily relates to higher advertising costs and travel agent commissions.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$1,100, or 9%, to $14,029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September 30, 2021, as compared to $12,929 for the three months ended September 30, 2020. The increase was primarily due to the impact of a change in the composition of our aircraft fleet to an increased number of owned aircraft and aircraft under finance leases (for which expense is recorded as amortization and interest expense). During the three months ended September 30, 2021, the Company also purchased three engines and a flight simulator. For the three months ended September 30, 2021 and 2020, there was an average of 20 and 14 owned aircraft, respectively. For the same three-month periods, the average number of finance lease aircraft increased to seven in 2021 from five in 2020.</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$2,993, or 61%, to $7,873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$4,880 for the three months ended September 30, 2020. The increase was primarily due to the 64% increase in scheduled departures during the same time periods. Additionally, a minor increase in rates in the 2021 third quarter as compared to the 2020 third quarter contributed $388 of additional expense.</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$3,473, or 40%, to $12,069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2021, as compared to $8,596 for the three months ended September 30, 2020. The increase was driven by the 64% increase in scheduled departures for the three months ended September 30, 2021. Additionally, a decrease in rates in the 2021 third quarter as compared to the 2020 third quarter offset $1,031 against the departure volume increase.</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Special items, net was a contra-expense of $65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$32,852 for the three months ended September 30, 2020. For the three months ended September 30, 2021, Special items, net included $68 in refundable tax credits related to employee retention under the CARES Act, which was a true-up of the amount recognized in the 2021 second quarter. For the three months ended September 30, 2020, Special items, net included $30,796 of contra-expense related to funds received under the CARES Act, to be used exclusively for the continuation of payments for salaries, wages, and benefits, and $2,069 in refundable tax credits related to employee retention under the CARES Act. Our Cargo segment had no impact on Special items, net for the three months ended September 30, 2021 and $7,318 for the three months ended September 30, 2020. These credits were driven by allocated amounts received under the CARES Act, based on the respective segment salaries, wages, and benefits.</w:t>
      </w:r>
    </w:p>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$8,182, or 78%, to $18,629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as compared to $10,447 for the three months ended September 30, 2020, mainly due to increased departures. The Passenger segment increase of $7,237 was primarily driven by the higher level of operations which resulted in higher crew and other employee travel costs, catering expenses, and other operational overhead costs. There was also an additional cost of approximately $1,105 due to becoming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public company, primarily related to insurance, legal and consulting fees. Our Cargo segment was responsible for $3,364 and $2,418 of our consolidated other operating, net expense for the three months ended September 30, 2021 and 2020, respectively, driven by overhead expenses as well as crew and employee travel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08"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$1,129, or 22%, to $6,286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$5,157 for the three months ended September 30, 2020. The increase was primarily due to debt issued for the acquisition of new aircraft, including new debt incurred in connection with the 2019-1 EETC, and the Delayed Draw Term Loan Facility.</w:t>
      </w:r>
    </w:p>
    <w:p>
      <w:pPr>
        <w:spacing w:after="0" w:line="174"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for the three months ended September 30, 2021 was a net income of $456 primarily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credit of $1,100 for the adjustment of our Tax Receivable Agreement liability. The decrease in the TRA liability was mainly due to an increase in forecasted 2021 pre-tax income. Partially offsetting this income was $641 in expenses related to a secondary stock offering that closed in October 2021. Other, net for the three months ended September 30, 2020, was a net income of $164, primarily due to a vendor settlement.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860" w:type="dxa"/>
            <w:vAlign w:val="bottom"/>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3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80" w:type="dxa"/>
            <w:vAlign w:val="bottom"/>
          </w:tcPr>
          <w:p>
            <w:pPr>
              <w:jc w:val="right"/>
              <w:ind w:right="15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Scheduled Service</w:t>
            </w:r>
          </w:p>
        </w:tc>
        <w:tc>
          <w:tcPr>
            <w:tcW w:w="6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201,905</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159,063</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42,842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Charter Service</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60,983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27,528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Ancillary</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86,626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52,253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34,373</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Passenger</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377,042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272,299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104,743</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Cargo</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68,084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17,491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50,593</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Operating Revenues</w:t>
            </w:r>
          </w:p>
        </w:tc>
        <w:tc>
          <w:tcPr>
            <w:tcW w:w="4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450,464</w:t>
            </w:r>
          </w:p>
        </w:tc>
        <w:tc>
          <w:tcPr>
            <w:tcW w:w="2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293,679</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156,785</w:t>
            </w:r>
          </w:p>
        </w:tc>
        <w:tc>
          <w:tcPr>
            <w:tcW w:w="16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Fuel</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90,631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Salaries, Wages, and Benefits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129,815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106,923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22,892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Rent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(10,037)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Maintenance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30,170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15,242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14,928</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16,402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3,279</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40,103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35,631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4,472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Ground Handling</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19,654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Landing Fees and Airport Rent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29,606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22,377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7,229</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Special Items, net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Other Operating, net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50,026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34,363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15,663</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354,290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271,865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82,425</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96,174</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74,360</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80"/>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(19,487)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(16,215)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(3,272)</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net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18,836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NM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ind w:left="200"/>
              <w:spacing w:after="0" w:line="196" w:lineRule="exact"/>
              <w:rPr>
                <w:sz w:val="20"/>
                <w:szCs w:val="20"/>
                <w:color w:val="auto"/>
              </w:rPr>
            </w:pPr>
            <w:r>
              <w:rPr>
                <w:rFonts w:ascii="Arial" w:cs="Arial" w:eastAsia="Arial" w:hAnsi="Arial"/>
                <w:sz w:val="18"/>
                <w:szCs w:val="18"/>
                <w:color w:val="auto"/>
              </w:rPr>
              <w:t>Total Non-operating Income (Expense), net</w:t>
            </w: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(930)</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(16,206)</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15,276</w:t>
            </w:r>
          </w:p>
        </w:tc>
        <w:tc>
          <w:tcPr>
            <w:tcW w:w="160" w:type="dxa"/>
            <w:vAlign w:val="bottom"/>
          </w:tcPr>
          <w:p>
            <w:pPr>
              <w:spacing w:after="0"/>
              <w:rPr>
                <w:sz w:val="17"/>
                <w:szCs w:val="17"/>
                <w:color w:val="auto"/>
              </w:rPr>
            </w:pPr>
          </w:p>
        </w:tc>
        <w:tc>
          <w:tcPr>
            <w:tcW w:w="5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Income before Income Tax</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95,244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5,608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89,636</w:t>
            </w:r>
          </w:p>
        </w:tc>
        <w:tc>
          <w:tcPr>
            <w:tcW w:w="16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Income Tax Expense</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17,172</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15,702</w:t>
            </w: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1,068</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78,072</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4,138</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73,934</w:t>
            </w:r>
          </w:p>
        </w:tc>
        <w:tc>
          <w:tcPr>
            <w:tcW w:w="16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1,787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Variance percentage is not meaningful (“NM”)</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Operating Revenues increased $156,785, or 53%, to $450,464 for the nine months ended September 30, 2021, from $293,679 for the nine months ended September 30, 2020. The increase is due to a significantly lower demand for passenger service in 2020 as a result of the COVID-19 pandemic, and growth in cargo services compared to one year ago.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color w:val="auto"/>
        </w:rPr>
        <w:t>. Scheduled service revenue increased by $42,842, or 27%, to $201,905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from $159,063 for the nine months ended September 30, 2020. The increase in scheduled service revenue was driven by a decline in passenger demand in the prior year due to government travel restrictions and quarantine requirements related to the COVID-19 pandemic.</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select operating data for scheduled service: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Nine Months Ended September 30,</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Increase</w:t>
            </w:r>
          </w:p>
        </w:tc>
        <w:tc>
          <w:tcPr>
            <w:tcW w:w="560" w:type="dxa"/>
            <w:vAlign w:val="bottom"/>
          </w:tcPr>
          <w:p>
            <w:pPr>
              <w:jc w:val="right"/>
              <w:ind w:right="1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56"/>
        </w:trPr>
        <w:tc>
          <w:tcPr>
            <w:tcW w:w="3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(Decrease)</w:t>
            </w:r>
          </w:p>
        </w:tc>
        <w:tc>
          <w:tcPr>
            <w:tcW w:w="7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Change</w:t>
            </w: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Departures</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14,777</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10,546</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4,231</w:t>
            </w: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Passengers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2,038,399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1,273,747</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764,652</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60 %</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base fare per passenger</w:t>
            </w:r>
          </w:p>
        </w:tc>
        <w:tc>
          <w:tcPr>
            <w:tcW w:w="9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99.05</w:t>
            </w: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124.88</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(25.83)</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RPMs (thousands)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2,705,969</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1,721,227</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984,742</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57 %</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ASMs (thousands)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3,653,335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2,589,606</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1,063,729</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41 %</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PRASM (cents)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(0.61)</w:t>
            </w:r>
          </w:p>
        </w:tc>
        <w:tc>
          <w:tcPr>
            <w:tcW w:w="2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Passenger load factor</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74.1 %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66.5 %</w:t>
            </w:r>
          </w:p>
        </w:tc>
        <w:tc>
          <w:tcPr>
            <w:tcW w:w="116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99"/>
              </w:rPr>
              <w:t>7.6 pts</w:t>
            </w:r>
          </w:p>
        </w:tc>
        <w:tc>
          <w:tcPr>
            <w:tcW w:w="7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60% increase in the number of scheduled service passengers in the nine months ended September 30, 2021, as compared to the nine months ended September 30, 2020, was primarily due to COVID-19 pandemic related lower demand in 2020. For the nine months ended September 30, 2021, our average base fare was $99.05, compared to $124.88 for the nine months ended September 30, 2020. The net change is the result of a strong start to 2020 with higher average fares followed by a significant drop in passengers due to COVID-19. This significant drop in passengers resulted in only a minimal impact on the nine months ending September 30, 2020 average base fare.</w:t>
      </w:r>
    </w:p>
    <w:p>
      <w:pPr>
        <w:spacing w:after="0" w:line="127"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Charter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service revenue increased $ 27,528, or 45%, to $88,511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from $60,983 for the nine months ended September 30, 2020. There was a 38% increase in charter service block hours for the nine months ended September 30, 2021 vs 2020. This block hour increase is due to the ongoing recovery from the impacts of COVID-19. Charter revenue per block hour was $8,179 for the nine months ended September 30, 2021, as compared to $7,765 for the nine months ended September 30, 2020, for an increase of 5%.</w:t>
      </w:r>
    </w:p>
    <w:p>
      <w:pPr>
        <w:spacing w:after="0" w:line="12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$34,373, or 66%, to $86,626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from $52,253 for the nine months ended September 30, 2020. This revenue relates to sales of air travel-related services such as baggage fees, seat selection and upgrade fees, and on-board sales. The increase was mainly due to a 60% increase in scheduled service passengers between periods. Additionally, there was a small increase in ancillary revenue per passenger from $ 42.50 per passenger in the nine months ended September 30, 2021, up from $41.02 per passenger in the nine months ended September 30, 2020.</w:t>
      </w:r>
    </w:p>
    <w:p>
      <w:pPr>
        <w:spacing w:after="0" w:line="125"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b w:val="1"/>
          <w:bCs w:val="1"/>
          <w:i w:val="1"/>
          <w:iCs w:val="1"/>
          <w:color w:val="auto"/>
        </w:rPr>
        <w:t>Cargo</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from cargo services was $68,084 for the nine months ended September 30, 2021,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with $17,491 for the nine months ended September 30, 2020. All of the 2021 and 2020 cargo service revenue is related to flights operated under the ATSA with Amazon. Cargo service began in May of 2020, so the increase is due to the year-over-year ramp up of operations. Cargo service departures were 8,229 in the nine months ended September 30, 2021, as compared to 2,231 for the nine months ended September 30,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39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$5,338 for the nine months ended September 30, 2021 compared to $3,889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2020. This increase was mainly the result of higher revenue from Sun Country Vacations due to improved bookings and an increase in mail revenue due to increased departures.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154"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Aircraft fuel expense increased $21,254, or 31%, to $90,631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$69,377 for the nine months ended September 30, 2020. The increase in fuel expense was mainly due to a 41% increase in fuel gallons consumed, due to our increased level of operations as demonstrated by a 40% increase in passenger service block hours, as well as a 29% increase in the average price per gallon of fuel. Partially offsetting this increase was a decrease caused by the impact of fuel derivatives in each period. There was a $21,247 change in the mark-to-market gains/losses from our fuel derivative contracts, consisting of a $3,527 gain in the nine months ended September 30, 2021 compared to a $17,720 loss in the nine months ended September 30, 2020.</w:t>
      </w:r>
    </w:p>
    <w:p>
      <w:pPr>
        <w:spacing w:after="0" w:line="12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$22,892, or 21%,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$129,815 for the nine months ended September 30, 2021, as compared to $106,923 for the nine months ended September 30, 2020. The increase was mainly due to an increase in headcount between periods. The average headcount for the nine months ended September 30, 2021 was 1,813, as compared to 1,627 for the nine months ended September 30, 2020. Approximately $2,100 of the dollar increase relates to insourcing MSP ground handling operations starting in April 2020. Approximately $ 3,272 of the dollar increase is attributable to 2021 performance-based stock-compensation expense as a result of our IPO making it probable that a portion of our performance-based stock options would vest over a specific timeframe. No expense was recorded in the nine months ended September 30, 2020 for performance-based stock options. Our Cargo segment was responsible for $31,200 of the consolidated salaries, wages, and benefits expense for the nine months ended September 30, 2021, compared to a $11,745 in the nine months ended September 30, 2020. There has been increased pilot pay and per diems to support operations under the ATSA. The Cargo segment began in May 2020, driving additional headcount required to support the ramp up of operations and aircraft under the ATSA.</w:t>
      </w:r>
    </w:p>
    <w:p>
      <w:pPr>
        <w:spacing w:after="0" w:line="12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$10,037, or 43%, to $13,339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$ 23,376 for the nine months ended September 30, 2020. Aircraft rent expense decreased primarily due to the composition of our aircraft fleet shifting from aircraft under operating leases (for which expense is recorded within aircraft rent) to owned aircraft (for which expense is recorded in depreciation and interest expense). Specifically, in the first six months of 2021, we purchased six aircraft previously under operating leases. There were also two aircraft acquisitions completed in 2020 that reduced aircraft rent in the nine months ended September 30, 2021 as compared to the nine months ended September 30, 2020. For the nine months ended September 30, 2021 and 2020, there was an average of eight and thirteen aircraft under operating leases, respectively.</w:t>
      </w:r>
    </w:p>
    <w:p>
      <w:pPr>
        <w:spacing w:after="0" w:line="129"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$14,928, or 98%, to $30,170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as compared to $15,242 for the nine months ended September 30, 2020. The cost of heavy checks increased $3,085 due to eleven heavy checks performed in the nine months ended September 30, 2021, as compared to four for the nine months ended September 30, 2020. The cost of landing gear events increased $2,375 due to eight events performed in the nine months ended September 30, 2021, as compared to one for the nine months ended September 30, 2020. There was also a $3,049 increase in costs, including wheels, brakes, consumables, and expendables, driven by increased departures, as well as an $864 increase in the cost of servicing auxiliary power units. Our Cargo segment was responsible for $7,753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consolidated maintenance expense for the nine months ended September 30, 2021, as compared to $2,111 for the prior year nine-month period since Cargo segment service did not begin until May 2020. The Cargo segment expense primarily relates to line maintenance, since heavy maintenance is reimbursed under the ATSA.</w:t>
      </w:r>
    </w:p>
    <w:p>
      <w:pPr>
        <w:spacing w:after="0" w:line="129"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$3,279, or 25%, to $16,402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2021, as compared to $ 13,123 for the nine months ended September 30, 2020. The passenger revenue increase between these two periods was 38%, which drove a $1,441 increase in credit card processing fees and a $1,909 increase in global distribution system fees.</w:t>
      </w:r>
    </w:p>
    <w:p>
      <w:pPr>
        <w:spacing w:after="0" w:line="12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$ 4,472, or 13%, to $40,103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September 30, 2021, as compared to $35,631 for the nine months ended September 30, 2020. The increase was primarily due to the impact of a change in the composition of our aircraft fleet from operating leases (for which expense is recorded within aircraft rent) to an increased number of owned aircraft and aircraft under finance leases (for which expense is recorded within depreciation, amortization and interest expense). For the nine months ended September 30, 2021 and 2020, there was an average of 18 and 10 owned aircraft, respectively. For the same periods, the average number of finance lease aircraft declined to six in 2021 from eight in 2020.</w:t>
      </w:r>
    </w:p>
    <w:p>
      <w:pPr>
        <w:spacing w:after="0" w:line="12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$3,868, or 25%, to $19,654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$15,786 for the nine months ended September 30, 2020. There was an increase of $ 5,708, primarily due to the 40% increase in scheduled departures during the same time periods. However, we insourced our MSP operations in April 2020, contributing to a reduction of approximately $1,839 in ground handling expenses for the nine months ended September 30, 2021, compared to September 30, 2020, but resulted in higher salaries, wages, and benefits.</w:t>
      </w:r>
    </w:p>
    <w:p>
      <w:pPr>
        <w:spacing w:after="0" w:line="1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$7,229, or 32%, to $29,606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2021, as compared to $22,377 for the nine months ended September 30, 2020. There was a $7,532 increase driven by the 40% increase in scheduled departures for the nine months ended September 30, 2021, as compared to the same period in 2020. There was also a rate increase of approximately $891 for the nine months of 2021 versus nine months of 2020. During the nine months ended September 30, 2021, we also received a $1,416 MSP terminal user fee airline relief credit, which partially offset these increases.</w:t>
      </w:r>
    </w:p>
    <w:p>
      <w:pPr>
        <w:spacing w:after="0" w:line="13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Special items, net was a contra-expense of $ 65,456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2021 and $64,333 for the nine months ended September 30, 2020. For the nine months ended September 30, 2021, Special items, net included $71,587 of contra-expense related to funds received under PSP2 and PSP3 of the CARES Act, to be used exclusively for the continuation of payments for salaries, wages, and benefits, and $848 in refundable tax credits related to employee retention under the CARES Act. This was partially offset by a $6,963 net charge relating to the purchase of six aircraft that were previously under operating leases. For the nine months ended September 30, 2020, Special items, net included $62,312 of contra-expense related to funds received under the CARES Act, to be used exclusively for the continuation of payments for salaries, wages, and benefits, and $2,069 in refundable tax credits related to employee retention under the CARES Act. Our Cargo segment was responsible for $ 18,401 of the consolidated income from Special items, net for the nine months ended September 30, 2021, and $10,687 for the nine months ended September 30, 2020. The segment allocation of these credits is based on the respective segment salaries, wages, and benefits.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399"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$15,663, or 46%, to $50,026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as compared to $34,363 for the nine months ended September 30, 2020. A Passenger segment increase of $8,186 was primarily driven by our higher level of operations for 2021, which resulted in increased crew and other employee travel costs, catering expenses, and other operational overhead costs. There was also an additional cost of approximately $2,680 due to becoming a public company, primarily related to insurance, filing fees, legal and consulting fees. Our Cargo segment was responsible for $10,862 and $3,385 of our consolidated Other Operating, net expense for the nine months ended September 30, 2021 and 2020, respectively, driven by overhead expenses as well as crew and employee travel costs.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$3,272, or 20%, to $19,487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as compared to $16,215 for the nine months ended September 30, 2020. The increase was primarily due to debt issued for the acquisition of new aircraft, including new debt incurred in connection with the 2019-1 EETC, and the Delayed Draw Term Loan Facility. During the nine months ended September 30, 2021, the Company expensed $1,224 of debt financing costs due to the $46,260 pay-off of the CARES Act Loan and the replacement of the $25,000 ABL Facility.</w:t>
      </w:r>
    </w:p>
    <w:p>
      <w:pPr>
        <w:spacing w:after="0" w:line="1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for the nine months ended September 30, 2021 was $ 18,505 and includes a credit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$19,800 for the adjustment of our Tax Receivable Agreement liability, which is partially offset by $1,281 in expenses for secondary stock offerings by Apollo and other stockholders. The decrease in the TRA liability was mainly due to the receipt of the PSP3 grant of $34,547, which extended the time period in which distributions made to shareholders are restricted from March 31, 2022 to September 30, 2022, and increases in forecasted 2021 pre-tax income. The $331 Other, net expense for the nine months ended September 30, 2020 was primarily due to $381 in losses on asset retirements.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Three Months Ended September 30, 2021 and 2020</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14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rPr>
              <w:t>Three Months Ended September 30, 2021</w:t>
            </w:r>
          </w:p>
        </w:tc>
        <w:tc>
          <w:tcPr>
            <w:tcW w:w="60" w:type="dxa"/>
            <w:vAlign w:val="bottom"/>
          </w:tcPr>
          <w:p>
            <w:pPr>
              <w:spacing w:after="0"/>
              <w:rPr>
                <w:sz w:val="21"/>
                <w:szCs w:val="21"/>
                <w:color w:val="auto"/>
              </w:rPr>
            </w:pPr>
          </w:p>
        </w:tc>
        <w:tc>
          <w:tcPr>
            <w:tcW w:w="344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rPr>
              <w:t xml:space="preserve">Three Months Ended September 30, 2020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Cargo</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149,263</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24,400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173,663</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63,701</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14,272</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77,973</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Aircraft Fuel</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36,556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36,647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13,139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13,139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Salaries, Wages, and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Benefits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33,619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9,805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43,424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27,970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8,378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36,348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Aircraft Rent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3,925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6,410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7,175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9,660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5,470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5,470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2,921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2,921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14,003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14,029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12,949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12,929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7,873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7,873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4,880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Landing Fees and</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Airport Rent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11,949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12,069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8,482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8,596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(25,534)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(32,852)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15,266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18,629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8,029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135,770</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15,891</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151,661</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63,982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5,174</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69,156</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13,493</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8,509</w:t>
            </w: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22,002</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9,098</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8,817</w:t>
            </w:r>
          </w:p>
        </w:tc>
        <w:tc>
          <w:tcPr>
            <w:tcW w:w="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for Special</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Items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(25,534)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(32,852)</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0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Excluding</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13,428</w:t>
            </w:r>
          </w:p>
        </w:tc>
        <w:tc>
          <w:tcPr>
            <w:tcW w:w="22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8,509</w:t>
            </w:r>
          </w:p>
        </w:tc>
        <w:tc>
          <w:tcPr>
            <w:tcW w:w="22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21,937</w:t>
            </w:r>
          </w:p>
        </w:tc>
        <w:tc>
          <w:tcPr>
            <w:tcW w:w="20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(25,815)</w:t>
            </w:r>
          </w:p>
        </w:tc>
        <w:tc>
          <w:tcPr>
            <w:tcW w:w="20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1,780</w:t>
            </w:r>
          </w:p>
        </w:tc>
        <w:tc>
          <w:tcPr>
            <w:tcW w:w="20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(24,035)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Special Items</w:t>
            </w:r>
          </w:p>
        </w:tc>
        <w:tc>
          <w:tcPr>
            <w:tcW w:w="200" w:type="dxa"/>
            <w:vAlign w:val="bottom"/>
            <w:gridSpan w:val="3"/>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0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Operating Margin %,</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Excluding Special</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13 %</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Air cargo operations with Amazon commenced in May 2020.</w:t>
      </w:r>
    </w:p>
    <w:p>
      <w:pPr>
        <w:spacing w:after="0" w:line="19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increased by $13,774 to $13,493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from a loss of $281 for the three months ended September 30, 2020. For more information on the changes in the components of operating income for the Passenger segment, refer to the consolidated results of operations discussion above.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$8,509 for the three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$9,098 for the three months ended September 30, 2020. As Amazon air cargo operations commenced in May 2020, the Cargo segment was ramping up operations during 2020. The increased operating revenues for 2021 were largely offset by the lack of a CARES Act credit in Q3 2021, compared to a CARES Act credit of $7,318 in Q3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 the Nine Months Ended September 30, 2021 and 2020</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gridSpan w:val="10"/>
          </w:tcPr>
          <w:p>
            <w:pPr>
              <w:jc w:val="right"/>
              <w:ind w:right="400"/>
              <w:spacing w:after="0"/>
              <w:rPr>
                <w:sz w:val="20"/>
                <w:szCs w:val="20"/>
                <w:color w:val="auto"/>
              </w:rPr>
            </w:pPr>
            <w:r>
              <w:rPr>
                <w:rFonts w:ascii="Arial" w:cs="Arial" w:eastAsia="Arial" w:hAnsi="Arial"/>
                <w:sz w:val="14"/>
                <w:szCs w:val="14"/>
                <w:b w:val="1"/>
                <w:bCs w:val="1"/>
                <w:color w:val="auto"/>
              </w:rPr>
              <w:t>Nine Months Ended September 30, 2021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8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rPr>
              <w:t xml:space="preserve">Nine Months Ended September 30, 2020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Passenger</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Cargo</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382,380</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68,084</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450,464</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276,188</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17,491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293,679</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Fuel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90,468</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90,631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69,377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69,377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00"/>
              <w:spacing w:after="0" w:line="201" w:lineRule="exact"/>
              <w:rPr>
                <w:sz w:val="20"/>
                <w:szCs w:val="20"/>
                <w:color w:val="auto"/>
              </w:rPr>
            </w:pPr>
            <w:r>
              <w:rPr>
                <w:rFonts w:ascii="Arial" w:cs="Arial" w:eastAsia="Arial" w:hAnsi="Arial"/>
                <w:sz w:val="18"/>
                <w:szCs w:val="18"/>
                <w:color w:val="auto"/>
              </w:rPr>
              <w:t>Salaries, Wages,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Arial" w:cs="Arial" w:eastAsia="Arial" w:hAnsi="Arial"/>
                <w:sz w:val="18"/>
                <w:szCs w:val="18"/>
                <w:color w:val="auto"/>
              </w:rPr>
              <w:t>Benefits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98,615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31,200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129,815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95,178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11,745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106,923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Aircraft Rent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13,339</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Maintenance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22,417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7,753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30,170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13,131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2,111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15,242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16,402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16,402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13,123</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00"/>
              <w:spacing w:after="0" w:line="201" w:lineRule="exact"/>
              <w:rPr>
                <w:sz w:val="20"/>
                <w:szCs w:val="20"/>
                <w:color w:val="auto"/>
              </w:rPr>
            </w:pPr>
            <w:r>
              <w:rPr>
                <w:rFonts w:ascii="Arial" w:cs="Arial" w:eastAsia="Arial" w:hAnsi="Arial"/>
                <w:sz w:val="18"/>
                <w:szCs w:val="18"/>
                <w:color w:val="auto"/>
              </w:rPr>
              <w:t>Depreciation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40,024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40,103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35,631</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35,631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Ground Handling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19,654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19,654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15,786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ind w:left="100"/>
              <w:spacing w:after="0" w:line="201" w:lineRule="exact"/>
              <w:rPr>
                <w:sz w:val="20"/>
                <w:szCs w:val="20"/>
                <w:color w:val="auto"/>
              </w:rPr>
            </w:pPr>
            <w:r>
              <w:rPr>
                <w:rFonts w:ascii="Arial" w:cs="Arial" w:eastAsia="Arial" w:hAnsi="Arial"/>
                <w:sz w:val="18"/>
                <w:szCs w:val="18"/>
                <w:color w:val="auto"/>
              </w:rPr>
              <w:t>Landing Fees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line="203" w:lineRule="exact"/>
              <w:rPr>
                <w:sz w:val="20"/>
                <w:szCs w:val="20"/>
                <w:color w:val="auto"/>
              </w:rPr>
            </w:pPr>
            <w:r>
              <w:rPr>
                <w:rFonts w:ascii="Arial" w:cs="Arial" w:eastAsia="Arial" w:hAnsi="Arial"/>
                <w:sz w:val="18"/>
                <w:szCs w:val="18"/>
                <w:color w:val="auto"/>
              </w:rPr>
              <w:t>Airport 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29,228</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29,606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22,220</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22,377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Special Items,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(47,055)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(18,401)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(53,646)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(10,687)</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(64,333)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Other Operating, net</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39,164</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10,862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50,026</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30,978</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3,385</w:t>
            </w:r>
          </w:p>
        </w:tc>
        <w:tc>
          <w:tcPr>
            <w:tcW w:w="2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34,363</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322,256</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32,034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354,290</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265,154</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6,711</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271,865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36,050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96,174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10,780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Adjustment for Special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Items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(47,055)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(18,401)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(65,456)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(53,646)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(10,687)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(64,333)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220" w:type="dxa"/>
            <w:vAlign w:val="bottom"/>
          </w:tcPr>
          <w:p>
            <w:pPr>
              <w:spacing w:after="0" w:line="180" w:lineRule="exact"/>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(Loss), Excluding</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13,069</w:t>
            </w:r>
          </w:p>
        </w:tc>
        <w:tc>
          <w:tcPr>
            <w:tcW w:w="22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17,649</w:t>
            </w:r>
          </w:p>
        </w:tc>
        <w:tc>
          <w:tcPr>
            <w:tcW w:w="20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30,718</w:t>
            </w:r>
          </w:p>
        </w:tc>
        <w:tc>
          <w:tcPr>
            <w:tcW w:w="22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(42,612)</w:t>
            </w:r>
          </w:p>
        </w:tc>
        <w:tc>
          <w:tcPr>
            <w:tcW w:w="22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93</w:t>
            </w:r>
          </w:p>
        </w:tc>
        <w:tc>
          <w:tcPr>
            <w:tcW w:w="22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(42,519)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Special Items</w:t>
            </w:r>
          </w:p>
        </w:tc>
        <w:tc>
          <w:tcPr>
            <w:tcW w:w="14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2220" w:type="dxa"/>
            <w:vAlign w:val="bottom"/>
          </w:tcPr>
          <w:p>
            <w:pPr>
              <w:spacing w:after="0" w:line="180" w:lineRule="exact"/>
              <w:rPr>
                <w:sz w:val="20"/>
                <w:szCs w:val="20"/>
                <w:color w:val="auto"/>
              </w:rPr>
            </w:pPr>
            <w:r>
              <w:rPr>
                <w:rFonts w:ascii="Arial" w:cs="Arial" w:eastAsia="Arial" w:hAnsi="Arial"/>
                <w:sz w:val="18"/>
                <w:szCs w:val="18"/>
                <w:b w:val="1"/>
                <w:bCs w:val="1"/>
                <w:color w:val="auto"/>
              </w:rPr>
              <w:t>Operating Margin %,</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26 %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7 %</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2"/>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Excluding Special Items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Air cargo operations with Amazon commenced in May 2020.</w:t>
      </w:r>
    </w:p>
    <w:p>
      <w:pPr>
        <w:spacing w:after="0" w:line="194" w:lineRule="exact"/>
        <w:rPr>
          <w:sz w:val="20"/>
          <w:szCs w:val="20"/>
          <w:color w:val="auto"/>
        </w:rPr>
      </w:pPr>
    </w:p>
    <w:p>
      <w:pPr>
        <w:jc w:val="both"/>
        <w:ind w:left="60" w:right="79"/>
        <w:spacing w:after="0" w:line="267" w:lineRule="auto"/>
        <w:rPr>
          <w:sz w:val="20"/>
          <w:szCs w:val="20"/>
          <w:color w:val="auto"/>
        </w:rPr>
      </w:pPr>
      <w:r>
        <w:rPr>
          <w:rFonts w:ascii="Arial" w:cs="Arial" w:eastAsia="Arial" w:hAnsi="Arial"/>
          <w:sz w:val="18"/>
          <w:szCs w:val="18"/>
          <w:i w:val="1"/>
          <w:iCs w:val="1"/>
          <w:color w:val="auto"/>
        </w:rPr>
        <w:t>Passenger</w:t>
      </w:r>
      <w:r>
        <w:rPr>
          <w:rFonts w:ascii="Arial" w:cs="Arial" w:eastAsia="Arial" w:hAnsi="Arial"/>
          <w:sz w:val="18"/>
          <w:szCs w:val="18"/>
          <w:color w:val="auto"/>
        </w:rPr>
        <w:t>. Passenger operating income increased $49,090, or 445%, to $ 60,124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from $11,034 for the nine months ended September 30, 2020. For more information 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changes in the components of operating income for the Passenger segment, refer to the consolidated results of operations discussion above.</w:t>
      </w:r>
    </w:p>
    <w:p>
      <w:pPr>
        <w:spacing w:after="0" w:line="179"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operating income was $36,050 for the nine months ended September 30, 2021,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$10,780 for the nine months ended September 30, 2020. As air cargo operations commenced in May 2020, the Cargo segment was ramping up operations during 2020. For example, two additional aircraft were not added until the fourth quarter of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Adjusted Operating Income, Adjusted Operating Income Margin and Adjusted Net Income have limitations as analytical tools. Some of the limitations applicable to these measures include: Adjusted Operating Income, Adjusted Operating Income Margin and Adjusted Net Income do not reflect the impact of certain cash charges resulting from matters we consider not to be indicative of our ongoing operations; and other companies in our industry may calculate Adjusted Operating Income, Adjusted Operating Income Margin and Adjusted Net Income differently than we do, limiting each measure’s usefulness as a comparative measure. Because of these limitations, Adjusted Operating Income, Adjusted Operating Income Margin and Adjusted Net Income should not be considered in isolation or as a substitute for performance measures calculated in accordance with GAAP.</w:t>
      </w:r>
    </w:p>
    <w:p>
      <w:pPr>
        <w:spacing w:after="0" w:line="19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a derivation of Adjusted Operating Income Margin, Adjusted Net Income is not determined in accordance with GAAP, such measure is susceptible to varying calculations and not all companies calculate the measure in the same manner. As a result, derivations of net income, including Adjusted Operating Income Margin and Adjusted Net Income, as presented may not be directly comparable to similarly titled measures presented by other companies. For the foregoing reasons, Adjusted Operating Income Margin and Adjusted Net Income have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significant limitations which affect its use as an indicator of our profitability and valuation. Accordingly, readers are cautioned not to place undue reliance on this information.</w:t>
      </w:r>
    </w:p>
    <w:p>
      <w:pPr>
        <w:spacing w:after="0" w:line="197"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Operating Income (Loss) to Adjusted Operating Income (Loss), Adjusted Operating Income Margin (Loss) for the periods presented below.</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5"/>
                <w:szCs w:val="15"/>
                <w:color w:val="auto"/>
              </w:rPr>
            </w:pPr>
          </w:p>
        </w:tc>
        <w:tc>
          <w:tcPr>
            <w:tcW w:w="26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4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Adjusted Operating Income Margin</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reconciliation:</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Operating Revenue</w:t>
            </w:r>
          </w:p>
        </w:tc>
        <w:tc>
          <w:tcPr>
            <w:tcW w:w="54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173,663</w:t>
            </w:r>
          </w:p>
        </w:tc>
        <w:tc>
          <w:tcPr>
            <w:tcW w:w="220" w:type="dxa"/>
            <w:vAlign w:val="bottom"/>
          </w:tcPr>
          <w:p>
            <w:pPr>
              <w:spacing w:after="0"/>
              <w:rPr>
                <w:sz w:val="17"/>
                <w:szCs w:val="17"/>
                <w:color w:val="auto"/>
              </w:rPr>
            </w:pPr>
          </w:p>
        </w:tc>
        <w:tc>
          <w:tcPr>
            <w:tcW w:w="3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77,973</w:t>
            </w:r>
          </w:p>
        </w:tc>
        <w:tc>
          <w:tcPr>
            <w:tcW w:w="140" w:type="dxa"/>
            <w:vAlign w:val="bottom"/>
          </w:tcPr>
          <w:p>
            <w:pPr>
              <w:spacing w:after="0"/>
              <w:rPr>
                <w:sz w:val="17"/>
                <w:szCs w:val="17"/>
                <w:color w:val="auto"/>
              </w:rPr>
            </w:pPr>
          </w:p>
        </w:tc>
        <w:tc>
          <w:tcPr>
            <w:tcW w:w="2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450,464</w:t>
            </w:r>
          </w:p>
        </w:tc>
        <w:tc>
          <w:tcPr>
            <w:tcW w:w="200" w:type="dxa"/>
            <w:vAlign w:val="bottom"/>
          </w:tcPr>
          <w:p>
            <w:pPr>
              <w:spacing w:after="0"/>
              <w:rPr>
                <w:sz w:val="17"/>
                <w:szCs w:val="17"/>
                <w:color w:val="auto"/>
              </w:rPr>
            </w:pPr>
          </w:p>
        </w:tc>
        <w:tc>
          <w:tcPr>
            <w:tcW w:w="3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293,679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22,002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8,817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96,174</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80"/>
              <w:spacing w:after="0" w:line="202" w:lineRule="exact"/>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4,577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 )</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Operating Income (Loss)</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22,926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(21,649)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35,635</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(36,835)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Margin</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12.7 %</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11.3 %</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21.3 %</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tcPr>
          <w:p>
            <w:pPr>
              <w:spacing w:after="0" w:line="180" w:lineRule="exact"/>
              <w:rPr>
                <w:sz w:val="20"/>
                <w:szCs w:val="20"/>
                <w:color w:val="auto"/>
              </w:rPr>
            </w:pPr>
            <w:r>
              <w:rPr>
                <w:rFonts w:ascii="Arial" w:cs="Arial" w:eastAsia="Arial" w:hAnsi="Arial"/>
                <w:sz w:val="18"/>
                <w:szCs w:val="18"/>
                <w:b w:val="1"/>
                <w:bCs w:val="1"/>
                <w:color w:val="auto"/>
              </w:rPr>
              <w:t>Adjusted Operating Income Margin</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(Loss)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7.9 %</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79" w:hanging="330"/>
        <w:spacing w:after="0" w:line="246"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2"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 plus the quarterly cost to revalue the liability balance. See Note 10 of the Company’s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4400" w:hanging="106"/>
        <w:spacing w:after="0"/>
        <w:tabs>
          <w:tab w:leader="none" w:pos="44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presents the reconciliation of Net Income to Adjusted Net Income (Loss)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r>
      <w:tr>
        <w:trPr>
          <w:trHeight w:val="160"/>
        </w:trPr>
        <w:tc>
          <w:tcPr>
            <w:tcW w:w="20" w:type="dxa"/>
            <w:vAlign w:val="bottom"/>
          </w:tcPr>
          <w:p>
            <w:pPr>
              <w:spacing w:after="0"/>
              <w:rPr>
                <w:sz w:val="13"/>
                <w:szCs w:val="13"/>
                <w:color w:val="auto"/>
              </w:rPr>
            </w:pPr>
          </w:p>
        </w:tc>
        <w:tc>
          <w:tcPr>
            <w:tcW w:w="3680" w:type="dxa"/>
            <w:vAlign w:val="bottom"/>
            <w:gridSpan w:val="2"/>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Adjusted Net Income (Loss)</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3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13,903</w:t>
            </w:r>
          </w:p>
        </w:tc>
        <w:tc>
          <w:tcPr>
            <w:tcW w:w="5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2,927</w:t>
            </w:r>
          </w:p>
        </w:tc>
        <w:tc>
          <w:tcPr>
            <w:tcW w:w="4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78,072</w:t>
            </w:r>
          </w:p>
        </w:tc>
        <w:tc>
          <w:tcPr>
            <w:tcW w:w="240" w:type="dxa"/>
            <w:vAlign w:val="bottom"/>
          </w:tcPr>
          <w:p>
            <w:pPr>
              <w:spacing w:after="0"/>
              <w:rPr>
                <w:sz w:val="17"/>
                <w:szCs w:val="17"/>
                <w:color w:val="auto"/>
              </w:rPr>
            </w:pPr>
          </w:p>
        </w:tc>
        <w:tc>
          <w:tcPr>
            <w:tcW w:w="240" w:type="dxa"/>
            <w:vAlign w:val="bottom"/>
            <w:gridSpan w:val="2"/>
          </w:tcPr>
          <w:p>
            <w:pPr>
              <w:jc w:val="right"/>
              <w:ind w:right="6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4,138</w:t>
            </w: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(32,852)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(65,456)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(64,333)</w:t>
            </w: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Stock compensation expense</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1,253</w:t>
            </w:r>
          </w:p>
        </w:tc>
      </w:tr>
      <w:tr>
        <w:trPr>
          <w:trHeight w:val="203"/>
        </w:trPr>
        <w:tc>
          <w:tcPr>
            <w:tcW w:w="20" w:type="dxa"/>
            <w:vAlign w:val="bottom"/>
          </w:tcPr>
          <w:p>
            <w:pPr>
              <w:spacing w:after="0"/>
              <w:rPr>
                <w:sz w:val="17"/>
                <w:szCs w:val="17"/>
                <w:color w:val="auto"/>
              </w:rPr>
            </w:pPr>
          </w:p>
        </w:tc>
        <w:tc>
          <w:tcPr>
            <w:tcW w:w="368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1,890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4,431</w:t>
            </w: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asset transactions, net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20" w:type="dxa"/>
            <w:vAlign w:val="bottom"/>
          </w:tcPr>
          <w:p>
            <w:pPr>
              <w:spacing w:after="0"/>
              <w:rPr>
                <w:sz w:val="17"/>
                <w:szCs w:val="17"/>
                <w:color w:val="auto"/>
              </w:rPr>
            </w:pPr>
          </w:p>
        </w:tc>
        <w:tc>
          <w:tcPr>
            <w:tcW w:w="36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Early pay-off of US Treasury loan</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refinancing credit facility</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Secondary Offering Costs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gridSpan w:val="2"/>
          </w:tcPr>
          <w:p>
            <w:pPr>
              <w:ind w:left="22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(1,100)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6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6"/>
                <w:szCs w:val="16"/>
                <w:color w:val="auto"/>
              </w:rPr>
              <w:t xml:space="preserve">Income tax effect of adjusting items, net </w:t>
            </w:r>
            <w:r>
              <w:rPr>
                <w:rFonts w:ascii="Arial" w:cs="Arial" w:eastAsia="Arial" w:hAnsi="Arial"/>
                <w:sz w:val="23"/>
                <w:szCs w:val="23"/>
                <w:color w:val="auto"/>
                <w:vertAlign w:val="superscript"/>
              </w:rPr>
              <w:t>(e)</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7,007</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13,347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13,402</w:t>
            </w:r>
          </w:p>
        </w:tc>
      </w:tr>
      <w:tr>
        <w:trPr>
          <w:trHeight w:val="196"/>
        </w:trPr>
        <w:tc>
          <w:tcPr>
            <w:tcW w:w="20" w:type="dxa"/>
            <w:vAlign w:val="bottom"/>
          </w:tcPr>
          <w:p>
            <w:pPr>
              <w:spacing w:after="0"/>
              <w:rPr>
                <w:sz w:val="17"/>
                <w:szCs w:val="17"/>
                <w:color w:val="auto"/>
              </w:rPr>
            </w:pPr>
          </w:p>
        </w:tc>
        <w:tc>
          <w:tcPr>
            <w:tcW w:w="36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Adjusted Net Income (Loss)</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14,010</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(20,532)</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13,588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(40,728)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246"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adjustments include Special Items, net, as presented in Note 11 of the Company’s Condensed Consolidated Financial Statements.</w:t>
      </w:r>
    </w:p>
    <w:p>
      <w:pPr>
        <w:spacing w:after="0" w:line="196"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2"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(“TRA”) with our pre-IPO stockholders, plus the quarterly cost to revalue the liability balance. See Note 10 of the Company’s Condensed Consolidated Financial Statements.</w:t>
      </w:r>
    </w:p>
    <w:p>
      <w:pPr>
        <w:spacing w:after="0" w:line="202"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spacing w:after="0" w:line="196" w:lineRule="exact"/>
        <w:rPr>
          <w:rFonts w:ascii="Arial" w:cs="Arial" w:eastAsia="Arial" w:hAnsi="Arial"/>
          <w:sz w:val="18"/>
          <w:szCs w:val="18"/>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tax effect of adjusting items, net is calculated at the Company’s statutory rate for the applicable period.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Adjusted EBITDAR</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Adjusted Earnings Before Interest, Taxes, Depreciation, Amortization and Rent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aircraft.</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EBITDAR has limitations as an analytical tool. Some of the limitations applicable to this measure include: Adjusted EBITDAR does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it does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EBITDAR differently than we do, limiting each measure’s usefulness as a comparative measure. Because of these limitations, Adjusted EBITDAR should not be considered in isolation or as a substitute for performance measures calculated in accordance with GAAP.</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following table presents the reconciliation of Net Income to Adjusted EBITDAR for the periods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46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224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EBITDAR Reconciliation: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3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13,903</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2,927</w:t>
            </w:r>
          </w:p>
        </w:tc>
        <w:tc>
          <w:tcPr>
            <w:tcW w:w="160" w:type="dxa"/>
            <w:vAlign w:val="bottom"/>
          </w:tcPr>
          <w:p>
            <w:pPr>
              <w:spacing w:after="0"/>
              <w:rPr>
                <w:sz w:val="17"/>
                <w:szCs w:val="17"/>
                <w:color w:val="auto"/>
              </w:rPr>
            </w:pPr>
          </w:p>
        </w:tc>
        <w:tc>
          <w:tcPr>
            <w:tcW w:w="260" w:type="dxa"/>
            <w:vAlign w:val="bottom"/>
          </w:tcPr>
          <w:p>
            <w:pPr>
              <w:jc w:val="right"/>
              <w:ind w:right="56"/>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78,072</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4,138</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(32,852)</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(65,456)</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(64,333)</w:t>
            </w:r>
          </w:p>
        </w:tc>
      </w:tr>
      <w:tr>
        <w:trPr>
          <w:trHeight w:val="203"/>
        </w:trPr>
        <w:tc>
          <w:tcPr>
            <w:tcW w:w="3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4,577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1,253</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4,431</w:t>
            </w:r>
          </w:p>
        </w:tc>
      </w:tr>
      <w:tr>
        <w:trPr>
          <w:trHeight w:val="203"/>
        </w:trPr>
        <w:tc>
          <w:tcPr>
            <w:tcW w:w="3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Loss on asset transactions, net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Secondary Offering Costs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TRA expenses </w:t>
            </w:r>
            <w:r>
              <w:rPr>
                <w:rFonts w:ascii="Arial" w:cs="Arial" w:eastAsia="Arial" w:hAnsi="Arial"/>
                <w:sz w:val="23"/>
                <w:szCs w:val="23"/>
                <w:color w:val="auto"/>
                <w:vertAlign w:val="superscript"/>
              </w:rPr>
              <w:t>(c)</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TRA adjustment </w:t>
            </w:r>
            <w:r>
              <w:rPr>
                <w:rFonts w:ascii="Arial" w:cs="Arial" w:eastAsia="Arial" w:hAnsi="Arial"/>
                <w:sz w:val="23"/>
                <w:szCs w:val="23"/>
                <w:color w:val="auto"/>
                <w:vertAlign w:val="superscript"/>
              </w:rPr>
              <w:t>(d)</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(19,800)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3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26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19,487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16,215</w:t>
            </w:r>
          </w:p>
        </w:tc>
      </w:tr>
      <w:tr>
        <w:trPr>
          <w:trHeight w:val="203"/>
        </w:trPr>
        <w:tc>
          <w:tcPr>
            <w:tcW w:w="37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2,297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17,172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1,470</w:t>
            </w:r>
          </w:p>
        </w:tc>
      </w:tr>
      <w:tr>
        <w:trPr>
          <w:trHeight w:val="203"/>
        </w:trPr>
        <w:tc>
          <w:tcPr>
            <w:tcW w:w="37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40,103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35,631</w:t>
            </w:r>
          </w:p>
        </w:tc>
      </w:tr>
      <w:tr>
        <w:trPr>
          <w:trHeight w:val="203"/>
        </w:trPr>
        <w:tc>
          <w:tcPr>
            <w:tcW w:w="3780" w:type="dxa"/>
            <w:vAlign w:val="bottom"/>
            <w:tcBorders>
              <w:bottom w:val="single" w:sz="8" w:color="CCEEFF"/>
            </w:tcBorders>
            <w:gridSpan w:val="2"/>
          </w:tcPr>
          <w:p>
            <w:pPr>
              <w:ind w:left="120"/>
              <w:spacing w:after="0" w:line="202" w:lineRule="exact"/>
              <w:rPr>
                <w:sz w:val="20"/>
                <w:szCs w:val="20"/>
                <w:color w:val="auto"/>
              </w:rPr>
            </w:pPr>
            <w:r>
              <w:rPr>
                <w:rFonts w:ascii="Arial" w:cs="Arial" w:eastAsia="Arial" w:hAnsi="Arial"/>
                <w:sz w:val="18"/>
                <w:szCs w:val="18"/>
                <w:color w:val="auto"/>
              </w:rPr>
              <w:t>Aircraft rent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3,925</w:t>
            </w:r>
          </w:p>
        </w:tc>
        <w:tc>
          <w:tcPr>
            <w:tcW w:w="2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6,410</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13,339</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23,376</w:t>
            </w:r>
          </w:p>
        </w:tc>
      </w:tr>
      <w:tr>
        <w:trPr>
          <w:trHeight w:val="196"/>
        </w:trPr>
        <w:tc>
          <w:tcPr>
            <w:tcW w:w="37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EBITDAR</w:t>
            </w:r>
          </w:p>
        </w:tc>
        <w:tc>
          <w:tcPr>
            <w:tcW w:w="2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40,880</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(2,146)</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89,066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22,222</w:t>
            </w:r>
          </w:p>
        </w:tc>
      </w:tr>
      <w:tr>
        <w:trPr>
          <w:trHeight w:val="20"/>
        </w:trPr>
        <w:tc>
          <w:tcPr>
            <w:tcW w:w="2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24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adjustments include Special Items, net, as presented in Note 11 of the Company’s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4400" w:hanging="106"/>
        <w:spacing w:after="0"/>
        <w:tabs>
          <w:tab w:leader="none" w:pos="44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80" w:right="79"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2"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plus the quarterly cost to revalue the liability balance. See Note 10 of the Company’s Condensed Consolidated Financial Statements.</w:t>
      </w:r>
    </w:p>
    <w:p>
      <w:pPr>
        <w:spacing w:after="0" w:line="202" w:lineRule="exact"/>
        <w:rPr>
          <w:rFonts w:ascii="Arial" w:cs="Arial" w:eastAsia="Arial" w:hAnsi="Arial"/>
          <w:sz w:val="18"/>
          <w:szCs w:val="18"/>
          <w:color w:val="auto"/>
        </w:rPr>
      </w:pPr>
    </w:p>
    <w:p>
      <w:pPr>
        <w:ind w:left="380" w:right="79" w:hanging="330"/>
        <w:spacing w:after="0" w:line="246"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represents the adjustment to the TRA for the period, which is recorded in Non-operating Income (Expense).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 products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3"/>
          </w:tcPr>
          <w:p>
            <w:pPr>
              <w:ind w:left="60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8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Operating</w:t>
            </w:r>
          </w:p>
        </w:tc>
        <w:tc>
          <w:tcPr>
            <w:tcW w:w="40" w:type="dxa"/>
            <w:vAlign w:val="bottom"/>
          </w:tcPr>
          <w:p>
            <w:pPr>
              <w:spacing w:after="0"/>
              <w:rPr>
                <w:sz w:val="12"/>
                <w:szCs w:val="12"/>
                <w:color w:val="auto"/>
              </w:rPr>
            </w:pPr>
          </w:p>
        </w:tc>
        <w:tc>
          <w:tcPr>
            <w:tcW w:w="760" w:type="dxa"/>
            <w:vAlign w:val="bottom"/>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Per ASM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tcPr>
          <w:p>
            <w:pPr>
              <w:ind w:left="100"/>
              <w:spacing w:after="0" w:line="143" w:lineRule="exact"/>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720" w:type="dxa"/>
            <w:vAlign w:val="bottom"/>
          </w:tcPr>
          <w:p>
            <w:pPr>
              <w:jc w:val="right"/>
              <w:ind w:right="18"/>
              <w:spacing w:after="0" w:line="143"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Expenses</w:t>
            </w:r>
          </w:p>
        </w:tc>
        <w:tc>
          <w:tcPr>
            <w:tcW w:w="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cents)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ind w:left="100"/>
              <w:spacing w:after="0"/>
              <w:rPr>
                <w:sz w:val="20"/>
                <w:szCs w:val="20"/>
                <w:color w:val="auto"/>
              </w:rPr>
            </w:pPr>
            <w:r>
              <w:rPr>
                <w:rFonts w:ascii="Arial" w:cs="Arial" w:eastAsia="Arial" w:hAnsi="Arial"/>
                <w:sz w:val="14"/>
                <w:szCs w:val="14"/>
                <w:b w:val="1"/>
                <w:bCs w:val="1"/>
                <w:color w:val="auto"/>
              </w:rPr>
              <w:t>Expenses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CASM</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151,661</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9.79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69,156</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fuel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1,890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TRA Expenses</w:t>
            </w:r>
            <w:r>
              <w:rPr>
                <w:rFonts w:ascii="Arial" w:cs="Arial" w:eastAsia="Arial" w:hAnsi="Arial"/>
                <w:sz w:val="23"/>
                <w:szCs w:val="23"/>
                <w:color w:val="auto"/>
                <w:vertAlign w:val="superscript"/>
              </w:rPr>
              <w:t>(c)</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Cargo expenses, not already adjusted above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15,544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12,008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Sun Country Vacations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Adjusted CASM</w:t>
            </w:r>
          </w:p>
        </w:tc>
        <w:tc>
          <w:tcPr>
            <w:tcW w:w="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98,370</w:t>
            </w: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6.35</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74,363</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7.63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Available Seat Miles (ASMs)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1,549,432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974,584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3"/>
          </w:tcPr>
          <w:p>
            <w:pPr>
              <w:ind w:left="62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4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Operating</w:t>
            </w:r>
          </w:p>
        </w:tc>
        <w:tc>
          <w:tcPr>
            <w:tcW w:w="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5"/>
          </w:tcPr>
          <w:p>
            <w:pPr>
              <w:ind w:left="80"/>
              <w:spacing w:after="0" w:line="143" w:lineRule="exact"/>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Per ASM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Expenses</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cents)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ind w:left="80"/>
              <w:spacing w:after="0"/>
              <w:rPr>
                <w:sz w:val="20"/>
                <w:szCs w:val="20"/>
                <w:color w:val="auto"/>
              </w:rPr>
            </w:pPr>
            <w:r>
              <w:rPr>
                <w:rFonts w:ascii="Arial" w:cs="Arial" w:eastAsia="Arial" w:hAnsi="Arial"/>
                <w:sz w:val="14"/>
                <w:szCs w:val="14"/>
                <w:b w:val="1"/>
                <w:bCs w:val="1"/>
                <w:color w:val="auto"/>
              </w:rPr>
              <w:t>Expenses</w:t>
            </w:r>
          </w:p>
        </w:tc>
        <w:tc>
          <w:tcPr>
            <w:tcW w:w="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(in cents)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CASM</w:t>
            </w:r>
          </w:p>
        </w:tc>
        <w:tc>
          <w:tcPr>
            <w:tcW w:w="1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354,290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8.11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271,865</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Less: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Aircraft fuel</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69,377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Stock Compensation expense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4,577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 xml:space="preserve">Special items, net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(65,456)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(64,333)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6"/>
                <w:szCs w:val="16"/>
                <w:color w:val="auto"/>
              </w:rPr>
              <w:t xml:space="preserve">Voluntary leave expense </w:t>
            </w:r>
            <w:r>
              <w:rPr>
                <w:rFonts w:ascii="Arial" w:cs="Arial" w:eastAsia="Arial" w:hAnsi="Arial"/>
                <w:sz w:val="23"/>
                <w:szCs w:val="23"/>
                <w:color w:val="auto"/>
                <w:vertAlign w:val="superscript"/>
              </w:rPr>
              <w:t>(b)</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TRA Expenses</w:t>
            </w:r>
            <w:r>
              <w:rPr>
                <w:rFonts w:ascii="Arial" w:cs="Arial" w:eastAsia="Arial" w:hAnsi="Arial"/>
                <w:sz w:val="23"/>
                <w:szCs w:val="23"/>
                <w:color w:val="auto"/>
                <w:vertAlign w:val="superscript"/>
              </w:rPr>
              <w:t>(c)</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80"/>
              <w:spacing w:after="0" w:line="202" w:lineRule="exact"/>
              <w:rPr>
                <w:sz w:val="20"/>
                <w:szCs w:val="20"/>
                <w:color w:val="auto"/>
              </w:rPr>
            </w:pPr>
            <w:r>
              <w:rPr>
                <w:rFonts w:ascii="Arial" w:cs="Arial" w:eastAsia="Arial" w:hAnsi="Arial"/>
                <w:sz w:val="18"/>
                <w:szCs w:val="18"/>
                <w:color w:val="auto"/>
              </w:rPr>
              <w:t>Cargo expenses, not already adjusted above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48,923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Sun Country Vacations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Adjusted CASM</w:t>
            </w:r>
          </w:p>
        </w:tc>
        <w:tc>
          <w:tcPr>
            <w:tcW w:w="1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274,712</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6.29</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244,162</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Available Seat Miles (ASMs)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4,368,972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5"/>
          </w:tcPr>
          <w:p>
            <w:pPr>
              <w:jc w:val="right"/>
              <w:ind w:right="60"/>
              <w:spacing w:after="0"/>
              <w:rPr>
                <w:sz w:val="20"/>
                <w:szCs w:val="20"/>
                <w:color w:val="auto"/>
              </w:rPr>
            </w:pPr>
            <w:r>
              <w:rPr>
                <w:rFonts w:ascii="Arial" w:cs="Arial" w:eastAsia="Arial" w:hAnsi="Arial"/>
                <w:sz w:val="18"/>
                <w:szCs w:val="18"/>
                <w:color w:val="auto"/>
              </w:rPr>
              <w:t>3,149,189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246"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adjustments include Special Items, net, as presented in Note 11 of the Company’s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ind w:left="4400" w:hanging="106"/>
        <w:spacing w:after="0"/>
        <w:tabs>
          <w:tab w:leader="none" w:pos="44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80" w:right="79"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expenses related to a voluntary employee leave program in response to the COVID-19 pandemic, a portion of which is offset by the CARES Act Payroll Support Program as the benefit of this program is also adjusted as a component of Special Items, net.</w:t>
      </w:r>
    </w:p>
    <w:p>
      <w:pPr>
        <w:spacing w:after="0" w:line="202" w:lineRule="exact"/>
        <w:rPr>
          <w:rFonts w:ascii="Arial" w:cs="Arial" w:eastAsia="Arial" w:hAnsi="Arial"/>
          <w:sz w:val="18"/>
          <w:szCs w:val="18"/>
          <w:color w:val="auto"/>
        </w:rPr>
      </w:pPr>
    </w:p>
    <w:p>
      <w:pPr>
        <w:jc w:val="both"/>
        <w:ind w:left="380" w:right="79" w:hanging="330"/>
        <w:spacing w:after="0"/>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represents the one-time costs to establish the Tax Receivable Agreement with our pre-IPO stockholders, plus the quarterly cost to revalue the liability balance. See Note 10 of the Company’s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stockholders’ capital contributions, the issuance of promissory notes, our 2019-1 EETC financing, and the Delayed Draw Term Loan Facility. In March 2021, the Company offered 9,090,909 shares of common stock to the public at $24.00 per share. The underwriters had an option to purchase an additional 1,363,636 shares from the Company at the public offering price, which they exercised. In total, all 10,454,545 shares were issued and the net proceeds to the Company were $225,006 after deducting underwriting discounts and commissions, and other offering expenses.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primary sources of liquidity as of September 30, 2021 included our existing cash and cash equivalents of $275,332 and short-term investments of $5,997, our expected cash generated from operations and our $25,000 Revolving Credit Facility, which was undrawn as of September 30, 2021. In addition, we had restricted cash of $15,693 as of September 30,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received a total of $62,312 in assistance from the Treasury in 2020 as part of the Payroll Support Program under the CARES Act in response to the extensive impact of the COVID-19 pandemic on the U.S. airline industry. During the first half of 2021, we received grants totaling $37,040 under PSP2. All funds provided by the Treasury to PSP2 participants may only be used for the continuation of payment of employee wages, salaries, and benefits. Further, during the second quarter of 2021, we received a grant of $34,547 under PSP3. During the three months ended September 30, 2021, no CARES Act grants were received.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under PSP3; and restrictions on the payment of certain executive compensation until April 1, 2023 under PSP3. A portion of the proceeds from our initial public offering was used to repay in full all amounts outstanding under the CARES Act Loan.</w:t>
      </w:r>
    </w:p>
    <w:p>
      <w:pPr>
        <w:spacing w:after="0" w:line="21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On February 10, 2021, Sun Country, Inc., our wholly-owned subsidiary (the “Borrower”), entered into the Credit Agreement, which provides for a $25,000 Revolving Credit Facility and a $90,000 Delayed Draw Term Loan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 (y) the amount of loans under the Delayed Draw Term Loan Facility exceeds $25,000 on such date, the date that is 180 days prior to February 10, 2026. The Delayed Draw Term Loan Facility matures on February 10, 2026. The Delayed Draw Term Loan Facility is available only to finance the acquisition of aircraft and engines and is not available for working capital or other general corporate purposes. Only the $ 25,000 Revolving Credit Facility portion of the Credit Facilities is available for general corporate purposes and as a general source of liquidity. During the six months ended June 30, 2021, we drew $80,500 on the Delayed Draw Term Loan Facility. Nothing was drawn during the three months ended September 30, 2021, and $78,488 remained outstanding on September 30, 2021.</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December 2019, Sun Country arranged for the issuance of Class A, Class B and Class C pass through trust certificates, Series 2019-1 (the “2019-1 EETC”), in an aggregate face amount of $ 248,587 (the “Certificates”) for the purpose of financing or refinancing 13 used aircraft. The Certificates were issued to certain institutional investors, and the 2019-1 EETC face amount of the Certificates were funded by the purchase price paid by such investors for its Certificates on four funding dates from December 2019 through June 2020.</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leases, finance leases, and debt.</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 A portion of our deposits is therefore unavailable until after we have completed the scheduled maintenance in accordance with the terms of the aircraft leases.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2000" w:type="dxa"/>
            <w:vAlign w:val="bottom"/>
            <w:gridSpan w:val="6"/>
          </w:tcPr>
          <w:p>
            <w:pPr>
              <w:ind w:left="480"/>
              <w:spacing w:after="0"/>
              <w:rPr>
                <w:sz w:val="20"/>
                <w:szCs w:val="20"/>
                <w:color w:val="auto"/>
              </w:rPr>
            </w:pPr>
            <w:r>
              <w:rPr>
                <w:rFonts w:ascii="Arial" w:cs="Arial" w:eastAsia="Arial" w:hAnsi="Arial"/>
                <w:sz w:val="14"/>
                <w:szCs w:val="14"/>
                <w:b w:val="1"/>
                <w:bCs w:val="1"/>
                <w:color w:val="auto"/>
              </w:rPr>
              <w:t>September 30, 2021</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275,332</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5,997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286,820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282,463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Lease Obligations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174,642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80,492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Total Debt and Lease obligations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541,954</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536,832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Stockholders' Equity</w:t>
            </w: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482,880</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Total Invested Capital</w:t>
            </w: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1,024,834</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Debt-to-Capital</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419"/>
        </w:trPr>
        <w:tc>
          <w:tcPr>
            <w:tcW w:w="5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Sources and Uses of Liquidity</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Cash Flow Activity</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Activities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109,395</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ind w:left="80"/>
              <w:spacing w:after="0" w:line="196" w:lineRule="exact"/>
              <w:rPr>
                <w:sz w:val="20"/>
                <w:szCs w:val="20"/>
                <w:color w:val="auto"/>
              </w:rPr>
            </w:pPr>
            <w:r>
              <w:rPr>
                <w:rFonts w:ascii="Arial" w:cs="Arial" w:eastAsia="Arial" w:hAnsi="Arial"/>
                <w:sz w:val="18"/>
                <w:szCs w:val="18"/>
                <w:color w:val="auto"/>
              </w:rPr>
              <w:t>Investing Activities: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Purchases of Property &amp; Equipment</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(111,053)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(374)</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Investing Activities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(111,427)</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(94,211)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Financing Activities: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Cash from Stock Offering, net</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227,188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Stock Option Exercises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Proceeds from Borrowings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80,500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220,307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Repayment of Finance Leases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(9,113)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200"/>
              <w:spacing w:after="0" w:line="202" w:lineRule="exact"/>
              <w:rPr>
                <w:sz w:val="20"/>
                <w:szCs w:val="20"/>
                <w:color w:val="auto"/>
              </w:rPr>
            </w:pPr>
            <w:r>
              <w:rPr>
                <w:rFonts w:ascii="Arial" w:cs="Arial" w:eastAsia="Arial" w:hAnsi="Arial"/>
                <w:sz w:val="18"/>
                <w:szCs w:val="18"/>
                <w:color w:val="auto"/>
              </w:rPr>
              <w:t>Repayment of Borrowings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(75,728)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Issuance Costs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(2,560)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Financing Activities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222,694</w:t>
            </w:r>
          </w:p>
        </w:tc>
        <w:tc>
          <w:tcPr>
            <w:tcW w:w="2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w:t>
            </w: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220,662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(13,945)</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Cash Flow Activities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Operating activities in the nine months ended September 30, 2021 provided $109,395, as compared to providing $3,553 in the nine months ended September 30, 2020. During those two nine-month periods, Net Income was $78,072 and $4,138,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19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26% of our total operating expense for both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and 2020.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nine months ended September 30, 2021 we received $71,587 in CARES Act grants.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the nine months ended September 30, 2020 we received $62,312 in CARES Act grants.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16"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$111,053 and $94,307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and 2020, respectively. Our capital expenditures during the nine months ended September 30, 2021 were primarily related to the purchases of six existing aircraft previously under operating leases that were financed through draws on the Delayed Draw Term Loan Facility. Overall, we invested $97,297 to purchase seven aircraft (including the six noted above) and three engines in the first nine months of 2021, as compared to investing $88,561 on four aircraft and one engine in the first nine months of 2020. During the nine months ended September 30, 2021, we also purchased a flight simulator for $4,909.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On March 16, 2021, the Company offered 9,090,909 shares of common stock to the public at $24.00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underwriters had an option to purchase an additional 1,363,636 shares from the Company at the public offering price, which they exercised. In total, all 10,454,545 shares were issued and the net proceeds to the Company were $225,006 after deducting underwriting discounts and commissions, and other offering expenses.</w:t>
      </w:r>
    </w:p>
    <w:p>
      <w:pPr>
        <w:spacing w:after="0" w:line="18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In the nine months ended September 30, 2021, we incurred $80,500 in new debt under the $90,000</w:t>
      </w:r>
      <w:r>
        <w:rPr>
          <w:rFonts w:ascii="Arial" w:cs="Arial" w:eastAsia="Arial" w:hAnsi="Arial"/>
          <w:sz w:val="18"/>
          <w:szCs w:val="18"/>
          <w:i w:val="1"/>
          <w:iCs w:val="1"/>
          <w:color w:val="auto"/>
        </w:rPr>
        <w:t xml:space="preserve"> </w:t>
      </w:r>
      <w:r>
        <w:rPr>
          <w:rFonts w:ascii="Arial" w:cs="Arial" w:eastAsia="Arial" w:hAnsi="Arial"/>
          <w:sz w:val="18"/>
          <w:szCs w:val="18"/>
          <w:color w:val="auto"/>
        </w:rPr>
        <w:t>Delayed Draw Term Loan Facility, primarily to purchase six aircraft, which were previously under operating leases. In the first nine months of 2020 we incurred $220,307 in debt under the 2019-1 EETC, primarily to purchase two aircraft new to the Company, purchase two aircraft which were previously under operating leases, purchase five aircraft which were previously under finance leases, as well as to refinance three other owned aircraft. In the first quarter of 2021, we repaid our $45,000 loan with the Treasury, plus accrued interest. In addition, during the first nine months of 2021, we also repaid $30,309 of other debt. In the first nine months of 2020, we paid $84,742 toward finance lease obligations, primarily related to the buy-out of five aircraft. In the first nine months of 2020 we repaid $55,594 of outstanding debt, primarily related to the refinancing of three aircraft.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additional information regarding these financing arrangements, see Note 7 of the Notes to the Condensed Consolidated Financial Statements.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Undrawn Lines of Credit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February 10, 2021, we executed a new five-year credit agreement that provides for a $25,000 Revolving Credit Facility and a $ 90,000 Delayed Draw Term Loan Facility, which are collectively referred to as the “Credit Facilities.” During the nine months ended September 30, 2021, we drew $80,500 on the Delayed Draw Term Loan Facility to purchase six aircraft. These activities resulted in approximately $ 34,500 undrawn on the Credit Facilities as of September 30, 2021. The Delayed Draw Term Loan Facility is available only to finance the acquisition of aircraft and engines and is not available for working capital or other general corporate purposes. Only the $25,000 Revolving Credit Facility portion of the Credit Facilities is available for general corporate purposes and as a general source of liquidity.</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Covenants</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a description of certain covenants of our debt agreements, see Note 7 of the Notes to the Condensed Consolidated Financial Statements. We were in compliance with all covenants in these debt agreements as of September 30,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31" w:lineRule="exact"/>
        <w:rPr>
          <w:sz w:val="20"/>
          <w:szCs w:val="20"/>
          <w:color w:val="auto"/>
        </w:rPr>
      </w:pPr>
    </w:p>
    <w:p>
      <w:pPr>
        <w:jc w:val="both"/>
        <w:ind w:left="60" w:right="59"/>
        <w:spacing w:after="0"/>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Through June 2020, we purchased or refinanced 13 aircraft utilizing these certificates and the obligations are listed in Note 7 – Debt.</w:t>
      </w:r>
    </w:p>
    <w:p>
      <w:pPr>
        <w:spacing w:after="0" w:line="13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International Airport, Dallas-Fort Worth International Airport, San Diego International Airport, Los Angeles International Airport, Seattle Tacoma International Airport, Portland International Airport, Phoenix Sky Harbor International Airport, Orlando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1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ind w:left="60"/>
        <w:spacing w:after="0" w:line="235" w:lineRule="auto"/>
        <w:rPr>
          <w:sz w:val="20"/>
          <w:szCs w:val="20"/>
          <w:color w:val="auto"/>
        </w:rPr>
      </w:pPr>
      <w:r>
        <w:rPr>
          <w:rFonts w:ascii="Arial" w:cs="Arial" w:eastAsia="Arial" w:hAnsi="Arial"/>
          <w:sz w:val="18"/>
          <w:szCs w:val="18"/>
          <w:b w:val="1"/>
          <w:bCs w:val="1"/>
          <w:color w:val="auto"/>
        </w:rPr>
        <w:t>(Dollars in thousands, except per share amounts)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agreements are not reflected on our consolidated balance sheets. There are no assets or liabilities on our balance sheets related to these VIEs, since our participation is limited to purchasing aircraft fuel.</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other off-balance sheet arrangements.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contractual obligations comprised of aircraft leases and supplemental maintenance reserves, payment of debt and interest and other lease arrangements. As of September 30, 2021, we also have a contractual obligation to pay our pre-IPO stockholders under the terms of the Tax Receivable Agreement (see below).</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For additional information, refer to Note 12 Commitments and Contingencies to our unaudited Condensed Consolidated Financial Statements included elsewhere in this Quarterly Report on Form 10-Q. Except as described herein, there have been no material changes in our contractual obligations and commitments other than in the ordinary course of business since our fiscal year ended December 31, 2020. Also, see our Final Prospectus for additional information regarding our contractual obligations.</w:t>
      </w:r>
    </w:p>
    <w:p>
      <w:pPr>
        <w:spacing w:after="0" w:line="14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connection with the Company’s IPO, we entered into an income Tax Receivable Agreement with our pre-IPO stockholders. The agreement provides for the payment by the Company to the pre-IPO stockholders of 85% of the amount of cash savings, if any, in U.S. federal, state, local, and foreign income tax that the Company realizes as a result of certain tax attributes that existed at the time of the IPO. For additional information regarding this agreement, see Note 10 of the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8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September 30, 2021. We had hedges in place during the nine months ended September 30, 2021, but the last of these hedges expired in September 2021.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fourth quarter of 2021, we estimate that a one cent per gallon increase in the average aircraft fuel price would increase aircraft fuel expense by approximately $156 excluding any impact associated with fuel derivative instruments held and reimbursed cargo fuel.</w:t>
      </w:r>
    </w:p>
    <w:p>
      <w:pPr>
        <w:spacing w:after="0" w:line="19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 We have exposure to market risk associated with changes in interest rates related to the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from our variable-rate debt. A change in market interest rates would impact interest expense under the Credit Facilities, totaling $115,000 principal capacity. Assuming the Credit Facilities are fully drawn, a 100 basis point increase in interest rates would result in a corresponding increase in interest expense of approximately $1,150 annually.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September 30, 2021, under the supervision and with the participation of our management, including our chief executive officer (“CEO”) and chief financial officer (“CFO”), we evaluated the design and operation of our disclosure controls and procedures (as defined in Rules 13a-15(e) and 15d-15(e) of the Securities Exchange Act of 1934, as amended, or the “Exchange Act”) as of the end of the period covered by this report. Based on that evaluation, management, including our CEO and CFO, has concluded that our disclosure controls and procedures are designed, and are effective, to give reasonable assurance that the information we are required to disclose is recorded, processed, summarized and reported within the time periods specified in the SEC’s rules and forms and is accumulated and communicated to the Company’s management, including the CEO and the CFO, as appropriate to allow timely decisions regarding required disclosure.</w:t>
      </w:r>
    </w:p>
    <w:p>
      <w:pPr>
        <w:spacing w:after="0" w:line="20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nine months ended September 30, 2021, we did not make any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We have disclosed under the heading “Risk Factors” in our Registration Statement on Form S-1 (File No. 333-252858), as amended, and the Final Prospectus included therein,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the Registration Statement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may also materially adversely affect our business, financial condition and/or operating results.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Industry</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A worsening of the outbreak of another disease or similar public health threat in the future could also have an adverse effect on our business, operating results, financial condition and liquidity.</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11, 2020, the World Health Organization (the "WHO") declared COVID-19 a global pandemic causing a massive market disruption to the aviation industry. Measures such as travel restrictions, including testing regimes, "stay at home" and quarantine orders, limitations on public gatherings, cancellation of public events and many others have resulted in a decline in demand for air travel.</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While most restrictions have been removed in the United States, leading to a recovery in the domestic airline industry, additional governmental and other restrictions and regulations that may be implemented in the future in response to further outbreaks of COVID-19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began experiencing a significant decline in demand related to COVID-19 during the first quarter of 2020, and this reduction in demand has continued through September 2021. The decline in demand caused a material deterioration in our revenues.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material adverse effect on the public's demand for and willingness to use air travel, which could harm our reputation and business. Demand for scheduled service business is negatively correlated to case counts in Minnesota and the destinations of our scheduled flights and to the extent that variants cause higher case counts, we could see further reductions in demand.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Apart from the decrease in demand, passenger bookings have been on average much closer to the date of service during pandemic than in prior periods, which has reduced our visibility into future revenue.</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to the schedule reductions discussed above, we continue to focus on reducing expenses and managing our liquidity and we expect to continue to modify our cost management structure, liquidity-raising efforts and capacity as the timing of demand recovery becomes more certain.</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 additional $16.1 million in grants on March 26, 2021 and an additional $4.8 million in grants on April 22, 2021 (collectively, the "Payroll Support Payments"). Further, we were notified on April 15, 2021 that we would receive a grant of approximately $34.5 million under Payroll Support Program 3. Of this grant amount, $17.3 million was received on April 29, 2021 and the remaining $17.2 million was received on May 27, 2021.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205"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industry may also be subject to enhanced health and hygiene requirements in attempts to counteract future outbreaks, which requirements may be costly and take a significant amount of time to implement.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 -19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81"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are depending upon continued uptake of the COVID-19 vaccine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are depending upon an efficient distribution and sufficient supply of the COVID-19 vaccine, and continued uptake by the general public in order to normalize economic conditions, the airline industry and our business operations and to realize our financial and growth plans and business strategy. To date, COVID-19 vaccinations have been widespread, but many remain unvaccinated, as the long-term efficacy of the vaccines, including against variants, remains uncertain. The failure of a vaccine, including to the extent it is not effective against any COVID-19 variants, significant unplanned adverse reactions to the vaccine, politicization of the vaccine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general public distrust of the vaccine could have an adverse effect on our business, results of operations, financial condition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have recently increased significantly.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As of September 30, 2021, we had no outstanding call options.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 Governmental mandates requiring certain behaviors from employees, including COVID-19 vaccine mandates, could limit our ability to staff to meet demand because employees may choose to resign or decide not to apply for or accept open positions. Specifically, President Biden's recent Executive Order mandating that employers who maintain government contracts must require all employees to be fully vaccinated applies to our business and could have a negative impact on our ability to retain employees or hire new employees, which may adversely impact our business.</w:t>
      </w:r>
    </w:p>
    <w:p>
      <w:pPr>
        <w:spacing w:after="0" w:line="21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industry is experiencing higher than normal number of pilot retirements, more stringent duty time regulations, increased flight hour requirement for commercial airline pilots, reductions in the number of military pilots entering the commercial workforce, increased training requirements and other factors that may lead to a shortage of pilots, which could materially adversely affect our business.</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may lead to a shortage of qualified, entry-level pilots and increased compensation costs, particularly at carriers other than the large legacy carriers. The foregoing factors may lead to additional competition from carriers attempting to meet their hiring needs. If a shortage of pilots materializes,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staffing and hiring, market consolidation, the availability of aircraft and the global economy. Actual economic, market and other conditions have been and may continue to be different from our assumptions.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the cyber-threat landscape evolves, attacks are growing in frequency, sophistication and intensity, and are becoming increasingly difficult to detect. We have in the past, and may in the future, experience such cybersecurity threats. We and the vendors who service us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non-technical issues, including breaches by us or by persons with whom we have commercial relationships that result in the unauthorized release of personal or confidential information.</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at reasonable costs or fail to maintain our company culture, our business could be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 aviation or as a result of restrictions imposed under the CARES Act, or other governmental requirements placed on employees, which may further impede our ability to attract and retain skilled labor. If we are unable to hire, train and retain qualified employees, our business could be harmed and we may be unable to implement our growth plans.</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6"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The airline business is capital intensive. As of December 31, 2020, our 31 passenger aircraft fleet consisted of 12 aircraft financed under operating leases, 5 aircraft financed under finance leases and 14 aircraft financed under secured debt arrangements. As of December 31, 2020, we had future aircraft and real estate operating lease obligations of approximately $163.4 million, future debt principal obligations of $285.8 million and future finance lease obligations of approximately $139.1 million. During 2021, based on our aircraft leases and debt structure as of December 31, 2020, we expect to incur obligations of $42.0 million related to operating leases, $26.9 million related to debt principal obligations and $17.6 million related to finance lease obligations. Additionally, we made payments for maintenance reserves of $20.7 million for 2020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are, to some extent, beyond our control. The amount of our aircraft-related fixed obligations could have a material adverse effect on our business, results of operations and financial condition and could:</w:t>
      </w:r>
    </w:p>
    <w:p>
      <w:pPr>
        <w:spacing w:after="0" w:line="197" w:lineRule="exact"/>
        <w:rPr>
          <w:sz w:val="20"/>
          <w:szCs w:val="20"/>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8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 -19,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Apollo Stockholder has significant influence over us, and Apollo's interests may conflict with our interests and the interests of other stockholders.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Following this offering, the Apollo Stockholder will beneficially own approximately 43.6% of the voting power of our outstanding common equity (or approximately 42.0% if the underwriters exercise their option to purchase additional shares in full). As a result, although the Apollo Stockholder will beneficially own less than 50% of our outstanding common equity, individuals affiliated with Apollo will continue to have significant influence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190"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15.3% of which had vested as of September 30,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September 30, 2021, we had 937,448,259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2021, we had approximately 5,592,191 options outstanding, which are exercisable into approximately 5,592,191 shares of common stock, 7,634 shares of common stock that may be issued upon the vesting of outstanding RSUs and the 2019 Warrants outstanding, which are exercisable for 9,482,606 shares of common stock, subject to vesting requirements. Of the 2019 Warrants, approximately 15.3% have vested as of September 30,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8"/>
          <w:szCs w:val="18"/>
          <w:i w:val="1"/>
          <w:iCs w:val="1"/>
          <w:color w:val="auto"/>
        </w:rPr>
        <w:t>Executive Compensation-Equity Compensation Plans-2021</w:t>
      </w:r>
      <w:r>
        <w:rPr>
          <w:rFonts w:ascii="Arial" w:cs="Arial" w:eastAsia="Arial" w:hAnsi="Arial"/>
          <w:sz w:val="18"/>
          <w:szCs w:val="18"/>
          <w:color w:val="auto"/>
        </w:rPr>
        <w:t xml:space="preserve"> </w:t>
      </w:r>
      <w:r>
        <w:rPr>
          <w:rFonts w:ascii="Arial" w:cs="Arial" w:eastAsia="Arial" w:hAnsi="Arial"/>
          <w:sz w:val="18"/>
          <w:szCs w:val="18"/>
          <w:i w:val="1"/>
          <w:iCs w:val="1"/>
          <w:color w:val="auto"/>
        </w:rPr>
        <w:t>Omnibus Incentive Plan</w:t>
      </w:r>
      <w:r>
        <w:rPr>
          <w:rFonts w:ascii="Arial" w:cs="Arial" w:eastAsia="Arial" w:hAnsi="Arial"/>
          <w:sz w:val="18"/>
          <w:szCs w:val="18"/>
          <w:color w:val="auto"/>
        </w:rPr>
        <w:t>." Any common stock that we issue, including under our Omnibus Incentive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equity incentive plans that we may adopt in the future, as well as under outstanding options or warrants would dilute the percentage ownership held by the investors who purchase common stock in this offering.</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September 30, 2021, we had 57,551,741 shares of common stock outstanding, warrants to purchase 9,482,606 shares of common stock outstanding, options to purchase 5,592,191 shares of common stock outstanding and 7,634 shares of common stock that may be issued upon the vesting of outstanding RSUs. Following this offering the number of outstanding shares of common stock will include approximately 30 million outstanding shares that are "restricted securities," as defined under Rule 144 under the Securities Act, and eligible for sale in the public market subject to the requirements of Rule 144. We, the Apollo Stockholder and all of our executive officers and directors have agreed that, for a period of 60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Following the expiration of the applicable lock-up period, all of the issued and outstanding shares of our common stock will be eligible for future sale, subject to the applicable volume, manner of sale, holding periods, and other limitations of Rule 144. Barclays Capital Inc. and Morgan Stanley &amp; Co. LLC on behalf of the underwriters may, in their sole discretion, release all or any portion of the shares subject to lock-up agreements at any time and for any reason. In addition, certain of our existing stockholders, including the Apollo Stockholder and Amazon, have certain rights to require us to register the sale of common stock held by them including in connection with underwritten offerings.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for you to sell your shares of common stock at a time and price that you deem appropriate.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1839"/>
        <w:spacing w:after="0" w:line="49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Unregistered Sales of Equity Securities</w:t>
      </w:r>
    </w:p>
    <w:p>
      <w:pPr>
        <w:jc w:val="both"/>
        <w:ind w:left="60" w:right="59"/>
        <w:spacing w:after="0" w:line="246" w:lineRule="auto"/>
        <w:rPr>
          <w:sz w:val="20"/>
          <w:szCs w:val="20"/>
          <w:color w:val="auto"/>
        </w:rPr>
      </w:pPr>
      <w:r>
        <w:rPr>
          <w:rFonts w:ascii="Arial" w:cs="Arial" w:eastAsia="Arial" w:hAnsi="Arial"/>
          <w:sz w:val="18"/>
          <w:szCs w:val="18"/>
          <w:color w:val="auto"/>
        </w:rPr>
        <w:t>During the three months ended September 30, 2021, we did not conduct any sales of equity securities that were not registered under the Securities Act of 1933, as amended.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3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The Registration Statement on Form S-1 (File No. 333-252858) for our initial public offering (“IPO”) of our common stock, par value $0.01 per share was declared effective by the SEC on March 16, 2021, pursuant to which we issued and sold 10,454,545 shares of our common stock at $24.00 per share, which included 1,363,636 shares issued upon the exercise of the underwriters’ over-allotment option to purchase additional shares. We received net proceeds of $225,006 after deducting underwriting discounts and commissions, and other offering expenses. The managing underwriters for our IPO were Barclays Capital Inc. and Morgan Stanley</w:t>
      </w:r>
    </w:p>
    <w:p>
      <w:pPr>
        <w:spacing w:after="0" w:line="4" w:lineRule="exact"/>
        <w:rPr>
          <w:sz w:val="20"/>
          <w:szCs w:val="20"/>
          <w:color w:val="auto"/>
        </w:rPr>
      </w:pPr>
    </w:p>
    <w:p>
      <w:pPr>
        <w:jc w:val="both"/>
        <w:ind w:left="60" w:right="59" w:hanging="10"/>
        <w:spacing w:after="0" w:line="238" w:lineRule="auto"/>
        <w:tabs>
          <w:tab w:leader="none" w:pos="2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 LLC. Shares of our common stock began trading on the NASDAQ on March 17, 2021. We used approximately $46,260 of the proceeds from the IPO to repay all amounts outstanding under the CARES Act Loan. A portion of the proceeds were used to pay fees and expenses in connection with the IPO and the remainder will be used for general corporate purposes, including the acquisition of additional aircraft.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management team will retain broad discretion to allocate the net proceeds of the IPO for general corporate purposes. Pending use as described above, we may invest the net proceeds from the IPO in short-term, investment-grade, interest-bearing securities, such as money market accounts, certificates of deposit, commercial paper and guaranteed obligations of the U.S. government.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3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does not have a share repurchase program and no shares were repurchased during the three months ended September 30, 2021. Under the CARES Act, we are restricted from conducting certain share repurchases through September 30, 2022.</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14" w:lineRule="exact"/>
        <w:rPr>
          <w:sz w:val="20"/>
          <w:szCs w:val="20"/>
          <w:color w:val="auto"/>
        </w:rPr>
      </w:pPr>
    </w:p>
    <w:p>
      <w:pPr>
        <w:ind w:left="1060" w:right="79" w:hanging="985"/>
        <w:spacing w:after="0" w:line="246"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3">
        <w:r>
          <w:rPr>
            <w:rFonts w:ascii="Arial" w:cs="Arial" w:eastAsia="Arial" w:hAnsi="Arial"/>
            <w:sz w:val="18"/>
            <w:szCs w:val="18"/>
            <w:u w:val="single" w:color="auto"/>
            <w:color w:val="0000EE"/>
          </w:rPr>
          <w:t>Certification by Sun Country's Chief Executive Officer with respect to Sun Country's Quarterly</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Report on Form 10-Q for the quarterly period ended September 30, 2021</w:t>
        </w:r>
      </w:hyperlink>
    </w:p>
    <w:p>
      <w:pPr>
        <w:spacing w:after="0" w:line="183" w:lineRule="exact"/>
        <w:rPr>
          <w:sz w:val="20"/>
          <w:szCs w:val="20"/>
          <w:color w:val="auto"/>
        </w:rPr>
      </w:pPr>
    </w:p>
    <w:p>
      <w:pPr>
        <w:ind w:left="1060" w:right="79" w:hanging="985"/>
        <w:spacing w:after="0" w:line="246"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4">
        <w:r>
          <w:rPr>
            <w:rFonts w:ascii="Arial" w:cs="Arial" w:eastAsia="Arial" w:hAnsi="Arial"/>
            <w:sz w:val="18"/>
            <w:szCs w:val="18"/>
            <w:u w:val="single" w:color="auto"/>
            <w:color w:val="0000EE"/>
          </w:rPr>
          <w:t>Certification by Sun Country’s President and Chief Financial Officer with respect to Sun Country's</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Quarterly Report on Form 10-Q for the quarterly period ended September 30, 2021</w:t>
        </w:r>
      </w:hyperlink>
    </w:p>
    <w:p>
      <w:pPr>
        <w:spacing w:after="0" w:line="183" w:lineRule="exact"/>
        <w:rPr>
          <w:sz w:val="20"/>
          <w:szCs w:val="20"/>
          <w:color w:val="auto"/>
        </w:rPr>
      </w:pPr>
    </w:p>
    <w:p>
      <w:pPr>
        <w:jc w:val="both"/>
        <w:ind w:left="1060" w:right="79" w:hanging="995"/>
        <w:spacing w:after="0" w:line="238" w:lineRule="auto"/>
        <w:tabs>
          <w:tab w:leader="none" w:pos="1060" w:val="left"/>
        </w:tabs>
        <w:numPr>
          <w:ilvl w:val="0"/>
          <w:numId w:val="32"/>
        </w:numPr>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Certification pursuant to Section 1350 of Chapter 63 of Title 18 of the United States Code by Sun</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Country Airlines Holdings, Inc.’s Chief Executive Officer and President and Chief Financial Officer</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with respect to Sun Country's Quarterly Report on Form 10-Q for the quarterly period ended</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September 30, 2021</w:t>
        </w:r>
      </w:hyperlink>
    </w:p>
    <w:p>
      <w:pPr>
        <w:spacing w:after="0" w:line="187"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Instance Document - The instance document does not appear in the interactive data</w:t>
            </w:r>
          </w:p>
        </w:tc>
      </w:tr>
      <w:tr>
        <w:trPr>
          <w:trHeight w:val="217"/>
        </w:trPr>
        <w:tc>
          <w:tcPr>
            <w:tcW w:w="86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802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88" w:lineRule="exact"/>
        <w:rPr>
          <w:rFonts w:ascii="Arial" w:cs="Arial" w:eastAsia="Arial" w:hAnsi="Arial"/>
          <w:sz w:val="18"/>
          <w:szCs w:val="18"/>
          <w:u w:val="single" w:color="auto"/>
          <w:color w:val="0000EE"/>
        </w:rPr>
      </w:pPr>
    </w:p>
    <w:p>
      <w:pPr>
        <w:ind w:left="1060" w:hanging="995"/>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Files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00" w:hanging="106"/>
        <w:spacing w:after="0"/>
        <w:tabs>
          <w:tab w:leader="none" w:pos="44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71 -</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148590</wp:posOffset>
            </wp:positionV>
            <wp:extent cx="56578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Sun Country Airlines Holdings, Inc.</w:t>
      </w:r>
    </w:p>
    <w:p>
      <w:pPr>
        <w:ind w:left="47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-1905</wp:posOffset>
            </wp:positionV>
            <wp:extent cx="2691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Dave Davis</w:t>
      </w:r>
    </w:p>
    <w:p>
      <w:pPr>
        <w:ind w:left="4720"/>
        <w:spacing w:after="0" w:line="234" w:lineRule="auto"/>
        <w:rPr>
          <w:sz w:val="20"/>
          <w:szCs w:val="20"/>
          <w:color w:val="auto"/>
        </w:rPr>
      </w:pPr>
      <w:r>
        <w:rPr>
          <w:rFonts w:ascii="Arial" w:cs="Arial" w:eastAsia="Arial" w:hAnsi="Arial"/>
          <w:sz w:val="18"/>
          <w:szCs w:val="18"/>
          <w:color w:val="auto"/>
        </w:rPr>
        <w:t>President and Chief Financial Officer</w:t>
      </w:r>
    </w:p>
    <w:p>
      <w:pPr>
        <w:ind w:left="4720"/>
        <w:spacing w:after="0" w:line="235" w:lineRule="auto"/>
        <w:rPr>
          <w:sz w:val="20"/>
          <w:szCs w:val="20"/>
          <w:color w:val="auto"/>
        </w:rPr>
      </w:pPr>
      <w:r>
        <w:rPr>
          <w:rFonts w:ascii="Arial" w:cs="Arial" w:eastAsia="Arial" w:hAnsi="Arial"/>
          <w:sz w:val="18"/>
          <w:szCs w:val="18"/>
          <w:color w:val="auto"/>
        </w:rPr>
        <w:t>(Principal Financial and Accounting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1,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Jude Bricker, certify that:</w:t>
      </w:r>
    </w:p>
    <w:p>
      <w:pPr>
        <w:spacing w:after="0" w:line="225" w:lineRule="exact"/>
        <w:rPr>
          <w:sz w:val="20"/>
          <w:szCs w:val="20"/>
          <w:color w:val="auto"/>
        </w:rPr>
      </w:pPr>
    </w:p>
    <w:p>
      <w:pPr>
        <w:ind w:left="580" w:right="180" w:hanging="315"/>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nine month period ended September 30, 2021;</w:t>
      </w:r>
    </w:p>
    <w:p>
      <w:pPr>
        <w:spacing w:after="0" w:line="170" w:lineRule="exact"/>
        <w:rPr>
          <w:rFonts w:ascii="Arial" w:cs="Arial" w:eastAsia="Arial" w:hAnsi="Arial"/>
          <w:sz w:val="18"/>
          <w:szCs w:val="18"/>
          <w:color w:val="auto"/>
        </w:rPr>
      </w:pPr>
    </w:p>
    <w:p>
      <w:pPr>
        <w:ind w:left="580" w:right="280" w:hanging="315"/>
        <w:spacing w:after="0" w:line="263"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20" w:hanging="315"/>
        <w:spacing w:after="0" w:line="263"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3" w:lineRule="exact"/>
        <w:rPr>
          <w:rFonts w:ascii="Arial" w:cs="Arial" w:eastAsia="Arial" w:hAnsi="Arial"/>
          <w:sz w:val="18"/>
          <w:szCs w:val="18"/>
          <w:color w:val="auto"/>
        </w:rPr>
      </w:pPr>
    </w:p>
    <w:p>
      <w:pPr>
        <w:ind w:left="580" w:right="180" w:hanging="315"/>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40" w:hanging="324"/>
        <w:spacing w:after="0" w:line="311" w:lineRule="auto"/>
        <w:tabs>
          <w:tab w:leader="none" w:pos="980" w:val="left"/>
        </w:tabs>
        <w:numPr>
          <w:ilvl w:val="2"/>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80" w:hanging="324"/>
        <w:spacing w:after="0" w:line="263"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jc w:val="both"/>
        <w:ind w:left="660" w:right="640" w:hanging="328"/>
        <w:spacing w:after="0" w:line="263" w:lineRule="auto"/>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83" w:lineRule="exact"/>
        <w:rPr>
          <w:rFonts w:ascii="Arial" w:cs="Arial" w:eastAsia="Arial" w:hAnsi="Arial"/>
          <w:sz w:val="18"/>
          <w:szCs w:val="18"/>
          <w:color w:val="auto"/>
        </w:rPr>
      </w:pPr>
    </w:p>
    <w:p>
      <w:pPr>
        <w:ind w:left="980" w:right="520" w:hanging="324"/>
        <w:spacing w:after="0" w:line="277" w:lineRule="auto"/>
        <w:tabs>
          <w:tab w:leader="none" w:pos="9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Dave Davis, certify that:</w:t>
      </w:r>
    </w:p>
    <w:p>
      <w:pPr>
        <w:spacing w:after="0" w:line="225" w:lineRule="exact"/>
        <w:rPr>
          <w:sz w:val="20"/>
          <w:szCs w:val="20"/>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nine month period ended September 30, 2021;</w:t>
      </w:r>
    </w:p>
    <w:p>
      <w:pPr>
        <w:spacing w:after="0" w:line="170"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40" w:hanging="324"/>
        <w:spacing w:after="0" w:line="311"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ind w:left="980" w:right="2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jc w:val="both"/>
        <w:ind w:left="660" w:right="64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83"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83" w:lineRule="exact"/>
        <w:rPr>
          <w:rFonts w:ascii="Arial" w:cs="Arial" w:eastAsia="Arial" w:hAnsi="Arial"/>
          <w:sz w:val="18"/>
          <w:szCs w:val="18"/>
          <w:color w:val="auto"/>
        </w:rPr>
      </w:pPr>
    </w:p>
    <w:p>
      <w:pPr>
        <w:ind w:left="980" w:right="5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5715</wp:posOffset>
            </wp:positionV>
            <wp:extent cx="31375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 2021</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September 30, 2021 (the "Report").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Sun Country.</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lvl w:ilvl="1">
      <w:lvlJc w:val="left"/>
      <w:lvlText w:val="-"/>
      <w:numFmt w:val="bullet"/>
      <w:start w:val="1"/>
    </w:lvl>
  </w:abstractNum>
  <w:abstractNum w:abstractNumId="3">
    <w:nsid w:val="62BBD95A"/>
    <w:multiLevelType w:val="hybridMultilevel"/>
    <w:lvl w:ilvl="0">
      <w:lvlJc w:val="left"/>
      <w:lvlText w:val="%1."/>
      <w:numFmt w:val="decimal"/>
      <w:start w:val="2"/>
    </w:lvl>
    <w:lvl w:ilvl="1">
      <w:lvlJc w:val="left"/>
      <w:lvlText w:val="-"/>
      <w:numFmt w:val="bullet"/>
      <w:start w:val="1"/>
    </w:lvl>
  </w:abstractNum>
  <w:abstractNum w:abstractNumId="4">
    <w:nsid w:val="436C6125"/>
    <w:multiLevelType w:val="hybridMultilevel"/>
    <w:lvl w:ilvl="0">
      <w:lvlJc w:val="left"/>
      <w:lvlText w:val="%1."/>
      <w:numFmt w:val="decimal"/>
      <w:start w:val="3"/>
    </w:lvl>
    <w:lvl w:ilvl="1">
      <w:lvlJc w:val="left"/>
      <w:lvlText w:val="-"/>
      <w:numFmt w:val="bullet"/>
      <w:start w:val="1"/>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5"/>
    </w:lvl>
    <w:lvl w:ilvl="1">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6"/>
    </w:lvl>
    <w:lvl w:ilvl="1">
      <w:lvlJc w:val="left"/>
      <w:lvlText w:val="-"/>
      <w:numFmt w:val="bullet"/>
      <w:start w:val="1"/>
    </w:lvl>
  </w:abstractNum>
  <w:abstractNum w:abstractNumId="10">
    <w:nsid w:val="6763845E"/>
    <w:multiLevelType w:val="hybridMultilevel"/>
    <w:lvl w:ilvl="0">
      <w:lvlJc w:val="left"/>
      <w:lvlText w:val="%1)"/>
      <w:numFmt w:val="decimal"/>
      <w:start w:val="842"/>
    </w:lvl>
    <w:lvl w:ilvl="1">
      <w:lvlJc w:val="left"/>
      <w:lvlText w:val="-"/>
      <w:numFmt w:val="bullet"/>
      <w:start w:val="1"/>
    </w:lvl>
  </w:abstractNum>
  <w:abstractNum w:abstractNumId="11">
    <w:nsid w:val="75A2A8D4"/>
    <w:multiLevelType w:val="hybridMultilevel"/>
    <w:lvl w:ilvl="0">
      <w:lvlJc w:val="left"/>
      <w:lvlText w:val="%1."/>
      <w:numFmt w:val="decimal"/>
      <w:start w:val="7"/>
    </w:lvl>
    <w:lvl w:ilvl="1">
      <w:lvlJc w:val="left"/>
      <w:lvlText w:val="-"/>
      <w:numFmt w:val="bullet"/>
      <w:start w:val="1"/>
    </w:lvl>
  </w:abstractNum>
  <w:abstractNum w:abstractNumId="12">
    <w:nsid w:val="8EDBDAB"/>
    <w:multiLevelType w:val="hybridMultilevel"/>
    <w:lvl w:ilvl="0">
      <w:lvlJc w:val="left"/>
      <w:lvlText w:val="%1."/>
      <w:numFmt w:val="decimal"/>
      <w:start w:val="8"/>
    </w:lvl>
  </w:abstractNum>
  <w:abstractNum w:abstractNumId="13">
    <w:nsid w:val="79838CB2"/>
    <w:multiLevelType w:val="hybridMultilevel"/>
    <w:lvl w:ilvl="0">
      <w:lvlJc w:val="left"/>
      <w:lvlText w:val="%1."/>
      <w:numFmt w:val="decimal"/>
      <w:start w:val="9"/>
    </w:lvl>
  </w:abstractNum>
  <w:abstractNum w:abstractNumId="14">
    <w:nsid w:val="4353D0CD"/>
    <w:multiLevelType w:val="hybridMultilevel"/>
    <w:lvl w:ilvl="0">
      <w:lvlJc w:val="left"/>
      <w:lvlText w:val="%1."/>
      <w:numFmt w:val="decimal"/>
      <w:start w:val="10"/>
    </w:lvl>
    <w:lvl w:ilvl="1">
      <w:lvlJc w:val="left"/>
      <w:lvlText w:val="-"/>
      <w:numFmt w:val="bullet"/>
      <w:start w:val="1"/>
    </w:lvl>
  </w:abstractNum>
  <w:abstractNum w:abstractNumId="15">
    <w:nsid w:val="B03E0C6"/>
    <w:multiLevelType w:val="hybridMultilevel"/>
    <w:lvl w:ilvl="0">
      <w:lvlJc w:val="left"/>
      <w:lvlText w:val="%1."/>
      <w:numFmt w:val="decimal"/>
      <w:start w:val="11"/>
    </w:lvl>
  </w:abstractNum>
  <w:abstractNum w:abstractNumId="16">
    <w:nsid w:val="189A769B"/>
    <w:multiLevelType w:val="hybridMultilevel"/>
    <w:lvl w:ilvl="0">
      <w:lvlJc w:val="left"/>
      <w:lvlText w:val="(%1)"/>
      <w:numFmt w:val="decimal"/>
      <w:start w:val="1"/>
    </w:lvl>
    <w:lvl w:ilvl="1">
      <w:lvlJc w:val="left"/>
      <w:lvlText w:val="-"/>
      <w:numFmt w:val="bullet"/>
      <w:start w:val="1"/>
    </w:lvl>
  </w:abstractNum>
  <w:abstractNum w:abstractNumId="17">
    <w:nsid w:val="54E49EB4"/>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18">
    <w:nsid w:val="71F32454"/>
    <w:multiLevelType w:val="hybridMultilevel"/>
    <w:lvl w:ilvl="0">
      <w:lvlJc w:val="left"/>
      <w:lvlText w:val="%1."/>
      <w:numFmt w:val="decimal"/>
      <w:start w:val="12"/>
    </w:lvl>
    <w:lvl w:ilvl="1">
      <w:lvlJc w:val="left"/>
      <w:lvlText w:val="%2"/>
      <w:numFmt w:val="decimal"/>
      <w:start w:val="1"/>
    </w:lvl>
    <w:lvl w:ilvl="2">
      <w:lvlJc w:val="left"/>
      <w:lvlText w:val="-"/>
      <w:numFmt w:val="bullet"/>
      <w:start w:val="1"/>
    </w:lvl>
  </w:abstractNum>
  <w:abstractNum w:abstractNumId="19">
    <w:nsid w:val="2CA88611"/>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20">
    <w:nsid w:val="836C40E"/>
    <w:multiLevelType w:val="hybridMultilevel"/>
    <w:lvl w:ilvl="0">
      <w:lvlJc w:val="left"/>
      <w:lvlText w:val="%1."/>
      <w:numFmt w:val="decimal"/>
      <w:start w:val="14"/>
    </w:lvl>
    <w:lvl w:ilvl="1">
      <w:lvlJc w:val="left"/>
      <w:lvlText w:val="%2"/>
      <w:numFmt w:val="decimal"/>
      <w:start w:val="1"/>
    </w:lvl>
    <w:lvl w:ilvl="2">
      <w:lvlJc w:val="left"/>
      <w:lvlText w:val="*"/>
      <w:numFmt w:val="bullet"/>
      <w:start w:val="1"/>
    </w:lvl>
  </w:abstractNum>
  <w:abstractNum w:abstractNumId="21">
    <w:nsid w:val="2901D82"/>
    <w:multiLevelType w:val="hybridMultilevel"/>
    <w:lvl w:ilvl="0">
      <w:lvlJc w:val="left"/>
      <w:lvlText w:val="(%1)"/>
      <w:numFmt w:val="decimal"/>
      <w:start w:val="1"/>
    </w:lvl>
    <w:lvl w:ilvl="1">
      <w:lvlJc w:val="left"/>
      <w:lvlText w:val="-"/>
      <w:numFmt w:val="bullet"/>
      <w:start w:val="1"/>
    </w:lvl>
  </w:abstractNum>
  <w:abstractNum w:abstractNumId="22">
    <w:nsid w:val="3A95F874"/>
    <w:multiLevelType w:val="hybridMultilevel"/>
    <w:lvl w:ilvl="0">
      <w:lvlJc w:val="left"/>
      <w:lvlText w:val="(%1)"/>
      <w:numFmt w:val="decimal"/>
      <w:start w:val="1"/>
    </w:lvl>
    <w:lvl w:ilvl="1">
      <w:lvlJc w:val="left"/>
      <w:lvlText w:val="-"/>
      <w:numFmt w:val="bullet"/>
      <w:start w:val="1"/>
    </w:lvl>
  </w:abstractNum>
  <w:abstractNum w:abstractNumId="23">
    <w:nsid w:val="8138641"/>
    <w:multiLevelType w:val="hybridMultilevel"/>
    <w:lvl w:ilvl="0">
      <w:lvlJc w:val="left"/>
      <w:lvlText w:val="(%1)"/>
      <w:numFmt w:val="lowerLetter"/>
      <w:start w:val="1"/>
    </w:lvl>
    <w:lvl w:ilvl="1">
      <w:lvlJc w:val="left"/>
      <w:lvlText w:val="-"/>
      <w:numFmt w:val="bullet"/>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lvl w:ilvl="1">
      <w:lvlJc w:val="left"/>
      <w:lvlText w:val="-"/>
      <w:numFmt w:val="bullet"/>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1"/>
    </w:lvl>
    <w:lvl w:ilvl="1">
      <w:lvlJc w:val="left"/>
      <w:lvlText w:val="-"/>
      <w:numFmt w:val="bullet"/>
      <w:start w:val="1"/>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amp;"/>
      <w:numFmt w:val="bullet"/>
      <w:start w:val="1"/>
    </w:lvl>
  </w:abstractNum>
  <w:abstractNum w:abstractNumId="31">
    <w:nsid w:val="614FD4A1"/>
    <w:multiLevelType w:val="hybridMultilevel"/>
    <w:lvl w:ilvl="0">
      <w:lvlJc w:val="left"/>
      <w:lvlText w:val="%1"/>
      <w:numFmt w:val="decimal"/>
      <w:start w:val="32"/>
    </w:lvl>
  </w:abstractNum>
  <w:abstractNum w:abstractNumId="32">
    <w:nsid w:val="419AC241"/>
    <w:multiLevelType w:val="hybridMultilevel"/>
    <w:lvl w:ilvl="0">
      <w:lvlJc w:val="left"/>
      <w:lvlText w:val="%1"/>
      <w:numFmt w:val="decimal"/>
      <w:start w:val="104"/>
    </w:lvl>
    <w:lvl w:ilvl="1">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2021-11-01T16:31:12Z</dcterms:created>
  <dcterms:modified xsi:type="dcterms:W3CDTF">2021-11-01T16:31:12Z</dcterms:modified>
</cp:coreProperties>
</file>