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11, 2023</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1"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001-40217</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1" w:right="33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December 11, 2023, Sun Country Airlines Holdings, Inc. (the “Company”) and an affiliate of certain investment funds managed by affiliates of Apollo Global Management, Inc. (the “Selling Stockholder”) entered into an underwriting agreement (the “Underwriting Agreement”) with the underwriters named in the Underwriting Agreement ( the “Underwriters”), relating to the secondary public offering (the “Offering”) of an aggregate of 4,000,000 shares of the common stock of the Company, par value $0.01 per share (the “Common Stock”), sold by the Selling Stockholder. The Offering was completed on December 14, 2023. Under the terms of the Underwriting Agreement, the Selling Stockholder has granted the Underwriters a 30-day option to purchase up to an additional 600,000 shares of Common Stock held by the Selling Stockholder. The Company did not receive any of the proceeds from the sale of shares of Common Stock by the Selling Stockholder in the Offering.</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Also pursuant to the Underwriting Agreement, the Company purchased from the Underwriters 312,500 shares of Common Stock sold by the Selling Stockholder in the Offering, at a purchase price equal to the price at which the Underwriters purchased the shares of Common Stock from the Selling Stockholder (the “Concurrent Share Repurchase”). The terms and conditions of the Concurrent Share Repurchase were reviewed and approved by the independent members of the Company’s board of directors. The Concurrent Share Repurchase was made under the Company’s existing stock repurchase program and reduced remaining availability under the stock repurchase program. The Company used existing cash on hand to fund the Concurrent Share Repurchase.</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Offering was made pursuant to a shelf registration statement on Form S-3 (File No. 333-269023) filed with the Securities and Exchange Commission (the “SEC”) and which became effective on January 12, 2023 (the “Registration Statement”), a prospectus, dated January 12, 2023 included as part of the Registration Statement and a preliminary prospectus supplement, dated December 11, 2023 and filed with the SEC on December 11, 2023. The Underwriting Agreement is attached hereto as Exhibit 1.1 and is incorporated herein by reference. The foregoing description of the terms of the Underwriting Agreement is qualified in its entirety by reference to Exhibit 1.1 incorporated herein by reference.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0"/>
        </w:trPr>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2"/>
        </w:trPr>
        <w:tc>
          <w:tcPr>
            <w:tcW w:w="1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No.</w:t>
            </w:r>
          </w:p>
        </w:tc>
        <w:tc>
          <w:tcPr>
            <w:tcW w:w="3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Underwriting Agreement, dated as of December 11, 2023, among Sun Country Airlines Holdings, Inc., SCA Horus Holdings, LLC as</w:t>
            </w:r>
          </w:p>
        </w:tc>
      </w:tr>
      <w:tr>
        <w:trPr>
          <w:trHeight w:val="196"/>
        </w:trPr>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the selling stockholder, and the underwriters named therein</w:t>
            </w:r>
          </w:p>
        </w:tc>
        <w:tc>
          <w:tcPr>
            <w:tcW w:w="53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3"/>
        </w:trPr>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14, 2023</w:t>
            </w:r>
          </w:p>
        </w:tc>
        <w:tc>
          <w:tcPr>
            <w:tcW w:w="638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c>
          <w:tcPr>
            <w:tcW w:w="1120" w:type="dxa"/>
            <w:vAlign w:val="bottom"/>
          </w:tcPr>
          <w:p>
            <w:pPr>
              <w:spacing w:after="0"/>
              <w:rPr>
                <w:sz w:val="20"/>
                <w:szCs w:val="20"/>
                <w:color w:val="auto"/>
              </w:rPr>
            </w:pPr>
          </w:p>
        </w:tc>
      </w:tr>
      <w:tr>
        <w:trPr>
          <w:trHeight w:val="648"/>
        </w:trPr>
        <w:tc>
          <w:tcPr>
            <w:tcW w:w="3740" w:type="dxa"/>
            <w:vAlign w:val="bottom"/>
          </w:tcPr>
          <w:p>
            <w:pPr>
              <w:spacing w:after="0"/>
              <w:rPr>
                <w:sz w:val="24"/>
                <w:szCs w:val="24"/>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c>
          <w:tcPr>
            <w:tcW w:w="1120" w:type="dxa"/>
            <w:vAlign w:val="bottom"/>
          </w:tcPr>
          <w:p>
            <w:pPr>
              <w:spacing w:after="0"/>
              <w:rPr>
                <w:sz w:val="24"/>
                <w:szCs w:val="24"/>
                <w:color w:val="auto"/>
              </w:rPr>
            </w:pPr>
          </w:p>
        </w:tc>
      </w:tr>
      <w:tr>
        <w:trPr>
          <w:trHeight w:val="191"/>
        </w:trPr>
        <w:tc>
          <w:tcPr>
            <w:tcW w:w="3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Erin Rose Neale</w:t>
            </w:r>
          </w:p>
        </w:tc>
        <w:tc>
          <w:tcPr>
            <w:tcW w:w="112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General Counsel and</w:t>
            </w:r>
          </w:p>
        </w:tc>
        <w:tc>
          <w:tcPr>
            <w:tcW w:w="112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Secretary</w:t>
            </w:r>
          </w:p>
        </w:tc>
        <w:tc>
          <w:tcPr>
            <w:tcW w:w="1120" w:type="dxa"/>
            <w:vAlign w:val="bottom"/>
          </w:tcPr>
          <w:p>
            <w:pPr>
              <w:spacing w:after="0"/>
              <w:rPr>
                <w:sz w:val="20"/>
                <w:szCs w:val="20"/>
                <w:color w:val="auto"/>
              </w:rPr>
            </w:pPr>
          </w:p>
        </w:tc>
      </w:tr>
      <w:tr>
        <w:trPr>
          <w:trHeight w:val="1195"/>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17"/>
          <w:szCs w:val="17"/>
          <w:b w:val="1"/>
          <w:bCs w:val="1"/>
          <w:color w:val="auto"/>
        </w:rPr>
        <w:t>EXHIBIT 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4,000,000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tanley</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Underwriters named in Schedule I attached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 named in Schedule II attached hereto as Selling Stockholder (the “</w:t>
      </w:r>
      <w:r>
        <w:rPr>
          <w:rFonts w:ascii="Times New Roman" w:cs="Times New Roman" w:eastAsia="Times New Roman" w:hAnsi="Times New Roman"/>
          <w:sz w:val="18"/>
          <w:szCs w:val="18"/>
          <w:b w:val="1"/>
          <w:bCs w:val="1"/>
          <w:i w:val="1"/>
          <w:iCs w:val="1"/>
          <w:color w:val="auto"/>
        </w:rPr>
        <w:t>Selling Stockholder</w:t>
      </w:r>
      <w:r>
        <w:rPr>
          <w:rFonts w:ascii="Times New Roman" w:cs="Times New Roman" w:eastAsia="Times New Roman" w:hAnsi="Times New Roman"/>
          <w:sz w:val="18"/>
          <w:szCs w:val="18"/>
          <w:color w:val="auto"/>
        </w:rPr>
        <w:t>”) of Sun Country Airlines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to sell an aggregate of 4,000,000 shares (the “</w:t>
      </w:r>
      <w:r>
        <w:rPr>
          <w:rFonts w:ascii="Times New Roman" w:cs="Times New Roman" w:eastAsia="Times New Roman" w:hAnsi="Times New Roman"/>
          <w:sz w:val="18"/>
          <w:szCs w:val="18"/>
          <w:b w:val="1"/>
          <w:bCs w:val="1"/>
          <w:i w:val="1"/>
          <w:iCs w:val="1"/>
          <w:color w:val="auto"/>
        </w:rPr>
        <w:t>Firm Stock</w:t>
      </w:r>
      <w:r>
        <w:rPr>
          <w:rFonts w:ascii="Times New Roman" w:cs="Times New Roman" w:eastAsia="Times New Roman" w:hAnsi="Times New Roman"/>
          <w:sz w:val="18"/>
          <w:szCs w:val="18"/>
          <w:color w:val="auto"/>
        </w:rPr>
        <w:t>”) of the Company’s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In addition, the Selling Stockholder proposes to grant to the underwriters named in Schedule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attached to this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 option to purchase up to an aggregate of 600,000 additional shares of the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on the terms set forth in Section 3 (the “</w:t>
      </w:r>
      <w:r>
        <w:rPr>
          <w:rFonts w:ascii="Times New Roman" w:cs="Times New Roman" w:eastAsia="Times New Roman" w:hAnsi="Times New Roman"/>
          <w:sz w:val="18"/>
          <w:szCs w:val="18"/>
          <w:b w:val="1"/>
          <w:bCs w:val="1"/>
          <w:i w:val="1"/>
          <w:iCs w:val="1"/>
          <w:color w:val="auto"/>
        </w:rPr>
        <w:t>Option Stock</w:t>
      </w:r>
      <w:r>
        <w:rPr>
          <w:rFonts w:ascii="Times New Roman" w:cs="Times New Roman" w:eastAsia="Times New Roman" w:hAnsi="Times New Roman"/>
          <w:sz w:val="18"/>
          <w:szCs w:val="18"/>
          <w:color w:val="auto"/>
        </w:rPr>
        <w:t>”). The Firm Stock and the Option Stock, if purchased, are hereinafter collectively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Subject to the sale of the Firm Stock by the Selling Stockholder to the Underwriters in compliance with the terms of this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have agreed to sell to the Company, and the Company has agreed to purchase from the Underwriters (the “</w:t>
      </w:r>
      <w:r>
        <w:rPr>
          <w:rFonts w:ascii="Times New Roman" w:cs="Times New Roman" w:eastAsia="Times New Roman" w:hAnsi="Times New Roman"/>
          <w:sz w:val="18"/>
          <w:szCs w:val="18"/>
          <w:b w:val="1"/>
          <w:bCs w:val="1"/>
          <w:i w:val="1"/>
          <w:iCs w:val="1"/>
          <w:color w:val="auto"/>
        </w:rPr>
        <w:t>Share Repurchase”</w:t>
      </w:r>
      <w:r>
        <w:rPr>
          <w:rFonts w:ascii="Times New Roman" w:cs="Times New Roman" w:eastAsia="Times New Roman" w:hAnsi="Times New Roman"/>
          <w:sz w:val="18"/>
          <w:szCs w:val="18"/>
          <w:color w:val="auto"/>
        </w:rPr>
        <w:t>) an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312,500 shares of Common Stock (such shares, the “</w:t>
      </w:r>
      <w:r>
        <w:rPr>
          <w:rFonts w:ascii="Times New Roman" w:cs="Times New Roman" w:eastAsia="Times New Roman" w:hAnsi="Times New Roman"/>
          <w:sz w:val="18"/>
          <w:szCs w:val="18"/>
          <w:b w:val="1"/>
          <w:bCs w:val="1"/>
          <w:i w:val="1"/>
          <w:iCs w:val="1"/>
          <w:color w:val="auto"/>
        </w:rPr>
        <w:t>Repurchase Shares</w:t>
      </w:r>
      <w:r>
        <w:rPr>
          <w:rFonts w:ascii="Times New Roman" w:cs="Times New Roman" w:eastAsia="Times New Roman" w:hAnsi="Times New Roman"/>
          <w:sz w:val="18"/>
          <w:szCs w:val="18"/>
          <w:color w:val="auto"/>
        </w:rPr>
        <w:t>”) pursuant to Section 3 of this Agreement. This Agreement is to confirm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concerning the purchase of the Stock from the Selling Stockholder by the Underwriters, and the purchase of the Repurchase Shares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by the Company. To the extent that only one Underwriter is listed on Schedule I hereto, all references to the Representatives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shall refer to just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660" w:hanging="396"/>
        <w:spacing w:after="0"/>
        <w:tabs>
          <w:tab w:leader="none" w:pos="1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Company</w:t>
      </w:r>
      <w:r>
        <w:rPr>
          <w:rFonts w:ascii="Times New Roman" w:cs="Times New Roman" w:eastAsia="Times New Roman" w:hAnsi="Times New Roman"/>
          <w:sz w:val="18"/>
          <w:szCs w:val="18"/>
          <w:color w:val="auto"/>
        </w:rPr>
        <w:t>. The Company represents, warrants and agrees that:</w:t>
      </w:r>
    </w:p>
    <w:p>
      <w:pPr>
        <w:spacing w:after="0" w:line="227" w:lineRule="exact"/>
        <w:rPr>
          <w:rFonts w:ascii="Times New Roman" w:cs="Times New Roman" w:eastAsia="Times New Roman" w:hAnsi="Times New Roman"/>
          <w:sz w:val="18"/>
          <w:szCs w:val="18"/>
          <w:color w:val="auto"/>
        </w:rPr>
      </w:pPr>
    </w:p>
    <w:p>
      <w:pPr>
        <w:ind w:left="-40" w:right="40" w:firstLine="656"/>
        <w:spacing w:after="0" w:line="258" w:lineRule="auto"/>
        <w:tabs>
          <w:tab w:leader="none" w:pos="14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S-3 (File No. 333-269023) relating to the Stock has (i) been prepared by the Company in conformity with the requirements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rules and regulations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thereunder; (ii) been filed with the Commission under the Securities Act; and (iii) become effective under the Securities Act. Copies of such registration statement and any amendment thereto have been delivered by the Company to you as the representatives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of the Underwriters. As used in this Agreement:</w:t>
      </w:r>
    </w:p>
    <w:p>
      <w:pPr>
        <w:spacing w:after="0" w:line="179" w:lineRule="exact"/>
        <w:rPr>
          <w:rFonts w:ascii="Times New Roman" w:cs="Times New Roman" w:eastAsia="Times New Roman" w:hAnsi="Times New Roman"/>
          <w:sz w:val="18"/>
          <w:szCs w:val="18"/>
          <w:color w:val="auto"/>
        </w:rPr>
      </w:pPr>
    </w:p>
    <w:p>
      <w:pPr>
        <w:ind w:left="2400" w:hanging="488"/>
        <w:spacing w:after="0"/>
        <w:tabs>
          <w:tab w:leader="none" w:pos="24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4:05 P.M. (New York City time) on December 11, 2023;</w:t>
      </w:r>
    </w:p>
    <w:p>
      <w:pPr>
        <w:spacing w:after="0" w:line="225" w:lineRule="exact"/>
        <w:rPr>
          <w:rFonts w:ascii="Times New Roman" w:cs="Times New Roman" w:eastAsia="Times New Roman" w:hAnsi="Times New Roman"/>
          <w:sz w:val="18"/>
          <w:szCs w:val="18"/>
          <w:color w:val="auto"/>
        </w:rPr>
      </w:pPr>
    </w:p>
    <w:p>
      <w:pPr>
        <w:ind w:left="1260" w:right="500" w:firstLine="652"/>
        <w:spacing w:after="0" w:line="286" w:lineRule="auto"/>
        <w:tabs>
          <w:tab w:leader="none" w:pos="244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and time as of which such registration statement, or the most recent post-effective amendment thereto, if any, was declared effective by the Commission;</w:t>
      </w:r>
    </w:p>
    <w:p>
      <w:pPr>
        <w:spacing w:after="0" w:line="154" w:lineRule="exact"/>
        <w:rPr>
          <w:rFonts w:ascii="Times New Roman" w:cs="Times New Roman" w:eastAsia="Times New Roman" w:hAnsi="Times New Roman"/>
          <w:sz w:val="18"/>
          <w:szCs w:val="18"/>
          <w:color w:val="auto"/>
        </w:rPr>
      </w:pPr>
    </w:p>
    <w:p>
      <w:pPr>
        <w:ind w:left="1260" w:right="580" w:firstLine="652"/>
        <w:spacing w:after="0" w:line="286" w:lineRule="auto"/>
        <w:tabs>
          <w:tab w:leader="none" w:pos="249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means each “issuer free writing prospectus” (as defined in Rule 433 under the Securities Act) relating to the Stock;</w:t>
      </w:r>
    </w:p>
    <w:p>
      <w:pPr>
        <w:spacing w:after="0" w:line="154" w:lineRule="exact"/>
        <w:rPr>
          <w:rFonts w:ascii="Times New Roman" w:cs="Times New Roman" w:eastAsia="Times New Roman" w:hAnsi="Times New Roman"/>
          <w:sz w:val="18"/>
          <w:szCs w:val="18"/>
          <w:color w:val="auto"/>
        </w:rPr>
      </w:pPr>
    </w:p>
    <w:p>
      <w:pPr>
        <w:ind w:left="1260" w:right="720" w:firstLine="652"/>
        <w:spacing w:after="0" w:line="286" w:lineRule="auto"/>
        <w:tabs>
          <w:tab w:leader="none" w:pos="248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means any preliminary prospectus relating to the Stock included in such registration statement or filed with the Commission pursuant to Rule 424(b) under the Securities Act;</w:t>
      </w:r>
    </w:p>
    <w:p>
      <w:pPr>
        <w:spacing w:after="0" w:line="154" w:lineRule="exact"/>
        <w:rPr>
          <w:rFonts w:ascii="Times New Roman" w:cs="Times New Roman" w:eastAsia="Times New Roman" w:hAnsi="Times New Roman"/>
          <w:sz w:val="18"/>
          <w:szCs w:val="18"/>
          <w:color w:val="auto"/>
        </w:rPr>
      </w:pPr>
    </w:p>
    <w:p>
      <w:pPr>
        <w:ind w:left="1260" w:right="40" w:firstLine="652"/>
        <w:spacing w:after="0" w:line="259" w:lineRule="auto"/>
        <w:tabs>
          <w:tab w:leader="none" w:pos="243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Pricing Disclosure Package</w:t>
      </w:r>
      <w:r>
        <w:rPr>
          <w:rFonts w:ascii="Times New Roman" w:cs="Times New Roman" w:eastAsia="Times New Roman" w:hAnsi="Times New Roman"/>
          <w:sz w:val="18"/>
          <w:szCs w:val="18"/>
          <w:color w:val="auto"/>
        </w:rPr>
        <w:t>” means, as of the Applicable Time, the most recent Preliminary Prospectus, the Issuer Free Writing Prospectuses, if any, listed on Schedule VI hereto and each Issuer Free Writing Prospectus filed or used by the Company at or before the Applicable Time, other than a road show, that is an Issuer Free Writing Prospectus but is not required to be filed under Rule</w:t>
      </w:r>
    </w:p>
    <w:p>
      <w:pPr>
        <w:ind w:left="1580" w:hanging="316"/>
        <w:spacing w:after="0"/>
        <w:tabs>
          <w:tab w:leader="none" w:pos="1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together with the information set forth on Schedule IV;</w:t>
      </w:r>
    </w:p>
    <w:p>
      <w:pPr>
        <w:spacing w:after="0" w:line="202" w:lineRule="exact"/>
        <w:rPr>
          <w:rFonts w:ascii="Times New Roman" w:cs="Times New Roman" w:eastAsia="Times New Roman" w:hAnsi="Times New Roman"/>
          <w:sz w:val="18"/>
          <w:szCs w:val="18"/>
          <w:color w:val="auto"/>
        </w:rPr>
      </w:pPr>
    </w:p>
    <w:p>
      <w:pPr>
        <w:ind w:left="1260" w:right="260" w:firstLine="652"/>
        <w:spacing w:after="0" w:line="286" w:lineRule="auto"/>
        <w:tabs>
          <w:tab w:leader="none" w:pos="2483"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final prospectus relating to the Stock, including any prospectus supplement thereto related to the Stock, as filed with the Commission pursuant to Rule 424(b) under the Securities Act;</w:t>
      </w:r>
    </w:p>
    <w:p>
      <w:pPr>
        <w:spacing w:after="0" w:line="154" w:lineRule="exact"/>
        <w:rPr>
          <w:rFonts w:ascii="Times New Roman" w:cs="Times New Roman" w:eastAsia="Times New Roman" w:hAnsi="Times New Roman"/>
          <w:sz w:val="18"/>
          <w:szCs w:val="18"/>
          <w:color w:val="auto"/>
        </w:rPr>
      </w:pPr>
    </w:p>
    <w:p>
      <w:pPr>
        <w:ind w:left="1260" w:right="20" w:firstLine="652"/>
        <w:spacing w:after="0" w:line="262" w:lineRule="auto"/>
        <w:tabs>
          <w:tab w:leader="none" w:pos="248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collectively, the various parts of such registration statement, each as amended as of the Effective Date for such part, including any Preliminary Prospectus or the Prospectus, all exhibits to such registration statement and including the information deemed by virtue of Rule 430B under the Securities Act to be part of such registration statement as of the Effective Date;</w:t>
      </w:r>
    </w:p>
    <w:p>
      <w:pPr>
        <w:spacing w:after="0" w:line="176" w:lineRule="exact"/>
        <w:rPr>
          <w:rFonts w:ascii="Times New Roman" w:cs="Times New Roman" w:eastAsia="Times New Roman" w:hAnsi="Times New Roman"/>
          <w:sz w:val="18"/>
          <w:szCs w:val="18"/>
          <w:color w:val="auto"/>
        </w:rPr>
      </w:pPr>
    </w:p>
    <w:p>
      <w:pPr>
        <w:ind w:left="1260" w:firstLine="652"/>
        <w:spacing w:after="0" w:line="286" w:lineRule="auto"/>
        <w:tabs>
          <w:tab w:leader="none" w:pos="2583"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 or Rule 163B under the Securities Act; 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578" w:right="339" w:bottom="1440" w:gutter="0" w:footer="0" w:header="0"/>
        </w:sectPr>
      </w:pPr>
    </w:p>
    <w:bookmarkStart w:id="5" w:name="page6"/>
    <w:bookmarkEnd w:id="5"/>
    <w:p>
      <w:pPr>
        <w:ind w:left="1280" w:right="740" w:firstLine="652"/>
        <w:spacing w:after="0" w:line="286" w:lineRule="auto"/>
        <w:tabs>
          <w:tab w:leader="none" w:pos="2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159" w:lineRule="exact"/>
        <w:rPr>
          <w:sz w:val="20"/>
          <w:szCs w:val="20"/>
          <w:color w:val="auto"/>
        </w:rPr>
      </w:pPr>
    </w:p>
    <w:p>
      <w:pPr>
        <w:ind w:left="640" w:right="40"/>
        <w:spacing w:after="0" w:line="253" w:lineRule="auto"/>
        <w:rPr>
          <w:sz w:val="20"/>
          <w:szCs w:val="20"/>
          <w:color w:val="auto"/>
        </w:rPr>
      </w:pPr>
      <w:r>
        <w:rPr>
          <w:rFonts w:ascii="Times New Roman" w:cs="Times New Roman" w:eastAsia="Times New Roman" w:hAnsi="Times New Roman"/>
          <w:sz w:val="18"/>
          <w:szCs w:val="18"/>
          <w:color w:val="auto"/>
        </w:rPr>
        <w:t>Any reference to any Preliminary Prospectus or the Prospectus shall be deemed to refer to and include any documents incorporated by reference therein pursuant to Form S-3 under the Securities Act as of the date of such Preliminary Prospectus or the Prospectus, as the case may be. Any reference to the “most recent Preliminary Prospectus” shall be deemed to refer to the latest Preliminary Prospectus included in the Registration Statement or filed pursuant to Rule 424(b) under the Securities Act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before the date of such amendment or supplement and incorporated by reference in such Preliminary Prospectus or the Prospectus, as the case may be; and any reference to any amendment to the Registration Statement shall be deemed to include any document filed with the Commission pursuant to Section 13(a), 14 or 15(d) of the Exchange Act after the Effective Date and before the date of such amendment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or pursuant to Section 8A of the Securities Act has been instituted or threatened by the Commission. The Commission has not notified the Company of any objection to the use of the form of the Registration Statement or any post-effective amendment thereto.</w:t>
      </w:r>
    </w:p>
    <w:p>
      <w:pPr>
        <w:spacing w:after="0" w:line="187" w:lineRule="exact"/>
        <w:rPr>
          <w:sz w:val="20"/>
          <w:szCs w:val="20"/>
          <w:color w:val="auto"/>
        </w:rPr>
      </w:pPr>
    </w:p>
    <w:p>
      <w:pPr>
        <w:ind w:left="-20" w:right="200" w:firstLine="656"/>
        <w:spacing w:after="0" w:line="266" w:lineRule="auto"/>
        <w:tabs>
          <w:tab w:leader="none" w:pos="1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filing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i w:val="1"/>
          <w:iCs w:val="1"/>
          <w:color w:val="auto"/>
        </w:rPr>
        <w:t>Emerging Growth Company</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right="120" w:firstLine="656"/>
        <w:spacing w:after="0" w:line="282" w:lineRule="auto"/>
        <w:tabs>
          <w:tab w:leader="none" w:pos="15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engaged in any Testing-the-Waters Communication and (ii) has not authorized anyone to engage in Testing-the-Waters Communications.</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5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was not at the time of the initial filing of the Registration Statement and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Stock, is not on the date hereof and will not be on the applicable Delivery Date (as defined below), an “ineligible issuer” (as defined in Rule 405 under the Securities Act).</w:t>
      </w:r>
    </w:p>
    <w:p>
      <w:pPr>
        <w:spacing w:after="0" w:line="175" w:lineRule="exact"/>
        <w:rPr>
          <w:rFonts w:ascii="Times New Roman" w:cs="Times New Roman" w:eastAsia="Times New Roman" w:hAnsi="Times New Roman"/>
          <w:sz w:val="18"/>
          <w:szCs w:val="18"/>
          <w:color w:val="auto"/>
        </w:rPr>
      </w:pPr>
    </w:p>
    <w:p>
      <w:pPr>
        <w:ind w:left="-20" w:right="140" w:firstLine="656"/>
        <w:spacing w:after="0" w:line="261" w:lineRule="auto"/>
        <w:tabs>
          <w:tab w:leader="none" w:pos="15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6" w:name="page7"/>
    <w:bookmarkEnd w:id="6"/>
    <w:p>
      <w:pPr>
        <w:ind w:right="420"/>
        <w:spacing w:after="0" w:line="266" w:lineRule="auto"/>
        <w:rPr>
          <w:sz w:val="20"/>
          <w:szCs w:val="20"/>
          <w:color w:val="auto"/>
        </w:rPr>
      </w:pPr>
      <w:r>
        <w:rPr>
          <w:rFonts w:ascii="Times New Roman" w:cs="Times New Roman" w:eastAsia="Times New Roman" w:hAnsi="Times New Roman"/>
          <w:sz w:val="18"/>
          <w:szCs w:val="18"/>
          <w:color w:val="auto"/>
        </w:rPr>
        <w:t>Delivery Date to the requirements of the Securities Act and the rules and regulations thereunder. The documents incorporated by reference in any Preliminary Prospectus or the Prospectus conformed and any further documents so incorporated will conform, when filed with the Commission, in all material respects to the requirements of the Exchange Act and the rules and regulations of the Commission thereunder.</w:t>
      </w:r>
    </w:p>
    <w:p>
      <w:pPr>
        <w:spacing w:after="0" w:line="176" w:lineRule="exact"/>
        <w:rPr>
          <w:sz w:val="20"/>
          <w:szCs w:val="20"/>
          <w:color w:val="auto"/>
        </w:rPr>
      </w:pPr>
    </w:p>
    <w:p>
      <w:pPr>
        <w:ind w:right="20" w:firstLine="656"/>
        <w:spacing w:after="0" w:line="261" w:lineRule="auto"/>
        <w:tabs>
          <w:tab w:leader="none" w:pos="15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9(f).</w:t>
      </w:r>
    </w:p>
    <w:p>
      <w:pPr>
        <w:spacing w:after="0" w:line="179" w:lineRule="exact"/>
        <w:rPr>
          <w:rFonts w:ascii="Times New Roman" w:cs="Times New Roman" w:eastAsia="Times New Roman" w:hAnsi="Times New Roman"/>
          <w:sz w:val="18"/>
          <w:szCs w:val="18"/>
          <w:color w:val="auto"/>
        </w:rPr>
      </w:pPr>
    </w:p>
    <w:p>
      <w:pPr>
        <w:ind w:right="120" w:firstLine="656"/>
        <w:spacing w:after="0" w:line="258" w:lineRule="auto"/>
        <w:tabs>
          <w:tab w:leader="none" w:pos="15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Prospectus will not, as of its date or as of the applicable Delivery Date, contain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representation or warranty is made as to information contained in or omitted from the Prospectus in reliance upon and in conformity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information furnished to the Company through the Representatives by or on behalf of any Underwriter specifically for inclusion therein, which information is specified in Section 9(f).</w:t>
      </w:r>
    </w:p>
    <w:p>
      <w:pPr>
        <w:spacing w:after="0" w:line="183" w:lineRule="exact"/>
        <w:rPr>
          <w:rFonts w:ascii="Times New Roman" w:cs="Times New Roman" w:eastAsia="Times New Roman" w:hAnsi="Times New Roman"/>
          <w:sz w:val="18"/>
          <w:szCs w:val="18"/>
          <w:color w:val="auto"/>
        </w:rPr>
      </w:pPr>
    </w:p>
    <w:p>
      <w:pPr>
        <w:jc w:val="both"/>
        <w:ind w:right="240" w:firstLine="656"/>
        <w:spacing w:after="0" w:line="266" w:lineRule="auto"/>
        <w:tabs>
          <w:tab w:leader="none" w:pos="15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w:t>
      </w:r>
    </w:p>
    <w:p>
      <w:pPr>
        <w:spacing w:after="0" w:line="175" w:lineRule="exact"/>
        <w:rPr>
          <w:rFonts w:ascii="Times New Roman" w:cs="Times New Roman" w:eastAsia="Times New Roman" w:hAnsi="Times New Roman"/>
          <w:sz w:val="18"/>
          <w:szCs w:val="18"/>
          <w:color w:val="auto"/>
        </w:rPr>
      </w:pPr>
    </w:p>
    <w:p>
      <w:pPr>
        <w:ind w:firstLine="656"/>
        <w:spacing w:after="0" w:line="258" w:lineRule="auto"/>
        <w:tabs>
          <w:tab w:leader="none" w:pos="15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Disclosure Package did not, as of the Applicable Time, contain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Pricing Disclosure Package made in reliance upon and in conformity with written information furnished to the Company through the Representatives by or on behalf of any Underwriter specifically for inclusion therein, which information is specified in Section 9(f).</w:t>
      </w:r>
    </w:p>
    <w:p>
      <w:pPr>
        <w:spacing w:after="0" w:line="183" w:lineRule="exact"/>
        <w:rPr>
          <w:rFonts w:ascii="Times New Roman" w:cs="Times New Roman" w:eastAsia="Times New Roman" w:hAnsi="Times New Roman"/>
          <w:sz w:val="18"/>
          <w:szCs w:val="18"/>
          <w:color w:val="auto"/>
        </w:rPr>
      </w:pPr>
    </w:p>
    <w:p>
      <w:pPr>
        <w:ind w:right="20" w:firstLine="656"/>
        <w:spacing w:after="0" w:line="277" w:lineRule="auto"/>
        <w:tabs>
          <w:tab w:leader="none" w:pos="153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Issuer Free Writing Prospectus listed in Schedule 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representation or warranty is made as to information contained in or omitted from such Issuer Free Writing Prospectus listed in Schedule V hereto in reliance upon and in conformity with written information furnished to the Company through the Representatives by or on behalf of any Underwriter specifically for inclusion therein, which information is specified in Section 9(f).</w:t>
      </w:r>
    </w:p>
    <w:p>
      <w:pPr>
        <w:spacing w:after="0" w:line="167" w:lineRule="exact"/>
        <w:rPr>
          <w:rFonts w:ascii="Times New Roman" w:cs="Times New Roman" w:eastAsia="Times New Roman" w:hAnsi="Times New Roman"/>
          <w:sz w:val="17"/>
          <w:szCs w:val="17"/>
          <w:color w:val="auto"/>
        </w:rPr>
      </w:pPr>
    </w:p>
    <w:p>
      <w:pPr>
        <w:ind w:right="140" w:firstLine="656"/>
        <w:spacing w:after="0" w:line="282" w:lineRule="auto"/>
        <w:tabs>
          <w:tab w:leader="none" w:pos="15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conformed or will conform in all material respects to the requirements of the Securities Act and the rules and regulations thereunder on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 w:name="page8"/>
    <w:bookmarkEnd w:id="7"/>
    <w:p>
      <w:pPr>
        <w:ind w:right="80"/>
        <w:spacing w:after="0" w:line="255" w:lineRule="auto"/>
        <w:rPr>
          <w:sz w:val="20"/>
          <w:szCs w:val="20"/>
          <w:color w:val="auto"/>
        </w:rPr>
      </w:pPr>
      <w:r>
        <w:rPr>
          <w:rFonts w:ascii="Times New Roman" w:cs="Times New Roman" w:eastAsia="Times New Roman" w:hAnsi="Times New Roman"/>
          <w:sz w:val="18"/>
          <w:szCs w:val="18"/>
          <w:color w:val="auto"/>
        </w:rPr>
        <w:t>date of first use, and the Company has complied with all prospectus delivery and any filing requirements applicable to such Issuer Free Writing Prospectus pursuant to the Securities Act and rules and regulations thereunder. The Company has not made any offer relating to the Stock that would constitute an Issuer Free Writing Prospectus without the prior written consent of the Representatives, except as set forth on Schedule VI hereto. The Company has retained in accordance with the Securities Act and the rules and regulations thereunder all Issuer Free Writing Prospectuses that were not required to be filed pursuant to the Securities Act and the rules and regulations thereunder. The Company has taken all actions necessary so that any “road show” (as defined in Rule 433 under the Securities Act) in connection with the offering of the Stock will not be required to be filed pursuant to the Securities Act and the rules and regulations thereunder.</w:t>
      </w:r>
    </w:p>
    <w:p>
      <w:pPr>
        <w:spacing w:after="0" w:line="189" w:lineRule="exact"/>
        <w:rPr>
          <w:sz w:val="20"/>
          <w:szCs w:val="20"/>
          <w:color w:val="auto"/>
        </w:rPr>
      </w:pPr>
    </w:p>
    <w:p>
      <w:pPr>
        <w:ind w:firstLine="656"/>
        <w:spacing w:after="0" w:line="253" w:lineRule="auto"/>
        <w:tabs>
          <w:tab w:leader="none" w:pos="15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been duly organized, is validly existing and in good standing (to the extent such concept is recognized in such jurisdiction)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validly existing or in good standing would not, individually or in the aggregate, reasonably be expected to have a material adverse effect or result in a development involving a prospective material adverse effect on the condition (financial or otherwise), results of operations, stockholders’ equity, properties, management or business of the Company and its subsidiaries taken as a whole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The Company and each of its subsidiaries has all power and authority necessary to own or hold its properties and to conduct the businesses in which it is engaged as described in the most recent Preliminary Prospectus. None of the subsidiaries of the Company (other than those subsidiaries listed in Exhibit 21 to the Company’s Annual Report on Form 10-K for the most recent fiscal year) is a “significant subsidiary” (as defined in Rule 405 under the Securities Act).</w:t>
      </w:r>
    </w:p>
    <w:p>
      <w:pPr>
        <w:spacing w:after="0" w:line="194" w:lineRule="exact"/>
        <w:rPr>
          <w:rFonts w:ascii="Times New Roman" w:cs="Times New Roman" w:eastAsia="Times New Roman" w:hAnsi="Times New Roman"/>
          <w:sz w:val="18"/>
          <w:szCs w:val="18"/>
          <w:color w:val="auto"/>
        </w:rPr>
      </w:pPr>
    </w:p>
    <w:p>
      <w:pPr>
        <w:ind w:right="160" w:firstLine="656"/>
        <w:spacing w:after="0" w:line="254" w:lineRule="auto"/>
        <w:tabs>
          <w:tab w:leader="none" w:pos="15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shares of capital stock of the Company have been duly authorized and validly issued, are fully paid and non-assessable, conform in all material respects to the description thereof contained in the most recent Preliminary Prospectus and were issued in compliance with federal and state securities laws and not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 thereof contained in the most recent Preliminary Prospectus and were issued in compliance with federal and state securities laws. All of the issued shares of capital stock or other ownership interest of each subsidiary of the Company have been duly authorized and validly issued, are fully paid and non-assessable (to the extent such concept is applicable) and are owned directly or indirectly by the Company, free and clear of all liens, encumbrances, equities or claims, except for such liens, encumbrances, equities or claims as described in the most recent Preliminary Prospectus or as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80" w:firstLine="656"/>
        <w:spacing w:after="0" w:line="282" w:lineRule="auto"/>
        <w:tabs>
          <w:tab w:leader="none" w:pos="15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deliver and perform its obligations under this Agreement. This Agreement has been duly and validly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authorized, executed and delivered by the Company, and the Share Repurchase has been duly authorized by the Company.</w:t>
      </w:r>
    </w:p>
    <w:p>
      <w:pPr>
        <w:spacing w:after="0" w:line="225" w:lineRule="exact"/>
        <w:rPr>
          <w:sz w:val="20"/>
          <w:szCs w:val="20"/>
          <w:color w:val="auto"/>
        </w:rPr>
      </w:pPr>
    </w:p>
    <w:p>
      <w:pPr>
        <w:ind w:right="20" w:firstLine="656"/>
        <w:spacing w:after="0" w:line="254" w:lineRule="auto"/>
        <w:tabs>
          <w:tab w:leader="none" w:pos="15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Company and the consummation of the transactions contemplated hereby (including the Share Repurchase)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conflicts, defaults, breaches or violations that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firstLine="656"/>
        <w:spacing w:after="0" w:line="256" w:lineRule="auto"/>
        <w:tabs>
          <w:tab w:leader="none" w:pos="15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registration or qualification with, any court or governmental agency or body having jurisdiction over the Company or any of its subsidiaries or any of their properties or assets is required for the execution, delivery and performance of this Agreement by the Company and the consummation of the transactions contemplated hereby (including the Share Repurchase), except for the registration of the Stock under the Securities Act and such consents, approvals, authorizations, orders, filings, registrations or qualifications as may be required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applicable state securities laws and/or the bylaws and rules of the Financial Industry Regulatory Authority, Inc. (the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in connection with the purchase and sale of the Stock by the Underwriters.</w:t>
      </w:r>
    </w:p>
    <w:p>
      <w:pPr>
        <w:spacing w:after="0" w:line="187" w:lineRule="exact"/>
        <w:rPr>
          <w:rFonts w:ascii="Times New Roman" w:cs="Times New Roman" w:eastAsia="Times New Roman" w:hAnsi="Times New Roman"/>
          <w:sz w:val="18"/>
          <w:szCs w:val="18"/>
          <w:color w:val="auto"/>
        </w:rPr>
      </w:pPr>
    </w:p>
    <w:p>
      <w:pPr>
        <w:ind w:right="20" w:firstLine="656"/>
        <w:spacing w:after="0" w:line="253" w:lineRule="auto"/>
        <w:tabs>
          <w:tab w:leader="none" w:pos="15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(including the related notes and supporting schedules) included or incorporated by reference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U.S.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throughout the periods involved, except as otherwise stated therein. The supporting schedules, if any, present fairly in all material respects in accordance with GAAP the information required to be stated therein. The selected financial data and the summary financial information included in the most recent Preliminary Prospectus present fairly in all material respects the information shown therein and have been compiled on a basis consistent with that of the audited financial statements included therein. All disclosures contained or incorporated by reference in the most recent Preliminary Prospectus regarding “non-GAAP financial measures” (as such term is defined by the rules and regulations of the Commission) comply in all material respects with Item 10 of Regulation S-K of the Securities Act, to the extent applicable.</w:t>
      </w:r>
    </w:p>
    <w:p>
      <w:pPr>
        <w:spacing w:after="0" w:line="194"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left="-40" w:right="20" w:firstLine="656"/>
        <w:spacing w:after="0" w:line="266" w:lineRule="auto"/>
        <w:tabs>
          <w:tab w:leader="none" w:pos="15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LLP, who have audited certain financial statements of the Company and its consolidated subsidiaries, whose report appears in the most recent Preliminary Prospectus or is incorporated by reference therein and who have delivered the initial letter referred to in Section 8(g) hereof, are independent public accountants as required by the Securities Act and the rules and regulations thereunder.</w:t>
      </w:r>
    </w:p>
    <w:p>
      <w:pPr>
        <w:spacing w:after="0" w:line="175" w:lineRule="exact"/>
        <w:rPr>
          <w:rFonts w:ascii="Times New Roman" w:cs="Times New Roman" w:eastAsia="Times New Roman" w:hAnsi="Times New Roman"/>
          <w:sz w:val="18"/>
          <w:szCs w:val="18"/>
          <w:color w:val="auto"/>
        </w:rPr>
      </w:pPr>
    </w:p>
    <w:p>
      <w:pPr>
        <w:ind w:left="-40" w:firstLine="656"/>
        <w:spacing w:after="0" w:line="252" w:lineRule="auto"/>
        <w:tabs>
          <w:tab w:leader="none" w:pos="14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Except as described in the most recent Preliminary Prospectus and the Prospectus, as of the date of the most recent balance sheet of the Company and its consolidated subsidiaries reviewed or audited by KPMG LLP, there were no material weaknesses in the Company’s internal controls. Except as described in the most recent Preliminary Prospectus and the Prospectus, since the date of the most recent balance sheet of the Company and its consolidated subsidiaries reviewed or audited by KPMG LLP, (i) the Company has not been advised of or become aware of (A) any significant deficiencies in the design or operation of internal controls that could adversely affect the ability of the Company or any of its subsidiaries to record, process, summarize and report financial data, or any material weaknesses in internal controls, or (B) any fraud, whether or not material, that involves management or other employees who have a significant role in the internal controls of the Company and each of its subsidiaries; and (ii) there have been no significant changes in internal controls or in other factors that could significantly affect internal controls, including any corrective actions with regard to significant deficiencies and material weaknesses (it being understood that this subsection shall not require the Company to comply with Section 404 of the Sarbanes-Oxley Act of 2002 as of an earlier date than it would otherwise be required to so comply under applicable law).</w:t>
      </w:r>
    </w:p>
    <w:p>
      <w:pPr>
        <w:spacing w:after="0" w:line="190" w:lineRule="exact"/>
        <w:rPr>
          <w:rFonts w:ascii="Times New Roman" w:cs="Times New Roman" w:eastAsia="Times New Roman" w:hAnsi="Times New Roman"/>
          <w:sz w:val="18"/>
          <w:szCs w:val="18"/>
          <w:color w:val="auto"/>
        </w:rPr>
      </w:pPr>
    </w:p>
    <w:p>
      <w:pPr>
        <w:ind w:left="-40" w:right="160" w:firstLine="656"/>
        <w:spacing w:after="0" w:line="256" w:lineRule="auto"/>
        <w:tabs>
          <w:tab w:leader="none" w:pos="14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maintain disclosure controls and procedures (as such term is defined in Rule 13a-15(e) under the Exchange Act), (ii) such disclosure controls and procedures are designed to ensure that information required to be disclosed by the Company in the reports that it files or submits under the Exchange Act is accumulated and communicated to the Company’s management, including its principal executive officer and principal financial officer, as appropriate to allow timely decisions regarding required disclosure; and (iii) except as described in the most recent Preliminary Prospectus and the Prospectus, such disclosure controls and procedures are effective in all material respects to perform the functions for which they were established.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10" w:name="page11"/>
    <w:bookmarkEnd w:id="10"/>
    <w:p>
      <w:pPr>
        <w:ind w:left="1500" w:hanging="884"/>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00" w:hanging="884"/>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00" w:hanging="884"/>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0" w:firstLine="656"/>
        <w:spacing w:after="0" w:line="253" w:lineRule="auto"/>
        <w:tabs>
          <w:tab w:leader="none" w:pos="14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most recent Preliminary Prospectus or as would not, individually or in the aggregate, reasonably be expected to have a Material Adverse Effect, since the date of the latest audited financial statements included or incorporated by reference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(whether domestic or foreign), (ii) incurred any liability or obligation, direct or contingent, other than liabilities and obligations that were incurred in the ordinary course of business, (iii) entered into any transaction not in the ordinary course of business, or (iv) declared or paid any dividend on their capital stock. Since the date of the latest audited financial statements included in the most recent Preliminary Prospectus, there has not been any change in the capital stock or long-term debt of the Company or any of its subsidiaries or any material adverse change, or any development involving a prospective material adverse change, in or affecting the condition (financial or otherwise), results of operations, stockholders’ equity, properties, management, business or prospects of the Company and its subsidiaries taken as a whole, in each case except as described in the most recent Preliminary Prospectus or as would not, in the aggregate, reasonably be expected to have a Material Adverse Effect.</w:t>
      </w:r>
    </w:p>
    <w:p>
      <w:pPr>
        <w:spacing w:after="0" w:line="192" w:lineRule="exact"/>
        <w:rPr>
          <w:sz w:val="20"/>
          <w:szCs w:val="20"/>
          <w:color w:val="auto"/>
        </w:rPr>
      </w:pPr>
    </w:p>
    <w:p>
      <w:pPr>
        <w:ind w:left="-40" w:firstLine="656"/>
        <w:spacing w:after="0" w:line="258" w:lineRule="auto"/>
        <w:tabs>
          <w:tab w:leader="none" w:pos="14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(i) are described in the most recent Preliminary Prospectus or (ii) would not, individually or in the aggregate, reasonably be expected to have a Material Adverse Effect. All assets held under lease by the Company and its subsidiaries are held by them under valid, subsisting and enforceable leases, with such exceptions as would not reasonably be expected, individually or in the aggregate, to have a Material Adverse Effect.</w:t>
      </w:r>
    </w:p>
    <w:p>
      <w:pPr>
        <w:spacing w:after="0" w:line="183" w:lineRule="exact"/>
        <w:rPr>
          <w:rFonts w:ascii="Times New Roman" w:cs="Times New Roman" w:eastAsia="Times New Roman" w:hAnsi="Times New Roman"/>
          <w:sz w:val="18"/>
          <w:szCs w:val="18"/>
          <w:color w:val="auto"/>
        </w:rPr>
      </w:pPr>
    </w:p>
    <w:p>
      <w:pPr>
        <w:ind w:left="-40" w:right="80" w:firstLine="656"/>
        <w:spacing w:after="0" w:line="254" w:lineRule="auto"/>
        <w:tabs>
          <w:tab w:leader="none" w:pos="1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and are operating in compliance with, such permits, licenses, patents, franchises, certificates of need and other approvals or authorizations of governmental or regulatory authorities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as are necessary under applicable law to own their properties and conduct their businesses in the manner described in the most recent Preliminary Prospectus, except for any of the foregoing that would not, individually or in the aggregate, reasonably be expected to have a Material Adverse Effect. The Company and each of its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Except as would not, individually or in the aggregate,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11" w:name="page12"/>
    <w:bookmarkEnd w:id="11"/>
    <w:p>
      <w:pPr>
        <w:ind w:left="-40" w:right="20" w:firstLine="656"/>
        <w:spacing w:after="0" w:line="253" w:lineRule="auto"/>
        <w:tabs>
          <w:tab w:leader="none" w:pos="14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Company and each of its subsidiaries own or possess adequate rights to use all patents, trademarks, service marks, trade names, domain names and other source identifiers, copyrights, licenses, know-how, software, systems and technology (including trade secrets and other unpatented and/or unpatentable proprietary or confidential information, systems or procedures) and other intellectual property or proprietary rights, including all registrations or applications for registration of, and goodwill associated with, any of the foregoing (collectively,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material to or necessary for the conduct of their respective businesses now conducted or proposed to be conducted in the Registration Statement, the Pricing Disclosure Package or the Prospectus, and, to the Company’s knowledge, no such Intellectual Property Rights are invalid or unenforceable, in whole or in part. Except as would not, individually or in the aggregate, reasonably be expected to have a Material Adverse Effect, the Company and each of its subsidiaries has not infringed, misappropriated or otherwise violated, and has not received any notice of any claim of infringement, misappropriation or other violation of, any Intellectual Property Rights of others. Except as would not, individually or in the aggregate, reasonably be expected to have a Material Adverse Effect, to the knowledge of the Company, none of the Intellectual Property Rights owned by the Company or its subsidiaries are being infringed, misappropriated or otherwise violated by any third party.</w:t>
      </w:r>
    </w:p>
    <w:p>
      <w:pPr>
        <w:spacing w:after="0" w:line="189" w:lineRule="exact"/>
        <w:rPr>
          <w:rFonts w:ascii="Times New Roman" w:cs="Times New Roman" w:eastAsia="Times New Roman" w:hAnsi="Times New Roman"/>
          <w:sz w:val="18"/>
          <w:szCs w:val="18"/>
          <w:color w:val="auto"/>
        </w:rPr>
      </w:pPr>
    </w:p>
    <w:p>
      <w:pPr>
        <w:ind w:left="-40" w:right="140" w:firstLine="656"/>
        <w:spacing w:after="0" w:line="258" w:lineRule="auto"/>
        <w:tabs>
          <w:tab w:leader="none" w:pos="14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most recent Preliminary Prospectus, there are no legal or governmental proceedings pending to which the Company or any of its subsidiaries is a party or of which any property or assets of the Company or any of its subsidiaries is the subject that would, individually or in the aggregate, reasonably be expected to have a Material Adverse Effect or would, individually or in the aggregate, reasonably be expected to have a material adverse effect on the performance of this Agreement or the consummation of the transactions contemplated hereby (including the Share Repurchase); and to the Company’s knowledge, no such proceedings are threatened by governmental authorities or others.</w:t>
      </w:r>
    </w:p>
    <w:p>
      <w:pPr>
        <w:spacing w:after="0" w:line="183" w:lineRule="exact"/>
        <w:rPr>
          <w:rFonts w:ascii="Times New Roman" w:cs="Times New Roman" w:eastAsia="Times New Roman" w:hAnsi="Times New Roman"/>
          <w:sz w:val="18"/>
          <w:szCs w:val="18"/>
          <w:color w:val="auto"/>
        </w:rPr>
      </w:pPr>
    </w:p>
    <w:p>
      <w:pPr>
        <w:ind w:left="-40" w:right="260" w:firstLine="656"/>
        <w:spacing w:after="0" w:line="261" w:lineRule="auto"/>
        <w:tabs>
          <w:tab w:leader="none" w:pos="14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w:t>
      </w:r>
    </w:p>
    <w:p>
      <w:pPr>
        <w:spacing w:after="0" w:line="179" w:lineRule="exact"/>
        <w:rPr>
          <w:rFonts w:ascii="Times New Roman" w:cs="Times New Roman" w:eastAsia="Times New Roman" w:hAnsi="Times New Roman"/>
          <w:sz w:val="18"/>
          <w:szCs w:val="18"/>
          <w:color w:val="auto"/>
        </w:rPr>
      </w:pPr>
    </w:p>
    <w:p>
      <w:pPr>
        <w:ind w:left="-40" w:firstLine="656"/>
        <w:spacing w:after="0" w:line="258" w:lineRule="auto"/>
        <w:tabs>
          <w:tab w:leader="none" w:pos="13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in or incorporated by reference in the most recent Preliminary Prospectus and Prospectus under the captions “Risk Factors — Risks Related to Our Industry”, “Risk Factors — Risks Related to Our Business” and “Business — Government Regulation”,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183" w:lineRule="exact"/>
        <w:rPr>
          <w:rFonts w:ascii="Times New Roman" w:cs="Times New Roman" w:eastAsia="Times New Roman" w:hAnsi="Times New Roman"/>
          <w:sz w:val="18"/>
          <w:szCs w:val="18"/>
          <w:color w:val="auto"/>
        </w:rPr>
      </w:pPr>
    </w:p>
    <w:p>
      <w:pPr>
        <w:ind w:left="-40" w:right="180" w:firstLine="656"/>
        <w:spacing w:after="0" w:line="266" w:lineRule="auto"/>
        <w:tabs>
          <w:tab w:leader="none" w:pos="14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carry, or are covered by, insurance from insurers of recognized financial responsibility in such amounts and covering such risks as is adequate for the conduct of their respective businesses as described in the most recent Preliminary Prospectus and the value of their respective properties and as is customary for companies engaged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12" w:name="page13"/>
    <w:bookmarkEnd w:id="12"/>
    <w:p>
      <w:pPr>
        <w:ind w:right="80"/>
        <w:spacing w:after="0" w:line="255" w:lineRule="auto"/>
        <w:rPr>
          <w:sz w:val="20"/>
          <w:szCs w:val="20"/>
          <w:color w:val="auto"/>
        </w:rPr>
      </w:pPr>
      <w:r>
        <w:rPr>
          <w:rFonts w:ascii="Times New Roman" w:cs="Times New Roman" w:eastAsia="Times New Roman" w:hAnsi="Times New Roman"/>
          <w:sz w:val="18"/>
          <w:szCs w:val="18"/>
          <w:color w:val="auto"/>
        </w:rPr>
        <w:t>in similar businesses in similar industries. All material policies of insurance of the Company and its subsidiaries are in full force and effect; the Company and each of its subsidiaries are in compliance with the terms of such policies in all material respects; and neither the Company nor any of its subsidiaries has received written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9" w:lineRule="exact"/>
        <w:rPr>
          <w:sz w:val="20"/>
          <w:szCs w:val="20"/>
          <w:color w:val="auto"/>
        </w:rPr>
      </w:pPr>
    </w:p>
    <w:p>
      <w:pPr>
        <w:ind w:right="260" w:firstLine="656"/>
        <w:spacing w:after="0" w:line="266" w:lineRule="auto"/>
        <w:tabs>
          <w:tab w:leader="none" w:pos="14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on the one hand, and the directors, officers, stockholders, customers or suppliers of the Company, on the other hand, that is required to be described in the most recent Preliminary Prospectus which is not so described.</w:t>
      </w:r>
    </w:p>
    <w:p>
      <w:pPr>
        <w:spacing w:after="0" w:line="175" w:lineRule="exact"/>
        <w:rPr>
          <w:rFonts w:ascii="Times New Roman" w:cs="Times New Roman" w:eastAsia="Times New Roman" w:hAnsi="Times New Roman"/>
          <w:sz w:val="18"/>
          <w:szCs w:val="18"/>
          <w:color w:val="auto"/>
        </w:rPr>
      </w:pPr>
    </w:p>
    <w:p>
      <w:pPr>
        <w:ind w:right="360" w:firstLine="656"/>
        <w:spacing w:after="0" w:line="282" w:lineRule="auto"/>
        <w:tabs>
          <w:tab w:leader="none" w:pos="14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the employees of the Company or any of its subsidiaries exists or, to the knowledge of the Company, is imminent that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54" w:lineRule="auto"/>
        <w:tabs>
          <w:tab w:leader="none" w:pos="14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(iii) is in violation of any law, statute or any order, rule or regulation of any court or governmental agency or body having jurisdiction over it or its property or assets or its own privacy policies or (iv) has failed to obtain any license, permit, certificate, franchise or other governmental authorization or permit necessary to the ownership of its property or to the conduct of its business as described in the most recent Preliminary Prospectus, except in the case of clauses (ii), (iii) and (iv), to the extent any such conflict, breach, violation or default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right="40" w:firstLine="656"/>
        <w:spacing w:after="0" w:line="255" w:lineRule="auto"/>
        <w:tabs>
          <w:tab w:leader="none" w:pos="14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most recent Preliminary Prospectus or as would not, individually or in the aggregate, reasonably be expected to have a Material Adverse Effect, the Company and each of its subsidiaries (i) are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applicable to such entity, which compliance includes, without limitation, obtaining, maintaining and complying with all permits and authorizations and approvals required by Environmental Laws to conduct their respective businesses, and (ii) have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line="254" w:lineRule="auto"/>
        <w:rPr>
          <w:sz w:val="20"/>
          <w:szCs w:val="20"/>
          <w:color w:val="auto"/>
        </w:rPr>
      </w:pPr>
      <w:r>
        <w:rPr>
          <w:rFonts w:ascii="Times New Roman" w:cs="Times New Roman" w:eastAsia="Times New Roman" w:hAnsi="Times New Roman"/>
          <w:sz w:val="18"/>
          <w:szCs w:val="18"/>
          <w:color w:val="auto"/>
        </w:rPr>
        <w:t>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as described in the most recent Preliminary Prospectus, (x) there are no proceedings that are pending against the Company or any of its subsidiaries under Environmental Laws in which a governmental authority is also a party, other than such proceedings regarding which it is reasonably believed no monetary sanctions of $300,000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on the capital expenditures, earnings or competitive position of the Company and its subsidiaries, and (z) neither the Company nor any of its subsidiaries anticipate material capital expenditures relating to Environmental Laws.</w:t>
      </w:r>
    </w:p>
    <w:p>
      <w:pPr>
        <w:spacing w:after="0" w:line="188" w:lineRule="exact"/>
        <w:rPr>
          <w:sz w:val="20"/>
          <w:szCs w:val="20"/>
          <w:color w:val="auto"/>
        </w:rPr>
      </w:pPr>
    </w:p>
    <w:p>
      <w:pPr>
        <w:ind w:firstLine="656"/>
        <w:spacing w:after="0" w:line="256" w:lineRule="auto"/>
        <w:tabs>
          <w:tab w:leader="none" w:pos="14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 the aggregate, reasonably be expected to have a Material Adverse Effect, the Company and each of its subsidiaries have filed all federal, state, local and foreign tax returns required to be filed through the date hereof, subject to permitted extensions, and have paid all taxes which have become due and payable by the Company or its subsidiaries, except for taxes, if any, as are being contested in good faith by appropriate proceedings and for which an appropriate reserve has been established in accordance with GAAP. No tax deficiency has been determined adversely to the Company or any of its subsidiaries, nor does the Company have any knowledge of any tax deficiencies that have been, or could reasonably be expected to be asserted against the Company, that would,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firstLine="656"/>
        <w:spacing w:after="0" w:line="252" w:lineRule="auto"/>
        <w:tabs>
          <w:tab w:leader="none" w:pos="14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(i) each “employee benefit plan” (within the meaning of Section 3(3) of the Employee Retirement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would have any liability (each a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Plan is or is reasonably expected to be in “at risk” status (within the meaning of Section 430 of the Code or Section 303 of ERISA), (C) there has been no filing pursuant to Section 412(c) of the Code or Section 302(c) of ERISA of an application for a waiver of the minimum funding standard with respect to any Plan or the receipt by the Company or any member of its Controlled Group from the PBGC or the Plan administrator of the notice relating to the intention to terminate any Plan or Plans or to appoint a trustee to administer any Plan,</w:t>
      </w:r>
    </w:p>
    <w:p>
      <w:pPr>
        <w:spacing w:after="0" w:line="3" w:lineRule="exact"/>
        <w:rPr>
          <w:rFonts w:ascii="Times New Roman" w:cs="Times New Roman" w:eastAsia="Times New Roman" w:hAnsi="Times New Roman"/>
          <w:sz w:val="18"/>
          <w:szCs w:val="18"/>
          <w:color w:val="auto"/>
        </w:rPr>
      </w:pPr>
    </w:p>
    <w:p>
      <w:pPr>
        <w:ind w:right="60" w:firstLine="8"/>
        <w:spacing w:after="0" w:line="255" w:lineRule="auto"/>
        <w:tabs>
          <w:tab w:leader="none" w:pos="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conditions contained in Section 303(k)(1)(A) of ERISA for the imposition of a lien shall have been met with respect to any Plan and (E) neither the Company or any member of its Controlled Group has incurred, or reasonably expects to incur, any liability under Title IV of ERISA (other than contributions to the Plan or</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4" w:name="page15"/>
    <w:bookmarkEnd w:id="14"/>
    <w:p>
      <w:pPr>
        <w:ind w:right="20"/>
        <w:spacing w:after="0" w:line="272" w:lineRule="auto"/>
        <w:rPr>
          <w:sz w:val="20"/>
          <w:szCs w:val="20"/>
          <w:color w:val="auto"/>
        </w:rPr>
      </w:pPr>
      <w:r>
        <w:rPr>
          <w:rFonts w:ascii="Times New Roman" w:cs="Times New Roman" w:eastAsia="Times New Roman" w:hAnsi="Times New Roman"/>
          <w:sz w:val="17"/>
          <w:szCs w:val="17"/>
          <w:color w:val="auto"/>
        </w:rPr>
        <w:t>premiums to the Pension Benefit Guaranty Corporation in the ordinary course and without default) in respect of a Plan (including a “multiemployer plan”, within the meaning of Section 4001(c)(3) of ERISA) (“</w:t>
      </w:r>
      <w:r>
        <w:rPr>
          <w:rFonts w:ascii="Times New Roman" w:cs="Times New Roman" w:eastAsia="Times New Roman" w:hAnsi="Times New Roman"/>
          <w:sz w:val="17"/>
          <w:szCs w:val="17"/>
          <w:b w:val="1"/>
          <w:bCs w:val="1"/>
          <w:i w:val="1"/>
          <w:iCs w:val="1"/>
          <w:color w:val="auto"/>
        </w:rPr>
        <w:t>Multiemployer Plan</w:t>
      </w:r>
      <w:r>
        <w:rPr>
          <w:rFonts w:ascii="Times New Roman" w:cs="Times New Roman" w:eastAsia="Times New Roman" w:hAnsi="Times New Roman"/>
          <w:sz w:val="17"/>
          <w:szCs w:val="17"/>
          <w:color w:val="auto"/>
        </w:rPr>
        <w:t>”); (iv) no Multiemployer Plan is, or is expected to be, “insolvent” (within the meaning of Section 4245 of ERISA), or in “endangered” or “critical” status (within the meaning of Section 432 of the Code or Section 304 of ERISA); and</w:t>
      </w:r>
    </w:p>
    <w:p>
      <w:pPr>
        <w:spacing w:after="0" w:line="2" w:lineRule="exact"/>
        <w:rPr>
          <w:sz w:val="20"/>
          <w:szCs w:val="20"/>
          <w:color w:val="auto"/>
        </w:rPr>
      </w:pPr>
    </w:p>
    <w:p>
      <w:pPr>
        <w:ind w:right="400" w:firstLine="8"/>
        <w:spacing w:after="0" w:line="290" w:lineRule="auto"/>
        <w:tabs>
          <w:tab w:leader="none" w:pos="2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Plan that is intended to be qualified under Section 401(a) of the Code has received a favorable determination letter from the Internal Revenue Service that it is so qualified and nothing has occurred, whether by action or by failure to act, which would cause the loss of such qualification.</w:t>
      </w:r>
    </w:p>
    <w:p>
      <w:pPr>
        <w:spacing w:after="0" w:line="157" w:lineRule="exact"/>
        <w:rPr>
          <w:rFonts w:ascii="Times New Roman" w:cs="Times New Roman" w:eastAsia="Times New Roman" w:hAnsi="Times New Roman"/>
          <w:sz w:val="17"/>
          <w:szCs w:val="17"/>
          <w:color w:val="auto"/>
        </w:rPr>
      </w:pPr>
    </w:p>
    <w:p>
      <w:pPr>
        <w:ind w:firstLine="656"/>
        <w:spacing w:after="0" w:line="282" w:lineRule="auto"/>
        <w:tabs>
          <w:tab w:leader="none" w:pos="14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market-related data included in the most recent Preliminary Prospectus are based on or derived from sources that the Company reasonably believes to be reliable in all material respects.</w:t>
      </w:r>
    </w:p>
    <w:p>
      <w:pPr>
        <w:spacing w:after="0" w:line="161" w:lineRule="exact"/>
        <w:rPr>
          <w:rFonts w:ascii="Times New Roman" w:cs="Times New Roman" w:eastAsia="Times New Roman" w:hAnsi="Times New Roman"/>
          <w:sz w:val="18"/>
          <w:szCs w:val="18"/>
          <w:color w:val="auto"/>
        </w:rPr>
      </w:pPr>
    </w:p>
    <w:p>
      <w:pPr>
        <w:ind w:right="120" w:firstLine="656"/>
        <w:spacing w:after="0" w:line="261" w:lineRule="auto"/>
        <w:tabs>
          <w:tab w:leader="none" w:pos="14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and as of the applicable Delivery Date after giving effect to the Share Repurchase, none of them will be, (i) an “investment company” or a company “controlled” by an “investment company” within the meaning of the Investment Company Act of 1940, as amended (the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 and the rules and regulations of the Commission thereunder, or (ii) a “business development company” (as defined in Section 2(a)(48) of the Investment Company Act).</w:t>
      </w:r>
    </w:p>
    <w:p>
      <w:pPr>
        <w:spacing w:after="0" w:line="179" w:lineRule="exact"/>
        <w:rPr>
          <w:rFonts w:ascii="Times New Roman" w:cs="Times New Roman" w:eastAsia="Times New Roman" w:hAnsi="Times New Roman"/>
          <w:sz w:val="18"/>
          <w:szCs w:val="18"/>
          <w:color w:val="auto"/>
        </w:rPr>
      </w:pPr>
    </w:p>
    <w:p>
      <w:pPr>
        <w:ind w:right="300" w:firstLine="656"/>
        <w:spacing w:after="0" w:line="266" w:lineRule="auto"/>
        <w:tabs>
          <w:tab w:leader="none" w:pos="14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each of the most recent Preliminary Prospectus and the Prospectus under the captions “Description of Capital Stock” and “Material U.S. Federal Income Tax Considerations”, insofar as they purport to summarize the provisions of the laws and documents referred to therein, are accurate summaries in all material respects.</w:t>
      </w:r>
    </w:p>
    <w:p>
      <w:pPr>
        <w:spacing w:after="0" w:line="175" w:lineRule="exact"/>
        <w:rPr>
          <w:rFonts w:ascii="Times New Roman" w:cs="Times New Roman" w:eastAsia="Times New Roman" w:hAnsi="Times New Roman"/>
          <w:sz w:val="18"/>
          <w:szCs w:val="18"/>
          <w:color w:val="auto"/>
        </w:rPr>
      </w:pPr>
    </w:p>
    <w:p>
      <w:pPr>
        <w:ind w:right="40" w:firstLine="656"/>
        <w:spacing w:after="0" w:line="258" w:lineRule="auto"/>
        <w:tabs>
          <w:tab w:leader="none" w:pos="14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83" w:lineRule="exact"/>
        <w:rPr>
          <w:rFonts w:ascii="Times New Roman" w:cs="Times New Roman" w:eastAsia="Times New Roman" w:hAnsi="Times New Roman"/>
          <w:sz w:val="18"/>
          <w:szCs w:val="18"/>
          <w:color w:val="auto"/>
        </w:rPr>
      </w:pPr>
    </w:p>
    <w:p>
      <w:pPr>
        <w:ind w:right="80" w:firstLine="656"/>
        <w:spacing w:after="0" w:line="266" w:lineRule="auto"/>
        <w:tabs>
          <w:tab w:leader="none" w:pos="142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Stock.</w:t>
      </w:r>
    </w:p>
    <w:p>
      <w:pPr>
        <w:spacing w:after="0" w:line="175" w:lineRule="exact"/>
        <w:rPr>
          <w:rFonts w:ascii="Times New Roman" w:cs="Times New Roman" w:eastAsia="Times New Roman" w:hAnsi="Times New Roman"/>
          <w:sz w:val="18"/>
          <w:szCs w:val="18"/>
          <w:color w:val="auto"/>
        </w:rPr>
      </w:pPr>
    </w:p>
    <w:p>
      <w:pPr>
        <w:ind w:right="600" w:firstLine="656"/>
        <w:spacing w:after="0" w:line="282" w:lineRule="auto"/>
        <w:tabs>
          <w:tab w:leader="none" w:pos="14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sold or issued any securities that would be integrated with the offering of the Stock contemplated by this Agreement pursuant to the Securities Act, the rules and regulations thereunder or the interpretations thereof by the Commission.</w:t>
      </w:r>
    </w:p>
    <w:p>
      <w:pPr>
        <w:spacing w:after="0" w:line="161" w:lineRule="exact"/>
        <w:rPr>
          <w:rFonts w:ascii="Times New Roman" w:cs="Times New Roman" w:eastAsia="Times New Roman" w:hAnsi="Times New Roman"/>
          <w:sz w:val="18"/>
          <w:szCs w:val="18"/>
          <w:color w:val="auto"/>
        </w:rPr>
      </w:pPr>
    </w:p>
    <w:p>
      <w:pPr>
        <w:ind w:right="200" w:firstLine="656"/>
        <w:spacing w:after="0" w:line="266" w:lineRule="auto"/>
        <w:tabs>
          <w:tab w:leader="none" w:pos="145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have not taken, directly or indirectly, any action designed to constitute, or that has constituted, or that could reasonably be expected to cause or result in the stabilization or manipulation of the price of any security of the Company in connection with the offering of the shares of the Stock.</w:t>
      </w:r>
    </w:p>
    <w:p>
      <w:pPr>
        <w:spacing w:after="0" w:line="17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is listed on The Nasdaq Global Select Market.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5" w:name="page16"/>
    <w:bookmarkEnd w:id="15"/>
    <w:p>
      <w:pPr>
        <w:ind w:left="-20" w:right="20" w:firstLine="656"/>
        <w:spacing w:after="0" w:line="261" w:lineRule="auto"/>
        <w:tabs>
          <w:tab w:leader="none" w:pos="14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any Delivery Date and completion of the distribution of the Stock by the Selling Stockholder, will not distribute any offering material in connection with the offering and sale of the Stock by the Selling Stockholder other than any Preliminary Prospectus, the Prospectus, any Issuer Free Writing Prospectus to which the Representatives have consented in accordance with Section 1(l) or 5(a)(vi) and any Issuer Free Writing Prospectus set forth on Schedule VI hereto.</w:t>
      </w:r>
    </w:p>
    <w:p>
      <w:pPr>
        <w:spacing w:after="0" w:line="179" w:lineRule="exact"/>
        <w:rPr>
          <w:rFonts w:ascii="Times New Roman" w:cs="Times New Roman" w:eastAsia="Times New Roman" w:hAnsi="Times New Roman"/>
          <w:sz w:val="18"/>
          <w:szCs w:val="18"/>
          <w:color w:val="auto"/>
        </w:rPr>
      </w:pPr>
    </w:p>
    <w:p>
      <w:pPr>
        <w:ind w:left="1420" w:hanging="784"/>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right="20" w:firstLine="656"/>
        <w:spacing w:after="0" w:line="253" w:lineRule="auto"/>
        <w:tabs>
          <w:tab w:leader="none" w:pos="14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or domestic government official; or (iii) violated or is in violation of any provision of the FCPA, the Bribery Act 2010 of the United Kingdom, as amended (the “</w:t>
      </w:r>
      <w:r>
        <w:rPr>
          <w:rFonts w:ascii="Times New Roman" w:cs="Times New Roman" w:eastAsia="Times New Roman" w:hAnsi="Times New Roman"/>
          <w:sz w:val="18"/>
          <w:szCs w:val="18"/>
          <w:b w:val="1"/>
          <w:bCs w:val="1"/>
          <w:i w:val="1"/>
          <w:iCs w:val="1"/>
          <w:color w:val="auto"/>
        </w:rPr>
        <w:t>Bribery Act 2010</w:t>
      </w:r>
      <w:r>
        <w:rPr>
          <w:rFonts w:ascii="Times New Roman" w:cs="Times New Roman" w:eastAsia="Times New Roman" w:hAnsi="Times New Roman"/>
          <w:sz w:val="18"/>
          <w:szCs w:val="18"/>
          <w:color w:val="auto"/>
        </w:rPr>
        <w:t>”), or any other applicable anti-corruption or anti-bribery statute or regulation. The Company, its subsidiaries and, to the knowledge of the Company, their respective controlled affiliates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w:t>
      </w:r>
    </w:p>
    <w:p>
      <w:pPr>
        <w:spacing w:after="0" w:line="194" w:lineRule="exact"/>
        <w:rPr>
          <w:rFonts w:ascii="Times New Roman" w:cs="Times New Roman" w:eastAsia="Times New Roman" w:hAnsi="Times New Roman"/>
          <w:sz w:val="18"/>
          <w:szCs w:val="18"/>
          <w:color w:val="auto"/>
        </w:rPr>
      </w:pPr>
    </w:p>
    <w:p>
      <w:pPr>
        <w:ind w:left="-20" w:right="20" w:firstLine="656"/>
        <w:spacing w:after="0" w:line="255" w:lineRule="auto"/>
        <w:tabs>
          <w:tab w:leader="none" w:pos="14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in which the Company or its subsidiaries conduct business, the rules and regulations thereunder and any related or similar rules, regulations or guidelines, that have been issued, administered or enforced by any governmental agency having jurisdiction over the Company or such subsidiary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ind w:left="-20" w:firstLine="656"/>
        <w:spacing w:after="0" w:line="255" w:lineRule="auto"/>
        <w:tabs>
          <w:tab w:leader="none" w:pos="14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is an individual or entity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that is, or is owned or controlled by one or more Persons that are: is: (i) currently the subject or the target of any sanctions administered or enforced by the Office of Foreign Assets Control of the U.S. Treasury Department, the U.S. Department of State,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or (ii) located, organized or resident in a country or territory that is the subject or target of Sanctions (including, without limitation, the Crimea Region and the non-government controlled areas of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6" w:name="page17"/>
    <w:bookmarkEnd w:id="16"/>
    <w:p>
      <w:pPr>
        <w:ind w:right="60"/>
        <w:spacing w:after="0" w:line="254" w:lineRule="auto"/>
        <w:rPr>
          <w:sz w:val="20"/>
          <w:szCs w:val="20"/>
          <w:color w:val="auto"/>
        </w:rPr>
      </w:pPr>
      <w:r>
        <w:rPr>
          <w:rFonts w:ascii="Times New Roman" w:cs="Times New Roman" w:eastAsia="Times New Roman" w:hAnsi="Times New Roman"/>
          <w:sz w:val="18"/>
          <w:szCs w:val="18"/>
          <w:color w:val="auto"/>
        </w:rPr>
        <w:t>Zaporizhzhia and Kherson Regions of Ukraine, the so-called Donetsk People’s Republic, the so-called Luhansk People’s Republic and any other Covered Region of Ukraine identified pursuant to Executive Order 14065, Cuba, Iran, North Korea and Syria); and the Company will not directly or indirectly use the proceeds of the offering, or lend, contribute or otherwise make available such proceeds to any subsidiary, joint venture partner or other person or entity, for the purpose of financing or facilitating the activities of any person, or in any country or territory, that at the time of such financing or facilitation and currently is the subject or target of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192" w:lineRule="exact"/>
        <w:rPr>
          <w:sz w:val="20"/>
          <w:szCs w:val="20"/>
          <w:color w:val="auto"/>
        </w:rPr>
      </w:pPr>
    </w:p>
    <w:p>
      <w:pPr>
        <w:ind w:firstLine="656"/>
        <w:spacing w:after="0" w:line="253" w:lineRule="auto"/>
        <w:tabs>
          <w:tab w:leader="none" w:pos="136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the operation of the business of the Company or its subsidiaries as currently conducted, free and clear, to the knowledge of the Company, of all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any personal, personally identifiable, sensitive, confidential or regulated data (including the data and information of its customers, employees, suppliers, vendors and any third-party data collected, processed or stored by the Company or any of its subsidiaries, and any such data processed or stored by third parties on behalf of the Company or any of its subsidiaries) collected, processed, transferred, held, disclosed or otherwise used in connection with their businesses (collectively, “</w:t>
      </w:r>
      <w:r>
        <w:rPr>
          <w:rFonts w:ascii="Times New Roman" w:cs="Times New Roman" w:eastAsia="Times New Roman" w:hAnsi="Times New Roman"/>
          <w:sz w:val="18"/>
          <w:szCs w:val="18"/>
          <w:b w:val="1"/>
          <w:bCs w:val="1"/>
          <w:i w:val="1"/>
          <w:iCs w:val="1"/>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and, except as would not, individually or in the aggregate, reasonably be expected to have a Material Adverse Effect, there has been no breach,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violation, outage, disablement, loss, destruction or unauthorized use, access, distribution or modification of or to any IT System or Personal Data of the Company or its subsidiaries.</w:t>
      </w:r>
    </w:p>
    <w:p>
      <w:pPr>
        <w:spacing w:after="0" w:line="189" w:lineRule="exact"/>
        <w:rPr>
          <w:rFonts w:ascii="Times New Roman" w:cs="Times New Roman" w:eastAsia="Times New Roman" w:hAnsi="Times New Roman"/>
          <w:sz w:val="18"/>
          <w:szCs w:val="18"/>
          <w:color w:val="auto"/>
        </w:rPr>
      </w:pPr>
    </w:p>
    <w:p>
      <w:pPr>
        <w:ind w:right="20" w:firstLine="656"/>
        <w:spacing w:after="0" w:line="254" w:lineRule="auto"/>
        <w:tabs>
          <w:tab w:leader="none" w:pos="13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and at all times since January 1, 2018 were, in compliance with all applicable data privacy and security laws, statutes, judgments, orders, rules and regulations of any court or arbitrator or any other governmental or regulatory authority and all applicable laws and contractual obligations regarding the collection, processing, use, transfer, storage, protection, disposal or disclosure by the Company and its subsidiaries of Personal Data (collectively, the “</w:t>
      </w:r>
      <w:r>
        <w:rPr>
          <w:rFonts w:ascii="Times New Roman" w:cs="Times New Roman" w:eastAsia="Times New Roman" w:hAnsi="Times New Roman"/>
          <w:sz w:val="18"/>
          <w:szCs w:val="18"/>
          <w:b w:val="1"/>
          <w:bCs w:val="1"/>
          <w:i w:val="1"/>
          <w:iCs w:val="1"/>
          <w:color w:val="auto"/>
        </w:rPr>
        <w:t>Privacy Obligations</w:t>
      </w:r>
      <w:r>
        <w:rPr>
          <w:rFonts w:ascii="Times New Roman" w:cs="Times New Roman" w:eastAsia="Times New Roman" w:hAnsi="Times New Roman"/>
          <w:sz w:val="18"/>
          <w:szCs w:val="18"/>
          <w:color w:val="auto"/>
        </w:rPr>
        <w:t>”) except where the failure to be in compliance would not, individually or in the aggregate, reasonably be expected to have a Material Adverse Effect. The Company and its subsidiaries have in place, are in material compliance with, and take appropriate steps reasonably designed to (i) ensure compliance with its privacy policies; and (ii) reasonably protect the security and confidentiality of all Personal Data (collectively,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Since January 1, 2018, neither the Company nor any of its subsidiaries has received notice of any actual or potential material liability under or relating to or actual or potential violation of, or is subject to any action, suit or proceeding by or before any court of governmental agency authority or body relating to, any of the Privacy Obligations or Policies.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left="1380" w:hanging="724"/>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80" w:firstLine="656"/>
        <w:spacing w:after="0" w:line="276" w:lineRule="auto"/>
        <w:tabs>
          <w:tab w:leader="none" w:pos="135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affiliations or associations between (i) any member of FINRA and (ii) the Company or, to the knowledge of the Company, any of the Company’s officers, directors or 5% or greater security holders or any beneficial owner of the Company’s unregistered equity securities that</w:t>
      </w:r>
    </w:p>
    <w:p>
      <w:pPr>
        <w:spacing w:after="0" w:line="1" w:lineRule="exact"/>
        <w:rPr>
          <w:sz w:val="20"/>
          <w:szCs w:val="20"/>
          <w:color w:val="auto"/>
        </w:rPr>
      </w:pPr>
    </w:p>
    <w:p>
      <w:pPr>
        <w:ind w:right="340"/>
        <w:spacing w:after="0" w:line="221" w:lineRule="auto"/>
        <w:rPr>
          <w:sz w:val="20"/>
          <w:szCs w:val="20"/>
          <w:color w:val="auto"/>
        </w:rPr>
      </w:pPr>
      <w:r>
        <w:rPr>
          <w:rFonts w:ascii="Times New Roman" w:cs="Times New Roman" w:eastAsia="Times New Roman" w:hAnsi="Times New Roman"/>
          <w:sz w:val="18"/>
          <w:szCs w:val="18"/>
          <w:color w:val="auto"/>
        </w:rPr>
        <w:t>were acquired at any time on or after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immediately preceding the date the Registration Statement was initially filed with the Commission, except as disclosed in the Registration Statement (excluding the exhibits thereto), the Pricing Disclosure Package and the Prospectus or as otherwise disclosed to the Underwriters.</w:t>
      </w:r>
    </w:p>
    <w:p>
      <w:pPr>
        <w:spacing w:after="0" w:line="198" w:lineRule="exact"/>
        <w:rPr>
          <w:sz w:val="20"/>
          <w:szCs w:val="20"/>
          <w:color w:val="auto"/>
        </w:rPr>
      </w:pPr>
    </w:p>
    <w:p>
      <w:pPr>
        <w:ind w:right="20" w:firstLine="656"/>
        <w:spacing w:after="0" w:line="270" w:lineRule="auto"/>
        <w:tabs>
          <w:tab w:leader="none" w:pos="136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are insured by insurers of recognized financial responsibility against such losses and risks and in such amounts as are prudent and customary in the businesses in which they are engaged, including war risk insurance on its aircraft under the Federal Aviation Administration’s (the “</w:t>
      </w:r>
      <w:r>
        <w:rPr>
          <w:rFonts w:ascii="Times New Roman" w:cs="Times New Roman" w:eastAsia="Times New Roman" w:hAnsi="Times New Roman"/>
          <w:sz w:val="17"/>
          <w:szCs w:val="17"/>
          <w:b w:val="1"/>
          <w:bCs w:val="1"/>
          <w:i w:val="1"/>
          <w:iCs w:val="1"/>
          <w:color w:val="auto"/>
        </w:rPr>
        <w:t>FAA</w:t>
      </w:r>
      <w:r>
        <w:rPr>
          <w:rFonts w:ascii="Times New Roman" w:cs="Times New Roman" w:eastAsia="Times New Roman" w:hAnsi="Times New Roman"/>
          <w:sz w:val="17"/>
          <w:szCs w:val="17"/>
          <w:color w:val="auto"/>
        </w:rPr>
        <w:t>”) insurance program authorized under 49 U.S.C. § 44301 et seq.;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except as set forth in or contemplated in the Pricing Disclosure Package and the Prospectus (exclusive of any supplement thereto).</w:t>
      </w:r>
    </w:p>
    <w:p>
      <w:pPr>
        <w:spacing w:after="0" w:line="176" w:lineRule="exact"/>
        <w:rPr>
          <w:rFonts w:ascii="Times New Roman" w:cs="Times New Roman" w:eastAsia="Times New Roman" w:hAnsi="Times New Roman"/>
          <w:sz w:val="17"/>
          <w:szCs w:val="17"/>
          <w:color w:val="auto"/>
        </w:rPr>
      </w:pPr>
    </w:p>
    <w:p>
      <w:pPr>
        <w:ind w:right="60" w:firstLine="656"/>
        <w:spacing w:after="0" w:line="269" w:lineRule="auto"/>
        <w:tabs>
          <w:tab w:leader="none" w:pos="134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have a Material Adverse Effect, the Company and its subsidiaries (i) possess all licenses, certificates, permits and other authorizations issued by all applicable authorities, including the Department of Transportation, the FAA and the Federal Communications Commission (collectively, the “</w:t>
      </w:r>
      <w:r>
        <w:rPr>
          <w:rFonts w:ascii="Times New Roman" w:cs="Times New Roman" w:eastAsia="Times New Roman" w:hAnsi="Times New Roman"/>
          <w:sz w:val="17"/>
          <w:szCs w:val="17"/>
          <w:b w:val="1"/>
          <w:bCs w:val="1"/>
          <w:i w:val="1"/>
          <w:iCs w:val="1"/>
          <w:color w:val="auto"/>
        </w:rPr>
        <w:t>Governmental Licenses</w:t>
      </w:r>
      <w:r>
        <w:rPr>
          <w:rFonts w:ascii="Times New Roman" w:cs="Times New Roman" w:eastAsia="Times New Roman" w:hAnsi="Times New Roman"/>
          <w:sz w:val="17"/>
          <w:szCs w:val="17"/>
          <w:color w:val="auto"/>
        </w:rPr>
        <w:t>”), necessary to conduct their respective businesses and the Governmental Licenses are valid and in full force and effect, (ii) are in compliance with the terms and conditions of all Governmental Licenses and (iii) have not received any notice of proceedings relating to the revocation or modification of any such Governmental License. The Company</w:t>
      </w:r>
    </w:p>
    <w:p>
      <w:pPr>
        <w:spacing w:after="0" w:line="2" w:lineRule="exact"/>
        <w:rPr>
          <w:rFonts w:ascii="Times New Roman" w:cs="Times New Roman" w:eastAsia="Times New Roman" w:hAnsi="Times New Roman"/>
          <w:sz w:val="17"/>
          <w:szCs w:val="17"/>
          <w:color w:val="auto"/>
        </w:rPr>
      </w:pPr>
    </w:p>
    <w:p>
      <w:pPr>
        <w:ind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“air carrier” within the meaning of 49 U.S.C. Section 40102(a); (y) holds an air carrier operating certificate issued by the FAA pursuant to Chapter 447 of Title 49 of the United States Code for aircraft capable of carrying 10 or more individuals or 6,000 pounds or more of cargo; and (z) is a “citizen of the United States” as defined in 49 U.S.C. Section 40102(a).</w:t>
      </w:r>
    </w:p>
    <w:p>
      <w:pPr>
        <w:spacing w:after="0" w:line="185" w:lineRule="exact"/>
        <w:rPr>
          <w:rFonts w:ascii="Times New Roman" w:cs="Times New Roman" w:eastAsia="Times New Roman" w:hAnsi="Times New Roman"/>
          <w:sz w:val="18"/>
          <w:szCs w:val="18"/>
          <w:color w:val="auto"/>
        </w:rPr>
      </w:pPr>
    </w:p>
    <w:p>
      <w:pPr>
        <w:ind w:right="180" w:firstLine="656"/>
        <w:spacing w:after="0" w:line="282" w:lineRule="auto"/>
        <w:tabs>
          <w:tab w:leader="none" w:pos="135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most recent Preliminary Prospectus, neither the Company nor any of its subsidiaries has any securities rated by any “nationally recognized statistical rating organization,” as such term is defined in Section 3(a)(62) of the Exchange Act.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Representatives or counsel for the Underwriters in connection with the offering of the Stock shall be deemed a representation and warranty by the Company, as to matters covered thereby, to each Underwriter.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8" w:name="page19"/>
    <w:bookmarkEnd w:id="18"/>
    <w:p>
      <w:pPr>
        <w:ind w:left="1700" w:hanging="396"/>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Selling Stockholder</w:t>
      </w:r>
      <w:r>
        <w:rPr>
          <w:rFonts w:ascii="Times New Roman" w:cs="Times New Roman" w:eastAsia="Times New Roman" w:hAnsi="Times New Roman"/>
          <w:sz w:val="18"/>
          <w:szCs w:val="18"/>
          <w:color w:val="auto"/>
        </w:rPr>
        <w:t>. The Selling Stockholder represents, warrants and agrees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firstLine="656"/>
        <w:spacing w:after="0" w:line="282" w:lineRule="auto"/>
        <w:tabs>
          <w:tab w:leader="none" w:pos="15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been duly organized and is validly existing as a corporation, limited liability company, public agency, or a limited partnership, as the case may be, in good standing in its jurisdiction of formation.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 United States person (as the term is defined in Section 7701(a)(30) of the Internal Revenue Code of 1986, as amended) for U.S. federal income tax purposes.</w:t>
      </w:r>
    </w:p>
    <w:p>
      <w:pPr>
        <w:spacing w:after="0" w:line="161" w:lineRule="exact"/>
        <w:rPr>
          <w:rFonts w:ascii="Times New Roman" w:cs="Times New Roman" w:eastAsia="Times New Roman" w:hAnsi="Times New Roman"/>
          <w:sz w:val="18"/>
          <w:szCs w:val="18"/>
          <w:color w:val="auto"/>
        </w:rPr>
      </w:pPr>
    </w:p>
    <w:p>
      <w:pPr>
        <w:ind w:right="20" w:firstLine="656"/>
        <w:spacing w:after="0" w:line="266" w:lineRule="auto"/>
        <w:tabs>
          <w:tab w:leader="none" w:pos="15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and immediately prior to any Delivery Date, the Selling Stockholder will have, good and valid title to the shares of Stock to be sold by the Selling Stockholder hereunder on such Delivery Date and any “security entitlement” within the meaning of Section 8-501 of the New York Uniform Commercial Code (the “</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in respect thereof, free and clear of all liens, encumbrances, equities or adverse claims.</w:t>
      </w:r>
    </w:p>
    <w:p>
      <w:pPr>
        <w:spacing w:after="0" w:line="17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60" w:firstLine="656"/>
        <w:spacing w:after="0" w:line="253" w:lineRule="auto"/>
        <w:tabs>
          <w:tab w:leader="none" w:pos="15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Stock to be sold by the Selling Stockholder, delivery of such Stock, as directed by the Underwriters, to Cede &amp; Co. (“</w:t>
      </w:r>
      <w:r>
        <w:rPr>
          <w:rFonts w:ascii="Times New Roman" w:cs="Times New Roman" w:eastAsia="Times New Roman" w:hAnsi="Times New Roman"/>
          <w:sz w:val="18"/>
          <w:szCs w:val="18"/>
          <w:b w:val="1"/>
          <w:bCs w:val="1"/>
          <w:i w:val="1"/>
          <w:iCs w:val="1"/>
          <w:color w:val="auto"/>
        </w:rPr>
        <w:t>Cede</w:t>
      </w:r>
      <w:r>
        <w:rPr>
          <w:rFonts w:ascii="Times New Roman" w:cs="Times New Roman" w:eastAsia="Times New Roman" w:hAnsi="Times New Roman"/>
          <w:sz w:val="18"/>
          <w:szCs w:val="18"/>
          <w:color w:val="auto"/>
        </w:rPr>
        <w:t>”) or such other nominee as may be designated by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registration of such Stock in the name of Cede or such other nominee and the crediting of such Stock on the books of DTC to securities accounts of the Underwriters (assuming that neither DTC nor any such Underwriter has notice of any adverse claim (within the meaning of Section 8-105 of the UCC) to such Stock) (i) DTC shall be a “protected purchaser” of such Stock within the meaning of Section 8-303 of the UCC, (ii) under Section 8-501 of the UCC, the Underwriters will acquire a valid security entitlement in respect of such Stock, and (iii) an action based on an adverse claim, within the meaning of Section 8-102 of the UCC, may not be asserted against the Underwriters with respect to such security entitlement. For purposes of this representation, the Selling Stockholder may assume that when such payment, delivery and crediting occur, (x) such Stock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191"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full right, power and authority, corporate or otherwise, to enter into this Agreement.</w:t>
      </w:r>
    </w:p>
    <w:p>
      <w:pPr>
        <w:spacing w:after="0" w:line="225"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or on behalf of the Selling Stockholder.</w:t>
      </w:r>
    </w:p>
    <w:p>
      <w:pPr>
        <w:spacing w:after="0" w:line="225" w:lineRule="exact"/>
        <w:rPr>
          <w:rFonts w:ascii="Times New Roman" w:cs="Times New Roman" w:eastAsia="Times New Roman" w:hAnsi="Times New Roman"/>
          <w:sz w:val="18"/>
          <w:szCs w:val="18"/>
          <w:color w:val="auto"/>
        </w:rPr>
      </w:pPr>
    </w:p>
    <w:p>
      <w:pPr>
        <w:ind w:right="600" w:firstLine="656"/>
        <w:spacing w:after="0" w:line="282" w:lineRule="auto"/>
        <w:tabs>
          <w:tab w:leader="none" w:pos="15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Stock by the Selling Stockholder, the execution, delivery and performance of this Agreement by the Selling Stockholder and the consummation by the Selling Stockholder of the transactions contemplated hereby do not and will not (i) conflict with or result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9" w:name="page20"/>
    <w:bookmarkEnd w:id="19"/>
    <w:p>
      <w:pPr>
        <w:ind w:right="180"/>
        <w:spacing w:after="0" w:line="255" w:lineRule="auto"/>
        <w:rPr>
          <w:sz w:val="20"/>
          <w:szCs w:val="20"/>
          <w:color w:val="auto"/>
        </w:rPr>
      </w:pPr>
      <w:r>
        <w:rPr>
          <w:rFonts w:ascii="Times New Roman" w:cs="Times New Roman" w:eastAsia="Times New Roman" w:hAnsi="Times New Roman"/>
          <w:sz w:val="18"/>
          <w:szCs w:val="18"/>
          <w:color w:val="auto"/>
        </w:rPr>
        <w:t>in a breach or violation of any of the terms or provisions of, or constitute a default under, any indenture, mortgage, deed of trust, loan agreement, license, lease or other agreement or instrument to which the Selling Stockholder is a party or by which the Selling Stockholder is bound or to which any of the property or assets of the Selling Stockholder is subject, (ii) result in any violation of the provisions of the charter or by-laws (or similar organizational documents) of the Selling Stockholder, or (iii) result in any violation of any statute or any judgment, order, decree, rule or regulation of any court or governmental agency or body having jurisdiction over the Selling Stockholder or the property or assets of the Selling Stockholder, except, with respect to clauses (i) and (iii), conflicts, defaults, breaches or violations that would not, individually or in the aggregate, reasonably be expected to have a material adverse effect on the Selling Stockholder’s ability to perform its obligations under this Agreement.</w:t>
      </w:r>
    </w:p>
    <w:p>
      <w:pPr>
        <w:spacing w:after="0" w:line="189" w:lineRule="exact"/>
        <w:rPr>
          <w:sz w:val="20"/>
          <w:szCs w:val="20"/>
          <w:color w:val="auto"/>
        </w:rPr>
      </w:pPr>
    </w:p>
    <w:p>
      <w:pPr>
        <w:ind w:right="20" w:firstLine="656"/>
        <w:spacing w:after="0" w:line="256" w:lineRule="auto"/>
        <w:tabs>
          <w:tab w:leader="none" w:pos="14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or registration with, any court or governmental agency or body having jurisdiction over the Selling Stockholder or the property or assets of the Selling Stockholder is required for the sale of the Stock by the Selling Stockholder, the execution, delivery and performance of this Agreement by the Selling Stockholder and the consummation by the Selling Stockholder of the transactions contemplated hereby, except for the registration of the Stock under the Securities Act and such consents, approvals, authorizations, orders, filings, registrations or qualifications as may be required under the Exchange Act and applicable state securities laws in connection with the purchase and sale of the Stock by the Underwriters.</w:t>
      </w:r>
    </w:p>
    <w:p>
      <w:pPr>
        <w:spacing w:after="0" w:line="187" w:lineRule="exact"/>
        <w:rPr>
          <w:rFonts w:ascii="Times New Roman" w:cs="Times New Roman" w:eastAsia="Times New Roman" w:hAnsi="Times New Roman"/>
          <w:sz w:val="18"/>
          <w:szCs w:val="18"/>
          <w:color w:val="auto"/>
        </w:rPr>
      </w:pPr>
    </w:p>
    <w:p>
      <w:pPr>
        <w:ind w:firstLine="656"/>
        <w:spacing w:after="0" w:line="253" w:lineRule="auto"/>
        <w:tabs>
          <w:tab w:leader="none" w:pos="14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Disclosure Package, at the Applicable Time did not, and as of the Initial Delivery Date and as of each Option Stock Delivery Date, as the case may be, will not, contain any untrue statement of a material fact or omit to state a material fact necessary in order to make the statements therein, in the light of the circumstances under which they were made, not misleading. The preceding sentence applies only to written information furnished to the Company by the Selling Stockholder expressly for use therein, it being understood and agreed that the only such information furnished by the Selling Stockholder consists of the Selling Stockholder’s Selling Stockholder Information. Each Underwriter, the Company and the Selling Stockholder agree that the “Selling Stockholder Information” with respect to a Selling Stockholder consists solely of the information furnished by the Selling Stockholder for use in connection with the offering in the Registration Statement, the Pricing Disclosure Package and the Prospectus, which consists solely of (i) the name, address and number of shares of Common Stock owned by the Selling Stockholder, before and after the offering, and (ii) the other information with respect to the Selling Stockholder that appears in the table (and corresponding footnotes) under the caption “Selling Stockholder,” in each case, in the Registration Statement, the Pricing Disclosure Package, the Prospectus or in any Issuer Free Writing Prospectus.</w:t>
      </w:r>
    </w:p>
    <w:p>
      <w:pPr>
        <w:spacing w:after="0" w:line="194" w:lineRule="exact"/>
        <w:rPr>
          <w:rFonts w:ascii="Times New Roman" w:cs="Times New Roman" w:eastAsia="Times New Roman" w:hAnsi="Times New Roman"/>
          <w:sz w:val="18"/>
          <w:szCs w:val="18"/>
          <w:color w:val="auto"/>
        </w:rPr>
      </w:pPr>
    </w:p>
    <w:p>
      <w:pPr>
        <w:ind w:left="1540" w:hanging="884"/>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left="-8" w:right="100" w:firstLine="656"/>
        <w:spacing w:after="0" w:line="282" w:lineRule="auto"/>
        <w:tabs>
          <w:tab w:leader="none" w:pos="15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not prompted to sell shares of Common Stock by any information concerning the Company, including any of its subsidiaries, that is not set forth in the Registration Statement, the Pricing Disclosure Package and the Prospectus.</w:t>
      </w:r>
    </w:p>
    <w:p>
      <w:pPr>
        <w:spacing w:after="0" w:line="161" w:lineRule="exact"/>
        <w:rPr>
          <w:rFonts w:ascii="Times New Roman" w:cs="Times New Roman" w:eastAsia="Times New Roman" w:hAnsi="Times New Roman"/>
          <w:sz w:val="18"/>
          <w:szCs w:val="18"/>
          <w:color w:val="auto"/>
        </w:rPr>
      </w:pPr>
    </w:p>
    <w:p>
      <w:pPr>
        <w:ind w:left="-8" w:right="80" w:firstLine="656"/>
        <w:spacing w:after="0" w:line="266" w:lineRule="auto"/>
        <w:tabs>
          <w:tab w:leader="none" w:pos="15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not taken, directly or indirectly, any action that is designed to or that has constituted or that could reasonably be expected to cause or result in the stabilization or manipulation of the price of any security of the Company in connection with the offering of the shares of the Stock.</w:t>
      </w:r>
    </w:p>
    <w:p>
      <w:pPr>
        <w:spacing w:after="0" w:line="175" w:lineRule="exact"/>
        <w:rPr>
          <w:rFonts w:ascii="Times New Roman" w:cs="Times New Roman" w:eastAsia="Times New Roman" w:hAnsi="Times New Roman"/>
          <w:sz w:val="18"/>
          <w:szCs w:val="18"/>
          <w:color w:val="auto"/>
        </w:rPr>
      </w:pPr>
    </w:p>
    <w:p>
      <w:pPr>
        <w:ind w:left="1532" w:hanging="884"/>
        <w:spacing w:after="0"/>
        <w:tabs>
          <w:tab w:leader="none" w:pos="153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8" w:right="100" w:firstLine="656"/>
        <w:spacing w:after="0" w:line="257" w:lineRule="auto"/>
        <w:tabs>
          <w:tab w:leader="none" w:pos="153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Stockholder nor any of its subsidiaries (to the extent applicable), nor any director or officer of the Selling Stockholder or any of its subsidiaries (to the extent applicable) nor, to the knowledge of the Selling Stockholder, any employee of the Selling Stockholder or any of its subsidiaries (to the extent applicable) or any agent, affiliate or other person associated with or acting on behalf of the Selling Stockholder has:</w:t>
      </w:r>
    </w:p>
    <w:p>
      <w:pPr>
        <w:spacing w:after="0" w:line="1" w:lineRule="exact"/>
        <w:rPr>
          <w:rFonts w:ascii="Times New Roman" w:cs="Times New Roman" w:eastAsia="Times New Roman" w:hAnsi="Times New Roman"/>
          <w:sz w:val="18"/>
          <w:szCs w:val="18"/>
          <w:color w:val="auto"/>
        </w:rPr>
      </w:pPr>
    </w:p>
    <w:p>
      <w:pPr>
        <w:ind w:left="-8" w:firstLine="8"/>
        <w:spacing w:after="0" w:line="250" w:lineRule="auto"/>
        <w:tabs>
          <w:tab w:leader="none" w:pos="2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any corporate funds for any unlawful contribution, gift, entertainment or other unlawful expense relating to political activity; (ii) made any direct or indirect unlawful payment to any foreign or domestic government official, “foreign official” (as defined in the FCPA) or employee from corporate funds;</w:t>
      </w:r>
    </w:p>
    <w:p>
      <w:pPr>
        <w:ind w:left="312" w:hanging="312"/>
        <w:spacing w:after="0"/>
        <w:tabs>
          <w:tab w:leader="none" w:pos="3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FCPA, Bribery Act 2010, as amended, or any other applicable anti-bribery statute or regulation; or</w:t>
      </w:r>
    </w:p>
    <w:p>
      <w:pPr>
        <w:spacing w:after="0" w:line="9" w:lineRule="exact"/>
        <w:rPr>
          <w:rFonts w:ascii="Times New Roman" w:cs="Times New Roman" w:eastAsia="Times New Roman" w:hAnsi="Times New Roman"/>
          <w:sz w:val="18"/>
          <w:szCs w:val="18"/>
          <w:color w:val="auto"/>
        </w:rPr>
      </w:pPr>
    </w:p>
    <w:p>
      <w:pPr>
        <w:ind w:left="-8" w:right="160" w:firstLine="8"/>
        <w:spacing w:after="0" w:line="252" w:lineRule="auto"/>
        <w:tabs>
          <w:tab w:leader="none" w:pos="2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bribe, rebate, payoff, influence payment, kickback or other unlawful payment to any domestic government official, foreign official or employee; and the Selling Stockholder has conducted its business in compliance with the FCPA, Bribery Act 2010, and all other applicable anti-bribery statutes and regulations, and has instituted and maintain policies and procedures reasonably designed to ensure, and which are reasonably expected to continue to ensure, continued compliance therewith. Neither the Selling Stockholder nor any of its subsidiaries (to the extent applicable) will use, directly or indirectly, the proceeds of the offering in furtherance of an offer, payment, promise to pay, or authorization of the payment of giving of money, or anything else of value, to any person in violation of any applicable anti-corruption laws.</w:t>
      </w:r>
    </w:p>
    <w:p>
      <w:pPr>
        <w:spacing w:after="0" w:line="189" w:lineRule="exact"/>
        <w:rPr>
          <w:rFonts w:ascii="Times New Roman" w:cs="Times New Roman" w:eastAsia="Times New Roman" w:hAnsi="Times New Roman"/>
          <w:sz w:val="18"/>
          <w:szCs w:val="18"/>
          <w:color w:val="auto"/>
        </w:rPr>
      </w:pPr>
    </w:p>
    <w:p>
      <w:pPr>
        <w:ind w:left="-8" w:right="360" w:firstLine="656"/>
        <w:spacing w:after="0" w:line="261" w:lineRule="auto"/>
        <w:tabs>
          <w:tab w:leader="none" w:pos="15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Selling Stockholder and its subsidiaries (to the extent applicable) is and has been conducted at all times in compliance with applicable financial recordkeeping and reporting requirements of the Money Laundering Laws and no action, suit or proceeding by or before any court or governmental agency, authority or body or any arbitrator involving the Selling Stockholder or any of its subsidiaries (to the extent applicable) with respect to the Money Laundering Laws is pending or, to the knowledge of the Selling Stockholder, threatened.</w:t>
      </w:r>
    </w:p>
    <w:p>
      <w:pPr>
        <w:spacing w:after="0" w:line="179" w:lineRule="exact"/>
        <w:rPr>
          <w:rFonts w:ascii="Times New Roman" w:cs="Times New Roman" w:eastAsia="Times New Roman" w:hAnsi="Times New Roman"/>
          <w:sz w:val="18"/>
          <w:szCs w:val="18"/>
          <w:color w:val="auto"/>
        </w:rPr>
      </w:pPr>
    </w:p>
    <w:p>
      <w:pPr>
        <w:ind w:left="-8" w:firstLine="656"/>
        <w:spacing w:after="0" w:line="256" w:lineRule="auto"/>
        <w:tabs>
          <w:tab w:leader="none" w:pos="15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Stockholder nor any of its subsidiaries (to the extent applicable), directors or officers, nor, to the knowledge of the Selling Stockholder, any of the Selling Stockholder or any agent, controlled affiliate or other person associated with or acting on behalf of the Selling Stockholder or any of its subsidiaries (to the extent applicable) is (i) currently subject to or the target of any Sanctions; or (ii) located, organized or resident in a country that is the subject of Sanctions (including, without limitation, the so-called Donetsk People’s Republic, the so-called Luhansk People’s Republic or any other covered region of Ukraine identified pursuant to Executive Order 14065, the Crimea Region of Ukraine, Cuba, Iran, North Korea and Syria); and</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21" w:name="page22"/>
    <w:bookmarkEnd w:id="21"/>
    <w:p>
      <w:pPr>
        <w:ind w:right="60"/>
        <w:spacing w:after="0" w:line="256" w:lineRule="auto"/>
        <w:rPr>
          <w:sz w:val="20"/>
          <w:szCs w:val="20"/>
          <w:color w:val="auto"/>
        </w:rPr>
      </w:pPr>
      <w:r>
        <w:rPr>
          <w:rFonts w:ascii="Times New Roman" w:cs="Times New Roman" w:eastAsia="Times New Roman" w:hAnsi="Times New Roman"/>
          <w:sz w:val="18"/>
          <w:szCs w:val="18"/>
          <w:color w:val="auto"/>
        </w:rPr>
        <w:t>the Selling Stockholder will not directly or indirectly use the proceeds of the offering, or lend, contribute or otherwise make available such proceeds to any subsidiary, joint venture partner or other person or entity, for the purpose of financing the activities of any person, or in any country or territory, that currently is the subject or target of Sanctions or in any other manner that will result in a violation by any person (including any person participating in the transaction whether as an underwriter, advisor, investor or otherwise) of Sanctions. The Selling Stockholder has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187" w:lineRule="exact"/>
        <w:rPr>
          <w:sz w:val="20"/>
          <w:szCs w:val="20"/>
          <w:color w:val="auto"/>
        </w:rPr>
      </w:pPr>
    </w:p>
    <w:p>
      <w:pPr>
        <w:jc w:val="both"/>
        <w:ind w:right="100" w:firstLine="1296"/>
        <w:spacing w:after="0" w:line="266" w:lineRule="auto"/>
        <w:rPr>
          <w:sz w:val="20"/>
          <w:szCs w:val="20"/>
          <w:color w:val="auto"/>
        </w:rPr>
      </w:pPr>
      <w:r>
        <w:rPr>
          <w:rFonts w:ascii="Times New Roman" w:cs="Times New Roman" w:eastAsia="Times New Roman" w:hAnsi="Times New Roman"/>
          <w:sz w:val="18"/>
          <w:szCs w:val="18"/>
          <w:color w:val="auto"/>
        </w:rPr>
        <w:t>Any certificate signed by or on behalf of the Selling Stockholder and delivered to the Representatives or counsel for the Underwriters in connection with the offering of the Stock shall be deemed to be a representation and warranty by the Selling Stockholder, as to matters covered thereby, to each Underwriter.</w:t>
      </w:r>
    </w:p>
    <w:p>
      <w:pPr>
        <w:spacing w:after="0" w:line="174" w:lineRule="exact"/>
        <w:rPr>
          <w:sz w:val="20"/>
          <w:szCs w:val="20"/>
          <w:color w:val="auto"/>
        </w:rPr>
      </w:pPr>
    </w:p>
    <w:p>
      <w:pPr>
        <w:ind w:firstLine="1304"/>
        <w:spacing w:after="0" w:line="253" w:lineRule="auto"/>
        <w:tabs>
          <w:tab w:leader="none" w:pos="170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the Stock by the Underwriters</w:t>
      </w:r>
      <w:r>
        <w:rPr>
          <w:rFonts w:ascii="Times New Roman" w:cs="Times New Roman" w:eastAsia="Times New Roman" w:hAnsi="Times New Roman"/>
          <w:sz w:val="18"/>
          <w:szCs w:val="18"/>
          <w:color w:val="auto"/>
        </w:rPr>
        <w:t>. On the basis of the representations, warranties and covenants contained in, and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terms and conditions of, this Agreement, the Selling Stockholder agrees to sell the number of shares of the Firm Stock set forth opposite its name in Schedule II hereto to the several Underwriters and each of the Underwriters, severally and not jointly, agrees to purchase the number of shares of the Firm Stock set forth opposite that Underwriter’s name in Schedule I hereto. Each Underwriter shall be obligated to purchase from the Selling Stockholder that number of shares of the Firm Stock that represents the same proportion of the number of shares of the Firm Stock to be sold by the Selling Stockholder as the number of shares of the Firm Stock set forth opposite the name of such Underwriter in Schedule I represents to the total number of shares of the Firm Stock to be purchased by all of the Underwriters pursuant to this Agreement. The respective purchase obligations of the Underwriters with respect to the Firm Stock shall be rounded among the Underwriters to avoid fractional shares, as the Representatives may determine. Subject to the sale of the Firm Stock by the Selling Stockholder to the Underwriters in compliance with the terms of this Agreement, the Underwriters agree to sell to the Company, and the Company agrees to purchase from the Underwriters, the number of Repurchase Shares specified herein at the price paid by the Underwriters set forth herein. The number of shares of the Firm Stock to be sold by each Underwriter to the Company shall be based on the same proportion as the number of shares of the Firm Stock set forth opposite the name of such Underwriter in Schedule I represents to the total number of shares of the Firm stock to be purchased by the Underwriters pursuant to this Agreement. The respective selling obligations of the Underwriters with respect to the Firm Stock shall be rounded among the Underwriters to avoid fractional shares, as the Representatives may determine.</w:t>
      </w:r>
    </w:p>
    <w:p>
      <w:pPr>
        <w:spacing w:after="0" w:line="187"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In addition, the Selling Stockholder grants to the Underwriters an option to purchase up to the number of shares of Option Stock set forth opposite the Selling Stockholder’s name in Schedule II hereto. Such option is exercisable in the event that the Underwriters sell more shares of Common Stock than the number of shares of Firm Stock in the offering and as set forth in Section 4 hereof. Each Underwriter agrees, severally and not jointly, to purchase the number of shares of Option Stock (subject to such adjustments to eliminate fractional shares as the Representatives may determine) that bears the same proportion to the total number of shares of Option Stock to be sold on such Delivery Date as the number of shares of Firm Stock set forth in Schedule I hereto opposite the name of such Underwriter bears to the total number of shares of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2" w:name="page23"/>
    <w:bookmarkEnd w:id="22"/>
    <w:p>
      <w:pPr>
        <w:ind w:right="540"/>
        <w:spacing w:after="0" w:line="284" w:lineRule="auto"/>
        <w:rPr>
          <w:sz w:val="20"/>
          <w:szCs w:val="20"/>
          <w:color w:val="auto"/>
        </w:rPr>
      </w:pPr>
      <w:r>
        <w:rPr>
          <w:rFonts w:ascii="Times New Roman" w:cs="Times New Roman" w:eastAsia="Times New Roman" w:hAnsi="Times New Roman"/>
          <w:sz w:val="18"/>
          <w:szCs w:val="18"/>
          <w:color w:val="auto"/>
        </w:rPr>
        <w:t xml:space="preserve">Firm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amount paid by the Underwriters for any Option Stock shall be reduced by an amount per share equal to any dividends declared by the Company and payable on the Firm Shares but not payable on such Option Stock.</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purchase price payable by the Underwriters for both the Firm Stock and any Option Stock is $16.00 per share.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Selling Stockholder is not obligated to deliver any of the Firm Stock or Option Stock to be delivered on the applicable Delivery Date, except upon payment for all such Stock to be purchased on such Delivery Date as provided herein.</w:t>
      </w:r>
    </w:p>
    <w:p>
      <w:pPr>
        <w:spacing w:after="0" w:line="160" w:lineRule="exact"/>
        <w:rPr>
          <w:sz w:val="20"/>
          <w:szCs w:val="20"/>
          <w:color w:val="auto"/>
        </w:rPr>
      </w:pPr>
    </w:p>
    <w:p>
      <w:pPr>
        <w:ind w:right="40" w:firstLine="1304"/>
        <w:spacing w:after="0" w:line="253" w:lineRule="auto"/>
        <w:tabs>
          <w:tab w:leader="none" w:pos="17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and Payment for the Stock. </w:t>
      </w:r>
      <w:r>
        <w:rPr>
          <w:rFonts w:ascii="Times New Roman" w:cs="Times New Roman" w:eastAsia="Times New Roman" w:hAnsi="Times New Roman"/>
          <w:sz w:val="18"/>
          <w:szCs w:val="18"/>
          <w:color w:val="auto"/>
        </w:rPr>
        <w:t>Delivery of and payment for the Firm Stock shall be made at 10:00 A.M., New York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on the third full business day following the date of this Agreement or at such other date or place as shall be determined by agreement between the Representatives and the Selling Stockholder. This date and time are sometimes referred to as the “</w:t>
      </w:r>
      <w:r>
        <w:rPr>
          <w:rFonts w:ascii="Times New Roman" w:cs="Times New Roman" w:eastAsia="Times New Roman" w:hAnsi="Times New Roman"/>
          <w:sz w:val="18"/>
          <w:szCs w:val="18"/>
          <w:b w:val="1"/>
          <w:bCs w:val="1"/>
          <w:i w:val="1"/>
          <w:iCs w:val="1"/>
          <w:color w:val="auto"/>
        </w:rPr>
        <w:t>Initial Delivery Date</w:t>
      </w:r>
      <w:r>
        <w:rPr>
          <w:rFonts w:ascii="Times New Roman" w:cs="Times New Roman" w:eastAsia="Times New Roman" w:hAnsi="Times New Roman"/>
          <w:sz w:val="18"/>
          <w:szCs w:val="18"/>
          <w:color w:val="auto"/>
        </w:rPr>
        <w:t>”. Delivery of the Firm Stock shall be made to the Representatives for the account of each Underwriter against payment by the several Underwriters through the Representatives and of the aggregate purchase price of the Firm Stock being sold by the Selling Stockholder to or upon the order of the Selling Stockholder of the purchase price by wire transfer in immediately available funds to the accounts specified by the Selling Stockholder. Time shall be of the essence, and delivery at the time and place specified pursuant to this Agreement is a further condition of the obligation of each Underwriter hereunder. The Selling Stockholder shall deliver the Firm Stock through the facilities of DTC unless the Representatives shall otherwise instruct. In addition, subject to the sale of the Firm Stock by the Selling Stockholder to the Underwriters in compliance with the terms of this Agreement, payment of the aggregate purchase price of the Repurchase Shares shall be made by the Company to the Underwriters in immediately available funds to an account specified by the Representatives, against delivery of such Repurchase Shares for the account of the Company at the Initial Delivery Date.</w:t>
      </w:r>
    </w:p>
    <w:p>
      <w:pPr>
        <w:spacing w:after="0" w:line="194"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option granted in Section 3 will expire 30 days after the date of this Agreement and may be exercised in whole or from time to time in part by written notice being given to the Selling Stockholder by the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date falls on a day that is not a business day, the option granted in Section 3 will expire on the next succeeding business day. Such notice shall set forth the aggregate number of shares of Option Stock as to which the option is being exercised, the names in which the shares of Option Stock are to be registered, the denominations in which the shares of Option Stock are to be issued and the date and time, as determined by the Representatives, when the shares of Option Stock are to be delivered;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date and time shall not be earlier than the Initial Delivery Date nor earlier than the second business day after the date on which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been exercised nor later than the fifth business day after the date on which the option shall have been exercised. Each date and time the shares of Option Stock are delivered is sometimes referred to as an “</w:t>
      </w:r>
      <w:r>
        <w:rPr>
          <w:rFonts w:ascii="Times New Roman" w:cs="Times New Roman" w:eastAsia="Times New Roman" w:hAnsi="Times New Roman"/>
          <w:sz w:val="18"/>
          <w:szCs w:val="18"/>
          <w:b w:val="1"/>
          <w:bCs w:val="1"/>
          <w:i w:val="1"/>
          <w:iCs w:val="1"/>
          <w:color w:val="auto"/>
        </w:rPr>
        <w:t>Option Stock Delivery Date</w:t>
      </w:r>
      <w:r>
        <w:rPr>
          <w:rFonts w:ascii="Times New Roman" w:cs="Times New Roman" w:eastAsia="Times New Roman" w:hAnsi="Times New Roman"/>
          <w:sz w:val="18"/>
          <w:szCs w:val="18"/>
          <w:color w:val="auto"/>
        </w:rPr>
        <w:t>”, and the Initial Delivery Date and any Option Stock Delivery Date are sometimes each referred to as a “</w:t>
      </w:r>
      <w:r>
        <w:rPr>
          <w:rFonts w:ascii="Times New Roman" w:cs="Times New Roman" w:eastAsia="Times New Roman" w:hAnsi="Times New Roman"/>
          <w:sz w:val="18"/>
          <w:szCs w:val="18"/>
          <w:b w:val="1"/>
          <w:bCs w:val="1"/>
          <w:i w:val="1"/>
          <w:iCs w:val="1"/>
          <w:color w:val="auto"/>
        </w:rPr>
        <w:t>Delivery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500" w:firstLine="1296"/>
        <w:spacing w:after="0" w:line="282" w:lineRule="auto"/>
        <w:rPr>
          <w:sz w:val="20"/>
          <w:szCs w:val="20"/>
          <w:color w:val="auto"/>
        </w:rPr>
      </w:pPr>
      <w:r>
        <w:rPr>
          <w:rFonts w:ascii="Times New Roman" w:cs="Times New Roman" w:eastAsia="Times New Roman" w:hAnsi="Times New Roman"/>
          <w:sz w:val="18"/>
          <w:szCs w:val="18"/>
          <w:color w:val="auto"/>
        </w:rPr>
        <w:t>Delivery of the Option Stock by the Selling Stockholder and payment for the Option Stock by the several Underwriters through the Representatives shall be made at 10:00 A.M., New York City time, on the date specified in the corresponding notice described in the preceding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3" w:name="page24"/>
    <w:bookmarkEnd w:id="23"/>
    <w:p>
      <w:pPr>
        <w:ind w:right="20"/>
        <w:spacing w:after="0" w:line="255" w:lineRule="auto"/>
        <w:rPr>
          <w:sz w:val="20"/>
          <w:szCs w:val="20"/>
          <w:color w:val="auto"/>
        </w:rPr>
      </w:pPr>
      <w:r>
        <w:rPr>
          <w:rFonts w:ascii="Times New Roman" w:cs="Times New Roman" w:eastAsia="Times New Roman" w:hAnsi="Times New Roman"/>
          <w:sz w:val="18"/>
          <w:szCs w:val="18"/>
          <w:color w:val="auto"/>
        </w:rPr>
        <w:t>paragraph or at such other date or place as shall be determined by agreement between the Representatives and the Selling Stockholder. On each Option Stock Delivery Date, the Selling Stockholder shall deliver, or cause to be delivered, the Option Stock, to the Representatives for the account of each Underwriter, against payment by the several Underwriters through the Representatives and of the respective aggregate purchase prices of the Option Stock being sold by the Selling Stockholder to or upon the order of the Selling Stockholder of the purchase price by wire transfer in immediately available funds to the accounts specified by the Selling Stockholder. Time shall be of the essence, and delivery at the time and place specified pursuant to this Agreement is a further condition of the obligation of each Underwriter hereunder. The Selling Stockholder shall deliver the Option Stock through the facilities of DTC unless the Representatives shall otherwise instruct.</w:t>
      </w:r>
    </w:p>
    <w:p>
      <w:pPr>
        <w:spacing w:after="0" w:line="187" w:lineRule="exact"/>
        <w:rPr>
          <w:sz w:val="20"/>
          <w:szCs w:val="20"/>
          <w:color w:val="auto"/>
        </w:rPr>
      </w:pPr>
    </w:p>
    <w:p>
      <w:pPr>
        <w:ind w:left="1700" w:hanging="396"/>
        <w:spacing w:after="0"/>
        <w:tabs>
          <w:tab w:leader="none" w:pos="1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Agreements of the Company and the Underwriters</w:t>
      </w:r>
      <w:r>
        <w:rPr>
          <w:rFonts w:ascii="Times New Roman" w:cs="Times New Roman" w:eastAsia="Times New Roman" w:hAnsi="Times New Roman"/>
          <w:sz w:val="18"/>
          <w:szCs w:val="18"/>
          <w:color w:val="auto"/>
        </w:rPr>
        <w:t>. (a) The Company agrees:</w:t>
      </w:r>
    </w:p>
    <w:p>
      <w:pPr>
        <w:spacing w:after="0" w:line="227" w:lineRule="exact"/>
        <w:rPr>
          <w:sz w:val="20"/>
          <w:szCs w:val="20"/>
          <w:color w:val="auto"/>
        </w:rPr>
      </w:pPr>
    </w:p>
    <w:p>
      <w:pPr>
        <w:ind w:left="660" w:firstLine="644"/>
        <w:spacing w:after="0" w:line="253" w:lineRule="auto"/>
        <w:tabs>
          <w:tab w:leader="none" w:pos="20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upon reasonable written request; to advise the Representatives, promptly after it receives notice thereof, of the issuance by the Commission of any stop order or of any order preventing or suspending the use of the Registration Statement, the Prospectus or any Issuer Free Writing Prospectus, of the suspension of the qualification of the Stock for offering or sale in any jurisdiction, of the initiation or threatening of any proceeding or examination for any such purpose or pursuant to Section 8A of the Securities Act, or any notice from the Commission objecting to the use of the form of Registration Statement or any post-effective amendment thereto,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Registration Statement, the Prospectus or any Issuer Free Writing Prospectus or suspending any such qualification, to use promptly its reasonable best efforts to obtain its withdrawal of such order.</w:t>
      </w:r>
    </w:p>
    <w:p>
      <w:pPr>
        <w:spacing w:after="0" w:line="187" w:lineRule="exact"/>
        <w:rPr>
          <w:rFonts w:ascii="Times New Roman" w:cs="Times New Roman" w:eastAsia="Times New Roman" w:hAnsi="Times New Roman"/>
          <w:sz w:val="18"/>
          <w:szCs w:val="18"/>
          <w:color w:val="auto"/>
        </w:rPr>
      </w:pPr>
    </w:p>
    <w:p>
      <w:pPr>
        <w:ind w:left="660" w:firstLine="644"/>
        <w:spacing w:after="0" w:line="266" w:lineRule="auto"/>
        <w:tabs>
          <w:tab w:leader="none" w:pos="21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to furnish promptly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175" w:lineRule="exact"/>
        <w:rPr>
          <w:rFonts w:ascii="Times New Roman" w:cs="Times New Roman" w:eastAsia="Times New Roman" w:hAnsi="Times New Roman"/>
          <w:sz w:val="18"/>
          <w:szCs w:val="18"/>
          <w:color w:val="auto"/>
        </w:rPr>
      </w:pPr>
    </w:p>
    <w:p>
      <w:pPr>
        <w:ind w:left="660" w:right="220" w:firstLine="644"/>
        <w:spacing w:after="0" w:line="261" w:lineRule="auto"/>
        <w:tabs>
          <w:tab w:leader="none" w:pos="2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upon written request,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share earnings), (B) each Preliminary Prospectus,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ind w:right="40"/>
        <w:spacing w:after="0" w:line="253" w:lineRule="auto"/>
        <w:rPr>
          <w:sz w:val="20"/>
          <w:szCs w:val="20"/>
          <w:color w:val="auto"/>
        </w:rPr>
      </w:pPr>
      <w:r>
        <w:rPr>
          <w:rFonts w:ascii="Times New Roman" w:cs="Times New Roman" w:eastAsia="Times New Roman" w:hAnsi="Times New Roman"/>
          <w:sz w:val="18"/>
          <w:szCs w:val="18"/>
          <w:color w:val="auto"/>
        </w:rPr>
        <w:t>Prospectus and any amended or supplemented Prospectus, (C) each Issuer Free Writing Prospectus, and (D) any document incorporated by reference in any Preliminary Prospectus or the Prospectus; and, if the delivery of a prospectus is required at any time after the date hereof in connection with the offering or sale of the Stock and if at such time any events shall have occurred as a result of which the Pricing Disclosure Package or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or to file under the Exchange Act any document incorporated by reference in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194" w:lineRule="exact"/>
        <w:rPr>
          <w:sz w:val="20"/>
          <w:szCs w:val="20"/>
          <w:color w:val="auto"/>
        </w:rPr>
      </w:pPr>
    </w:p>
    <w:p>
      <w:pPr>
        <w:ind w:right="260" w:firstLine="644"/>
        <w:spacing w:after="0" w:line="266" w:lineRule="auto"/>
        <w:tabs>
          <w:tab w:leader="none" w:pos="140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as promptly as practicable with the Commission any amendment or supplement to the Registration Statement or the Prospectus that may, in the judgment of the Company, be required by the Securities Act or requested by the Commission in connection with the offering or sale of the Stock.</w:t>
      </w:r>
    </w:p>
    <w:p>
      <w:pPr>
        <w:spacing w:after="0" w:line="175" w:lineRule="exact"/>
        <w:rPr>
          <w:rFonts w:ascii="Times New Roman" w:cs="Times New Roman" w:eastAsia="Times New Roman" w:hAnsi="Times New Roman"/>
          <w:sz w:val="18"/>
          <w:szCs w:val="18"/>
          <w:color w:val="auto"/>
        </w:rPr>
      </w:pPr>
    </w:p>
    <w:p>
      <w:pPr>
        <w:ind w:firstLine="644"/>
        <w:spacing w:after="0" w:line="261" w:lineRule="auto"/>
        <w:tabs>
          <w:tab w:leader="none" w:pos="14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Representatives and counsel for the Underwriters and obtain the consent of the Representatives to the filing (such consent not to be unreasonably withheld, conditioned or delayed).</w:t>
      </w:r>
    </w:p>
    <w:p>
      <w:pPr>
        <w:spacing w:after="0" w:line="179" w:lineRule="exact"/>
        <w:rPr>
          <w:rFonts w:ascii="Times New Roman" w:cs="Times New Roman" w:eastAsia="Times New Roman" w:hAnsi="Times New Roman"/>
          <w:sz w:val="18"/>
          <w:szCs w:val="18"/>
          <w:color w:val="auto"/>
        </w:rPr>
      </w:pPr>
    </w:p>
    <w:p>
      <w:pPr>
        <w:ind w:right="260" w:firstLine="644"/>
        <w:spacing w:after="0" w:line="282" w:lineRule="auto"/>
        <w:tabs>
          <w:tab w:leader="none" w:pos="140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make any offer relating to the Stock that would constitute an Issuer Free Writing Prospectus without the prior written consent of the Representatives (such consent not to be unreasonably withheld, conditioned or delayed).</w:t>
      </w:r>
    </w:p>
    <w:p>
      <w:pPr>
        <w:spacing w:after="0" w:line="161" w:lineRule="exact"/>
        <w:rPr>
          <w:rFonts w:ascii="Times New Roman" w:cs="Times New Roman" w:eastAsia="Times New Roman" w:hAnsi="Times New Roman"/>
          <w:sz w:val="18"/>
          <w:szCs w:val="18"/>
          <w:color w:val="auto"/>
        </w:rPr>
      </w:pPr>
    </w:p>
    <w:p>
      <w:pPr>
        <w:ind w:right="100" w:firstLine="644"/>
        <w:spacing w:after="0" w:line="254" w:lineRule="auto"/>
        <w:tabs>
          <w:tab w:leader="none" w:pos="14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5" w:name="page26"/>
    <w:bookmarkEnd w:id="25"/>
    <w:p>
      <w:pPr>
        <w:ind w:left="-460" w:right="40" w:firstLine="644"/>
        <w:spacing w:after="0" w:line="258" w:lineRule="auto"/>
        <w:tabs>
          <w:tab w:leader="none" w:pos="9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deliver to the Representatives as soon as practicable, but in any event not later than 16 months after the effective date of the registration statement (as defined in Rule 158(c) under the Act), an earnings statement of the Company and its subsidiaries (which need not be audited) complying with Section 11(a) of the Securities Act and the rules and regulations thereunder (including, at the option of the Company, Rule 158), which may be satisfied by filing on the Commission’s Electronic Data Gathering Analysis and Retrieval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system.</w:t>
      </w:r>
    </w:p>
    <w:p>
      <w:pPr>
        <w:spacing w:after="0" w:line="183" w:lineRule="exact"/>
        <w:rPr>
          <w:rFonts w:ascii="Times New Roman" w:cs="Times New Roman" w:eastAsia="Times New Roman" w:hAnsi="Times New Roman"/>
          <w:sz w:val="18"/>
          <w:szCs w:val="18"/>
          <w:color w:val="auto"/>
        </w:rPr>
      </w:pPr>
    </w:p>
    <w:p>
      <w:pPr>
        <w:ind w:left="-460" w:right="80" w:firstLine="644"/>
        <w:spacing w:after="0" w:line="256" w:lineRule="auto"/>
        <w:tabs>
          <w:tab w:leader="none" w:pos="9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from time to time to take such action as the Representatives may reasonably request to use reasonable best efforts to qualify the Stock for offering and sale under the securities or Blue Sky laws of such other jurisdictions as the Representatives may reasonably request and to comply with such laws so as to permit the continuance of sales and dealings therein in such jurisdictions for as long as may be necessary to complete the distribution of the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connection therewith the Company shall not be required to (A) qualify as a foreign corporation in any jurisdiction in which it would not otherwise be required to so qualify, (B) file a general consent to service of process in any such jurisdiction, or (C) subject itself to taxation in any jurisdiction in which it would not otherwise be subject.</w:t>
      </w:r>
    </w:p>
    <w:p>
      <w:pPr>
        <w:spacing w:after="0" w:line="191" w:lineRule="exact"/>
        <w:rPr>
          <w:rFonts w:ascii="Times New Roman" w:cs="Times New Roman" w:eastAsia="Times New Roman" w:hAnsi="Times New Roman"/>
          <w:sz w:val="18"/>
          <w:szCs w:val="18"/>
          <w:color w:val="auto"/>
        </w:rPr>
      </w:pPr>
    </w:p>
    <w:p>
      <w:pPr>
        <w:ind w:left="-460" w:firstLine="644"/>
        <w:spacing w:after="0" w:line="245" w:lineRule="auto"/>
        <w:tabs>
          <w:tab w:leader="none" w:pos="9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commencing on the date hereof and ending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the Prospectus (the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not to, directly or indirectly, (A) offer for sale, sell, pledge, lend or otherwise dispose of (or enter into any transaction or device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or could be reasonably expected to, result in the disposition by any person of) any shares of Common Stock or securities convertible into or exercisable or exchangeable for Common Stock (other than (i) [reserved], (ii) Common Stock, options to purchase Common Stock, restricted stock, restricted stock units and any other equity incentive compensation issued pursuant to employee benefit plans, qualified stock option plans or other employee compensation plans described in the Registration Statement, the Preliminary Prospectus and the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(iii) the issuance by the Company of shares of Common Stock upon the conversion or exchange of convertible or exchangeable securities outstanding as of the date hereof, including any shares of Common Stock issued upon the exercise of any warrants issued by the Company and any transfers of shares of Common Stock to the Company upon a “net” or “cashless” exercise of any warrants issued by the Company and (iv) the issuance by the Company of shares of Common Stock or securities convertible into shares of Common Stock in connection with an acquisition or business combination, provided that the aggregate number of shares of Common Stock issued pursuant to this clause (v) during the Lock-Up Period shall not exceed 5% of the total number of shares of Common Stock issued and outstanding on the closing date of the offering, and provided further that, in the case of any issuance pursuant to this clause (v), any recipient of shares of Common Stock shall have executed and delivered to the Representatives a lock-up letter, (B) enter into any swap or other derivatives transaction that transfers to another, in whole or in part, any of the economic benefits or risks of</w:t>
      </w: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26" w:name="page27"/>
    <w:bookmarkEnd w:id="26"/>
    <w:p>
      <w:pPr>
        <w:ind w:right="100"/>
        <w:spacing w:after="0" w:line="255" w:lineRule="auto"/>
        <w:rPr>
          <w:sz w:val="20"/>
          <w:szCs w:val="20"/>
          <w:color w:val="auto"/>
        </w:rPr>
      </w:pPr>
      <w:r>
        <w:rPr>
          <w:rFonts w:ascii="Times New Roman" w:cs="Times New Roman" w:eastAsia="Times New Roman" w:hAnsi="Times New Roman"/>
          <w:sz w:val="18"/>
          <w:szCs w:val="18"/>
          <w:color w:val="auto"/>
        </w:rPr>
        <w:t>ownership of such shares of Common Stock, whether any such transaction described in clause (A) or (B) above is to be settled by delivery of Common Stock or other securities, in cash or otherwise, (C) publicly file or cause to be publicly filed a registration statement, including any amendments thereto, with respect to the registration of any shares of Common Stock or securities convertible, exercisable or exchangeable into Common Stock or any other securities of the Company (other than any registration statement on Form S-8), or (D) publicly disclose the intention to do any of the foregoing, in each case, without the prior written consent of the Representatives on behalf of the Underwriters, and to cause each officer and director of the Company set forth on Schedule III hereto and the Selling Stockholder to furnish to the Representatives, prior to the Initial Delivery Date, a letter or letters, substantially in the form of Exhibit A hereto (the “</w:t>
      </w:r>
      <w:r>
        <w:rPr>
          <w:rFonts w:ascii="Times New Roman" w:cs="Times New Roman" w:eastAsia="Times New Roman" w:hAnsi="Times New Roman"/>
          <w:sz w:val="18"/>
          <w:szCs w:val="18"/>
          <w:b w:val="1"/>
          <w:bCs w:val="1"/>
          <w:i w:val="1"/>
          <w:iCs w:val="1"/>
          <w:color w:val="auto"/>
        </w:rPr>
        <w:t>Lock-Up Agreements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400" w:hanging="756"/>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400" w:hanging="756"/>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400" w:hanging="756"/>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80" w:firstLine="644"/>
        <w:spacing w:after="0" w:line="281" w:lineRule="auto"/>
        <w:tabs>
          <w:tab w:leader="none" w:pos="140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 or give irrevocable instructions for the payment of such fee pursuant to Rule 3a(c) of the Commission’s Informal and Other Procedures (16 CFR 202.3a).</w:t>
      </w:r>
    </w:p>
    <w:p>
      <w:pPr>
        <w:spacing w:after="0" w:line="164" w:lineRule="exact"/>
        <w:rPr>
          <w:rFonts w:ascii="Times New Roman" w:cs="Times New Roman" w:eastAsia="Times New Roman" w:hAnsi="Times New Roman"/>
          <w:sz w:val="17"/>
          <w:szCs w:val="17"/>
          <w:color w:val="auto"/>
        </w:rPr>
      </w:pPr>
    </w:p>
    <w:p>
      <w:pPr>
        <w:ind w:right="20" w:firstLine="644"/>
        <w:spacing w:after="0" w:line="266" w:lineRule="auto"/>
        <w:tabs>
          <w:tab w:leader="none" w:pos="13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Representatives if the Company ceases to be an Emerging Growth Company at any time prior to the time when a prospectus relating to sale of the Stock by the Selling Stockholder is not required by the Securities Act to be delivered (whether physically or through compliance with Rule 172 under the Securities Act or any similar rule).</w:t>
      </w:r>
    </w:p>
    <w:p>
      <w:pPr>
        <w:spacing w:after="0" w:line="175" w:lineRule="exact"/>
        <w:rPr>
          <w:rFonts w:ascii="Times New Roman" w:cs="Times New Roman" w:eastAsia="Times New Roman" w:hAnsi="Times New Roman"/>
          <w:sz w:val="18"/>
          <w:szCs w:val="18"/>
          <w:color w:val="auto"/>
        </w:rPr>
      </w:pPr>
    </w:p>
    <w:p>
      <w:pPr>
        <w:ind w:left="1400" w:hanging="756"/>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44"/>
        <w:spacing w:after="0" w:line="266" w:lineRule="auto"/>
        <w:tabs>
          <w:tab w:leader="none" w:pos="14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175" w:lineRule="exact"/>
        <w:rPr>
          <w:rFonts w:ascii="Times New Roman" w:cs="Times New Roman" w:eastAsia="Times New Roman" w:hAnsi="Times New Roman"/>
          <w:sz w:val="18"/>
          <w:szCs w:val="18"/>
          <w:color w:val="auto"/>
        </w:rPr>
      </w:pPr>
    </w:p>
    <w:p>
      <w:pPr>
        <w:jc w:val="both"/>
        <w:ind w:right="100" w:firstLine="644"/>
        <w:spacing w:after="0" w:line="289" w:lineRule="auto"/>
        <w:tabs>
          <w:tab w:leader="none" w:pos="136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deliver to each Underwriter (or its agent), on or prior to the date of execution of this Agreement, a properly completed and executed Certification Regarding Beneficial Owners of Legal Entity Customers or applicable exemption certificate (the “</w:t>
      </w:r>
      <w:r>
        <w:rPr>
          <w:rFonts w:ascii="Times New Roman" w:cs="Times New Roman" w:eastAsia="Times New Roman" w:hAnsi="Times New Roman"/>
          <w:sz w:val="17"/>
          <w:szCs w:val="17"/>
          <w:b w:val="1"/>
          <w:bCs w:val="1"/>
          <w:i w:val="1"/>
          <w:iCs w:val="1"/>
          <w:color w:val="auto"/>
        </w:rPr>
        <w:t>FinCEN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Certification</w:t>
      </w:r>
      <w:r>
        <w:rPr>
          <w:rFonts w:ascii="Times New Roman" w:cs="Times New Roman" w:eastAsia="Times New Roman" w:hAnsi="Times New Roman"/>
          <w:sz w:val="17"/>
          <w:szCs w:val="17"/>
          <w:color w:val="auto"/>
        </w:rPr>
        <w:t>”), together with copies of identifying documentation, of the Company and the Company undertakes to provide such additional</w:t>
      </w:r>
    </w:p>
    <w:p>
      <w:pPr>
        <w:spacing w:after="0" w:line="15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supporting documentation as each Underwriter may reasonably request in connection with the verification of the FinCEN Certification.</w:t>
      </w:r>
    </w:p>
    <w:p>
      <w:pPr>
        <w:spacing w:after="0" w:line="225" w:lineRule="exact"/>
        <w:rPr>
          <w:sz w:val="20"/>
          <w:szCs w:val="20"/>
          <w:color w:val="auto"/>
        </w:rPr>
      </w:pPr>
    </w:p>
    <w:p>
      <w:pPr>
        <w:ind w:firstLine="1304"/>
        <w:spacing w:after="0" w:line="256" w:lineRule="auto"/>
        <w:tabs>
          <w:tab w:leader="none" w:pos="2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Times New Roman" w:cs="Times New Roman" w:eastAsia="Times New Roman" w:hAnsi="Times New Roman"/>
          <w:sz w:val="18"/>
          <w:szCs w:val="18"/>
          <w:b w:val="1"/>
          <w:bCs w:val="1"/>
          <w:i w:val="1"/>
          <w:iCs w:val="1"/>
          <w:color w:val="auto"/>
        </w:rPr>
        <w:t>Permitted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 no such consent shall be required with respect to any such issuer information contained in any document filed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85" w:lineRule="exact"/>
        <w:rPr>
          <w:sz w:val="20"/>
          <w:szCs w:val="20"/>
          <w:color w:val="auto"/>
        </w:rPr>
      </w:pPr>
    </w:p>
    <w:p>
      <w:pPr>
        <w:ind w:left="1700" w:hanging="396"/>
        <w:spacing w:after="0"/>
        <w:tabs>
          <w:tab w:leader="none" w:pos="1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Agreements of the Selling Stockholder</w:t>
      </w:r>
      <w:r>
        <w:rPr>
          <w:rFonts w:ascii="Times New Roman" w:cs="Times New Roman" w:eastAsia="Times New Roman" w:hAnsi="Times New Roman"/>
          <w:sz w:val="18"/>
          <w:szCs w:val="18"/>
          <w:color w:val="auto"/>
        </w:rPr>
        <w:t>. The Selling Stockholder agrees:</w:t>
      </w:r>
    </w:p>
    <w:p>
      <w:pPr>
        <w:spacing w:after="0" w:line="227" w:lineRule="exact"/>
        <w:rPr>
          <w:sz w:val="20"/>
          <w:szCs w:val="20"/>
          <w:color w:val="auto"/>
        </w:rPr>
      </w:pPr>
    </w:p>
    <w:p>
      <w:pPr>
        <w:ind w:right="100" w:firstLine="1304"/>
        <w:spacing w:after="0" w:line="282" w:lineRule="auto"/>
        <w:tabs>
          <w:tab w:leader="none" w:pos="21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Stockholder nor any person acting on behalf of the Selling Stockholder (other than, if applicable, the Company and the Underwriters) shall use or refer to any “free writing prospectus” (as defined in Rule 405 under the Securities Act), relating to the Stock;</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to the Representatives prior to the Initial Delivery Date a properly completed and executed United States Treasury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 Form W-9.</w:t>
      </w:r>
    </w:p>
    <w:p>
      <w:pPr>
        <w:spacing w:after="0" w:line="206" w:lineRule="exact"/>
        <w:rPr>
          <w:rFonts w:ascii="Times New Roman" w:cs="Times New Roman" w:eastAsia="Times New Roman" w:hAnsi="Times New Roman"/>
          <w:sz w:val="18"/>
          <w:szCs w:val="18"/>
          <w:color w:val="auto"/>
        </w:rPr>
      </w:pPr>
    </w:p>
    <w:p>
      <w:pPr>
        <w:jc w:val="both"/>
        <w:ind w:right="100" w:firstLine="1304"/>
        <w:spacing w:after="0" w:line="266" w:lineRule="auto"/>
        <w:tabs>
          <w:tab w:leader="none" w:pos="21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will do and perform all things required or necessary to be done and performed under this Agreement by it prior to each Delivery Date, and to satisfy all conditions precedent to the Underwriters’ obligations hereunder to purchase the Stock.</w:t>
      </w:r>
    </w:p>
    <w:p>
      <w:pPr>
        <w:spacing w:after="0" w:line="160" w:lineRule="exact"/>
        <w:rPr>
          <w:sz w:val="20"/>
          <w:szCs w:val="20"/>
          <w:color w:val="auto"/>
        </w:rPr>
      </w:pPr>
    </w:p>
    <w:p>
      <w:pPr>
        <w:ind w:right="100" w:firstLine="1304"/>
        <w:spacing w:after="0" w:line="255" w:lineRule="auto"/>
        <w:tabs>
          <w:tab w:leader="none" w:pos="17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The Company agrees, whether or not the transactions contemplated by this Agreement are consummated or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is terminated, to pay all expenses, costs, fees and taxes incident to and in connection with (a) the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or any document incorporated by reference therein, all as provided in this Agreement; (d) the production and distribution of this Agreement, any supplemental agreement</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8" w:name="page29"/>
    <w:bookmarkEnd w:id="28"/>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among Underwriters, and any other related documents in connection with the offering, purchase, sale and delivery of the Stock; (e) any required review by the FINRA of the terms of sale of the Stock (including related reasonable and documented fees and expenses of counsel to the Underwriters in an amount that is not greater than $15,000); (f) the qualification of the Stock under the securities laws of the several jurisdictions as provided in Section 5(a)(ix) and the preparation, printing and distribution of a Blue Sky Memorandum (including related reasonable and documented fees and expenses of counsel to the Underwriters); (g) the preparation, printing and distribution of one or more versions of the Preliminary Prospectus and the Prospectus for distribution in Canada, including in the form of a Canadian “wrapper” (including related reasonable and documented fees and expenses of Canadian counsel to the Underwriters); (h) the investor presentations on any “road show” or any Testing-the-Waters Communication, undertaken in connection with the marketing of the Stock, including, without limitation, expenses associated with any electronic road show, travel and lodging expenses of the representatives and officers of the Company and 50% of the cost of any aircraft chartered in connection with any road show (the remaining half of the cost to be borne by the Underwriters); and (i) all other costs and expenses incident to the performance of the obligations of the Company and the Selling Stockholder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provided in this Section 7 and in Section 11, the Underwriters shall pay their own costs and expenses, including the costs and expenses of their counsel, any transfer taxes on the Stock which they may sell and the expenses of advertising any offering of the Stock made by the Underwriters.</w:t>
      </w:r>
    </w:p>
    <w:p>
      <w:pPr>
        <w:spacing w:after="0" w:line="185" w:lineRule="exact"/>
        <w:rPr>
          <w:sz w:val="20"/>
          <w:szCs w:val="20"/>
          <w:color w:val="auto"/>
        </w:rPr>
      </w:pPr>
    </w:p>
    <w:p>
      <w:pPr>
        <w:ind w:right="340" w:firstLine="1304"/>
        <w:spacing w:after="0" w:line="261" w:lineRule="auto"/>
        <w:tabs>
          <w:tab w:leader="none" w:pos="170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Underwriters’ Obligations</w:t>
      </w:r>
      <w:r>
        <w:rPr>
          <w:rFonts w:ascii="Times New Roman" w:cs="Times New Roman" w:eastAsia="Times New Roman" w:hAnsi="Times New Roman"/>
          <w:sz w:val="18"/>
          <w:szCs w:val="18"/>
          <w:color w:val="auto"/>
        </w:rPr>
        <w:t>. The respective obligations of the Underwriters hereunder are subject to the accuracy,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made and on each Delivery Date, of the representations and warranties of the Company and the Selling Stockholder contained herein, to the performance by the Company and the Selling Stockholder of their respective obligations hereunder, and to each of the following additional terms and conditions:</w:t>
      </w:r>
    </w:p>
    <w:p>
      <w:pPr>
        <w:spacing w:after="0" w:line="182" w:lineRule="exact"/>
        <w:rPr>
          <w:sz w:val="20"/>
          <w:szCs w:val="20"/>
          <w:color w:val="auto"/>
        </w:rPr>
      </w:pPr>
    </w:p>
    <w:p>
      <w:pPr>
        <w:ind w:left="660" w:firstLine="644"/>
        <w:spacing w:after="0" w:line="254" w:lineRule="auto"/>
        <w:tabs>
          <w:tab w:leader="none" w:pos="21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or pursuant to Section 8A of the Securities Act shall have been initiated or, to the knowledge of the Company,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9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right="80" w:firstLine="644"/>
        <w:spacing w:after="0" w:line="312" w:lineRule="auto"/>
        <w:tabs>
          <w:tab w:leader="none" w:pos="218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Paul, Weiss, Rifkind, Wharton &amp; Garrison LLP shall have furnished to the Representatives its written opinion, as counsel to the Company, addressed to the Underwriters and dated such Delivery Date, in form and substance reasonably satisfactory to the Representatives.</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9" w:name="page30"/>
    <w:bookmarkEnd w:id="29"/>
    <w:p>
      <w:pPr>
        <w:ind w:firstLine="644"/>
        <w:spacing w:after="0" w:line="266" w:lineRule="auto"/>
        <w:tabs>
          <w:tab w:leader="none" w:pos="15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Hogan Lovells US LLP shall have furnished to the Representatives its written opinion, as special U.S. federal aviation regulatory counsel to the Company, addressed to the Underwriters and dated such Delivery Date, in form and substance reasonably satisfactory to the Representatives.</w:t>
      </w:r>
    </w:p>
    <w:p>
      <w:pPr>
        <w:spacing w:after="0" w:line="175" w:lineRule="exact"/>
        <w:rPr>
          <w:rFonts w:ascii="Times New Roman" w:cs="Times New Roman" w:eastAsia="Times New Roman" w:hAnsi="Times New Roman"/>
          <w:sz w:val="18"/>
          <w:szCs w:val="18"/>
          <w:color w:val="auto"/>
        </w:rPr>
      </w:pPr>
    </w:p>
    <w:p>
      <w:pPr>
        <w:ind w:right="320" w:firstLine="644"/>
        <w:spacing w:after="0" w:line="312" w:lineRule="auto"/>
        <w:tabs>
          <w:tab w:leader="none" w:pos="152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counsel for the Selling Stockholder shall have furnished to the Representatives its written opinion, as counsel to the Selling Stockholder, addressed to the Underwriters and dated such Delivery Date, in form and substance satisfactory to the Representatives.</w:t>
      </w:r>
    </w:p>
    <w:p>
      <w:pPr>
        <w:spacing w:after="0" w:line="139" w:lineRule="exact"/>
        <w:rPr>
          <w:rFonts w:ascii="Times New Roman" w:cs="Times New Roman" w:eastAsia="Times New Roman" w:hAnsi="Times New Roman"/>
          <w:sz w:val="17"/>
          <w:szCs w:val="17"/>
          <w:color w:val="auto"/>
        </w:rPr>
      </w:pPr>
    </w:p>
    <w:p>
      <w:pPr>
        <w:ind w:right="80" w:firstLine="644"/>
        <w:spacing w:after="0" w:line="261" w:lineRule="auto"/>
        <w:tabs>
          <w:tab w:leader="none" w:pos="15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Davis Polk &amp; Wardwell LLP, counsel for the Underwriters, such opinion and negative assurance letter, dated such Delivery Date, with respect to the sale of the Stock,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ind w:right="160" w:firstLine="644"/>
        <w:spacing w:after="0" w:line="254" w:lineRule="auto"/>
        <w:tabs>
          <w:tab w:leader="none" w:pos="15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execution of this Agreement, the Representatives shall have received from KPMG LLP a letter, in form and substance reasonably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business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91" w:lineRule="exact"/>
        <w:rPr>
          <w:rFonts w:ascii="Times New Roman" w:cs="Times New Roman" w:eastAsia="Times New Roman" w:hAnsi="Times New Roman"/>
          <w:sz w:val="18"/>
          <w:szCs w:val="18"/>
          <w:color w:val="auto"/>
        </w:rPr>
      </w:pPr>
    </w:p>
    <w:p>
      <w:pPr>
        <w:ind w:firstLine="644"/>
        <w:spacing w:after="0" w:line="272" w:lineRule="auto"/>
        <w:tabs>
          <w:tab w:leader="none" w:pos="153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letter of KPMG LLP referred to in the preceding paragraph and delivered to the Representatives concurrently with the execution of this Agreement (the “</w:t>
      </w:r>
      <w:r>
        <w:rPr>
          <w:rFonts w:ascii="Times New Roman" w:cs="Times New Roman" w:eastAsia="Times New Roman" w:hAnsi="Times New Roman"/>
          <w:sz w:val="17"/>
          <w:szCs w:val="17"/>
          <w:b w:val="1"/>
          <w:bCs w:val="1"/>
          <w:i w:val="1"/>
          <w:iCs w:val="1"/>
          <w:color w:val="auto"/>
        </w:rPr>
        <w:t>initial letter</w:t>
      </w:r>
      <w:r>
        <w:rPr>
          <w:rFonts w:ascii="Times New Roman" w:cs="Times New Roman" w:eastAsia="Times New Roman" w:hAnsi="Times New Roman"/>
          <w:sz w:val="17"/>
          <w:szCs w:val="17"/>
          <w:color w:val="auto"/>
        </w:rPr>
        <w:t>”), the Representatives shall have received from KPMG LLP a letter (the “</w:t>
      </w:r>
      <w:r>
        <w:rPr>
          <w:rFonts w:ascii="Times New Roman" w:cs="Times New Roman" w:eastAsia="Times New Roman" w:hAnsi="Times New Roman"/>
          <w:sz w:val="17"/>
          <w:szCs w:val="17"/>
          <w:b w:val="1"/>
          <w:bCs w:val="1"/>
          <w:i w:val="1"/>
          <w:iCs w:val="1"/>
          <w:color w:val="auto"/>
        </w:rPr>
        <w:t>bring-down letter</w:t>
      </w:r>
      <w:r>
        <w:rPr>
          <w:rFonts w:ascii="Times New Roman" w:cs="Times New Roman" w:eastAsia="Times New Roman" w:hAnsi="Times New Roman"/>
          <w:sz w:val="17"/>
          <w:szCs w:val="17"/>
          <w:color w:val="auto"/>
        </w:rPr>
        <w:t>”),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business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7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580" w:right="439" w:bottom="1440" w:gutter="0" w:footer="0" w:header="0"/>
        </w:sectPr>
      </w:pPr>
    </w:p>
    <w:bookmarkStart w:id="30" w:name="page31"/>
    <w:bookmarkEnd w:id="30"/>
    <w:p>
      <w:pPr>
        <w:ind w:left="-460" w:right="340" w:firstLine="644"/>
        <w:spacing w:after="0" w:line="266" w:lineRule="auto"/>
        <w:tabs>
          <w:tab w:leader="none" w:pos="11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Representatives a certificate, dated such Delivery Date, of its Chief Executive Officer or its Chief Financial Officer (solely in their capacities as such) as to such matters as the Representatives may reasonably request, including, without limitation, a statement:</w:t>
      </w:r>
    </w:p>
    <w:p>
      <w:pPr>
        <w:spacing w:after="0" w:line="175" w:lineRule="exact"/>
        <w:rPr>
          <w:rFonts w:ascii="Times New Roman" w:cs="Times New Roman" w:eastAsia="Times New Roman" w:hAnsi="Times New Roman"/>
          <w:sz w:val="18"/>
          <w:szCs w:val="18"/>
          <w:color w:val="auto"/>
        </w:rPr>
      </w:pPr>
    </w:p>
    <w:p>
      <w:pPr>
        <w:ind w:left="180" w:right="100" w:firstLine="652"/>
        <w:spacing w:after="0" w:line="266" w:lineRule="auto"/>
        <w:tabs>
          <w:tab w:leader="none" w:pos="140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75" w:lineRule="exact"/>
        <w:rPr>
          <w:rFonts w:ascii="Times New Roman" w:cs="Times New Roman" w:eastAsia="Times New Roman" w:hAnsi="Times New Roman"/>
          <w:sz w:val="18"/>
          <w:szCs w:val="18"/>
          <w:color w:val="auto"/>
        </w:rPr>
      </w:pPr>
    </w:p>
    <w:p>
      <w:pPr>
        <w:ind w:left="180" w:right="20" w:firstLine="652"/>
        <w:spacing w:after="0" w:line="261" w:lineRule="auto"/>
        <w:tabs>
          <w:tab w:leader="none" w:pos="135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stop order suspending the effectiveness of the Registration Statement has been issued; and no proceedings or examination for that purpose or pursuant to Section 8A of the Securities Act have been instituted or, to the knowledge of such officers, threatened and the Commission shall not have notified the Company of any objection to the use of the form of the Registration Statement or any post-effective amendment thereto;</w:t>
      </w:r>
    </w:p>
    <w:p>
      <w:pPr>
        <w:spacing w:after="0" w:line="177" w:lineRule="exact"/>
        <w:rPr>
          <w:rFonts w:ascii="Times New Roman" w:cs="Times New Roman" w:eastAsia="Times New Roman" w:hAnsi="Times New Roman"/>
          <w:sz w:val="18"/>
          <w:szCs w:val="18"/>
          <w:color w:val="auto"/>
        </w:rPr>
      </w:pPr>
    </w:p>
    <w:p>
      <w:pPr>
        <w:ind w:left="1420" w:hanging="588"/>
        <w:spacing w:after="0"/>
        <w:tabs>
          <w:tab w:leader="none" w:pos="14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effect of Section 8(j)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representation with respect to the judgment of the Representatives need be</w:t>
      </w:r>
    </w:p>
    <w:p>
      <w:pPr>
        <w:spacing w:after="0" w:line="40" w:lineRule="exact"/>
        <w:rPr>
          <w:rFonts w:ascii="Times New Roman" w:cs="Times New Roman" w:eastAsia="Times New Roman" w:hAnsi="Times New Roman"/>
          <w:sz w:val="17"/>
          <w:szCs w:val="17"/>
          <w:color w:val="auto"/>
        </w:rPr>
      </w:pPr>
    </w:p>
    <w:p>
      <w:pPr>
        <w:ind w:left="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p>
      <w:pPr>
        <w:ind w:left="-460" w:firstLine="644"/>
        <w:spacing w:after="0" w:line="256" w:lineRule="auto"/>
        <w:tabs>
          <w:tab w:leader="none" w:pos="112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shall have furnished to the Representatives on such Delivery Date a certificate, dated such Delivery Date, signed by, or on behalf of, the Selling Stockholder stating that (i) the representations, warranties and agreements of the Selling Stockholder contained herein are true and correct on and as of such Delivery Date, (ii) the Selling Stockholder has complied with all its agreements contained herein and has satisfied all the conditions on its part to be performed or satisfied hereunder at or prior to such Delivery Date, and (iii) since the Effective Date, no event has occurred that should have been set forth in a supplement or amendment to the Registration Statement, the Prospectus or any Issuer Free Writing Prospectus that has not been so set forth.</w:t>
      </w:r>
    </w:p>
    <w:p>
      <w:pPr>
        <w:spacing w:after="0" w:line="187" w:lineRule="exact"/>
        <w:rPr>
          <w:rFonts w:ascii="Times New Roman" w:cs="Times New Roman" w:eastAsia="Times New Roman" w:hAnsi="Times New Roman"/>
          <w:sz w:val="18"/>
          <w:szCs w:val="18"/>
          <w:color w:val="auto"/>
        </w:rPr>
      </w:pPr>
    </w:p>
    <w:p>
      <w:pPr>
        <w:ind w:left="1060" w:hanging="876"/>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60" w:right="40" w:firstLine="644"/>
        <w:spacing w:after="0" w:line="254" w:lineRule="auto"/>
        <w:tabs>
          <w:tab w:leader="none" w:pos="10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described in the most recent Preliminary Prospectus, (i) neither the Company nor any of its subsidiaries shall have sustained, since the date of the latest audited financial statements included or incorporated by reference in the most recent Preliminary Prospectus, any loss or interference with its business, taken as a whole, from fire, explosion, flood or other calamity, whether or not covered by insurance, or from any labor dispute or court or governmental action, order or decree, or (ii) since such date there shall not have been any change in the capital stock (other than as a result of the exercise or settlement (including any “net” or “cashless” exercises or settlements), if any, of stock options or restricted stock units or the award, if any, of stock options, restricted stock units or restricted stock, pursuant to the Company’s equity plans) or long-term debt of the Company or any of its subsidiaries, taken as a whole, or any change or effect, or any development involving a prospective change or effect, in or affecting the condition (financial or otherwise), results of operations, stockholders’ equity, properties, management or business of the Company and its subsidiaries, taken as a whole, the effect</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580" w:right="379" w:bottom="1440" w:gutter="0" w:footer="0" w:header="0"/>
        </w:sectPr>
      </w:pPr>
    </w:p>
    <w:bookmarkStart w:id="31" w:name="page32"/>
    <w:bookmarkEnd w:id="31"/>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of which, in any such case described in clause (i) or (ii), is, individually or in the aggregate, in the judgment of the Representatives, so material and adverse as to make it impracticable or inadvisable to proceed with the public offering or the delivery of the Stock being delivered on such Delivery Date on the terms and in the manner contemplated in the Prospectus.</w:t>
      </w:r>
    </w:p>
    <w:p>
      <w:pPr>
        <w:spacing w:after="0" w:line="176" w:lineRule="exact"/>
        <w:rPr>
          <w:sz w:val="20"/>
          <w:szCs w:val="20"/>
          <w:color w:val="auto"/>
        </w:rPr>
      </w:pPr>
    </w:p>
    <w:p>
      <w:pPr>
        <w:ind w:left="1480" w:hanging="836"/>
        <w:spacing w:after="0"/>
        <w:tabs>
          <w:tab w:leader="none" w:pos="14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44"/>
        <w:spacing w:after="0" w:line="253" w:lineRule="auto"/>
        <w:tabs>
          <w:tab w:leader="none" w:pos="153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in each case as to make it, in the judgment of the Representatives, impracticable or inadvisable to proceed with the public offering or delivery of the Stock being delivered on such Delivery Date by the Selling Stockholder on the terms and in the manner contemplated in the Prospectus.</w:t>
      </w:r>
    </w:p>
    <w:p>
      <w:pPr>
        <w:spacing w:after="0" w:line="187" w:lineRule="exact"/>
        <w:rPr>
          <w:rFonts w:ascii="Times New Roman" w:cs="Times New Roman" w:eastAsia="Times New Roman" w:hAnsi="Times New Roman"/>
          <w:sz w:val="18"/>
          <w:szCs w:val="18"/>
          <w:color w:val="auto"/>
        </w:rPr>
      </w:pPr>
    </w:p>
    <w:p>
      <w:pPr>
        <w:ind w:right="240" w:firstLine="644"/>
        <w:spacing w:after="0" w:line="282" w:lineRule="auto"/>
        <w:tabs>
          <w:tab w:leader="none" w:pos="153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on each Delivery Date, the Company shall have delivered to the Representatives a certificate of the Chief Financial Officer of the Company, in form and substance satisfactory to the Representatives.</w:t>
      </w:r>
    </w:p>
    <w:p>
      <w:pPr>
        <w:spacing w:after="0" w:line="161" w:lineRule="exact"/>
        <w:rPr>
          <w:rFonts w:ascii="Times New Roman" w:cs="Times New Roman" w:eastAsia="Times New Roman" w:hAnsi="Times New Roman"/>
          <w:sz w:val="18"/>
          <w:szCs w:val="18"/>
          <w:color w:val="auto"/>
        </w:rPr>
      </w:pPr>
    </w:p>
    <w:p>
      <w:pPr>
        <w:jc w:val="both"/>
        <w:ind w:right="160" w:firstLine="644"/>
        <w:spacing w:after="0" w:line="266" w:lineRule="auto"/>
        <w:tabs>
          <w:tab w:leader="none" w:pos="153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between the Representatives and the officers and directors of the Company set forth on Schedule III and the Selling Stockholder, delivered to the Representatives on or before the date of this Agreement, shall be in full force and effect on such Delivery Date.</w:t>
      </w:r>
    </w:p>
    <w:p>
      <w:pPr>
        <w:spacing w:after="0" w:line="174" w:lineRule="exact"/>
        <w:rPr>
          <w:sz w:val="20"/>
          <w:szCs w:val="20"/>
          <w:color w:val="auto"/>
        </w:rPr>
      </w:pPr>
    </w:p>
    <w:p>
      <w:pPr>
        <w:ind w:left="1040" w:hanging="396"/>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644"/>
        <w:spacing w:after="0" w:line="261" w:lineRule="auto"/>
        <w:tabs>
          <w:tab w:leader="none" w:pos="15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2" w:name="page33"/>
    <w:bookmarkEnd w:id="32"/>
    <w:p>
      <w:pPr>
        <w:ind w:right="40"/>
        <w:spacing w:after="0" w:line="252" w:lineRule="auto"/>
        <w:rPr>
          <w:sz w:val="20"/>
          <w:szCs w:val="20"/>
          <w:color w:val="auto"/>
        </w:rPr>
      </w:pPr>
      <w:r>
        <w:rPr>
          <w:rFonts w:ascii="Times New Roman" w:cs="Times New Roman" w:eastAsia="Times New Roman" w:hAnsi="Times New Roman"/>
          <w:sz w:val="18"/>
          <w:szCs w:val="18"/>
          <w:color w:val="auto"/>
        </w:rPr>
        <w:t>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or (D) any materials or information provided to investors by, or with the approval of, the Company in connection with the marketing of the offering of the Stock, including any “road show” (as defined in Rule 433 under the Securities Act) not constituting an Issuer Free Writing Prospectus and any Testing-the-Waters Communication (“</w:t>
      </w:r>
      <w:r>
        <w:rPr>
          <w:rFonts w:ascii="Times New Roman" w:cs="Times New Roman" w:eastAsia="Times New Roman" w:hAnsi="Times New Roman"/>
          <w:sz w:val="18"/>
          <w:szCs w:val="18"/>
          <w:b w:val="1"/>
          <w:bCs w:val="1"/>
          <w:i w:val="1"/>
          <w:iCs w:val="1"/>
          <w:color w:val="auto"/>
        </w:rPr>
        <w:t>Marketing Materials</w:t>
      </w:r>
      <w:r>
        <w:rPr>
          <w:rFonts w:ascii="Times New Roman" w:cs="Times New Roman" w:eastAsia="Times New Roman" w:hAnsi="Times New Roman"/>
          <w:sz w:val="18"/>
          <w:szCs w:val="18"/>
          <w:color w:val="auto"/>
        </w:rPr>
        <w:t xml:space="preserve">”) or (ii) the omission or alleged omission to state in any Preliminary Prospectus, the Registration Statement, the Prospectus, any Issuer Free Writing Prospectus or in any amendment or supplement thereto or in any Permitted Issuer Information or any Marketing Materials, any material fact required to be stated therein or necessary to make the statements therein not misleading, and shall reimburse each Underwriter and each such affiliate, director, officer, employee or controlling person promptly upon demand for any legal or other documented out of pocket expenses reasonably incurred by that Underwriter, affiliate,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or any Marketing Materials,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9(f).</w:t>
      </w:r>
    </w:p>
    <w:p>
      <w:pPr>
        <w:spacing w:after="0" w:line="191" w:lineRule="exact"/>
        <w:rPr>
          <w:sz w:val="20"/>
          <w:szCs w:val="20"/>
          <w:color w:val="auto"/>
        </w:rPr>
      </w:pPr>
    </w:p>
    <w:p>
      <w:pPr>
        <w:ind w:firstLine="644"/>
        <w:spacing w:after="0" w:line="253" w:lineRule="auto"/>
        <w:tabs>
          <w:tab w:leader="none" w:pos="15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shall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Permitted Issuer Information, any Marketing Materials, any Blue Sky Application or any “free writing prospectus” (as defined in Rule 405 under the Securities Act) (any such “free writing prospectus” that was prepared by or on behalf of the Selling Stockholder or used or referred to by the Selling Stockholder in connection with the offering of the Stock in violation of Section 6(a) being referred to as a “</w:t>
      </w:r>
      <w:r>
        <w:rPr>
          <w:rFonts w:ascii="Times New Roman" w:cs="Times New Roman" w:eastAsia="Times New Roman" w:hAnsi="Times New Roman"/>
          <w:sz w:val="18"/>
          <w:szCs w:val="18"/>
          <w:b w:val="1"/>
          <w:bCs w:val="1"/>
          <w:i w:val="1"/>
          <w:iCs w:val="1"/>
          <w:color w:val="auto"/>
        </w:rPr>
        <w:t>Selling Stockholder Free Writing</w:t>
      </w:r>
    </w:p>
    <w:p>
      <w:pPr>
        <w:spacing w:after="0" w:line="1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580" w:right="379" w:bottom="1440" w:gutter="0" w:footer="0" w:header="0"/>
        </w:sectPr>
      </w:pPr>
    </w:p>
    <w:bookmarkStart w:id="33" w:name="page34"/>
    <w:bookmarkEnd w:id="33"/>
    <w:p>
      <w:pPr>
        <w:spacing w:after="0" w:line="252" w:lineRule="auto"/>
        <w:rPr>
          <w:sz w:val="20"/>
          <w:szCs w:val="20"/>
          <w:color w:val="auto"/>
        </w:rPr>
      </w:pPr>
      <w:r>
        <w:rPr>
          <w:rFonts w:ascii="Times New Roman" w:cs="Times New Roman" w:eastAsia="Times New Roman" w:hAnsi="Times New Roman"/>
          <w:sz w:val="18"/>
          <w:szCs w:val="18"/>
          <w:color w:val="auto"/>
        </w:rPr>
        <w:t>Prospectus”) or (ii) the omission or alleged omission to state in any Preliminary Prospectus, Registration Statement, the Prospectus, any Issuer Free Writing Prospectus or in any amendment or supplement thereto or in any Permitted Issuer Information, any Marketing Materials, any Blue Sky Application or any Selling Stockholder Free Writing Prospectus, any material fact required to be stated therein or necessary to make the statements therein not misleading, and shall reimburse each Underwriter, its affiliates, directors, officers and employees and each such controlling person promptly upon demand for any legal or other expenses reasonably incurred by that Underwriter, its affiliates, directors, officers and employees or controlling persons in connection with investigating or defending or preparing to defend against any such loss, claim, damage, liability or action as such expenses are incurred. The liability of the Selling Stockholder under the indemnity agreement contained in this paragraph shall be limited to an amount equal to the total net proceeds (before deducting expenses) from the offering of the shares of the Stock purchased under the Agreement received by the Selling Stockholder, as set forth in the table on the cover page of the Prospectus. The foregoing indemnity agreement is in addition to any liability that the Selling Stockholder may otherwise have to any Underwriter or any affiliate, director, officer, employee or controlling person of that Underwriter. Notwithstanding the foregoing, the Selling Stockholder shall be liable under this Section 9(b) only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any such amendment or supplement or in any Permitted Issuer Information or any Marketing Materials in reliance upon and in conformity with written information concerning the Selling Stockholder furnished to the Company by the Selling Stockholder specifically for inclusion therein, which information is limited to the information set forth in the Prospectus under the caption “Principal and Selling Stockholder”, or arises out of, or is based upon, any untrue statement or alleged untrue statement or omission or alleged omission made in any Selling Stockholder Free Writing Prospectus.</w:t>
      </w:r>
    </w:p>
    <w:p>
      <w:pPr>
        <w:spacing w:after="0" w:line="192" w:lineRule="exact"/>
        <w:rPr>
          <w:sz w:val="20"/>
          <w:szCs w:val="20"/>
          <w:color w:val="auto"/>
        </w:rPr>
      </w:pPr>
    </w:p>
    <w:p>
      <w:pPr>
        <w:ind w:firstLine="644"/>
        <w:spacing w:after="0" w:line="253" w:lineRule="auto"/>
        <w:tabs>
          <w:tab w:leader="none" w:pos="152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shall indemnify and hold harmless the Company, the Selling Stockholder, their respective directors and officers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(ii) the omission or alleged omission to state in any Preliminary Prospectus, the Registration Statement, the Prospectus, any Issuer Free Writing Prospectus or in any amendment or supplement thereto or in any Marketing Materials,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w:t>
      </w:r>
    </w:p>
    <w:p>
      <w:pPr>
        <w:spacing w:after="0" w:line="1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on behalf of that Underwriter specifically for inclusion therein, which information is limited to the information set forth in Section 9(f).</w:t>
      </w:r>
    </w:p>
    <w:p>
      <w:pPr>
        <w:spacing w:after="0" w:line="225" w:lineRule="exact"/>
        <w:rPr>
          <w:sz w:val="20"/>
          <w:szCs w:val="20"/>
          <w:color w:val="auto"/>
        </w:rPr>
      </w:pPr>
    </w:p>
    <w:p>
      <w:pPr>
        <w:ind w:firstLine="644"/>
        <w:spacing w:after="0" w:line="267" w:lineRule="auto"/>
        <w:tabs>
          <w:tab w:leader="none" w:pos="139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party under this Section 9 of notice of any claim or the commencement of any action, the indemnified party shall, if a claim in respect thereof is to be made against the indemnifying party under this Section 9, notify the indemnifying party in writing of the claim or the commencement of that 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failure to notify the indemnifying party shall not relieve it from any liability which it may have under this Section 9 except to the extent it has been materially prejudiced (through the forfeiture of substantive rights and defenses) by such failure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the failure to notify the indemnifying party shall not relieve it from any liability which it may have to an indemnified party otherwise than under this Section 9. If any such claim or action shall be brought against an indemnified party, and it shall notify the indemnifying party thereof, the indemnifying party shall retain counsel reasonably satisfactory to the indemnified party to represent the indemnified party and shall pay the reasonably incurred fees and expenses of such counsel related to such claim or action. In any such claim or action,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9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reasonable and documented fees and expenses of such separate counsel shall be paid by the indemnifying party. It is understood and agreed that the indemnifying party shall not, in connection with any action or claim or related action or claim in the same jurisdiction, be liable for the fees and expenses of more than one separate firm (in addition to any local counsel) for all indemnified parties, except as provided for in this Section 9. No indemnifying party shall (x) without the prior written consent of the indemnified parties (which consent shall not be unreasonably withheld, conditioned or delayed),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w:t>
      </w:r>
    </w:p>
    <w:p>
      <w:pPr>
        <w:spacing w:after="0" w:line="3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5" w:name="page36"/>
    <w:bookmarkEnd w:id="35"/>
    <w:p>
      <w:pPr>
        <w:ind w:right="300"/>
        <w:spacing w:after="0" w:line="261" w:lineRule="auto"/>
        <w:rPr>
          <w:sz w:val="20"/>
          <w:szCs w:val="20"/>
          <w:color w:val="auto"/>
        </w:rPr>
      </w:pPr>
      <w:r>
        <w:rPr>
          <w:rFonts w:ascii="Times New Roman" w:cs="Times New Roman" w:eastAsia="Times New Roman" w:hAnsi="Times New Roman"/>
          <w:sz w:val="18"/>
          <w:szCs w:val="18"/>
          <w:color w:val="auto"/>
        </w:rPr>
        <w:t>plaintiff in any such action, the indemnifying party agrees to indemnify and hold harmless any indemnified party from and against any loss or liability by reason of such settlement or judgment. No indemnified party shall, without the written consent of the indemnifying party, effect the settlement or compromise of, or consent to the entry of any judgment with respect to, any pending or threatened action or claim in respect of which indemnification or contribution may be sought hereunder.</w:t>
      </w:r>
    </w:p>
    <w:p>
      <w:pPr>
        <w:spacing w:after="0" w:line="180" w:lineRule="exact"/>
        <w:rPr>
          <w:sz w:val="20"/>
          <w:szCs w:val="20"/>
          <w:color w:val="auto"/>
        </w:rPr>
      </w:pPr>
    </w:p>
    <w:p>
      <w:pPr>
        <w:ind w:firstLine="644"/>
        <w:spacing w:after="0" w:line="251" w:lineRule="auto"/>
        <w:tabs>
          <w:tab w:leader="none" w:pos="152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shall for any reason be unavailable to or insufficient to hold harmless an indemnified party under Section 9(a), 9(b) or 9(b)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the Selling Stockholder, on the one hand, and the Underwriters, on the other hand, from the offering of the Stock, or (ii) if the allocation provided by clause (i) above is not permitted by applicable law, in such proportion as is appropriate to reflect not only the relative benefits referred to in clause (i) above but also the relative fault of the Company and the Selling Stockholder, on the one hand, and the Underwriters, on the other hand, with respect to the statements or omissions that resulted in such loss, claim, damage or liability, or action in respect thereof, as well as any other relevant equitable considerations. The relative benefits received by the Company and the Selling Stockholder, on the one hand, and the Underwriters, on the other hand, with respect to such offering shall be deemed to be in the same proportion as the total net proceeds from the offering of the Stock purchased under this Agreement (before deducting expenses) received by the Company and the Selling Stockholder, as set forth on the cover page of the Prospectus, on the one hand, and the aggregate difference between the purchase price paid by the Underwriters for the Stock set forth in Schedule IV hereto and the aggregate price at which the Stock is sold by the Underwriters to the public (the “</w:t>
      </w:r>
      <w:r>
        <w:rPr>
          <w:rFonts w:ascii="Times New Roman" w:cs="Times New Roman" w:eastAsia="Times New Roman" w:hAnsi="Times New Roman"/>
          <w:sz w:val="18"/>
          <w:szCs w:val="18"/>
          <w:b w:val="1"/>
          <w:bCs w:val="1"/>
          <w:i w:val="1"/>
          <w:iCs w:val="1"/>
          <w:color w:val="auto"/>
        </w:rPr>
        <w:t>Aggregate Underwriter Proceeds</w:t>
      </w:r>
      <w:r>
        <w:rPr>
          <w:rFonts w:ascii="Times New Roman" w:cs="Times New Roman" w:eastAsia="Times New Roman" w:hAnsi="Times New Roman"/>
          <w:sz w:val="18"/>
          <w:szCs w:val="18"/>
          <w:color w:val="auto"/>
        </w:rPr>
        <w:t>”) for the Underwriters, on the other hand. The relative fault shall be determined by reference to whether the untrue or alleged untrue statement of a material fact or omission or alleged omission to state a material fact relates to information supplied by the Company or the Selling Stockholder, on the one hand, or the Underwriters, on the other hand, the intent of the parties and their relative knowledge, access to information and opportunity to correct or prevent such statement or omission. The Company, the Selling Stockholder and the Underwriters agree that it would not be just and equitable if contributions pursuant to this Section 9(e)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9(e) shall be deemed to include, for purposes of this Section 9(e), any documented out of pocket legal or other expenses reasonably incurred by such indemnified party in connection with investigating or defending any such action or claim. Notwithstanding the provisions of this Section 9(e), in no event shall an Underwriter be required to contribute any amount in excess of the amount by which the Aggregate Underwriter Proceeds received by such Underwriter in connection with the Stock purchased by it exceeds the amount of any damages that such Underwriter has otherwise</w:t>
      </w: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6" w:name="page37"/>
    <w:bookmarkEnd w:id="36"/>
    <w:p>
      <w:pPr>
        <w:ind w:right="40"/>
        <w:spacing w:after="0" w:line="261" w:lineRule="auto"/>
        <w:rPr>
          <w:sz w:val="20"/>
          <w:szCs w:val="20"/>
          <w:color w:val="auto"/>
        </w:rPr>
      </w:pPr>
      <w:r>
        <w:rPr>
          <w:rFonts w:ascii="Times New Roman" w:cs="Times New Roman" w:eastAsia="Times New Roman" w:hAnsi="Times New Roman"/>
          <w:sz w:val="18"/>
          <w:szCs w:val="18"/>
          <w:color w:val="auto"/>
        </w:rPr>
        <w:t>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9(e) are several in proportion to their respective underwriting obligations and not joint.</w:t>
      </w:r>
    </w:p>
    <w:p>
      <w:pPr>
        <w:spacing w:after="0" w:line="180" w:lineRule="exact"/>
        <w:rPr>
          <w:sz w:val="20"/>
          <w:szCs w:val="20"/>
          <w:color w:val="auto"/>
        </w:rPr>
      </w:pPr>
    </w:p>
    <w:p>
      <w:pPr>
        <w:ind w:firstLine="644"/>
        <w:spacing w:after="0" w:line="258" w:lineRule="auto"/>
        <w:tabs>
          <w:tab w:leader="none" w:pos="15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upon that the paragraphs relating to stabilization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81" w:lineRule="exact"/>
        <w:rPr>
          <w:sz w:val="20"/>
          <w:szCs w:val="20"/>
          <w:color w:val="auto"/>
        </w:rPr>
      </w:pPr>
    </w:p>
    <w:p>
      <w:pPr>
        <w:ind w:left="960" w:hanging="316"/>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Underwriters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644"/>
        <w:spacing w:after="0" w:line="252" w:lineRule="auto"/>
        <w:tabs>
          <w:tab w:leader="none" w:pos="15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Delivery Date, any Underwriter defaults in its obligations to purchase the Stock that it has agreed to purchase under this Agreement, the remaining non-defaulting Underwriters may in their discretion arrange for the purchase of such Stock by the non-defaulting Underwriters or other persons satisfactory to the Company on the terms contained in this Agreement. If, within 36 hours after any such default by any Underwriter, the non-defaulting Underwriters do not arrange for the purchase of such Stock, then the Company and the Selling Stockholder shall be entitled to a further period of 36 hours within which to procure other persons satisfactory to the non-defaulting Underwriters to purchase such Stock on such terms. In the event that within the respective prescribed periods, the non-defaulting Underwriters notify the Company and the Selling Stockholder that they have so arranged for the purchase of such Stock, or the Company and the Selling Stockholder notify the non-defaulting Underwriters that it has so arranged for the purchase of such Stock, either the non-defaulting Underwriters or the Selling Stockholder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unless the context requires otherwise, includes any party not listed in Schedule I hereto that, pursuant to this Section 10, purchases Stock that a defaulting Underwriter agreed but failed to purchase.</w:t>
      </w:r>
    </w:p>
    <w:p>
      <w:pPr>
        <w:spacing w:after="0" w:line="197" w:lineRule="exact"/>
        <w:rPr>
          <w:rFonts w:ascii="Times New Roman" w:cs="Times New Roman" w:eastAsia="Times New Roman" w:hAnsi="Times New Roman"/>
          <w:sz w:val="18"/>
          <w:szCs w:val="18"/>
          <w:color w:val="auto"/>
        </w:rPr>
      </w:pPr>
    </w:p>
    <w:p>
      <w:pPr>
        <w:ind w:firstLine="644"/>
        <w:spacing w:after="0" w:line="258" w:lineRule="auto"/>
        <w:tabs>
          <w:tab w:leader="none" w:pos="15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Stock of a defaulting Underwriter or Underwriters by the non-defaulting Underwriters and the Company and the Selling Stockholder as provided in paragraph (a) above, the total number of shares of the Stock that remains unpurchased does not exceed one-eleventh of the total number of shares of all the Stock, then the Selling Stockholder shall have the right to require each non-defaulting Underwriter to purchase the total number of shares of Stock that such Underwriter agreed to purchase hereunder plus such Underwriter’s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total</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37" w:name="page38"/>
    <w:bookmarkEnd w:id="37"/>
    <w:p>
      <w:pPr>
        <w:ind w:left="620" w:right="160"/>
        <w:spacing w:after="0" w:line="261" w:lineRule="auto"/>
        <w:rPr>
          <w:sz w:val="20"/>
          <w:szCs w:val="20"/>
          <w:color w:val="auto"/>
        </w:rPr>
      </w:pPr>
      <w:r>
        <w:rPr>
          <w:rFonts w:ascii="Times New Roman" w:cs="Times New Roman" w:eastAsia="Times New Roman" w:hAnsi="Times New Roman"/>
          <w:sz w:val="18"/>
          <w:szCs w:val="18"/>
          <w:color w:val="auto"/>
        </w:rPr>
        <w:t xml:space="preserve">number of shares of Stock that such Underwriter agreed to purchase hereunder) of the Stock of such defaulting Underwriter or Underwriters for which such arrangements have not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non-defaulting Underwriters shall not be obligated to purchase more than 110% of the total number of shares of Stock that it agreed to purchase on such Delivery Date pursuant to the terms of Section 3. Nothing herein shall relieve a defaulting Underwriter from liability for its default.</w:t>
      </w:r>
    </w:p>
    <w:p>
      <w:pPr>
        <w:spacing w:after="0" w:line="180" w:lineRule="exact"/>
        <w:rPr>
          <w:sz w:val="20"/>
          <w:szCs w:val="20"/>
          <w:color w:val="auto"/>
        </w:rPr>
      </w:pPr>
    </w:p>
    <w:p>
      <w:pPr>
        <w:ind w:left="620" w:firstLine="644"/>
        <w:spacing w:after="0" w:line="255" w:lineRule="auto"/>
        <w:tabs>
          <w:tab w:leader="none" w:pos="214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Stock of a defaulting Underwriter or Underwriters by the non-defaulting Underwriters and the Company and the Selling Stockholder as provided in paragraph (a) above, the total number of shares of Stock that remains unpurchased exceeds one-eleventh of the total number of shares of all the Stock, or if the Selling Stockholder shall not exercise the right described in paragraph (a)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Sections 7 and 12 and except that the provisions of Section 10 shall not terminate and shall remain in effect.</w:t>
      </w:r>
    </w:p>
    <w:p>
      <w:pPr>
        <w:spacing w:after="0" w:line="188" w:lineRule="exact"/>
        <w:rPr>
          <w:rFonts w:ascii="Times New Roman" w:cs="Times New Roman" w:eastAsia="Times New Roman" w:hAnsi="Times New Roman"/>
          <w:sz w:val="18"/>
          <w:szCs w:val="18"/>
          <w:color w:val="auto"/>
        </w:rPr>
      </w:pPr>
    </w:p>
    <w:p>
      <w:pPr>
        <w:ind w:left="620" w:right="400" w:firstLine="644"/>
        <w:spacing w:after="0" w:line="282" w:lineRule="auto"/>
        <w:tabs>
          <w:tab w:leader="none" w:pos="21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40" w:right="80" w:firstLine="1304"/>
        <w:spacing w:after="0" w:line="290" w:lineRule="auto"/>
        <w:tabs>
          <w:tab w:leader="none" w:pos="156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The obligations of the Underwriters hereunder may be terminated by the Representatives by notice given to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received by the Company and the Selling Stockholder prior to delivery of and payment for the Firm Stock if, prior to that time, any of the events described in Section 8(l) and 8(n) shall have occurred or if the Underwriters shall decline to purchase the Stock for any reason permitted under this Agreement.</w:t>
      </w:r>
    </w:p>
    <w:p>
      <w:pPr>
        <w:spacing w:after="0" w:line="155" w:lineRule="exact"/>
        <w:rPr>
          <w:rFonts w:ascii="Times New Roman" w:cs="Times New Roman" w:eastAsia="Times New Roman" w:hAnsi="Times New Roman"/>
          <w:sz w:val="17"/>
          <w:szCs w:val="17"/>
          <w:color w:val="auto"/>
        </w:rPr>
      </w:pPr>
    </w:p>
    <w:p>
      <w:pPr>
        <w:ind w:left="-40" w:right="40" w:firstLine="1304"/>
        <w:spacing w:after="0" w:line="257" w:lineRule="auto"/>
        <w:tabs>
          <w:tab w:leader="none" w:pos="157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Reimbursement of Underwriters’ Expenses. </w:t>
      </w:r>
      <w:r>
        <w:rPr>
          <w:rFonts w:ascii="Times New Roman" w:cs="Times New Roman" w:eastAsia="Times New Roman" w:hAnsi="Times New Roman"/>
          <w:sz w:val="18"/>
          <w:szCs w:val="18"/>
          <w:color w:val="auto"/>
        </w:rPr>
        <w:t>If (a) the Selling Stockholder shall fail to tender the Stock for delivery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for any reason, or (b) the Underwriters shall decline to purchase the Stock for any reason permitted under this Agreement, the Company will reimburse the Underwriters for all reasonable and documented out-of-pocket expenses (including fees and disbursements of counsel for the Underwriters) incurred by the Underwriters in connection with this Agreement and the proposed purchase of the Stock, and upon demand the Company shall pay the full amount thereof to the Representatives. If this Agreement is terminated pursuant to Section 10 by reason of the default of one or more Underwriters, neither the Company nor the Selling Stockholder shall be obligated to reimburse any defaulting Underwriter on account of those expenses.</w:t>
      </w:r>
    </w:p>
    <w:p>
      <w:pPr>
        <w:spacing w:after="0" w:line="182" w:lineRule="exact"/>
        <w:rPr>
          <w:rFonts w:ascii="Times New Roman" w:cs="Times New Roman" w:eastAsia="Times New Roman" w:hAnsi="Times New Roman"/>
          <w:sz w:val="18"/>
          <w:szCs w:val="18"/>
          <w:color w:val="auto"/>
        </w:rPr>
      </w:pPr>
    </w:p>
    <w:p>
      <w:pPr>
        <w:ind w:left="-40" w:right="60" w:firstLine="1304"/>
        <w:spacing w:after="0" w:line="277" w:lineRule="auto"/>
        <w:tabs>
          <w:tab w:leader="none" w:pos="157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Research Analyst Independence. </w:t>
      </w:r>
      <w:r>
        <w:rPr>
          <w:rFonts w:ascii="Times New Roman" w:cs="Times New Roman" w:eastAsia="Times New Roman" w:hAnsi="Times New Roman"/>
          <w:sz w:val="17"/>
          <w:szCs w:val="17"/>
          <w:color w:val="auto"/>
        </w:rPr>
        <w:t>The Company acknowledges that the Underwriters’ research analysts and research departments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and the Selling Stockholder hereby waive and release, to the fullest extent permitted by law, any claims that the Company or the Selling Stockholder may have against the Underwriters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0" w:right="359" w:bottom="1440" w:gutter="0" w:footer="0" w:header="0"/>
        </w:sectPr>
      </w:pPr>
    </w:p>
    <w:bookmarkStart w:id="38" w:name="page39"/>
    <w:bookmarkEnd w:id="38"/>
    <w:p>
      <w:pPr>
        <w:spacing w:after="0" w:line="277" w:lineRule="auto"/>
        <w:rPr>
          <w:sz w:val="20"/>
          <w:szCs w:val="20"/>
          <w:color w:val="auto"/>
        </w:rPr>
      </w:pPr>
      <w:r>
        <w:rPr>
          <w:rFonts w:ascii="Times New Roman" w:cs="Times New Roman" w:eastAsia="Times New Roman" w:hAnsi="Times New Roman"/>
          <w:sz w:val="17"/>
          <w:szCs w:val="17"/>
          <w:color w:val="auto"/>
        </w:rPr>
        <w:t>with respect to any conflict of interest that may arise from the fact that the views expressed by their independent research analysts and research departments may be different from or inconsistent with the views or advice communicated to the Company or the Selling Stockholder by such Underwriters’ investment banking divisions. The Company and the Selling Stockholder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6" w:lineRule="exact"/>
        <w:rPr>
          <w:sz w:val="20"/>
          <w:szCs w:val="20"/>
          <w:color w:val="auto"/>
        </w:rPr>
      </w:pPr>
    </w:p>
    <w:p>
      <w:pPr>
        <w:ind w:firstLine="1304"/>
        <w:spacing w:after="0" w:line="252" w:lineRule="auto"/>
        <w:tabs>
          <w:tab w:leader="none" w:pos="16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Fiduciary Duty</w:t>
      </w:r>
      <w:r>
        <w:rPr>
          <w:rFonts w:ascii="Times New Roman" w:cs="Times New Roman" w:eastAsia="Times New Roman" w:hAnsi="Times New Roman"/>
          <w:sz w:val="18"/>
          <w:szCs w:val="18"/>
          <w:color w:val="auto"/>
        </w:rPr>
        <w:t>. The Company and the Selling Stockholder acknowledges and agrees that in connection with this offering,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or any other services the Underwriters may be deemed to be providing hereunder, notwithstanding any preexisting relationship, advisory or otherwise and are not providing a recommendation or investment advice, between the parties or any oral representations or assurances previously or subsequently made by the Underwriters: (a) no fiduciary or agency relationship between the Company, the Selling Stockholder, and any other person, on the one hand, and the Underwriters, on the other hand, exists; (b) the Underwriters are not acting as advisors, expert or otherwise and are not providing a recommendation or investment advice, to either the Company or the Selling Stockholder, including, without limitation, with respect to the determination of the offering price of the Stock, and such relationship between the Company and the Selling Stockholder, on the one hand, and the Underwriters, on the other hand, is entirely and solely commercial, based on arms-length negotiations and, as such, not intended for use by any individual for personal, family or household purposes; (c) any duties and obligations that the Underwriters may have to the Company or the Selling Stockholder shall be limited to those duties and obligations specifically stated herein; (d) the Underwriters and their respective affiliates may have interests that differ from those of the Company and the Selling Stockholder; (e) the purchase and sale of the Stock pursuant to this Agreement does not constitute a recommendation, investment advice, or solicitation of any action by the Underwriters and (f) none of the activities of the Underwriters in connection with the transactions contemplated herein constitutes a recommendation, investment advice or solicitation of any action by the Underwriters with respect to any entity or natural person. The Company and the Selling Stockholder hereby (x) waive any claims that the Company or the Selling Stockholder may have against the Underwriters with respect to any breach of fiduciary duty in connection with this offering and (y) agree that none of the activities of the Underwriters in connection with the transactions contemplated herein constitutes a recommendation, investment advice or solicitation of any action by the Underwriters with respect to any entity or natural person. Each of the Company and the Selling Stockholder has consulted their own legal, accounting, financial, regulatory and tax advisors to the extent deemed appropriate.</w:t>
      </w:r>
    </w:p>
    <w:p>
      <w:pPr>
        <w:spacing w:after="0" w:line="19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etc. </w:t>
      </w:r>
      <w:r>
        <w:rPr>
          <w:rFonts w:ascii="Times New Roman" w:cs="Times New Roman" w:eastAsia="Times New Roman" w:hAnsi="Times New Roman"/>
          <w:sz w:val="18"/>
          <w:szCs w:val="18"/>
          <w:color w:val="auto"/>
        </w:rPr>
        <w:t>All statements, requests, notices and agreements hereunder shall be in writing, and:</w:t>
      </w:r>
    </w:p>
    <w:p>
      <w:pPr>
        <w:spacing w:after="0" w:line="227" w:lineRule="exact"/>
        <w:rPr>
          <w:sz w:val="20"/>
          <w:szCs w:val="20"/>
          <w:color w:val="auto"/>
        </w:rPr>
      </w:pPr>
    </w:p>
    <w:p>
      <w:pPr>
        <w:jc w:val="both"/>
        <w:ind w:left="1300" w:right="200" w:firstLine="4"/>
        <w:spacing w:after="0" w:line="266" w:lineRule="auto"/>
        <w:tabs>
          <w:tab w:leader="none" w:pos="18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Underwriters, shall be delivered or sent by mail or facsimile transmission to Barclays Capital Inc. 745 Seventh Avenue, New York, New York, 10019, Attention: Syndicate Registration (fax: 646-834-8133) and Morgan Stanley &amp; Co. LLC 1585 Broadway, 29th Floor, New York, New York, 10036, Attention: Investment Banking Division (fax: (212) 507-8999);</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9" w:name="page40"/>
    <w:bookmarkEnd w:id="39"/>
    <w:p>
      <w:pPr>
        <w:ind w:left="660" w:right="20" w:firstLine="644"/>
        <w:spacing w:after="0" w:line="266" w:lineRule="auto"/>
        <w:tabs>
          <w:tab w:leader="none" w:pos="183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or facsimile transmission to the address of the Company set forth in the Registration Statement, Attention: Secretary, with a copy for informational purposes only to Paul, Weiss, Rifkind, Wharton &amp; Garrison LLP, 1285 Avenue of the Americas, New York, NY 10019, facsimile (212) 492-0588, Attention: Brian M. Janson, Esq.; and</w:t>
      </w:r>
    </w:p>
    <w:p>
      <w:pPr>
        <w:spacing w:after="0" w:line="179" w:lineRule="exact"/>
        <w:rPr>
          <w:rFonts w:ascii="Times New Roman" w:cs="Times New Roman" w:eastAsia="Times New Roman" w:hAnsi="Times New Roman"/>
          <w:sz w:val="18"/>
          <w:szCs w:val="18"/>
          <w:color w:val="auto"/>
        </w:rPr>
      </w:pPr>
    </w:p>
    <w:p>
      <w:pPr>
        <w:ind w:left="660" w:right="40" w:firstLine="644"/>
        <w:spacing w:after="0" w:line="319" w:lineRule="auto"/>
        <w:tabs>
          <w:tab w:leader="none" w:pos="18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Selling Stockholder, shall be delivered or sent by mail or facsimile transmission to the Selling Stockholder at 9 West 57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New York 10019.</w:t>
      </w:r>
    </w:p>
    <w:p>
      <w:pPr>
        <w:spacing w:after="0" w:line="6"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Any such statements, requests, notices or agreements shall take effect at the time of receipt thereof. The Company and the Selling Stockholder shall be entitled to act and rely upon any request, consent, notice or agreement given or made on behalf of the Underwriters by the Representatives.</w:t>
      </w:r>
    </w:p>
    <w:p>
      <w:pPr>
        <w:spacing w:after="0" w:line="160" w:lineRule="exact"/>
        <w:rPr>
          <w:sz w:val="20"/>
          <w:szCs w:val="20"/>
          <w:color w:val="auto"/>
        </w:rPr>
      </w:pPr>
    </w:p>
    <w:p>
      <w:pPr>
        <w:ind w:right="100" w:firstLine="1304"/>
        <w:spacing w:after="0" w:line="254" w:lineRule="auto"/>
        <w:tabs>
          <w:tab w:leader="none" w:pos="16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Underwriters,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 the Company and its successors. This Agreement and the terms and provisions hereof are for the sole benefit of only those persons, except that (a) the representations, warranties, indemnities and agreements of the Company and the Selling Stockholder contained in this Agreement shall also be deemed to be for the benefit of the directors, officers, affiliates and employees of the Underwriters and each person or persons, if any, who control any Underwriter within the meaning of Section 15 of the Securities Act or Section 20 of the Exchange Act, and (b) the indemnity agreement of the Underwriters contained in Section 9(b) of this Agreement shall be deemed to be for the benefit of the directors of the Company, the officers of the Company who have signed the Registration Statement and any person controlling the Company within the meaning of Section 15 of the Securities Act or Section 20 of the Exchange Act. Nothing in this Agreement is intended or shall be construed to give any person, other than the persons referred to in this Section 16, any legal or equitable right, remedy or claim under or in respect of this Agreement or any provision contained herein. No purchaser of any of the Stock from any Underwriter shall be deemed a successor or assign by reason merely of such purchase.</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Survival. </w:t>
      </w:r>
      <w:r>
        <w:rPr>
          <w:rFonts w:ascii="Times New Roman" w:cs="Times New Roman" w:eastAsia="Times New Roman" w:hAnsi="Times New Roman"/>
          <w:sz w:val="18"/>
          <w:szCs w:val="18"/>
          <w:color w:val="auto"/>
        </w:rPr>
        <w:t>The respective indemnities, rights of contributions, representations, warranties and agreements of the Company, the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and the Underwriters contained in this Agreement or made by or on behalf of them, respectively, pursuant to this Agreement, shall survive the delivery of and payment for the Stock and shall remain in full force and effect, regardless of any investigation made by or on behalf of any of them or any person controlling any of them.</w:t>
      </w:r>
    </w:p>
    <w:p>
      <w:pPr>
        <w:spacing w:after="0" w:line="177" w:lineRule="exact"/>
        <w:rPr>
          <w:rFonts w:ascii="Times New Roman" w:cs="Times New Roman" w:eastAsia="Times New Roman" w:hAnsi="Times New Roman"/>
          <w:sz w:val="18"/>
          <w:szCs w:val="18"/>
          <w:color w:val="auto"/>
        </w:rPr>
      </w:pPr>
    </w:p>
    <w:p>
      <w:pPr>
        <w:jc w:val="both"/>
        <w:ind w:right="120" w:firstLine="1304"/>
        <w:spacing w:after="0" w:line="268" w:lineRule="auto"/>
        <w:tabs>
          <w:tab w:leader="none" w:pos="16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the Terms “Business Day”, “Affiliate” and “Subsidiary”</w:t>
      </w:r>
      <w:r>
        <w:rPr>
          <w:rFonts w:ascii="Times New Roman" w:cs="Times New Roman" w:eastAsia="Times New Roman" w:hAnsi="Times New Roman"/>
          <w:sz w:val="18"/>
          <w:szCs w:val="18"/>
          <w:color w:val="auto"/>
        </w:rPr>
        <w:t>. For purposes of this Agreement, (a)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Monday, Tuesday, Wednesday, Thursday or Friday that is not a day on which banking institutions in New York are generally authorized or obligated by law or executive order to close, and (b)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have the meanings set forth in Rule 405 under the Securities Act.</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40" w:name="page41"/>
    <w:bookmarkEnd w:id="40"/>
    <w:p>
      <w:pPr>
        <w:ind w:right="220" w:firstLine="1304"/>
        <w:spacing w:after="0" w:line="261" w:lineRule="auto"/>
        <w:tabs>
          <w:tab w:leader="none" w:pos="161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any transaction contemplated by this Agreement and any claim or controversy or dispute arising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or related thereto shall be governed by and construed in accordance with the laws of the State of New York without regard to conflict of laws principles that would result in the application of any other law than the laws of the State of New York (other than Section 5-1401 of the General Obligations Law).</w:t>
      </w:r>
    </w:p>
    <w:p>
      <w:pPr>
        <w:spacing w:after="0" w:line="179" w:lineRule="exact"/>
        <w:rPr>
          <w:rFonts w:ascii="Times New Roman" w:cs="Times New Roman" w:eastAsia="Times New Roman" w:hAnsi="Times New Roman"/>
          <w:sz w:val="18"/>
          <w:szCs w:val="18"/>
          <w:color w:val="auto"/>
        </w:rPr>
      </w:pPr>
    </w:p>
    <w:p>
      <w:pPr>
        <w:ind w:right="40" w:firstLine="1304"/>
        <w:spacing w:after="0" w:line="284" w:lineRule="auto"/>
        <w:tabs>
          <w:tab w:leader="none" w:pos="161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The Company and the Underwriters hereby irrevocably waive, to the fullest extent permitted by applicable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right to trial by jury in any legal proceeding arising out of or relating to this Agreement or the transactions contemplated hereby.</w:t>
      </w:r>
    </w:p>
    <w:p>
      <w:pPr>
        <w:spacing w:after="0" w:line="158" w:lineRule="exact"/>
        <w:rPr>
          <w:rFonts w:ascii="Times New Roman" w:cs="Times New Roman" w:eastAsia="Times New Roman" w:hAnsi="Times New Roman"/>
          <w:sz w:val="18"/>
          <w:szCs w:val="18"/>
          <w:color w:val="auto"/>
        </w:rPr>
      </w:pPr>
    </w:p>
    <w:p>
      <w:pPr>
        <w:ind w:right="140" w:firstLine="1304"/>
        <w:spacing w:after="0" w:line="258" w:lineRule="auto"/>
        <w:tabs>
          <w:tab w:leader="none" w:pos="161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one or more counterparts and, if executed in more than one counterpart,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counterparts shall each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right="440" w:firstLine="1304"/>
        <w:spacing w:after="0" w:line="284" w:lineRule="auto"/>
        <w:tabs>
          <w:tab w:leader="none" w:pos="161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inserted for convenience of reference only and are not intended to be part of, or to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or interpretation of, this Agreement.</w:t>
      </w:r>
    </w:p>
    <w:p>
      <w:pPr>
        <w:spacing w:after="0" w:line="15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p>
    <w:p>
      <w:pPr>
        <w:spacing w:after="0" w:line="227" w:lineRule="exact"/>
        <w:rPr>
          <w:rFonts w:ascii="Times New Roman" w:cs="Times New Roman" w:eastAsia="Times New Roman" w:hAnsi="Times New Roman"/>
          <w:sz w:val="18"/>
          <w:szCs w:val="18"/>
          <w:color w:val="auto"/>
        </w:rPr>
      </w:pPr>
    </w:p>
    <w:p>
      <w:pPr>
        <w:ind w:firstLine="656"/>
        <w:spacing w:after="0" w:line="261" w:lineRule="auto"/>
        <w:tabs>
          <w:tab w:leader="none" w:pos="11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Underwriters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160" w:firstLine="656"/>
        <w:spacing w:after="0" w:line="261" w:lineRule="auto"/>
        <w:tabs>
          <w:tab w:leader="none" w:pos="11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Underwriters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2" w:name="page43"/>
    <w:bookmarkEnd w:id="42"/>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agreement among the Company, the Selling Stockholder and the Underwriters, please indicate your acceptance in the space provided for that purpose below.</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Erin 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Erin Rose Neale</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 Counsel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left="4520"/>
        <w:spacing w:after="0"/>
        <w:rPr>
          <w:sz w:val="20"/>
          <w:szCs w:val="20"/>
          <w:color w:val="auto"/>
        </w:rPr>
      </w:pPr>
      <w:r>
        <w:rPr>
          <w:rFonts w:ascii="Times New Roman" w:cs="Times New Roman" w:eastAsia="Times New Roman" w:hAnsi="Times New Roman"/>
          <w:sz w:val="18"/>
          <w:szCs w:val="18"/>
          <w:color w:val="auto"/>
        </w:rPr>
        <w:t>SCA HORUS HOLDINGS,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3" w:lineRule="exact"/>
        <w:rPr>
          <w:sz w:val="20"/>
          <w:szCs w:val="20"/>
          <w:color w:val="auto"/>
        </w:rPr>
      </w:pPr>
    </w:p>
    <w:p>
      <w:pPr>
        <w:jc w:val="right"/>
        <w:ind w:right="599"/>
        <w:spacing w:after="0"/>
        <w:tabs>
          <w:tab w:leader="none" w:pos="2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760095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 hereto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Barclays Capital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Ilya A. Blanter</w:t>
            </w:r>
          </w:p>
        </w:tc>
        <w:tc>
          <w:tcPr>
            <w:tcW w:w="6740" w:type="dxa"/>
            <w:vAlign w:val="bottom"/>
          </w:tcPr>
          <w:p>
            <w:pPr>
              <w:spacing w:after="0"/>
              <w:rPr>
                <w:sz w:val="20"/>
                <w:szCs w:val="20"/>
                <w:color w:val="auto"/>
              </w:rPr>
            </w:pPr>
          </w:p>
        </w:tc>
      </w:tr>
      <w:tr>
        <w:trPr>
          <w:trHeight w:val="189"/>
        </w:trPr>
        <w:tc>
          <w:tcPr>
            <w:tcW w:w="58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Ilya A. Blanter</w:t>
            </w:r>
          </w:p>
        </w:tc>
        <w:tc>
          <w:tcPr>
            <w:tcW w:w="674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Authorized Signatory</w:t>
            </w:r>
          </w:p>
        </w:tc>
        <w:tc>
          <w:tcPr>
            <w:tcW w:w="6740" w:type="dxa"/>
            <w:vAlign w:val="bottom"/>
          </w:tcPr>
          <w:p>
            <w:pPr>
              <w:spacing w:after="0"/>
              <w:rPr>
                <w:sz w:val="20"/>
                <w:szCs w:val="20"/>
                <w:color w:val="auto"/>
              </w:rPr>
            </w:pPr>
          </w:p>
        </w:tc>
      </w:tr>
      <w:tr>
        <w:trPr>
          <w:trHeight w:val="979"/>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tanley</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J.F. McCullough</w:t>
            </w:r>
          </w:p>
        </w:tc>
        <w:tc>
          <w:tcPr>
            <w:tcW w:w="6740" w:type="dxa"/>
            <w:vAlign w:val="bottom"/>
          </w:tcPr>
          <w:p>
            <w:pPr>
              <w:spacing w:after="0"/>
              <w:rPr>
                <w:sz w:val="20"/>
                <w:szCs w:val="20"/>
                <w:color w:val="auto"/>
              </w:rPr>
            </w:pPr>
          </w:p>
        </w:tc>
      </w:tr>
      <w:tr>
        <w:trPr>
          <w:trHeight w:val="189"/>
        </w:trPr>
        <w:tc>
          <w:tcPr>
            <w:tcW w:w="58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Daniel J.F. McCullough</w:t>
            </w:r>
          </w:p>
        </w:tc>
        <w:tc>
          <w:tcPr>
            <w:tcW w:w="674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Vice President</w:t>
            </w:r>
          </w:p>
        </w:tc>
        <w:tc>
          <w:tcPr>
            <w:tcW w:w="6740" w:type="dxa"/>
            <w:vAlign w:val="bottom"/>
          </w:tcPr>
          <w:p>
            <w:pPr>
              <w:spacing w:after="0"/>
              <w:rPr>
                <w:sz w:val="20"/>
                <w:szCs w:val="20"/>
                <w:color w:val="auto"/>
              </w:rPr>
            </w:pPr>
          </w:p>
        </w:tc>
      </w:tr>
      <w:tr>
        <w:trPr>
          <w:trHeight w:val="979"/>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5220" w:type="dxa"/>
            <w:vAlign w:val="bottom"/>
            <w:gridSpan w:val="5"/>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of Option</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Underwriters</w:t>
            </w: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of Firm Stock</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r>
      <w:tr>
        <w:trPr>
          <w:trHeight w:val="209"/>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4,000,000</w:t>
            </w:r>
          </w:p>
        </w:tc>
        <w:tc>
          <w:tcPr>
            <w:tcW w:w="22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176"/>
        </w:trPr>
        <w:tc>
          <w:tcPr>
            <w:tcW w:w="35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5280" w:type="dxa"/>
            <w:vAlign w:val="bottom"/>
            <w:gridSpan w:val="5"/>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of Option</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Selling Stockholder</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of Firm Stock</w:t>
            </w:r>
          </w:p>
        </w:tc>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w:t>
            </w:r>
          </w:p>
        </w:tc>
      </w:tr>
      <w:tr>
        <w:trPr>
          <w:trHeight w:val="223"/>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SCA Horus Holdings, LLC</w:t>
            </w:r>
          </w:p>
        </w:tc>
        <w:tc>
          <w:tcPr>
            <w:tcW w:w="23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4,000,000</w:t>
            </w:r>
          </w:p>
        </w:tc>
        <w:tc>
          <w:tcPr>
            <w:tcW w:w="2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Borders>
              <w:top w:val="single" w:sz="8" w:color="auto"/>
            </w:tcBorders>
            <w:shd w:val="clear" w:color="auto" w:fill="CCEEFF"/>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76"/>
        </w:trPr>
        <w:tc>
          <w:tcPr>
            <w:tcW w:w="35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8" w:name="page49"/>
    <w:bookmarkEnd w:id="48"/>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III</w:t>
      </w:r>
    </w:p>
    <w:p>
      <w:pPr>
        <w:spacing w:after="0" w:line="229"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Davis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Marion Blakey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Kerry Philipovitch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Kennedy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O’Keeffe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Vogel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Gail Peterson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Davis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Mays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Neale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Levenhagen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Davis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Whitney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Gyurci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Trousdale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49" w:name="page50"/>
    <w:bookmarkEnd w:id="49"/>
    <w:p>
      <w:pPr>
        <w:jc w:val="center"/>
        <w:ind w:right="-4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2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INFORMATION OTHER THAN THE PRICING PROSPECTUS THAT COMPRISE THE</w:t>
      </w:r>
    </w:p>
    <w:p>
      <w:pPr>
        <w:spacing w:after="0" w:line="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PRICING DISCLOSURE PACKAGE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each investor, the price paid by such 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Repurchase Shares purchased on the Initial Delivery Date by the Company is 312,500.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497205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76" w:right="1440" w:bottom="1440" w:gutter="0" w:footer="0" w:header="0"/>
        </w:sectPr>
      </w:pPr>
    </w:p>
    <w:bookmarkStart w:id="50" w:name="page51"/>
    <w:bookmarkEnd w:id="50"/>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V</w:t>
      </w:r>
    </w:p>
    <w:p>
      <w:pPr>
        <w:spacing w:after="0" w:line="229"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color w:val="auto"/>
        </w:rPr>
        <w:t>ISSUER FREE WRITING PROSPECTUSES – ROAD SHOW MATERIALS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51" w:name="page52"/>
    <w:bookmarkEnd w:id="51"/>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VI</w:t>
      </w:r>
    </w:p>
    <w:p>
      <w:pPr>
        <w:spacing w:after="0" w:line="229"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2221A70"/>
    <w:multiLevelType w:val="hybridMultilevel"/>
    <w:lvl w:ilvl="0">
      <w:lvlJc w:val="left"/>
      <w:lvlText w:val="(%1)"/>
      <w:numFmt w:val="lowerLetter"/>
      <w:start w:val="1"/>
    </w:lvl>
    <w:lvl w:ilvl="1">
      <w:lvlJc w:val="left"/>
      <w:lvlText w:val="%2"/>
      <w:numFmt w:val="decimal"/>
      <w:start w:val="432"/>
    </w:lvl>
    <w:lvl w:ilvl="2">
      <w:lvlJc w:val="left"/>
      <w:lvlText w:val="(%3)"/>
      <w:numFmt w:val="lowerRoman"/>
      <w:start w:val="1"/>
    </w:lvl>
  </w:abstractNum>
  <w:abstractNum w:abstractNumId="3">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6"/>
    </w:lvl>
  </w:abstractNum>
  <w:abstractNum w:abstractNumId="4">
    <w:nsid w:val="3006C83E"/>
    <w:multiLevelType w:val="hybridMultilevel"/>
    <w:lvl w:ilvl="0">
      <w:lvlJc w:val="left"/>
      <w:lvlText w:val="(%1)"/>
      <w:numFmt w:val="lowerRoman"/>
      <w:start w:val="9"/>
    </w:lvl>
  </w:abstractNum>
  <w:abstractNum w:abstractNumId="5">
    <w:nsid w:val="614FD4A1"/>
    <w:multiLevelType w:val="hybridMultilevel"/>
    <w:lvl w:ilvl="0">
      <w:lvlJc w:val="left"/>
      <w:lvlText w:val="(%1)"/>
      <w:numFmt w:val="lowerLetter"/>
      <w:start w:val="2"/>
    </w:lvl>
  </w:abstractNum>
  <w:abstractNum w:abstractNumId="6">
    <w:nsid w:val="419AC241"/>
    <w:multiLevelType w:val="hybridMultilevel"/>
    <w:lvl w:ilvl="0">
      <w:lvlJc w:val="left"/>
      <w:lvlText w:val="(%1)"/>
      <w:numFmt w:val="lowerLetter"/>
      <w:start w:val="6"/>
    </w:lvl>
  </w:abstractNum>
  <w:abstractNum w:abstractNumId="7">
    <w:nsid w:val="5577F8E1"/>
    <w:multiLevelType w:val="hybridMultilevel"/>
    <w:lvl w:ilvl="0">
      <w:lvlJc w:val="left"/>
      <w:lvlText w:val="(%1)"/>
      <w:numFmt w:val="lowerLetter"/>
      <w:start w:val="12"/>
    </w:lvl>
  </w:abstractNum>
  <w:abstractNum w:abstractNumId="8">
    <w:nsid w:val="440BADFC"/>
    <w:multiLevelType w:val="hybridMultilevel"/>
    <w:lvl w:ilvl="0">
      <w:lvlJc w:val="left"/>
      <w:lvlText w:val="(%1)"/>
      <w:numFmt w:val="lowerLetter"/>
      <w:start w:val="16"/>
    </w:lvl>
  </w:abstractNum>
  <w:abstractNum w:abstractNumId="9">
    <w:nsid w:val="5072367"/>
    <w:multiLevelType w:val="hybridMultilevel"/>
    <w:lvl w:ilvl="0">
      <w:lvlJc w:val="left"/>
      <w:lvlText w:val="(%1)"/>
      <w:numFmt w:val="lowerLetter"/>
      <w:start w:val="20"/>
    </w:lvl>
  </w:abstractNum>
  <w:abstractNum w:abstractNumId="10">
    <w:nsid w:val="3804823E"/>
    <w:multiLevelType w:val="hybridMultilevel"/>
    <w:lvl w:ilvl="0">
      <w:lvlJc w:val="left"/>
      <w:lvlText w:val="(%1)"/>
      <w:numFmt w:val="lowerLetter"/>
      <w:start w:val="23"/>
    </w:lvl>
  </w:abstractNum>
  <w:abstractNum w:abstractNumId="11">
    <w:nsid w:val="77465F01"/>
    <w:multiLevelType w:val="hybridMultilevel"/>
    <w:lvl w:ilvl="0">
      <w:lvlJc w:val="left"/>
      <w:lvlText w:val="(%1)"/>
      <w:numFmt w:val="lowerLetter"/>
      <w:start w:val="27"/>
    </w:lvl>
  </w:abstractNum>
  <w:abstractNum w:abstractNumId="12">
    <w:nsid w:val="7724C67E"/>
    <w:multiLevelType w:val="hybridMultilevel"/>
    <w:lvl w:ilvl="0">
      <w:lvlJc w:val="left"/>
      <w:lvlText w:val="(%1)"/>
      <w:numFmt w:val="lowerLetter"/>
      <w:start w:val="29"/>
    </w:lvl>
  </w:abstractNum>
  <w:abstractNum w:abstractNumId="13">
    <w:nsid w:val="5C482A97"/>
    <w:multiLevelType w:val="hybridMultilevel"/>
    <w:lvl w:ilvl="0">
      <w:lvlJc w:val="left"/>
      <w:lvlText w:val="(%1)"/>
      <w:numFmt w:val="lowerLetter"/>
      <w:start w:val="34"/>
    </w:lvl>
  </w:abstractNum>
  <w:abstractNum w:abstractNumId="14">
    <w:nsid w:val="2463B9EA"/>
    <w:multiLevelType w:val="hybridMultilevel"/>
    <w:lvl w:ilvl="0">
      <w:lvlJc w:val="left"/>
      <w:lvlText w:val="%1"/>
      <w:numFmt w:val="upperLetter"/>
      <w:start w:val="1"/>
    </w:lvl>
    <w:lvl w:ilvl="1">
      <w:lvlJc w:val="left"/>
      <w:lvlText w:val="(%2)"/>
      <w:numFmt w:val="lowerLetter"/>
      <w:start w:val="38"/>
    </w:lvl>
  </w:abstractNum>
  <w:abstractNum w:abstractNumId="15">
    <w:nsid w:val="5E884ADC"/>
    <w:multiLevelType w:val="hybridMultilevel"/>
    <w:lvl w:ilvl="0">
      <w:lvlJc w:val="left"/>
      <w:lvlText w:val="(%1)"/>
      <w:numFmt w:val="upperLetter"/>
      <w:start w:val="4"/>
    </w:lvl>
    <w:lvl w:ilvl="1">
      <w:lvlJc w:val="left"/>
      <w:lvlText w:val="%2"/>
      <w:numFmt w:val="lowerLetter"/>
      <w:start w:val="1"/>
    </w:lvl>
  </w:abstractNum>
  <w:abstractNum w:abstractNumId="16">
    <w:nsid w:val="51EAD36B"/>
    <w:multiLevelType w:val="hybridMultilevel"/>
    <w:lvl w:ilvl="0">
      <w:lvlJc w:val="left"/>
      <w:lvlText w:val="(%1)"/>
      <w:numFmt w:val="lowerLetter"/>
      <w:start w:val="22"/>
    </w:lvl>
    <w:lvl w:ilvl="1">
      <w:lvlJc w:val="left"/>
      <w:lvlText w:val="(%2)"/>
      <w:numFmt w:val="lowerLetter"/>
      <w:start w:val="40"/>
    </w:lvl>
  </w:abstractNum>
  <w:abstractNum w:abstractNumId="17">
    <w:nsid w:val="2D517796"/>
    <w:multiLevelType w:val="hybridMultilevel"/>
    <w:lvl w:ilvl="0">
      <w:lvlJc w:val="left"/>
      <w:lvlText w:val="(%1)"/>
      <w:numFmt w:val="lowerLetter"/>
      <w:start w:val="48"/>
    </w:lvl>
  </w:abstractNum>
  <w:abstractNum w:abstractNumId="18">
    <w:nsid w:val="580BD78F"/>
    <w:multiLevelType w:val="hybridMultilevel"/>
    <w:lvl w:ilvl="0">
      <w:lvlJc w:val="left"/>
      <w:lvlText w:val="(%1)"/>
      <w:numFmt w:val="lowerLetter"/>
      <w:start w:val="53"/>
    </w:lvl>
  </w:abstractNum>
  <w:abstractNum w:abstractNumId="19">
    <w:nsid w:val="153EA438"/>
    <w:multiLevelType w:val="hybridMultilevel"/>
    <w:lvl w:ilvl="0">
      <w:lvlJc w:val="left"/>
      <w:lvlText w:val="(%1)"/>
      <w:numFmt w:val="lowerLetter"/>
      <w:start w:val="55"/>
    </w:lvl>
  </w:abstractNum>
  <w:abstractNum w:abstractNumId="20">
    <w:nsid w:val="3855585C"/>
    <w:multiLevelType w:val="hybridMultilevel"/>
    <w:lvl w:ilvl="0">
      <w:lvlJc w:val="left"/>
      <w:lvlText w:val="%1"/>
      <w:numFmt w:val="lowerLetter"/>
      <w:start w:val="1"/>
    </w:lvl>
    <w:lvl w:ilvl="1">
      <w:lvlJc w:val="left"/>
      <w:lvlText w:val="(%2)"/>
      <w:numFmt w:val="lowerLetter"/>
      <w:start w:val="57"/>
    </w:lvl>
  </w:abstractNum>
  <w:abstractNum w:abstractNumId="21">
    <w:nsid w:val="70A64E2A"/>
    <w:multiLevelType w:val="hybridMultilevel"/>
    <w:lvl w:ilvl="0">
      <w:lvlJc w:val="left"/>
      <w:lvlText w:val="(%1)"/>
      <w:numFmt w:val="lowerLetter"/>
      <w:start w:val="24"/>
    </w:lvl>
    <w:lvl w:ilvl="1">
      <w:lvlJc w:val="left"/>
      <w:lvlText w:val="(%2)"/>
      <w:numFmt w:val="lowerLetter"/>
      <w:start w:val="59"/>
    </w:lvl>
  </w:abstractNum>
  <w:abstractNum w:abstractNumId="22">
    <w:nsid w:val="6A2342EC"/>
    <w:multiLevelType w:val="hybridMultilevel"/>
    <w:lvl w:ilvl="0">
      <w:lvlJc w:val="left"/>
      <w:lvlText w:val="%1."/>
      <w:numFmt w:val="decimal"/>
      <w:start w:val="2"/>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lowerLetter"/>
      <w:start w:val="10"/>
    </w:lvl>
  </w:abstractNum>
  <w:abstractNum w:abstractNumId="25">
    <w:nsid w:val="725A06FB"/>
    <w:multiLevelType w:val="hybridMultilevel"/>
    <w:lvl w:ilvl="0">
      <w:lvlJc w:val="left"/>
      <w:lvlText w:val="%1"/>
      <w:numFmt w:val="lowerRoman"/>
      <w:start w:val="1"/>
    </w:lvl>
    <w:lvl w:ilvl="1">
      <w:lvlJc w:val="left"/>
      <w:lvlText w:val="(%2)"/>
      <w:numFmt w:val="lowerLetter"/>
      <w:start w:val="15"/>
    </w:lvl>
  </w:abstractNum>
  <w:abstractNum w:abstractNumId="26">
    <w:nsid w:val="2CD89A32"/>
    <w:multiLevelType w:val="hybridMultilevel"/>
    <w:lvl w:ilvl="0">
      <w:lvlJc w:val="left"/>
      <w:lvlText w:val="(%1)"/>
      <w:numFmt w:val="lowerRoman"/>
      <w:start w:val="1"/>
    </w:lvl>
    <w:lvl w:ilvl="1">
      <w:lvlJc w:val="left"/>
      <w:lvlText w:val="%2"/>
      <w:numFmt w:val="lowerLetter"/>
      <w:start w:val="1"/>
    </w:lvl>
  </w:abstractNum>
  <w:abstractNum w:abstractNumId="27">
    <w:nsid w:val="57E4CCAF"/>
    <w:multiLevelType w:val="hybridMultilevel"/>
    <w:lvl w:ilvl="0">
      <w:lvlJc w:val="left"/>
      <w:lvlText w:val="(%1)"/>
      <w:numFmt w:val="lowerRoman"/>
      <w:start w:val="3"/>
    </w:lvl>
    <w:lvl w:ilvl="1">
      <w:lvlJc w:val="left"/>
      <w:lvlText w:val="(%2)"/>
      <w:numFmt w:val="lowerLetter"/>
      <w:start w:val="19"/>
    </w:lvl>
  </w:abstractNum>
  <w:abstractNum w:abstractNumId="28">
    <w:nsid w:val="7A6D8D3C"/>
    <w:multiLevelType w:val="hybridMultilevel"/>
    <w:lvl w:ilvl="0">
      <w:lvlJc w:val="left"/>
      <w:lvlText w:val="%1."/>
      <w:numFmt w:val="decimal"/>
      <w:start w:val="3"/>
    </w:lvl>
  </w:abstractNum>
  <w:abstractNum w:abstractNumId="29">
    <w:nsid w:val="4B588F54"/>
    <w:multiLevelType w:val="hybridMultilevel"/>
    <w:lvl w:ilvl="0">
      <w:lvlJc w:val="left"/>
      <w:lvlText w:val="%1."/>
      <w:numFmt w:val="decimal"/>
      <w:start w:val="4"/>
    </w:lvl>
  </w:abstractNum>
  <w:abstractNum w:abstractNumId="30">
    <w:nsid w:val="542289EC"/>
    <w:multiLevelType w:val="hybridMultilevel"/>
    <w:lvl w:ilvl="0">
      <w:lvlJc w:val="left"/>
      <w:lvlText w:val="%1."/>
      <w:numFmt w:val="decimal"/>
      <w:start w:val="5"/>
    </w:lvl>
  </w:abstractNum>
  <w:abstractNum w:abstractNumId="31">
    <w:nsid w:val="6DE91B18"/>
    <w:multiLevelType w:val="hybridMultilevel"/>
    <w:lvl w:ilvl="0">
      <w:lvlJc w:val="left"/>
      <w:lvlText w:val="(%1)"/>
      <w:numFmt w:val="lowerRoman"/>
      <w:start w:val="1"/>
    </w:lvl>
  </w:abstractNum>
  <w:abstractNum w:abstractNumId="32">
    <w:nsid w:val="38437FDB"/>
    <w:multiLevelType w:val="hybridMultilevel"/>
    <w:lvl w:ilvl="0">
      <w:lvlJc w:val="left"/>
      <w:lvlText w:val="(%1)"/>
      <w:numFmt w:val="lowerRoman"/>
      <w:start w:val="4"/>
    </w:lvl>
  </w:abstractNum>
  <w:abstractNum w:abstractNumId="33">
    <w:nsid w:val="7644A45C"/>
    <w:multiLevelType w:val="hybridMultilevel"/>
    <w:lvl w:ilvl="0">
      <w:lvlJc w:val="left"/>
      <w:lvlText w:val="(%1)"/>
      <w:numFmt w:val="lowerRoman"/>
      <w:start w:val="8"/>
    </w:lvl>
  </w:abstractNum>
  <w:abstractNum w:abstractNumId="34">
    <w:nsid w:val="32FFF902"/>
    <w:multiLevelType w:val="hybridMultilevel"/>
    <w:lvl w:ilvl="0">
      <w:lvlJc w:val="left"/>
      <w:lvlText w:val="(%1)"/>
      <w:numFmt w:val="lowerRoman"/>
      <w:start w:val="11"/>
    </w:lvl>
  </w:abstractNum>
  <w:abstractNum w:abstractNumId="35">
    <w:nsid w:val="684A481A"/>
    <w:multiLevelType w:val="hybridMultilevel"/>
    <w:lvl w:ilvl="0">
      <w:lvlJc w:val="left"/>
      <w:lvlText w:val="(%1)"/>
      <w:numFmt w:val="lowerLetter"/>
      <w:start w:val="2"/>
    </w:lvl>
  </w:abstractNum>
  <w:abstractNum w:abstractNumId="36">
    <w:nsid w:val="579478FE"/>
    <w:multiLevelType w:val="hybridMultilevel"/>
    <w:lvl w:ilvl="0">
      <w:lvlJc w:val="left"/>
      <w:lvlText w:val="%1."/>
      <w:numFmt w:val="decimal"/>
      <w:start w:val="6"/>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decimal"/>
      <w:start w:val="7"/>
    </w:lvl>
  </w:abstractNum>
  <w:abstractNum w:abstractNumId="39">
    <w:nsid w:val="1BA026FA"/>
    <w:multiLevelType w:val="hybridMultilevel"/>
    <w:lvl w:ilvl="0">
      <w:lvlJc w:val="left"/>
      <w:lvlText w:val="%1."/>
      <w:numFmt w:val="decimal"/>
      <w:start w:val="8"/>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4"/>
    </w:lvl>
  </w:abstractNum>
  <w:abstractNum w:abstractNumId="42">
    <w:nsid w:val="12E685FB"/>
    <w:multiLevelType w:val="hybridMultilevel"/>
    <w:lvl w:ilvl="0">
      <w:lvlJc w:val="left"/>
      <w:lvlText w:val="(%1)"/>
      <w:numFmt w:val="lowerRoman"/>
      <w:start w:val="1"/>
    </w:lvl>
    <w:lvl w:ilvl="1">
      <w:lvlJc w:val="left"/>
      <w:lvlText w:val="(%2)"/>
      <w:numFmt w:val="lowerRoman"/>
      <w:start w:val="1"/>
    </w:lvl>
  </w:abstractNum>
  <w:abstractNum w:abstractNumId="43">
    <w:nsid w:val="70C6A529"/>
    <w:multiLevelType w:val="hybridMultilevel"/>
    <w:lvl w:ilvl="0">
      <w:lvlJc w:val="left"/>
      <w:lvlText w:val="(%1)"/>
      <w:numFmt w:val="lowerLetter"/>
      <w:start w:val="10"/>
    </w:lvl>
  </w:abstractNum>
  <w:abstractNum w:abstractNumId="44">
    <w:nsid w:val="520EEDD1"/>
    <w:multiLevelType w:val="hybridMultilevel"/>
    <w:lvl w:ilvl="0">
      <w:lvlJc w:val="left"/>
      <w:lvlText w:val="%1"/>
      <w:numFmt w:val="upperLetter"/>
      <w:start w:val="1"/>
    </w:lvl>
    <w:lvl w:ilvl="1">
      <w:lvlJc w:val="left"/>
      <w:lvlText w:val="(%2)"/>
      <w:numFmt w:val="lowerLetter"/>
      <w:start w:val="13"/>
    </w:lvl>
  </w:abstractNum>
  <w:abstractNum w:abstractNumId="45">
    <w:nsid w:val="374A3FE6"/>
    <w:multiLevelType w:val="hybridMultilevel"/>
    <w:lvl w:ilvl="0">
      <w:lvlJc w:val="left"/>
      <w:lvlText w:val="%1."/>
      <w:numFmt w:val="decimal"/>
      <w:start w:val="9"/>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2"/>
    </w:lvl>
  </w:abstractNum>
  <w:abstractNum w:abstractNumId="48">
    <w:nsid w:val="649BB77C"/>
    <w:multiLevelType w:val="hybridMultilevel"/>
    <w:lvl w:ilvl="0">
      <w:lvlJc w:val="left"/>
      <w:lvlText w:val="(%1)"/>
      <w:numFmt w:val="lowerLetter"/>
      <w:start w:val="3"/>
    </w:lvl>
  </w:abstractNum>
  <w:abstractNum w:abstractNumId="49">
    <w:nsid w:val="275AC794"/>
    <w:multiLevelType w:val="hybridMultilevel"/>
    <w:lvl w:ilvl="0">
      <w:lvlJc w:val="left"/>
      <w:lvlText w:val="(%1)"/>
      <w:numFmt w:val="lowerLetter"/>
      <w:start w:val="4"/>
    </w:lvl>
  </w:abstractNum>
  <w:abstractNum w:abstractNumId="50">
    <w:nsid w:val="39386575"/>
    <w:multiLevelType w:val="hybridMultilevel"/>
    <w:lvl w:ilvl="0">
      <w:lvlJc w:val="left"/>
      <w:lvlText w:val="(%1)"/>
      <w:numFmt w:val="lowerLetter"/>
      <w:start w:val="5"/>
    </w:lvl>
  </w:abstractNum>
  <w:abstractNum w:abstractNumId="51">
    <w:nsid w:val="1CF10FD8"/>
    <w:multiLevelType w:val="hybridMultilevel"/>
    <w:lvl w:ilvl="0">
      <w:lvlJc w:val="left"/>
      <w:lvlText w:val="(%1)"/>
      <w:numFmt w:val="lowerLetter"/>
      <w:start w:val="6"/>
    </w:lvl>
  </w:abstractNum>
  <w:abstractNum w:abstractNumId="52">
    <w:nsid w:val="180115BE"/>
    <w:multiLevelType w:val="hybridMultilevel"/>
    <w:lvl w:ilvl="0">
      <w:lvlJc w:val="left"/>
      <w:lvlText w:val="%1."/>
      <w:numFmt w:val="decimal"/>
      <w:start w:val="10"/>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3"/>
    </w:lvl>
  </w:abstractNum>
  <w:abstractNum w:abstractNumId="55">
    <w:nsid w:val="354FE9F9"/>
    <w:multiLevelType w:val="hybridMultilevel"/>
    <w:lvl w:ilvl="0">
      <w:lvlJc w:val="left"/>
      <w:lvlText w:val="%1."/>
      <w:numFmt w:val="decimal"/>
      <w:start w:val="11"/>
    </w:lvl>
  </w:abstractNum>
  <w:abstractNum w:abstractNumId="56">
    <w:nsid w:val="15B5AF5C"/>
    <w:multiLevelType w:val="hybridMultilevel"/>
    <w:lvl w:ilvl="0">
      <w:lvlJc w:val="left"/>
      <w:lvlText w:val="%1."/>
      <w:numFmt w:val="decimal"/>
      <w:start w:val="14"/>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lowerLetter"/>
      <w:start w:val="2"/>
    </w:lvl>
  </w:abstractNum>
  <w:abstractNum w:abstractNumId="59">
    <w:nsid w:val="10233C99"/>
    <w:multiLevelType w:val="hybridMultilevel"/>
    <w:lvl w:ilvl="0">
      <w:lvlJc w:val="left"/>
      <w:lvlText w:val="%1."/>
      <w:numFmt w:val="decimal"/>
      <w:start w:val="16"/>
    </w:lvl>
  </w:abstractNum>
  <w:abstractNum w:abstractNumId="60">
    <w:nsid w:val="3F6AB60F"/>
    <w:multiLevelType w:val="hybridMultilevel"/>
    <w:lvl w:ilvl="0">
      <w:lvlJc w:val="left"/>
      <w:lvlText w:val="%1"/>
      <w:numFmt w:val="lowerLetter"/>
      <w:start w:val="1"/>
    </w:lvl>
    <w:lvl w:ilvl="1">
      <w:lvlJc w:val="left"/>
      <w:lvlText w:val="%2."/>
      <w:numFmt w:val="decimal"/>
      <w:start w:val="19"/>
    </w:lvl>
  </w:abstractNum>
  <w:abstractNum w:abstractNumId="61">
    <w:nsid w:val="61574095"/>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2023-12-14T15:19:12Z</dcterms:created>
  <dcterms:modified xsi:type="dcterms:W3CDTF">2023-12-14T15:19:12Z</dcterms:modified>
</cp:coreProperties>
</file>