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4928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928870"/>
                    </a:xfrm>
                    <a:prstGeom prst="rect">
                      <a:avLst/>
                    </a:prstGeom>
                    <a:noFill/>
                  </pic:spPr>
                </pic:pic>
              </a:graphicData>
            </a:graphic>
          </wp:anchor>
        </w:drawing>
      </w:r>
    </w:p>
    <w:p>
      <w:pPr>
        <w:spacing w:after="0" w:line="1197"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Zubeck Daniel Torque</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100"/>
        <w:spacing w:after="0" w:line="366" w:lineRule="auto"/>
        <w:rPr>
          <w:sz w:val="20"/>
          <w:szCs w:val="20"/>
          <w:color w:val="auto"/>
        </w:rPr>
      </w:pPr>
      <w:r>
        <w:rPr>
          <w:rFonts w:ascii="Times New Roman" w:cs="Times New Roman" w:eastAsia="Times New Roman" w:hAnsi="Times New Roman"/>
          <w:sz w:val="16"/>
          <w:szCs w:val="16"/>
          <w:color w:val="0000FF"/>
        </w:rPr>
        <w:t>C/O SUN COUNTRY AIRLINES HOLDINGS, INC. 2005 CARGO ROAD</w:t>
      </w: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MINNEAPOLIS</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MN</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55450</w:t>
            </w:r>
          </w:p>
        </w:tc>
      </w:tr>
      <w:tr>
        <w:trPr>
          <w:trHeight w:val="144"/>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Sun Country Airlines Holdings, LLC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60" w:type="dxa"/>
            <w:vAlign w:val="bottom"/>
            <w:shd w:val="clear" w:color="auto" w:fill="0000EE"/>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1"/>
        </w:trPr>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20"/>
              <w:spacing w:after="0"/>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76"/>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3120" w:type="dxa"/>
            <w:vAlign w:val="bottom"/>
            <w:gridSpan w:val="2"/>
          </w:tcPr>
          <w:p>
            <w:pPr>
              <w:ind w:left="460"/>
              <w:spacing w:after="0" w:line="176" w:lineRule="exact"/>
              <w:rPr>
                <w:sz w:val="20"/>
                <w:szCs w:val="20"/>
                <w:color w:val="auto"/>
              </w:rPr>
            </w:pPr>
            <w:r>
              <w:rPr>
                <w:rFonts w:ascii="Times New Roman" w:cs="Times New Roman" w:eastAsia="Times New Roman" w:hAnsi="Times New Roman"/>
                <w:sz w:val="16"/>
                <w:szCs w:val="16"/>
                <w:color w:val="0000FF"/>
              </w:rPr>
              <w:t>SVP &amp; Chief Financial Officer</w:t>
            </w:r>
          </w:p>
        </w:tc>
        <w:tc>
          <w:tcPr>
            <w:tcW w:w="0" w:type="dxa"/>
            <w:vAlign w:val="bottom"/>
          </w:tcPr>
          <w:p>
            <w:pPr>
              <w:spacing w:after="0"/>
              <w:rPr>
                <w:sz w:val="1"/>
                <w:szCs w:val="1"/>
                <w:color w:val="auto"/>
              </w:rPr>
            </w:pPr>
          </w:p>
        </w:tc>
      </w:tr>
      <w:tr>
        <w:trPr>
          <w:trHeight w:val="214"/>
        </w:trPr>
        <w:tc>
          <w:tcPr>
            <w:tcW w:w="3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05/13/2026</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12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0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420" w:type="dxa"/>
            <w:vAlign w:val="bottom"/>
          </w:tcPr>
          <w:p>
            <w:pPr>
              <w:spacing w:after="0"/>
              <w:rPr>
                <w:sz w:val="13"/>
                <w:szCs w:val="13"/>
                <w:color w:val="auto"/>
              </w:rPr>
            </w:pPr>
          </w:p>
        </w:tc>
        <w:tc>
          <w:tcPr>
            <w:tcW w:w="210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40" w:type="dxa"/>
            <w:vAlign w:val="bottom"/>
            <w:gridSpan w:val="4"/>
          </w:tcPr>
          <w:p>
            <w:pPr>
              <w:ind w:left="10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(D) (Instr. 3, 4 and 5)</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6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gridSpan w:val="4"/>
          </w:tcPr>
          <w:p>
            <w:pPr>
              <w:ind w:left="100"/>
              <w:spacing w:after="0"/>
              <w:rPr>
                <w:sz w:val="20"/>
                <w:szCs w:val="20"/>
                <w:color w:val="auto"/>
              </w:rPr>
            </w:pPr>
            <w:r>
              <w:rPr>
                <w:rFonts w:ascii="Arial" w:cs="Arial" w:eastAsia="Arial" w:hAnsi="Arial"/>
                <w:sz w:val="11"/>
                <w:szCs w:val="11"/>
                <w:b w:val="1"/>
                <w:bCs w:val="1"/>
                <w:color w:val="auto"/>
              </w:rPr>
              <w:t>(Month/Day/Year)</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42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V</w:t>
            </w:r>
          </w:p>
        </w:tc>
        <w:tc>
          <w:tcPr>
            <w:tcW w:w="8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center"/>
              <w:ind w:right="96"/>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6"/>
                <w:szCs w:val="16"/>
                <w:color w:val="0000FF"/>
              </w:rPr>
              <w:t>05/13/2026</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D</w:t>
            </w:r>
          </w:p>
        </w:tc>
        <w:tc>
          <w:tcPr>
            <w:tcW w:w="4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40"/>
              <w:spacing w:after="0" w:line="301" w:lineRule="exact"/>
              <w:rPr>
                <w:sz w:val="20"/>
                <w:szCs w:val="20"/>
                <w:color w:val="auto"/>
              </w:rPr>
            </w:pPr>
            <w:r>
              <w:rPr>
                <w:rFonts w:ascii="Times New Roman" w:cs="Times New Roman" w:eastAsia="Times New Roman" w:hAnsi="Times New Roman"/>
                <w:sz w:val="32"/>
                <w:szCs w:val="32"/>
                <w:color w:val="0000FF"/>
                <w:w w:val="89"/>
                <w:vertAlign w:val="subscript"/>
              </w:rPr>
              <w:t>80,048</w:t>
            </w:r>
            <w:r>
              <w:rPr>
                <w:rFonts w:ascii="Times New Roman" w:cs="Times New Roman" w:eastAsia="Times New Roman" w:hAnsi="Times New Roman"/>
                <w:sz w:val="10"/>
                <w:szCs w:val="10"/>
                <w:color w:val="008000"/>
                <w:w w:val="89"/>
              </w:rPr>
              <w:t>(1)(2)(3)(4)</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58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0"/>
                <w:szCs w:val="10"/>
                <w:color w:val="008000"/>
              </w:rPr>
              <w:t>(1)(2)(3)(4)</w:t>
            </w:r>
          </w:p>
        </w:tc>
        <w:tc>
          <w:tcPr>
            <w:tcW w:w="6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6"/>
                <w:szCs w:val="16"/>
                <w:color w:val="0000FF"/>
                <w:w w:val="74"/>
              </w:rPr>
              <w:t>0</w:t>
            </w: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gridSpan w:val="13"/>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600" w:type="dxa"/>
            <w:vAlign w:val="bottom"/>
            <w:gridSpan w:val="3"/>
          </w:tcPr>
          <w:p>
            <w:pPr>
              <w:ind w:left="2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600" w:type="dxa"/>
            <w:vAlign w:val="bottom"/>
            <w:gridSpan w:val="3"/>
          </w:tcPr>
          <w:p>
            <w:pPr>
              <w:ind w:left="2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600" w:type="dxa"/>
            <w:vAlign w:val="bottom"/>
            <w:gridSpan w:val="3"/>
          </w:tcPr>
          <w:p>
            <w:pPr>
              <w:ind w:left="2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Acquired (A) or</w:t>
            </w: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w:t>
            </w: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220"/>
              <w:spacing w:after="0"/>
              <w:rPr>
                <w:sz w:val="20"/>
                <w:szCs w:val="20"/>
                <w:color w:val="auto"/>
              </w:rPr>
            </w:pPr>
            <w:r>
              <w:rPr>
                <w:rFonts w:ascii="Arial" w:cs="Arial" w:eastAsia="Arial" w:hAnsi="Arial"/>
                <w:sz w:val="11"/>
                <w:szCs w:val="11"/>
                <w:b w:val="1"/>
                <w:bCs w:val="1"/>
                <w:color w:val="auto"/>
              </w:rPr>
              <w:t>Date</w:t>
            </w:r>
          </w:p>
        </w:tc>
        <w:tc>
          <w:tcPr>
            <w:tcW w:w="860" w:type="dxa"/>
            <w:vAlign w:val="bottom"/>
          </w:tcPr>
          <w:p>
            <w:pPr>
              <w:ind w:left="2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1600" w:type="dxa"/>
            <w:vAlign w:val="bottom"/>
            <w:gridSpan w:val="3"/>
          </w:tcPr>
          <w:p>
            <w:pPr>
              <w:ind w:left="220"/>
              <w:spacing w:after="0"/>
              <w:rPr>
                <w:sz w:val="20"/>
                <w:szCs w:val="20"/>
                <w:color w:val="auto"/>
              </w:rPr>
            </w:pPr>
            <w:r>
              <w:rPr>
                <w:rFonts w:ascii="Arial" w:cs="Arial" w:eastAsia="Arial" w:hAnsi="Arial"/>
                <w:sz w:val="11"/>
                <w:szCs w:val="11"/>
                <w:b w:val="1"/>
                <w:bCs w:val="1"/>
                <w:color w:val="auto"/>
              </w:rPr>
              <w:t>Exercisable  Date</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(1)(2)(5)</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(1)(2)(5)</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(1)(2)(5)</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15,097</w:t>
            </w:r>
          </w:p>
        </w:tc>
        <w:tc>
          <w:tcPr>
            <w:tcW w:w="60" w:type="dxa"/>
            <w:vAlign w:val="bottom"/>
          </w:tcPr>
          <w:p>
            <w:pPr>
              <w:spacing w:after="0"/>
              <w:rPr>
                <w:sz w:val="15"/>
                <w:szCs w:val="15"/>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008000"/>
              </w:rPr>
              <w:t>(1)(2)(5)</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continue"/>
          </w:tcPr>
          <w:p>
            <w:pPr>
              <w:spacing w:after="0"/>
              <w:rPr>
                <w:sz w:val="10"/>
                <w:szCs w:val="10"/>
                <w:color w:val="auto"/>
              </w:rPr>
            </w:pPr>
          </w:p>
        </w:tc>
        <w:tc>
          <w:tcPr>
            <w:tcW w:w="1020" w:type="dxa"/>
            <w:vAlign w:val="bottom"/>
          </w:tcPr>
          <w:p>
            <w:pPr>
              <w:jc w:val="right"/>
              <w:ind w:right="141"/>
              <w:spacing w:after="0" w:line="126" w:lineRule="exact"/>
              <w:rPr>
                <w:sz w:val="20"/>
                <w:szCs w:val="20"/>
                <w:color w:val="auto"/>
              </w:rPr>
            </w:pPr>
            <w:r>
              <w:rPr>
                <w:rFonts w:ascii="Times New Roman" w:cs="Times New Roman" w:eastAsia="Times New Roman" w:hAnsi="Times New Roman"/>
                <w:sz w:val="13"/>
                <w:szCs w:val="13"/>
                <w:color w:val="0000FF"/>
              </w:rPr>
              <w:t>05/13/2026</w:t>
            </w:r>
          </w:p>
        </w:tc>
        <w:tc>
          <w:tcPr>
            <w:tcW w:w="1100" w:type="dxa"/>
            <w:vAlign w:val="bottom"/>
          </w:tcPr>
          <w:p>
            <w:pPr>
              <w:spacing w:after="0"/>
              <w:rPr>
                <w:sz w:val="10"/>
                <w:szCs w:val="10"/>
                <w:color w:val="auto"/>
              </w:rPr>
            </w:pPr>
          </w:p>
        </w:tc>
        <w:tc>
          <w:tcPr>
            <w:tcW w:w="46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320" w:type="dxa"/>
            <w:vAlign w:val="bottom"/>
          </w:tcPr>
          <w:p>
            <w:pPr>
              <w:spacing w:after="0"/>
              <w:rPr>
                <w:sz w:val="10"/>
                <w:szCs w:val="10"/>
                <w:color w:val="auto"/>
              </w:rPr>
            </w:pPr>
          </w:p>
        </w:tc>
        <w:tc>
          <w:tcPr>
            <w:tcW w:w="50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0000FF"/>
              </w:rPr>
              <w:t>15,097</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0000FF"/>
              </w:rPr>
              <w:t>15,097</w:t>
            </w:r>
          </w:p>
        </w:tc>
        <w:tc>
          <w:tcPr>
            <w:tcW w:w="26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116"/>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(1)(2)(5)</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(1)(2)(5)</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(1)(2)(5)</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15,097</w:t>
            </w:r>
          </w:p>
        </w:tc>
        <w:tc>
          <w:tcPr>
            <w:tcW w:w="60" w:type="dxa"/>
            <w:vAlign w:val="bottom"/>
          </w:tcPr>
          <w:p>
            <w:pPr>
              <w:spacing w:after="0"/>
              <w:rPr>
                <w:sz w:val="15"/>
                <w:szCs w:val="15"/>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008000"/>
              </w:rPr>
              <w:t>(1)(2)(5)</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continue"/>
          </w:tcPr>
          <w:p>
            <w:pPr>
              <w:spacing w:after="0"/>
              <w:rPr>
                <w:sz w:val="10"/>
                <w:szCs w:val="10"/>
                <w:color w:val="auto"/>
              </w:rPr>
            </w:pPr>
          </w:p>
        </w:tc>
        <w:tc>
          <w:tcPr>
            <w:tcW w:w="1020" w:type="dxa"/>
            <w:vAlign w:val="bottom"/>
          </w:tcPr>
          <w:p>
            <w:pPr>
              <w:jc w:val="right"/>
              <w:ind w:right="141"/>
              <w:spacing w:after="0" w:line="126" w:lineRule="exact"/>
              <w:rPr>
                <w:sz w:val="20"/>
                <w:szCs w:val="20"/>
                <w:color w:val="auto"/>
              </w:rPr>
            </w:pPr>
            <w:r>
              <w:rPr>
                <w:rFonts w:ascii="Times New Roman" w:cs="Times New Roman" w:eastAsia="Times New Roman" w:hAnsi="Times New Roman"/>
                <w:sz w:val="13"/>
                <w:szCs w:val="13"/>
                <w:color w:val="0000FF"/>
              </w:rPr>
              <w:t>05/13/2026</w:t>
            </w:r>
          </w:p>
        </w:tc>
        <w:tc>
          <w:tcPr>
            <w:tcW w:w="1100" w:type="dxa"/>
            <w:vAlign w:val="bottom"/>
          </w:tcPr>
          <w:p>
            <w:pPr>
              <w:spacing w:after="0"/>
              <w:rPr>
                <w:sz w:val="10"/>
                <w:szCs w:val="10"/>
                <w:color w:val="auto"/>
              </w:rPr>
            </w:pPr>
          </w:p>
        </w:tc>
        <w:tc>
          <w:tcPr>
            <w:tcW w:w="46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15,097</w:t>
            </w:r>
          </w:p>
        </w:tc>
        <w:tc>
          <w:tcPr>
            <w:tcW w:w="4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80" w:type="dxa"/>
            <w:vAlign w:val="bottom"/>
          </w:tcPr>
          <w:p>
            <w:pPr>
              <w:jc w:val="right"/>
              <w:ind w:right="82"/>
              <w:spacing w:after="0" w:line="126"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116"/>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-2144395</wp:posOffset>
            </wp:positionV>
            <wp:extent cx="28575" cy="2149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4947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20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13, 2026, pursuant to the Agreement and Plan of Merger (the "Merger Agreement"), dated as of January 11, 2026, by and among Sun Country Airlines Holdings, Inc. ("Sun Country" ), Allegiant Travel Company ("Allegiant"), Mirage Merger Sub, Inc. ("Merger Sub 1") and a direct wholly owned subsidiary of Allegiant, Sawdust Merger Sub, LLC ("Merger Sub 2"), a direct wholly owned subsidiary of Allegiant: (a) Merger Sub 1 merged with and into Sun Country (the "First Merger"), with Sun Country surviving the First Merger as a direct wholly owned subsidiary of Allegiant and (b) immediately after the First Merger, Sun Country merged with and into Merger Sub 2, with Merger Sub 2 surviving as a direct, wholly owned subsidiary of Allegiant (the "Second Merger" and, together with the First Merger, the "Mergers"). All terms capitalized but not defined herein shall have the meaning given to them in the Merger Agreement.</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Following consummation of the Mergers, Sun Country Airlines Holdings, Inc. is now known as Sun Country Airlines Holdings, LLC.</w:t>
      </w:r>
    </w:p>
    <w:p>
      <w:pPr>
        <w:spacing w:after="0" w:line="39" w:lineRule="exact"/>
        <w:rPr>
          <w:rFonts w:ascii="Times New Roman" w:cs="Times New Roman" w:eastAsia="Times New Roman" w:hAnsi="Times New Roman"/>
          <w:sz w:val="13"/>
          <w:szCs w:val="13"/>
          <w:color w:val="008000"/>
        </w:rPr>
      </w:pPr>
    </w:p>
    <w:p>
      <w:pPr>
        <w:ind w:left="40" w:right="24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each outstanding Sun Country restricted stock unit award ("Company RSU Award") consisting of 80,048 restricted stock units previously granted to the reporting person, which, as of immediately prior to the effective time of the First Merger (the "First Effective Time"), was assumed and converted into an Allegiant restricted stock unit award ("Parent RSU Award") covering a number of shares of Allegiant common stock ("Parent Shares"), par value $0.001 per share, equal to the product of (x) the number of shares of Sun Country common stock, par value $0.01 per share ("Company Shares") underlying such Company RSU Award and (y) the quotient obtained by dividing the Merger Consideration Closing Value by the Parent Measurement Price, rounded down to the nearest whole share.</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Parent RSU Awards will continue to have the same terms and conditions as the Company RSU Awards, including any double-trigger vesting protections.</w:t>
      </w:r>
    </w:p>
    <w:p>
      <w:pPr>
        <w:spacing w:after="0" w:line="39" w:lineRule="exact"/>
        <w:rPr>
          <w:rFonts w:ascii="Times New Roman" w:cs="Times New Roman" w:eastAsia="Times New Roman" w:hAnsi="Times New Roman"/>
          <w:sz w:val="13"/>
          <w:szCs w:val="13"/>
          <w:color w:val="008000"/>
        </w:rPr>
      </w:pPr>
    </w:p>
    <w:p>
      <w:pPr>
        <w:ind w:left="40" w:right="14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each outstanding Sun Country performance-based restricted stock unit award ("Company PRSU Award") previously granted to the reporting person, which, as of immediately prior to the First Effective Time, was assumed and converted into an Allegiant time-based restricted stock unit award ("Parent PRSU Award"), covering a number of Parent Shares equal to the quotient obtained by dividing (i) the product of (A) the number of Company Shares underlying such Company PRSU Award (deemed to be equal to 125% of the 'target' amount granted) and (B) the Merger Consideration Closing Value, by (ii) the Parent Measurement Price, rounded down to the nearest whole share. The Parent PRSU Awards will continue to have the same terms and conditions as the Company PRSU Awards, including any double-trigger vesting protections, but not any performance-based vesting conditions.</w:t>
      </w:r>
    </w:p>
    <w:p>
      <w:pPr>
        <w:spacing w:after="0" w:line="4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Rose Neale, as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05/15/2026</w:t>
            </w: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980" w:type="dxa"/>
            <w:vAlign w:val="bottom"/>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fact for Daniel Torque Zubeck</w:t>
            </w:r>
          </w:p>
        </w:tc>
        <w:tc>
          <w:tcPr>
            <w:tcW w:w="2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80" w:type="dxa"/>
            <w:vAlign w:val="bottom"/>
            <w:tcBorders>
              <w:bottom w:val="single" w:sz="8" w:color="auto"/>
            </w:tcBorders>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5320"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2026-05-15T19:29:55Z</dcterms:created>
  <dcterms:modified xsi:type="dcterms:W3CDTF">2026-05-15T19:29:55Z</dcterms:modified>
</cp:coreProperties>
</file>