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Date of Report (Date of earliest event reported): May 5, 2021</w:t>
      </w:r>
    </w:p>
    <w:p>
      <w:pPr>
        <w:spacing w:after="0" w:line="248"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SUN COUNTRY AIRLINES HOLDINGS, INC.</w:t>
      </w:r>
    </w:p>
    <w:p>
      <w:pPr>
        <w:spacing w:after="0" w:line="27"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675" w:right="339" w:bottom="1440" w:gutter="0" w:footer="0" w:header="0"/>
        </w:sectPr>
      </w:pPr>
    </w:p>
    <w:p>
      <w:pPr>
        <w:spacing w:after="0" w:line="207"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500"/>
        <w:spacing w:after="0"/>
        <w:rPr>
          <w:sz w:val="20"/>
          <w:szCs w:val="20"/>
          <w:color w:val="auto"/>
        </w:rPr>
      </w:pPr>
      <w:r>
        <w:rPr>
          <w:rFonts w:ascii="Arial" w:cs="Arial" w:eastAsia="Arial" w:hAnsi="Arial"/>
          <w:sz w:val="18"/>
          <w:szCs w:val="18"/>
          <w:color w:val="auto"/>
        </w:rPr>
        <w:t>(State of</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6"/>
          <w:szCs w:val="16"/>
          <w:color w:val="auto"/>
        </w:rPr>
        <w:t>Incorporation)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001-40217</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82-4092570</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440" w:space="720"/>
            <w:col w:w="2900" w:space="720"/>
            <w:col w:w="2460"/>
          </w:cols>
          <w:pgMar w:left="320" w:top="675" w:right="339" w:bottom="1440" w:gutter="0" w:footer="0" w:header="0"/>
          <w:type w:val="continuous"/>
        </w:sectPr>
      </w:pPr>
    </w:p>
    <w:p>
      <w:pPr>
        <w:spacing w:after="0" w:line="18"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2005 Cargo Road</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Minneapolis, MN</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55450</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675"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(651) 681-3900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8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14"/>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93"/>
              </w:rPr>
              <w:t>Trading</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780" w:type="dxa"/>
            <w:vAlign w:val="bottom"/>
            <w:gridSpan w:val="3"/>
          </w:tcPr>
          <w:p>
            <w:pPr>
              <w:jc w:val="center"/>
              <w:ind w:right="940"/>
              <w:spacing w:after="0"/>
              <w:rPr>
                <w:sz w:val="20"/>
                <w:szCs w:val="20"/>
                <w:color w:val="auto"/>
              </w:rPr>
            </w:pPr>
            <w:r>
              <w:rPr>
                <w:rFonts w:ascii="Arial" w:cs="Arial" w:eastAsia="Arial" w:hAnsi="Arial"/>
                <w:sz w:val="18"/>
                <w:szCs w:val="18"/>
                <w:b w:val="1"/>
                <w:bCs w:val="1"/>
                <w:color w:val="auto"/>
                <w:w w:val="87"/>
              </w:rPr>
              <w:t>Title of each class</w:t>
            </w:r>
          </w:p>
        </w:tc>
        <w:tc>
          <w:tcPr>
            <w:tcW w:w="300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89"/>
              </w:rPr>
              <w:t>Symbol(s)</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4"/>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880" w:type="dxa"/>
            <w:vAlign w:val="bottom"/>
            <w:tcBorders>
              <w:top w:val="single" w:sz="8" w:color="auto"/>
            </w:tcBorders>
          </w:tcPr>
          <w:p>
            <w:pPr>
              <w:jc w:val="center"/>
              <w:ind w:right="750"/>
              <w:spacing w:after="0"/>
              <w:rPr>
                <w:sz w:val="20"/>
                <w:szCs w:val="20"/>
                <w:color w:val="auto"/>
              </w:rPr>
            </w:pPr>
            <w:r>
              <w:rPr>
                <w:rFonts w:ascii="Arial" w:cs="Arial" w:eastAsia="Arial" w:hAnsi="Arial"/>
                <w:sz w:val="18"/>
                <w:szCs w:val="18"/>
                <w:color w:val="auto"/>
                <w:w w:val="95"/>
              </w:rPr>
              <w:t>SNCY</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553720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May 5, 2021, Sun Country Airlines Holdings, Inc. issued a press release announcing its financial results for the fiscal quarter ended March 31, 2021. A copy of the press release is attached hereto as Exhibit 99.1 and incorporated by reference herein.</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information contained in this report,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filings, unless expressly incorporated by specific reference in such filing.</w:t>
      </w:r>
    </w:p>
    <w:p>
      <w:pPr>
        <w:spacing w:after="0" w:line="29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7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36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4"/>
                <w:szCs w:val="14"/>
                <w:color w:val="auto"/>
              </w:rPr>
            </w:pPr>
          </w:p>
        </w:tc>
        <w:tc>
          <w:tcPr>
            <w:tcW w:w="9760" w:type="dxa"/>
            <w:vAlign w:val="bottom"/>
            <w:tcBorders>
              <w:top w:val="single" w:sz="8" w:color="auto"/>
            </w:tcBorders>
            <w:gridSpan w:val="2"/>
          </w:tcPr>
          <w:p>
            <w:pPr>
              <w:spacing w:after="0" w:line="169"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dated May 5, 2021</w:t>
              </w:r>
            </w:hyperlink>
          </w:p>
        </w:tc>
      </w:tr>
      <w:tr>
        <w:trPr>
          <w:trHeight w:val="811"/>
        </w:trPr>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60" w:type="dxa"/>
            <w:vAlign w:val="bottom"/>
            <w:tcBorders>
              <w:top w:val="single" w:sz="8" w:color="0000EE"/>
              <w:bottom w:val="single" w:sz="8" w:color="auto"/>
            </w:tcBorders>
          </w:tcPr>
          <w:p>
            <w:pPr>
              <w:spacing w:after="0"/>
              <w:rPr>
                <w:sz w:val="24"/>
                <w:szCs w:val="24"/>
                <w:color w:val="auto"/>
              </w:rPr>
            </w:pPr>
          </w:p>
        </w:tc>
        <w:tc>
          <w:tcPr>
            <w:tcW w:w="7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90"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May 5, 2021</w:t>
      </w:r>
      <w:r>
        <w:rPr>
          <w:sz w:val="20"/>
          <w:szCs w:val="20"/>
          <w:color w:val="auto"/>
        </w:rPr>
        <w:tab/>
      </w:r>
      <w:r>
        <w:rPr>
          <w:rFonts w:ascii="Arial" w:cs="Arial" w:eastAsia="Arial" w:hAnsi="Arial"/>
          <w:sz w:val="16"/>
          <w:szCs w:val="16"/>
          <w:b w:val="1"/>
          <w:bCs w:val="1"/>
          <w:color w:val="auto"/>
        </w:rPr>
        <w:t>Sun Country Airlines Holdings, Inc.</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Eric Levenhagen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Eric Levenhagen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Administrative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ind w:left="10140"/>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172720</wp:posOffset>
            </wp:positionV>
            <wp:extent cx="2254250" cy="908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542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Sun Country Airlines Reports First Quarter 2021 Results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Q1 2021 GAAP EPS of $0.24 and operating income of $25 million</w:t>
      </w:r>
    </w:p>
    <w:p>
      <w:pPr>
        <w:jc w:val="center"/>
        <w:spacing w:after="0"/>
        <w:rPr>
          <w:sz w:val="20"/>
          <w:szCs w:val="20"/>
          <w:color w:val="auto"/>
        </w:rPr>
      </w:pPr>
      <w:r>
        <w:rPr>
          <w:rFonts w:ascii="Arial" w:cs="Arial" w:eastAsia="Arial" w:hAnsi="Arial"/>
          <w:sz w:val="18"/>
          <w:szCs w:val="18"/>
          <w:b w:val="1"/>
          <w:bCs w:val="1"/>
          <w:color w:val="auto"/>
        </w:rPr>
        <w:t>Q1 2021 Adjusted EPS of ($0.09)</w:t>
      </w:r>
      <w:r>
        <w:rPr>
          <w:rFonts w:ascii="Arial" w:cs="Arial" w:eastAsia="Arial" w:hAnsi="Arial"/>
          <w:sz w:val="29"/>
          <w:szCs w:val="29"/>
          <w:b w:val="1"/>
          <w:bCs w:val="1"/>
          <w:color w:val="auto"/>
          <w:vertAlign w:val="superscript"/>
        </w:rPr>
        <w:t>(1)</w:t>
      </w:r>
      <w:r>
        <w:rPr>
          <w:rFonts w:ascii="Arial" w:cs="Arial" w:eastAsia="Arial" w:hAnsi="Arial"/>
          <w:sz w:val="18"/>
          <w:szCs w:val="18"/>
          <w:b w:val="1"/>
          <w:bCs w:val="1"/>
          <w:color w:val="auto"/>
        </w:rPr>
        <w:t xml:space="preserve"> and adjusted operating income of $1 million </w:t>
      </w:r>
      <w:r>
        <w:rPr>
          <w:rFonts w:ascii="Arial" w:cs="Arial" w:eastAsia="Arial" w:hAnsi="Arial"/>
          <w:sz w:val="29"/>
          <w:szCs w:val="29"/>
          <w:b w:val="1"/>
          <w:bCs w:val="1"/>
          <w:color w:val="auto"/>
          <w:vertAlign w:val="superscript"/>
        </w:rPr>
        <w:t>(1)</w:t>
      </w:r>
    </w:p>
    <w:p>
      <w:pPr>
        <w:spacing w:after="0" w:line="314"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MINNEAPOLIS. May 5, 2021. Sun Country Airlines Holdings, Inc. (“Sun Country Airlines”, “Sun Country”, the “Company”) (</w:t>
      </w:r>
      <w:r>
        <w:rPr>
          <w:rFonts w:ascii="Arial" w:cs="Arial" w:eastAsia="Arial" w:hAnsi="Arial"/>
          <w:sz w:val="18"/>
          <w:szCs w:val="18"/>
          <w:color w:val="055DC1"/>
        </w:rPr>
        <w:t>NASDAQ: SNCY</w:t>
      </w:r>
      <w:r>
        <w:rPr>
          <w:rFonts w:ascii="Arial" w:cs="Arial" w:eastAsia="Arial" w:hAnsi="Arial"/>
          <w:sz w:val="18"/>
          <w:szCs w:val="18"/>
          <w:color w:val="auto"/>
        </w:rPr>
        <w:t>) today reported financial results for its first quarter ended March 31, 2021.</w:t>
      </w:r>
    </w:p>
    <w:p>
      <w:pPr>
        <w:spacing w:after="0" w:line="18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0A0A0A"/>
        </w:rPr>
        <w:t>“We are pleased to be reporting our quarterly results for the first time as a public company following our successful IPO in March. The IPO strengthened our balance sheet and better positions Sun Country for long-term profitable growth,” said Jude Bricker, Chief Executive Officer of Sun Country. “While we remain in an unpredictable environment, our business is continuing to recover from the impact of COVID-19 on industry demand. I am encouraged by the recent improvement we are seeing in forward bookings. Demand really picked up in mid-February, and that momentum continues. As of today, our summer schedule is sold to a higher load factor as compared to the same time in 2019. Our charter business is recovering quickly, and we are flying a full twelve aircraft schedule in our cargo business.”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240" w:type="dxa"/>
            <w:vAlign w:val="bottom"/>
          </w:tcPr>
          <w:p>
            <w:pPr>
              <w:spacing w:after="0"/>
              <w:rPr>
                <w:sz w:val="20"/>
                <w:szCs w:val="20"/>
                <w:color w:val="auto"/>
              </w:rPr>
            </w:pPr>
            <w:r>
              <w:rPr>
                <w:rFonts w:ascii="Arial" w:cs="Arial" w:eastAsia="Arial" w:hAnsi="Arial"/>
                <w:sz w:val="18"/>
                <w:szCs w:val="18"/>
                <w:b w:val="1"/>
                <w:bCs w:val="1"/>
                <w:color w:val="auto"/>
              </w:rPr>
              <w:t>Overview of First Quarter</w:t>
            </w:r>
          </w:p>
        </w:tc>
        <w:tc>
          <w:tcPr>
            <w:tcW w:w="1180" w:type="dxa"/>
            <w:vAlign w:val="bottom"/>
          </w:tcPr>
          <w:p>
            <w:pPr>
              <w:spacing w:after="0"/>
              <w:rPr>
                <w:sz w:val="20"/>
                <w:szCs w:val="20"/>
                <w:color w:val="auto"/>
              </w:rPr>
            </w:pPr>
          </w:p>
        </w:tc>
        <w:tc>
          <w:tcPr>
            <w:tcW w:w="248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Three Months Ended March</w:t>
            </w:r>
          </w:p>
        </w:tc>
        <w:tc>
          <w:tcPr>
            <w:tcW w:w="1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5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80" w:type="dxa"/>
            <w:vAlign w:val="bottom"/>
            <w:gridSpan w:val="4"/>
            <w:vMerge w:val="continue"/>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240" w:type="dxa"/>
            <w:vAlign w:val="bottom"/>
            <w:vMerge w:val="restart"/>
          </w:tcPr>
          <w:p>
            <w:pPr>
              <w:spacing w:after="0"/>
              <w:rPr>
                <w:sz w:val="20"/>
                <w:szCs w:val="20"/>
                <w:color w:val="auto"/>
              </w:rPr>
            </w:pPr>
            <w:r>
              <w:rPr>
                <w:rFonts w:ascii="Arial" w:cs="Arial" w:eastAsia="Arial" w:hAnsi="Arial"/>
                <w:sz w:val="18"/>
                <w:szCs w:val="18"/>
                <w:b w:val="1"/>
                <w:bCs w:val="1"/>
                <w:color w:val="0A0A0A"/>
              </w:rPr>
              <w:t>(unaudited) (in millions, except share amounts)</w:t>
            </w:r>
          </w:p>
        </w:tc>
        <w:tc>
          <w:tcPr>
            <w:tcW w:w="1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31,</w:t>
            </w:r>
          </w:p>
        </w:tc>
        <w:tc>
          <w:tcPr>
            <w:tcW w:w="960" w:type="dxa"/>
            <w:vAlign w:val="bottom"/>
            <w:tcBorders>
              <w:bottom w:val="single" w:sz="8" w:color="auto"/>
            </w:tcBorders>
          </w:tcPr>
          <w:p>
            <w:pPr>
              <w:spacing w:after="0"/>
              <w:rPr>
                <w:sz w:val="19"/>
                <w:szCs w:val="19"/>
                <w:color w:val="auto"/>
              </w:rPr>
            </w:pPr>
          </w:p>
        </w:tc>
        <w:tc>
          <w:tcPr>
            <w:tcW w:w="234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0A0A0A"/>
              </w:rPr>
              <w:t>% Change</w:t>
            </w:r>
          </w:p>
        </w:tc>
        <w:tc>
          <w:tcPr>
            <w:tcW w:w="0" w:type="dxa"/>
            <w:vAlign w:val="bottom"/>
          </w:tcPr>
          <w:p>
            <w:pPr>
              <w:spacing w:after="0"/>
              <w:rPr>
                <w:sz w:val="1"/>
                <w:szCs w:val="1"/>
                <w:color w:val="auto"/>
              </w:rPr>
            </w:pPr>
          </w:p>
        </w:tc>
      </w:tr>
      <w:tr>
        <w:trPr>
          <w:trHeight w:val="196"/>
        </w:trPr>
        <w:tc>
          <w:tcPr>
            <w:tcW w:w="524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330"/>
              <w:spacing w:after="0" w:line="196" w:lineRule="exact"/>
              <w:rPr>
                <w:sz w:val="20"/>
                <w:szCs w:val="20"/>
                <w:color w:val="auto"/>
              </w:rPr>
            </w:pPr>
            <w:r>
              <w:rPr>
                <w:rFonts w:ascii="Arial" w:cs="Arial" w:eastAsia="Arial" w:hAnsi="Arial"/>
                <w:sz w:val="18"/>
                <w:szCs w:val="18"/>
                <w:b w:val="1"/>
                <w:bCs w:val="1"/>
                <w:color w:val="0A0A0A"/>
              </w:rPr>
              <w:t>2021</w:t>
            </w:r>
          </w:p>
        </w:tc>
        <w:tc>
          <w:tcPr>
            <w:tcW w:w="280" w:type="dxa"/>
            <w:vAlign w:val="bottom"/>
          </w:tcPr>
          <w:p>
            <w:pPr>
              <w:spacing w:after="0"/>
              <w:rPr>
                <w:sz w:val="17"/>
                <w:szCs w:val="17"/>
                <w:color w:val="auto"/>
              </w:rPr>
            </w:pPr>
          </w:p>
        </w:tc>
        <w:tc>
          <w:tcPr>
            <w:tcW w:w="96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0A0A0A"/>
              </w:rPr>
              <w:t>2020</w:t>
            </w:r>
          </w:p>
        </w:tc>
        <w:tc>
          <w:tcPr>
            <w:tcW w:w="23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40" w:type="dxa"/>
            <w:vAlign w:val="bottom"/>
            <w:tcBorders>
              <w:top w:val="single" w:sz="8" w:color="auto"/>
            </w:tcBorders>
            <w:shd w:val="clear" w:color="auto" w:fill="C6F4F9"/>
          </w:tcPr>
          <w:p>
            <w:pPr>
              <w:spacing w:after="0" w:line="196" w:lineRule="exact"/>
              <w:rPr>
                <w:sz w:val="20"/>
                <w:szCs w:val="20"/>
                <w:color w:val="auto"/>
              </w:rPr>
            </w:pPr>
            <w:r>
              <w:rPr>
                <w:rFonts w:ascii="Arial" w:cs="Arial" w:eastAsia="Arial" w:hAnsi="Arial"/>
                <w:sz w:val="18"/>
                <w:szCs w:val="18"/>
                <w:color w:val="0A0A0A"/>
              </w:rPr>
              <w:t>Total operating revenue</w:t>
            </w:r>
          </w:p>
        </w:tc>
        <w:tc>
          <w:tcPr>
            <w:tcW w:w="1480" w:type="dxa"/>
            <w:vAlign w:val="bottom"/>
            <w:tcBorders>
              <w:top w:val="single" w:sz="8" w:color="auto"/>
            </w:tcBorders>
            <w:gridSpan w:val="2"/>
            <w:shd w:val="clear" w:color="auto" w:fill="C6F4F9"/>
          </w:tcPr>
          <w:p>
            <w:pPr>
              <w:ind w:left="1180"/>
              <w:spacing w:after="0" w:line="196" w:lineRule="exact"/>
              <w:rPr>
                <w:sz w:val="20"/>
                <w:szCs w:val="20"/>
                <w:color w:val="auto"/>
              </w:rPr>
            </w:pPr>
            <w:r>
              <w:rPr>
                <w:rFonts w:ascii="Arial" w:cs="Arial" w:eastAsia="Arial" w:hAnsi="Arial"/>
                <w:sz w:val="18"/>
                <w:szCs w:val="18"/>
                <w:color w:val="0A0A0A"/>
              </w:rPr>
              <w:t>$</w:t>
            </w:r>
          </w:p>
        </w:tc>
        <w:tc>
          <w:tcPr>
            <w:tcW w:w="940" w:type="dxa"/>
            <w:vAlign w:val="bottom"/>
            <w:tcBorders>
              <w:top w:val="single" w:sz="8" w:color="auto"/>
            </w:tcBorders>
            <w:shd w:val="clear" w:color="auto" w:fill="C6F4F9"/>
          </w:tcPr>
          <w:p>
            <w:pPr>
              <w:jc w:val="right"/>
              <w:ind w:right="10"/>
              <w:spacing w:after="0" w:line="196" w:lineRule="exact"/>
              <w:rPr>
                <w:sz w:val="20"/>
                <w:szCs w:val="20"/>
                <w:color w:val="auto"/>
              </w:rPr>
            </w:pPr>
            <w:r>
              <w:rPr>
                <w:rFonts w:ascii="Arial" w:cs="Arial" w:eastAsia="Arial" w:hAnsi="Arial"/>
                <w:sz w:val="18"/>
                <w:szCs w:val="18"/>
                <w:color w:val="0A0A0A"/>
              </w:rPr>
              <w:t>127.6</w:t>
            </w:r>
          </w:p>
        </w:tc>
        <w:tc>
          <w:tcPr>
            <w:tcW w:w="280" w:type="dxa"/>
            <w:vAlign w:val="bottom"/>
            <w:tcBorders>
              <w:top w:val="single" w:sz="8" w:color="auto"/>
            </w:tcBorders>
            <w:shd w:val="clear" w:color="auto" w:fill="C6F4F9"/>
          </w:tcPr>
          <w:p>
            <w:pPr>
              <w:jc w:val="right"/>
              <w:ind w:right="70"/>
              <w:spacing w:after="0" w:line="196" w:lineRule="exact"/>
              <w:rPr>
                <w:sz w:val="20"/>
                <w:szCs w:val="20"/>
                <w:color w:val="auto"/>
              </w:rPr>
            </w:pPr>
            <w:r>
              <w:rPr>
                <w:rFonts w:ascii="Arial" w:cs="Arial" w:eastAsia="Arial" w:hAnsi="Arial"/>
                <w:sz w:val="18"/>
                <w:szCs w:val="18"/>
                <w:color w:val="0A0A0A"/>
                <w:w w:val="99"/>
              </w:rPr>
              <w:t>$</w:t>
            </w:r>
          </w:p>
        </w:tc>
        <w:tc>
          <w:tcPr>
            <w:tcW w:w="960" w:type="dxa"/>
            <w:vAlign w:val="bottom"/>
            <w:tcBorders>
              <w:top w:val="single" w:sz="8" w:color="auto"/>
            </w:tcBorders>
            <w:shd w:val="clear" w:color="auto" w:fill="C6F4F9"/>
          </w:tcPr>
          <w:p>
            <w:pPr>
              <w:jc w:val="right"/>
              <w:ind w:right="10"/>
              <w:spacing w:after="0" w:line="196" w:lineRule="exact"/>
              <w:rPr>
                <w:sz w:val="20"/>
                <w:szCs w:val="20"/>
                <w:color w:val="auto"/>
              </w:rPr>
            </w:pPr>
            <w:r>
              <w:rPr>
                <w:rFonts w:ascii="Arial" w:cs="Arial" w:eastAsia="Arial" w:hAnsi="Arial"/>
                <w:sz w:val="18"/>
                <w:szCs w:val="18"/>
                <w:color w:val="0A0A0A"/>
              </w:rPr>
              <w:t>180.3</w:t>
            </w:r>
          </w:p>
        </w:tc>
        <w:tc>
          <w:tcPr>
            <w:tcW w:w="1220" w:type="dxa"/>
            <w:vAlign w:val="bottom"/>
            <w:tcBorders>
              <w:top w:val="single" w:sz="8" w:color="auto"/>
            </w:tcBorders>
            <w:shd w:val="clear" w:color="auto" w:fill="C6F4F9"/>
          </w:tcPr>
          <w:p>
            <w:pPr>
              <w:jc w:val="right"/>
              <w:spacing w:after="0" w:line="196" w:lineRule="exact"/>
              <w:rPr>
                <w:sz w:val="20"/>
                <w:szCs w:val="20"/>
                <w:color w:val="auto"/>
              </w:rPr>
            </w:pPr>
            <w:r>
              <w:rPr>
                <w:rFonts w:ascii="Arial" w:cs="Arial" w:eastAsia="Arial" w:hAnsi="Arial"/>
                <w:sz w:val="18"/>
                <w:szCs w:val="18"/>
                <w:color w:val="0A0A0A"/>
              </w:rPr>
              <w:t>(29.2)</w:t>
            </w:r>
          </w:p>
        </w:tc>
        <w:tc>
          <w:tcPr>
            <w:tcW w:w="1120" w:type="dxa"/>
            <w:vAlign w:val="bottom"/>
            <w:tcBorders>
              <w:top w:val="single" w:sz="8" w:color="C6F4F9"/>
            </w:tcBorders>
            <w:shd w:val="clear" w:color="auto" w:fill="C6F4F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0A0A0A"/>
              </w:rPr>
              <w:t>Operating income</w:t>
            </w: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24.9</w:t>
            </w:r>
          </w:p>
        </w:tc>
        <w:tc>
          <w:tcPr>
            <w:tcW w:w="28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15.2</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63.7</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Income before income tax</w:t>
            </w:r>
          </w:p>
        </w:tc>
        <w:tc>
          <w:tcPr>
            <w:tcW w:w="1180" w:type="dxa"/>
            <w:vAlign w:val="bottom"/>
            <w:shd w:val="clear" w:color="auto" w:fill="C6F4F9"/>
          </w:tcPr>
          <w:p>
            <w:pPr>
              <w:spacing w:after="0"/>
              <w:rPr>
                <w:sz w:val="17"/>
                <w:szCs w:val="17"/>
                <w:color w:val="auto"/>
              </w:rPr>
            </w:pPr>
          </w:p>
        </w:tc>
        <w:tc>
          <w:tcPr>
            <w:tcW w:w="300" w:type="dxa"/>
            <w:vAlign w:val="bottom"/>
            <w:shd w:val="clear" w:color="auto" w:fill="C6F4F9"/>
          </w:tcPr>
          <w:p>
            <w:pPr>
              <w:spacing w:after="0"/>
              <w:rPr>
                <w:sz w:val="17"/>
                <w:szCs w:val="17"/>
                <w:color w:val="auto"/>
              </w:rPr>
            </w:pPr>
          </w:p>
        </w:tc>
        <w:tc>
          <w:tcPr>
            <w:tcW w:w="94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17.8</w:t>
            </w:r>
          </w:p>
        </w:tc>
        <w:tc>
          <w:tcPr>
            <w:tcW w:w="280" w:type="dxa"/>
            <w:vAlign w:val="bottom"/>
            <w:shd w:val="clear" w:color="auto" w:fill="C6F4F9"/>
          </w:tcPr>
          <w:p>
            <w:pPr>
              <w:spacing w:after="0"/>
              <w:rPr>
                <w:sz w:val="17"/>
                <w:szCs w:val="17"/>
                <w:color w:val="auto"/>
              </w:rPr>
            </w:pPr>
          </w:p>
        </w:tc>
        <w:tc>
          <w:tcPr>
            <w:tcW w:w="9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9.7</w:t>
            </w:r>
          </w:p>
        </w:tc>
        <w:tc>
          <w:tcPr>
            <w:tcW w:w="122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83.8</w:t>
            </w:r>
          </w:p>
        </w:tc>
        <w:tc>
          <w:tcPr>
            <w:tcW w:w="1120" w:type="dxa"/>
            <w:vAlign w:val="bottom"/>
            <w:shd w:val="clear" w:color="auto" w:fill="C6F4F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0A0A0A"/>
              </w:rPr>
              <w:t>Net income</w:t>
            </w: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12.4</w:t>
            </w:r>
          </w:p>
        </w:tc>
        <w:tc>
          <w:tcPr>
            <w:tcW w:w="28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7.3</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71.2</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Diluted earnings per share</w:t>
            </w:r>
          </w:p>
        </w:tc>
        <w:tc>
          <w:tcPr>
            <w:tcW w:w="1480" w:type="dxa"/>
            <w:vAlign w:val="bottom"/>
            <w:gridSpan w:val="2"/>
            <w:shd w:val="clear" w:color="auto" w:fill="C6F4F9"/>
          </w:tcPr>
          <w:p>
            <w:pPr>
              <w:ind w:left="1180"/>
              <w:spacing w:after="0" w:line="202" w:lineRule="exact"/>
              <w:rPr>
                <w:sz w:val="20"/>
                <w:szCs w:val="20"/>
                <w:color w:val="auto"/>
              </w:rPr>
            </w:pPr>
            <w:r>
              <w:rPr>
                <w:rFonts w:ascii="Arial" w:cs="Arial" w:eastAsia="Arial" w:hAnsi="Arial"/>
                <w:sz w:val="18"/>
                <w:szCs w:val="18"/>
                <w:color w:val="0A0A0A"/>
              </w:rPr>
              <w:t>$</w:t>
            </w:r>
          </w:p>
        </w:tc>
        <w:tc>
          <w:tcPr>
            <w:tcW w:w="94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0.24</w:t>
            </w:r>
          </w:p>
        </w:tc>
        <w:tc>
          <w:tcPr>
            <w:tcW w:w="280" w:type="dxa"/>
            <w:vAlign w:val="bottom"/>
            <w:shd w:val="clear" w:color="auto" w:fill="C6F4F9"/>
          </w:tcPr>
          <w:p>
            <w:pPr>
              <w:jc w:val="right"/>
              <w:ind w:right="70"/>
              <w:spacing w:after="0" w:line="202" w:lineRule="exact"/>
              <w:rPr>
                <w:sz w:val="20"/>
                <w:szCs w:val="20"/>
                <w:color w:val="auto"/>
              </w:rPr>
            </w:pPr>
            <w:r>
              <w:rPr>
                <w:rFonts w:ascii="Arial" w:cs="Arial" w:eastAsia="Arial" w:hAnsi="Arial"/>
                <w:sz w:val="18"/>
                <w:szCs w:val="18"/>
                <w:color w:val="0A0A0A"/>
                <w:w w:val="99"/>
              </w:rPr>
              <w:t>$</w:t>
            </w:r>
          </w:p>
        </w:tc>
        <w:tc>
          <w:tcPr>
            <w:tcW w:w="9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0.15</w:t>
            </w:r>
          </w:p>
        </w:tc>
        <w:tc>
          <w:tcPr>
            <w:tcW w:w="122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60.0</w:t>
            </w:r>
          </w:p>
        </w:tc>
        <w:tc>
          <w:tcPr>
            <w:tcW w:w="1120" w:type="dxa"/>
            <w:vAlign w:val="bottom"/>
            <w:shd w:val="clear" w:color="auto" w:fill="C6F4F9"/>
          </w:tcPr>
          <w:p>
            <w:pPr>
              <w:spacing w:after="0"/>
              <w:rPr>
                <w:sz w:val="17"/>
                <w:szCs w:val="17"/>
                <w:color w:val="auto"/>
              </w:rPr>
            </w:pPr>
          </w:p>
        </w:tc>
        <w:tc>
          <w:tcPr>
            <w:tcW w:w="0" w:type="dxa"/>
            <w:vAlign w:val="bottom"/>
          </w:tcPr>
          <w:p>
            <w:pPr>
              <w:spacing w:after="0"/>
              <w:rPr>
                <w:sz w:val="1"/>
                <w:szCs w:val="1"/>
                <w:color w:val="auto"/>
              </w:rPr>
            </w:pPr>
          </w:p>
        </w:tc>
      </w:tr>
      <w:tr>
        <w:trPr>
          <w:trHeight w:val="382"/>
        </w:trPr>
        <w:tc>
          <w:tcPr>
            <w:tcW w:w="5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8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March</w:t>
            </w: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240" w:type="dxa"/>
            <w:vAlign w:val="bottom"/>
            <w:vMerge w:val="restart"/>
          </w:tcPr>
          <w:p>
            <w:pPr>
              <w:spacing w:after="0"/>
              <w:rPr>
                <w:sz w:val="20"/>
                <w:szCs w:val="20"/>
                <w:color w:val="auto"/>
              </w:rPr>
            </w:pPr>
            <w:r>
              <w:rPr>
                <w:rFonts w:ascii="Arial" w:cs="Arial" w:eastAsia="Arial" w:hAnsi="Arial"/>
                <w:sz w:val="18"/>
                <w:szCs w:val="18"/>
                <w:b w:val="1"/>
                <w:bCs w:val="1"/>
                <w:color w:val="0A0A0A"/>
              </w:rPr>
              <w:t>(unaudited) (in millions, except share amounts)</w:t>
            </w:r>
          </w:p>
        </w:tc>
        <w:tc>
          <w:tcPr>
            <w:tcW w:w="1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31,</w:t>
            </w:r>
          </w:p>
        </w:tc>
        <w:tc>
          <w:tcPr>
            <w:tcW w:w="960" w:type="dxa"/>
            <w:vAlign w:val="bottom"/>
            <w:tcBorders>
              <w:bottom w:val="single" w:sz="8" w:color="auto"/>
            </w:tcBorders>
          </w:tcPr>
          <w:p>
            <w:pPr>
              <w:spacing w:after="0"/>
              <w:rPr>
                <w:sz w:val="19"/>
                <w:szCs w:val="19"/>
                <w:color w:val="auto"/>
              </w:rPr>
            </w:pPr>
          </w:p>
        </w:tc>
        <w:tc>
          <w:tcPr>
            <w:tcW w:w="234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0A0A0A"/>
              </w:rPr>
              <w:t>% Change</w:t>
            </w:r>
          </w:p>
        </w:tc>
        <w:tc>
          <w:tcPr>
            <w:tcW w:w="0" w:type="dxa"/>
            <w:vAlign w:val="bottom"/>
          </w:tcPr>
          <w:p>
            <w:pPr>
              <w:spacing w:after="0"/>
              <w:rPr>
                <w:sz w:val="1"/>
                <w:szCs w:val="1"/>
                <w:color w:val="auto"/>
              </w:rPr>
            </w:pPr>
          </w:p>
        </w:tc>
      </w:tr>
      <w:tr>
        <w:trPr>
          <w:trHeight w:val="196"/>
        </w:trPr>
        <w:tc>
          <w:tcPr>
            <w:tcW w:w="524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0A0A0A"/>
              </w:rPr>
              <w:t>2021</w:t>
            </w:r>
          </w:p>
        </w:tc>
        <w:tc>
          <w:tcPr>
            <w:tcW w:w="280" w:type="dxa"/>
            <w:vAlign w:val="bottom"/>
          </w:tcPr>
          <w:p>
            <w:pPr>
              <w:spacing w:after="0"/>
              <w:rPr>
                <w:sz w:val="17"/>
                <w:szCs w:val="17"/>
                <w:color w:val="auto"/>
              </w:rPr>
            </w:pPr>
          </w:p>
        </w:tc>
        <w:tc>
          <w:tcPr>
            <w:tcW w:w="96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0A0A0A"/>
              </w:rPr>
              <w:t>2020</w:t>
            </w:r>
          </w:p>
        </w:tc>
        <w:tc>
          <w:tcPr>
            <w:tcW w:w="23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240" w:type="dxa"/>
            <w:vAlign w:val="bottom"/>
            <w:tcBorders>
              <w:top w:val="single" w:sz="8" w:color="auto"/>
            </w:tcBorders>
            <w:shd w:val="clear" w:color="auto" w:fill="C6F4F9"/>
          </w:tcPr>
          <w:p>
            <w:pPr>
              <w:spacing w:after="0" w:line="236" w:lineRule="exact"/>
              <w:rPr>
                <w:sz w:val="20"/>
                <w:szCs w:val="20"/>
                <w:color w:val="auto"/>
              </w:rPr>
            </w:pPr>
            <w:r>
              <w:rPr>
                <w:rFonts w:ascii="Arial" w:cs="Arial" w:eastAsia="Arial" w:hAnsi="Arial"/>
                <w:sz w:val="17"/>
                <w:szCs w:val="17"/>
                <w:color w:val="0A0A0A"/>
              </w:rPr>
              <w:t xml:space="preserve">Adjusted operating income </w:t>
            </w:r>
            <w:r>
              <w:rPr>
                <w:rFonts w:ascii="Arial" w:cs="Arial" w:eastAsia="Arial" w:hAnsi="Arial"/>
                <w:sz w:val="27"/>
                <w:szCs w:val="27"/>
                <w:color w:val="0A0A0A"/>
                <w:vertAlign w:val="superscript"/>
              </w:rPr>
              <w:t>(1)</w:t>
            </w:r>
          </w:p>
        </w:tc>
        <w:tc>
          <w:tcPr>
            <w:tcW w:w="1480" w:type="dxa"/>
            <w:vAlign w:val="bottom"/>
            <w:tcBorders>
              <w:top w:val="single" w:sz="8" w:color="auto"/>
            </w:tcBorders>
            <w:gridSpan w:val="2"/>
            <w:shd w:val="clear" w:color="auto" w:fill="C6F4F9"/>
          </w:tcPr>
          <w:p>
            <w:pPr>
              <w:ind w:left="1180"/>
              <w:spacing w:after="0"/>
              <w:rPr>
                <w:sz w:val="20"/>
                <w:szCs w:val="20"/>
                <w:color w:val="auto"/>
              </w:rPr>
            </w:pPr>
            <w:r>
              <w:rPr>
                <w:rFonts w:ascii="Arial" w:cs="Arial" w:eastAsia="Arial" w:hAnsi="Arial"/>
                <w:sz w:val="18"/>
                <w:szCs w:val="18"/>
                <w:color w:val="0A0A0A"/>
              </w:rPr>
              <w:t>$</w:t>
            </w:r>
          </w:p>
        </w:tc>
        <w:tc>
          <w:tcPr>
            <w:tcW w:w="940" w:type="dxa"/>
            <w:vAlign w:val="bottom"/>
            <w:tcBorders>
              <w:top w:val="single" w:sz="8" w:color="auto"/>
            </w:tcBorders>
            <w:shd w:val="clear" w:color="auto" w:fill="C6F4F9"/>
          </w:tcPr>
          <w:p>
            <w:pPr>
              <w:jc w:val="right"/>
              <w:spacing w:after="0"/>
              <w:rPr>
                <w:sz w:val="20"/>
                <w:szCs w:val="20"/>
                <w:color w:val="auto"/>
              </w:rPr>
            </w:pPr>
            <w:r>
              <w:rPr>
                <w:rFonts w:ascii="Arial" w:cs="Arial" w:eastAsia="Arial" w:hAnsi="Arial"/>
                <w:sz w:val="18"/>
                <w:szCs w:val="18"/>
                <w:color w:val="0A0A0A"/>
              </w:rPr>
              <w:t>1.2</w:t>
            </w:r>
          </w:p>
        </w:tc>
        <w:tc>
          <w:tcPr>
            <w:tcW w:w="280" w:type="dxa"/>
            <w:vAlign w:val="bottom"/>
            <w:tcBorders>
              <w:top w:val="single" w:sz="8" w:color="auto"/>
            </w:tcBorders>
            <w:shd w:val="clear" w:color="auto" w:fill="C6F4F9"/>
          </w:tcPr>
          <w:p>
            <w:pPr>
              <w:jc w:val="right"/>
              <w:ind w:right="70"/>
              <w:spacing w:after="0"/>
              <w:rPr>
                <w:sz w:val="20"/>
                <w:szCs w:val="20"/>
                <w:color w:val="auto"/>
              </w:rPr>
            </w:pPr>
            <w:r>
              <w:rPr>
                <w:rFonts w:ascii="Arial" w:cs="Arial" w:eastAsia="Arial" w:hAnsi="Arial"/>
                <w:sz w:val="18"/>
                <w:szCs w:val="18"/>
                <w:color w:val="0A0A0A"/>
                <w:w w:val="99"/>
              </w:rPr>
              <w:t>$</w:t>
            </w:r>
          </w:p>
        </w:tc>
        <w:tc>
          <w:tcPr>
            <w:tcW w:w="960" w:type="dxa"/>
            <w:vAlign w:val="bottom"/>
            <w:tcBorders>
              <w:top w:val="single" w:sz="8" w:color="auto"/>
            </w:tcBorders>
            <w:shd w:val="clear" w:color="auto" w:fill="C6F4F9"/>
          </w:tcPr>
          <w:p>
            <w:pPr>
              <w:jc w:val="right"/>
              <w:ind w:right="10"/>
              <w:spacing w:after="0"/>
              <w:rPr>
                <w:sz w:val="20"/>
                <w:szCs w:val="20"/>
                <w:color w:val="auto"/>
              </w:rPr>
            </w:pPr>
            <w:r>
              <w:rPr>
                <w:rFonts w:ascii="Arial" w:cs="Arial" w:eastAsia="Arial" w:hAnsi="Arial"/>
                <w:sz w:val="18"/>
                <w:szCs w:val="18"/>
                <w:color w:val="0A0A0A"/>
              </w:rPr>
              <w:t>15.6</w:t>
            </w:r>
          </w:p>
        </w:tc>
        <w:tc>
          <w:tcPr>
            <w:tcW w:w="1220" w:type="dxa"/>
            <w:vAlign w:val="bottom"/>
            <w:tcBorders>
              <w:top w:val="single" w:sz="8" w:color="auto"/>
            </w:tcBorders>
            <w:shd w:val="clear" w:color="auto" w:fill="C6F4F9"/>
          </w:tcPr>
          <w:p>
            <w:pPr>
              <w:jc w:val="right"/>
              <w:spacing w:after="0"/>
              <w:rPr>
                <w:sz w:val="20"/>
                <w:szCs w:val="20"/>
                <w:color w:val="auto"/>
              </w:rPr>
            </w:pPr>
            <w:r>
              <w:rPr>
                <w:rFonts w:ascii="Arial" w:cs="Arial" w:eastAsia="Arial" w:hAnsi="Arial"/>
                <w:sz w:val="18"/>
                <w:szCs w:val="18"/>
                <w:color w:val="0A0A0A"/>
              </w:rPr>
              <w:t>(92.3)</w:t>
            </w:r>
          </w:p>
        </w:tc>
        <w:tc>
          <w:tcPr>
            <w:tcW w:w="1120" w:type="dxa"/>
            <w:vAlign w:val="bottom"/>
            <w:tcBorders>
              <w:top w:val="single" w:sz="8" w:color="C6F4F9"/>
            </w:tcBorders>
            <w:shd w:val="clear" w:color="auto" w:fill="C6F4F9"/>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40" w:type="dxa"/>
            <w:vAlign w:val="bottom"/>
          </w:tcPr>
          <w:p>
            <w:pPr>
              <w:spacing w:after="0" w:line="243" w:lineRule="exact"/>
              <w:rPr>
                <w:sz w:val="20"/>
                <w:szCs w:val="20"/>
                <w:color w:val="auto"/>
              </w:rPr>
            </w:pPr>
            <w:r>
              <w:rPr>
                <w:rFonts w:ascii="Arial" w:cs="Arial" w:eastAsia="Arial" w:hAnsi="Arial"/>
                <w:sz w:val="17"/>
                <w:szCs w:val="17"/>
                <w:color w:val="0A0A0A"/>
              </w:rPr>
              <w:t xml:space="preserve">Adjusted income (loss) before income tax </w:t>
            </w:r>
            <w:r>
              <w:rPr>
                <w:rFonts w:ascii="Arial" w:cs="Arial" w:eastAsia="Arial" w:hAnsi="Arial"/>
                <w:sz w:val="28"/>
                <w:szCs w:val="28"/>
                <w:color w:val="0A0A0A"/>
                <w:vertAlign w:val="superscript"/>
              </w:rPr>
              <w:t>(1)</w:t>
            </w: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0A0A0A"/>
              </w:rPr>
              <w:t>(4.7)</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0A0A0A"/>
              </w:rPr>
              <w:t>10.1</w:t>
            </w:r>
          </w:p>
        </w:tc>
        <w:tc>
          <w:tcPr>
            <w:tcW w:w="1220" w:type="dxa"/>
            <w:vAlign w:val="bottom"/>
          </w:tcPr>
          <w:p>
            <w:pPr>
              <w:jc w:val="right"/>
              <w:spacing w:after="0"/>
              <w:rPr>
                <w:sz w:val="20"/>
                <w:szCs w:val="20"/>
                <w:color w:val="auto"/>
              </w:rPr>
            </w:pPr>
            <w:r>
              <w:rPr>
                <w:rFonts w:ascii="Arial" w:cs="Arial" w:eastAsia="Arial" w:hAnsi="Arial"/>
                <w:sz w:val="18"/>
                <w:szCs w:val="18"/>
                <w:color w:val="0A0A0A"/>
              </w:rPr>
              <w:t>(146.5)</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C6F4F9"/>
          </w:tcPr>
          <w:p>
            <w:pPr>
              <w:spacing w:after="0" w:line="243" w:lineRule="exact"/>
              <w:rPr>
                <w:sz w:val="20"/>
                <w:szCs w:val="20"/>
                <w:color w:val="auto"/>
              </w:rPr>
            </w:pPr>
            <w:r>
              <w:rPr>
                <w:rFonts w:ascii="Arial" w:cs="Arial" w:eastAsia="Arial" w:hAnsi="Arial"/>
                <w:sz w:val="17"/>
                <w:szCs w:val="17"/>
                <w:color w:val="0A0A0A"/>
              </w:rPr>
              <w:t xml:space="preserve">Adjusted net income (loss) </w:t>
            </w:r>
            <w:r>
              <w:rPr>
                <w:rFonts w:ascii="Arial" w:cs="Arial" w:eastAsia="Arial" w:hAnsi="Arial"/>
                <w:sz w:val="28"/>
                <w:szCs w:val="28"/>
                <w:color w:val="0A0A0A"/>
                <w:vertAlign w:val="superscript"/>
              </w:rPr>
              <w:t>(1)</w:t>
            </w:r>
          </w:p>
        </w:tc>
        <w:tc>
          <w:tcPr>
            <w:tcW w:w="1180" w:type="dxa"/>
            <w:vAlign w:val="bottom"/>
            <w:shd w:val="clear" w:color="auto" w:fill="C6F4F9"/>
          </w:tcPr>
          <w:p>
            <w:pPr>
              <w:spacing w:after="0"/>
              <w:rPr>
                <w:sz w:val="21"/>
                <w:szCs w:val="21"/>
                <w:color w:val="auto"/>
              </w:rPr>
            </w:pPr>
          </w:p>
        </w:tc>
        <w:tc>
          <w:tcPr>
            <w:tcW w:w="300" w:type="dxa"/>
            <w:vAlign w:val="bottom"/>
            <w:shd w:val="clear" w:color="auto" w:fill="C6F4F9"/>
          </w:tcPr>
          <w:p>
            <w:pPr>
              <w:spacing w:after="0"/>
              <w:rPr>
                <w:sz w:val="21"/>
                <w:szCs w:val="21"/>
                <w:color w:val="auto"/>
              </w:rPr>
            </w:pPr>
          </w:p>
        </w:tc>
        <w:tc>
          <w:tcPr>
            <w:tcW w:w="940" w:type="dxa"/>
            <w:vAlign w:val="bottom"/>
            <w:shd w:val="clear" w:color="auto" w:fill="C6F4F9"/>
          </w:tcPr>
          <w:p>
            <w:pPr>
              <w:jc w:val="right"/>
              <w:spacing w:after="0"/>
              <w:rPr>
                <w:sz w:val="20"/>
                <w:szCs w:val="20"/>
                <w:color w:val="auto"/>
              </w:rPr>
            </w:pPr>
            <w:r>
              <w:rPr>
                <w:rFonts w:ascii="Arial" w:cs="Arial" w:eastAsia="Arial" w:hAnsi="Arial"/>
                <w:sz w:val="18"/>
                <w:szCs w:val="18"/>
                <w:color w:val="0A0A0A"/>
              </w:rPr>
              <w:t>(4.9)</w:t>
            </w:r>
          </w:p>
        </w:tc>
        <w:tc>
          <w:tcPr>
            <w:tcW w:w="280" w:type="dxa"/>
            <w:vAlign w:val="bottom"/>
            <w:shd w:val="clear" w:color="auto" w:fill="C6F4F9"/>
          </w:tcPr>
          <w:p>
            <w:pPr>
              <w:spacing w:after="0"/>
              <w:rPr>
                <w:sz w:val="21"/>
                <w:szCs w:val="21"/>
                <w:color w:val="auto"/>
              </w:rPr>
            </w:pPr>
          </w:p>
        </w:tc>
        <w:tc>
          <w:tcPr>
            <w:tcW w:w="960" w:type="dxa"/>
            <w:vAlign w:val="bottom"/>
            <w:shd w:val="clear" w:color="auto" w:fill="C6F4F9"/>
          </w:tcPr>
          <w:p>
            <w:pPr>
              <w:jc w:val="right"/>
              <w:ind w:right="10"/>
              <w:spacing w:after="0"/>
              <w:rPr>
                <w:sz w:val="20"/>
                <w:szCs w:val="20"/>
                <w:color w:val="auto"/>
              </w:rPr>
            </w:pPr>
            <w:r>
              <w:rPr>
                <w:rFonts w:ascii="Arial" w:cs="Arial" w:eastAsia="Arial" w:hAnsi="Arial"/>
                <w:sz w:val="18"/>
                <w:szCs w:val="18"/>
                <w:color w:val="0A0A0A"/>
              </w:rPr>
              <w:t>7.6</w:t>
            </w:r>
          </w:p>
        </w:tc>
        <w:tc>
          <w:tcPr>
            <w:tcW w:w="1220" w:type="dxa"/>
            <w:vAlign w:val="bottom"/>
            <w:shd w:val="clear" w:color="auto" w:fill="C6F4F9"/>
          </w:tcPr>
          <w:p>
            <w:pPr>
              <w:jc w:val="right"/>
              <w:spacing w:after="0"/>
              <w:rPr>
                <w:sz w:val="20"/>
                <w:szCs w:val="20"/>
                <w:color w:val="auto"/>
              </w:rPr>
            </w:pPr>
            <w:r>
              <w:rPr>
                <w:rFonts w:ascii="Arial" w:cs="Arial" w:eastAsia="Arial" w:hAnsi="Arial"/>
                <w:sz w:val="18"/>
                <w:szCs w:val="18"/>
                <w:color w:val="0A0A0A"/>
              </w:rPr>
              <w:t>(164.5)</w:t>
            </w:r>
          </w:p>
        </w:tc>
        <w:tc>
          <w:tcPr>
            <w:tcW w:w="1120" w:type="dxa"/>
            <w:vAlign w:val="bottom"/>
            <w:shd w:val="clear" w:color="auto" w:fill="C6F4F9"/>
          </w:tcPr>
          <w:p>
            <w:pPr>
              <w:spacing w:after="0"/>
              <w:rPr>
                <w:sz w:val="21"/>
                <w:szCs w:val="21"/>
                <w:color w:val="auto"/>
              </w:rPr>
            </w:pPr>
          </w:p>
        </w:tc>
        <w:tc>
          <w:tcPr>
            <w:tcW w:w="0" w:type="dxa"/>
            <w:vAlign w:val="bottom"/>
          </w:tcPr>
          <w:p>
            <w:pPr>
              <w:spacing w:after="0"/>
              <w:rPr>
                <w:sz w:val="1"/>
                <w:szCs w:val="1"/>
                <w:color w:val="auto"/>
              </w:rPr>
            </w:pPr>
          </w:p>
        </w:tc>
      </w:tr>
      <w:tr>
        <w:trPr>
          <w:trHeight w:val="383"/>
        </w:trPr>
        <w:tc>
          <w:tcPr>
            <w:tcW w:w="5240" w:type="dxa"/>
            <w:vAlign w:val="bottom"/>
          </w:tcPr>
          <w:p>
            <w:pPr>
              <w:spacing w:after="0"/>
              <w:rPr>
                <w:sz w:val="20"/>
                <w:szCs w:val="20"/>
                <w:color w:val="auto"/>
              </w:rPr>
            </w:pPr>
            <w:r>
              <w:rPr>
                <w:rFonts w:ascii="Arial" w:cs="Arial" w:eastAsia="Arial" w:hAnsi="Arial"/>
                <w:sz w:val="18"/>
                <w:szCs w:val="18"/>
                <w:color w:val="0A0A0A"/>
              </w:rPr>
              <w:t xml:space="preserve">Adjusted diluted earnings (loss) per share </w:t>
            </w:r>
            <w:r>
              <w:rPr>
                <w:rFonts w:ascii="Arial" w:cs="Arial" w:eastAsia="Arial" w:hAnsi="Arial"/>
                <w:sz w:val="29"/>
                <w:szCs w:val="29"/>
                <w:color w:val="0A0A0A"/>
                <w:vertAlign w:val="superscript"/>
              </w:rPr>
              <w:t>(1)</w:t>
            </w:r>
          </w:p>
        </w:tc>
        <w:tc>
          <w:tcPr>
            <w:tcW w:w="1480" w:type="dxa"/>
            <w:vAlign w:val="bottom"/>
            <w:gridSpan w:val="2"/>
          </w:tcPr>
          <w:p>
            <w:pPr>
              <w:ind w:left="1180"/>
              <w:spacing w:after="0"/>
              <w:rPr>
                <w:sz w:val="20"/>
                <w:szCs w:val="20"/>
                <w:color w:val="auto"/>
              </w:rPr>
            </w:pPr>
            <w:r>
              <w:rPr>
                <w:rFonts w:ascii="Arial" w:cs="Arial" w:eastAsia="Arial" w:hAnsi="Arial"/>
                <w:sz w:val="18"/>
                <w:szCs w:val="18"/>
                <w:color w:val="0A0A0A"/>
              </w:rPr>
              <w:t>($</w:t>
            </w:r>
          </w:p>
        </w:tc>
        <w:tc>
          <w:tcPr>
            <w:tcW w:w="940" w:type="dxa"/>
            <w:vAlign w:val="bottom"/>
          </w:tcPr>
          <w:p>
            <w:pPr>
              <w:jc w:val="right"/>
              <w:spacing w:after="0"/>
              <w:rPr>
                <w:sz w:val="20"/>
                <w:szCs w:val="20"/>
                <w:color w:val="auto"/>
              </w:rPr>
            </w:pPr>
            <w:r>
              <w:rPr>
                <w:rFonts w:ascii="Arial" w:cs="Arial" w:eastAsia="Arial" w:hAnsi="Arial"/>
                <w:sz w:val="18"/>
                <w:szCs w:val="18"/>
                <w:color w:val="0A0A0A"/>
              </w:rPr>
              <w:t>0.09)</w:t>
            </w:r>
          </w:p>
        </w:tc>
        <w:tc>
          <w:tcPr>
            <w:tcW w:w="280" w:type="dxa"/>
            <w:vAlign w:val="bottom"/>
          </w:tcPr>
          <w:p>
            <w:pPr>
              <w:jc w:val="right"/>
              <w:ind w:right="70"/>
              <w:spacing w:after="0"/>
              <w:rPr>
                <w:sz w:val="20"/>
                <w:szCs w:val="20"/>
                <w:color w:val="auto"/>
              </w:rPr>
            </w:pPr>
            <w:r>
              <w:rPr>
                <w:rFonts w:ascii="Arial" w:cs="Arial" w:eastAsia="Arial" w:hAnsi="Arial"/>
                <w:sz w:val="18"/>
                <w:szCs w:val="18"/>
                <w:color w:val="0A0A0A"/>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0A0A0A"/>
              </w:rPr>
              <w:t>0.16</w:t>
            </w:r>
          </w:p>
        </w:tc>
        <w:tc>
          <w:tcPr>
            <w:tcW w:w="1220" w:type="dxa"/>
            <w:vAlign w:val="bottom"/>
          </w:tcPr>
          <w:p>
            <w:pPr>
              <w:jc w:val="right"/>
              <w:spacing w:after="0"/>
              <w:rPr>
                <w:sz w:val="20"/>
                <w:szCs w:val="20"/>
                <w:color w:val="auto"/>
              </w:rPr>
            </w:pPr>
            <w:r>
              <w:rPr>
                <w:rFonts w:ascii="Arial" w:cs="Arial" w:eastAsia="Arial" w:hAnsi="Arial"/>
                <w:sz w:val="18"/>
                <w:szCs w:val="18"/>
                <w:color w:val="0A0A0A"/>
              </w:rPr>
              <w:t>(156.3)</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-2282825</wp:posOffset>
            </wp:positionV>
            <wp:extent cx="711835" cy="531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835" cy="53149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-1623060</wp:posOffset>
            </wp:positionV>
            <wp:extent cx="71183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835" cy="12890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-1365885</wp:posOffset>
            </wp:positionV>
            <wp:extent cx="71183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835" cy="12890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-1108710</wp:posOffset>
            </wp:positionV>
            <wp:extent cx="711835" cy="557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835" cy="55753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-396875</wp:posOffset>
            </wp:positionV>
            <wp:extent cx="711835"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835" cy="154305"/>
                    </a:xfrm>
                    <a:prstGeom prst="rect">
                      <a:avLst/>
                    </a:prstGeom>
                    <a:noFill/>
                  </pic:spPr>
                </pic:pic>
              </a:graphicData>
            </a:graphic>
          </wp:anchor>
        </w:drawing>
      </w:r>
    </w:p>
    <w:p>
      <w:pPr>
        <w:spacing w:after="0" w:line="244"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0A0A0A"/>
        </w:rPr>
        <w:t>For the quarter ended March 31, 2021, Sun Country reported net income of $12.4 million and income before income tax of $17.8 million, on $127.6 million of revenue. Adjusting to remove $22.5 million of net benefit from the CARES Act grant received during the quarter and other</w:t>
      </w:r>
    </w:p>
    <w:p>
      <w:pPr>
        <w:spacing w:after="0" w:line="2" w:lineRule="exact"/>
        <w:rPr>
          <w:sz w:val="20"/>
          <w:szCs w:val="20"/>
          <w:color w:val="auto"/>
        </w:rPr>
      </w:pPr>
    </w:p>
    <w:p>
      <w:pPr>
        <w:ind w:right="240"/>
        <w:spacing w:after="0" w:line="181" w:lineRule="auto"/>
        <w:rPr>
          <w:sz w:val="20"/>
          <w:szCs w:val="20"/>
          <w:color w:val="auto"/>
        </w:rPr>
      </w:pPr>
      <w:r>
        <w:rPr>
          <w:rFonts w:ascii="Arial" w:cs="Arial" w:eastAsia="Arial" w:hAnsi="Arial"/>
          <w:sz w:val="17"/>
          <w:szCs w:val="17"/>
          <w:color w:val="0A0A0A"/>
        </w:rPr>
        <w:t>one-time items, adjusted income before income tax for the quarter was a loss of $4.7 million</w:t>
      </w:r>
      <w:r>
        <w:rPr>
          <w:rFonts w:ascii="Arial" w:cs="Arial" w:eastAsia="Arial" w:hAnsi="Arial"/>
          <w:sz w:val="28"/>
          <w:szCs w:val="28"/>
          <w:color w:val="0A0A0A"/>
          <w:vertAlign w:val="superscript"/>
        </w:rPr>
        <w:t>(1)</w:t>
      </w:r>
      <w:r>
        <w:rPr>
          <w:rFonts w:ascii="Arial" w:cs="Arial" w:eastAsia="Arial" w:hAnsi="Arial"/>
          <w:sz w:val="17"/>
          <w:szCs w:val="17"/>
          <w:color w:val="0A0A0A"/>
        </w:rPr>
        <w:t>. GAAP operating income during the quarter was $24.9 million, producing an operating margin of 20%, while adjusted operating income was positive $1.2 million</w:t>
      </w:r>
      <w:r>
        <w:rPr>
          <w:rFonts w:ascii="Arial" w:cs="Arial" w:eastAsia="Arial" w:hAnsi="Arial"/>
          <w:sz w:val="28"/>
          <w:szCs w:val="28"/>
          <w:color w:val="0A0A0A"/>
          <w:vertAlign w:val="superscript"/>
        </w:rPr>
        <w:t>(1)</w:t>
      </w:r>
      <w:r>
        <w:rPr>
          <w:rFonts w:ascii="Arial" w:cs="Arial" w:eastAsia="Arial" w:hAnsi="Arial"/>
          <w:sz w:val="17"/>
          <w:szCs w:val="17"/>
          <w:color w:val="0A0A0A"/>
        </w:rPr>
        <w:t>, resulting in an</w:t>
      </w:r>
    </w:p>
    <w:p>
      <w:pPr>
        <w:jc w:val="both"/>
        <w:ind w:right="40"/>
        <w:spacing w:after="0" w:line="212" w:lineRule="auto"/>
        <w:rPr>
          <w:sz w:val="20"/>
          <w:szCs w:val="20"/>
          <w:color w:val="auto"/>
        </w:rPr>
      </w:pPr>
      <w:r>
        <w:rPr>
          <w:rFonts w:ascii="Arial" w:cs="Arial" w:eastAsia="Arial" w:hAnsi="Arial"/>
          <w:sz w:val="18"/>
          <w:szCs w:val="18"/>
          <w:color w:val="0A0A0A"/>
        </w:rPr>
        <w:t>adjusted operating income margin of 0.9%</w:t>
      </w:r>
      <w:r>
        <w:rPr>
          <w:rFonts w:ascii="Arial" w:cs="Arial" w:eastAsia="Arial" w:hAnsi="Arial"/>
          <w:sz w:val="29"/>
          <w:szCs w:val="29"/>
          <w:color w:val="0A0A0A"/>
          <w:vertAlign w:val="superscript"/>
        </w:rPr>
        <w:t>(1)</w:t>
      </w:r>
      <w:r>
        <w:rPr>
          <w:rFonts w:ascii="Arial" w:cs="Arial" w:eastAsia="Arial" w:hAnsi="Arial"/>
          <w:sz w:val="18"/>
          <w:szCs w:val="18"/>
          <w:color w:val="0A0A0A"/>
        </w:rPr>
        <w:t>. “In light of the COVID-19 driven reduction in demand in the first quarter, particularly early in the quarter, we are pleased with our strong results and we are highly confident that we remain on track to meet our expectations for the full year of 2021 and beyond,” said Dave Davis, President and Chief Financial Officer of Sun Country.</w:t>
      </w:r>
    </w:p>
    <w:p>
      <w:pPr>
        <w:spacing w:after="0" w:line="298" w:lineRule="exact"/>
        <w:rPr>
          <w:sz w:val="20"/>
          <w:szCs w:val="20"/>
          <w:color w:val="auto"/>
        </w:rPr>
      </w:pPr>
    </w:p>
    <w:p>
      <w:pPr>
        <w:jc w:val="right"/>
        <w:spacing w:after="0"/>
        <w:tabs>
          <w:tab w:leader="none" w:pos="2880" w:val="left"/>
        </w:tabs>
        <w:rPr>
          <w:sz w:val="20"/>
          <w:szCs w:val="20"/>
          <w:color w:val="auto"/>
        </w:rPr>
      </w:pPr>
      <w:r>
        <w:rPr>
          <w:rFonts w:ascii="Arial" w:cs="Arial" w:eastAsia="Arial" w:hAnsi="Arial"/>
          <w:sz w:val="18"/>
          <w:szCs w:val="18"/>
          <w:color w:val="auto"/>
        </w:rPr>
        <w:t>Page 1</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5085715</wp:posOffset>
            </wp:positionH>
            <wp:positionV relativeFrom="page">
              <wp:posOffset>509270</wp:posOffset>
            </wp:positionV>
            <wp:extent cx="2254250" cy="908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2542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First Quarter 2021 Highlights</w:t>
      </w:r>
    </w:p>
    <w:p>
      <w:pPr>
        <w:spacing w:after="0" w:line="207" w:lineRule="exact"/>
        <w:rPr>
          <w:sz w:val="20"/>
          <w:szCs w:val="20"/>
          <w:color w:val="auto"/>
        </w:rPr>
      </w:pPr>
    </w:p>
    <w:p>
      <w:pPr>
        <w:jc w:val="both"/>
        <w:ind w:left="660" w:right="22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March 19, 2021, the Company successfully completed its initial public offering, with its stock trading on the NASDAQ under the symbol SNCY. A total of approximately 10.5 million shares were issued by the Company, raising approximately $225 million of net proceeds, after deducting underwriting discounts and commissions and offering fees and expenses</w:t>
      </w:r>
    </w:p>
    <w:p>
      <w:pPr>
        <w:spacing w:after="0" w:line="2"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
        </w:numPr>
        <w:rPr>
          <w:rFonts w:ascii="Arial" w:cs="Arial" w:eastAsia="Arial" w:hAnsi="Arial"/>
          <w:sz w:val="18"/>
          <w:szCs w:val="18"/>
          <w:color w:val="0A0A0A"/>
        </w:rPr>
      </w:pPr>
      <w:r>
        <w:rPr>
          <w:rFonts w:ascii="Arial" w:cs="Arial" w:eastAsia="Arial" w:hAnsi="Arial"/>
          <w:sz w:val="18"/>
          <w:szCs w:val="18"/>
          <w:color w:val="0A0A0A"/>
        </w:rPr>
        <w:t>Repaid the U.S. Treasury loan received through the CARES Act program with $46.3 million of proceeds received from its initial public offering</w:t>
      </w:r>
    </w:p>
    <w:p>
      <w:pPr>
        <w:spacing w:after="0" w:line="1" w:lineRule="exact"/>
        <w:rPr>
          <w:rFonts w:ascii="Arial" w:cs="Arial" w:eastAsia="Arial" w:hAnsi="Arial"/>
          <w:sz w:val="18"/>
          <w:szCs w:val="18"/>
          <w:color w:val="0A0A0A"/>
        </w:rPr>
      </w:pPr>
    </w:p>
    <w:p>
      <w:pPr>
        <w:ind w:left="660" w:right="780" w:hanging="328"/>
        <w:spacing w:after="0" w:line="234" w:lineRule="auto"/>
        <w:tabs>
          <w:tab w:leader="none" w:pos="660" w:val="left"/>
        </w:tabs>
        <w:numPr>
          <w:ilvl w:val="0"/>
          <w:numId w:val="3"/>
        </w:numPr>
        <w:rPr>
          <w:rFonts w:ascii="Arial" w:cs="Arial" w:eastAsia="Arial" w:hAnsi="Arial"/>
          <w:sz w:val="18"/>
          <w:szCs w:val="18"/>
          <w:color w:val="0A0A0A"/>
        </w:rPr>
      </w:pPr>
      <w:r>
        <w:rPr>
          <w:rFonts w:ascii="Arial" w:cs="Arial" w:eastAsia="Arial" w:hAnsi="Arial"/>
          <w:sz w:val="18"/>
          <w:szCs w:val="18"/>
          <w:color w:val="0A0A0A"/>
        </w:rPr>
        <w:t>Received $32.2 million grant from the CARES Act Payroll Support Program (PSP) 2 during the first quarter. On April 22, the Company received an additional $4.8 million true-up of the PSP-2 grant program</w:t>
      </w:r>
    </w:p>
    <w:p>
      <w:pPr>
        <w:spacing w:after="0" w:line="1" w:lineRule="exact"/>
        <w:rPr>
          <w:rFonts w:ascii="Arial" w:cs="Arial" w:eastAsia="Arial" w:hAnsi="Arial"/>
          <w:sz w:val="18"/>
          <w:szCs w:val="18"/>
          <w:color w:val="0A0A0A"/>
        </w:rPr>
      </w:pPr>
    </w:p>
    <w:p>
      <w:pPr>
        <w:ind w:left="660" w:right="80" w:hanging="328"/>
        <w:spacing w:after="0" w:line="234" w:lineRule="auto"/>
        <w:tabs>
          <w:tab w:leader="none" w:pos="660" w:val="left"/>
        </w:tabs>
        <w:numPr>
          <w:ilvl w:val="0"/>
          <w:numId w:val="3"/>
        </w:numPr>
        <w:rPr>
          <w:rFonts w:ascii="Arial" w:cs="Arial" w:eastAsia="Arial" w:hAnsi="Arial"/>
          <w:sz w:val="18"/>
          <w:szCs w:val="18"/>
          <w:color w:val="0A0A0A"/>
        </w:rPr>
      </w:pPr>
      <w:r>
        <w:rPr>
          <w:rFonts w:ascii="Arial" w:cs="Arial" w:eastAsia="Arial" w:hAnsi="Arial"/>
          <w:sz w:val="18"/>
          <w:szCs w:val="18"/>
          <w:color w:val="0A0A0A"/>
        </w:rPr>
        <w:t>Continued focus on reducing aircraft ownership costs by purchasing five aircraft previously on operating leases at Sun Country. To execute the transaction, the Company borrowed $68 million through a delayed draw term loan facility. A sixth aircraft was purchased off lease in the second quarter of 2021, also using the delayed draw term loan facility</w:t>
      </w:r>
    </w:p>
    <w:p>
      <w:pPr>
        <w:spacing w:after="0" w:line="2" w:lineRule="exact"/>
        <w:rPr>
          <w:rFonts w:ascii="Arial" w:cs="Arial" w:eastAsia="Arial" w:hAnsi="Arial"/>
          <w:sz w:val="18"/>
          <w:szCs w:val="18"/>
          <w:color w:val="0A0A0A"/>
        </w:rPr>
      </w:pPr>
    </w:p>
    <w:p>
      <w:pPr>
        <w:ind w:left="660" w:right="60" w:hanging="328"/>
        <w:spacing w:after="0" w:line="234" w:lineRule="auto"/>
        <w:tabs>
          <w:tab w:leader="none" w:pos="660" w:val="left"/>
        </w:tabs>
        <w:numPr>
          <w:ilvl w:val="0"/>
          <w:numId w:val="3"/>
        </w:numPr>
        <w:rPr>
          <w:rFonts w:ascii="Arial" w:cs="Arial" w:eastAsia="Arial" w:hAnsi="Arial"/>
          <w:sz w:val="18"/>
          <w:szCs w:val="18"/>
          <w:color w:val="0A0A0A"/>
        </w:rPr>
      </w:pPr>
      <w:r>
        <w:rPr>
          <w:rFonts w:ascii="Arial" w:cs="Arial" w:eastAsia="Arial" w:hAnsi="Arial"/>
          <w:sz w:val="18"/>
          <w:szCs w:val="18"/>
          <w:color w:val="0A0A0A"/>
        </w:rPr>
        <w:t>Announced continued expansion of the Company’s route network including service to nine new airports: Bradley International Airport (BDL), John Wayne Airport (SNA), George Bush Intercontinental Airport (IAH), Raleigh-Durham International Airport (RDU), Glacier Park International Airport (FCA), Fairbanks International Airport (FAI), Jackson Hole Airport (JAC), Indianapolis International Airport (IND) and Cincinnati/Northern Kentucky International Airport (CVG)</w:t>
      </w:r>
    </w:p>
    <w:p>
      <w:pPr>
        <w:spacing w:after="0" w:line="2" w:lineRule="exact"/>
        <w:rPr>
          <w:rFonts w:ascii="Arial" w:cs="Arial" w:eastAsia="Arial" w:hAnsi="Arial"/>
          <w:sz w:val="18"/>
          <w:szCs w:val="18"/>
          <w:color w:val="0A0A0A"/>
        </w:rPr>
      </w:pPr>
    </w:p>
    <w:p>
      <w:pPr>
        <w:ind w:left="660" w:right="320" w:hanging="328"/>
        <w:spacing w:after="0" w:line="234" w:lineRule="auto"/>
        <w:tabs>
          <w:tab w:leader="none" w:pos="660" w:val="left"/>
        </w:tabs>
        <w:numPr>
          <w:ilvl w:val="0"/>
          <w:numId w:val="3"/>
        </w:numPr>
        <w:rPr>
          <w:rFonts w:ascii="Arial" w:cs="Arial" w:eastAsia="Arial" w:hAnsi="Arial"/>
          <w:sz w:val="18"/>
          <w:szCs w:val="18"/>
          <w:color w:val="0A0A0A"/>
        </w:rPr>
      </w:pPr>
      <w:r>
        <w:rPr>
          <w:rFonts w:ascii="Arial" w:cs="Arial" w:eastAsia="Arial" w:hAnsi="Arial"/>
          <w:sz w:val="18"/>
          <w:szCs w:val="18"/>
          <w:color w:val="0A0A0A"/>
        </w:rPr>
        <w:t>Announced 16 new nonstop routes to begin flying in the second quarter 2021, including nine nonstop routes from Minneapolis-St. Paul International Airport (MSP), two new nonstop routes from Dallas Fort Worth International Airport (DFW) and George Bush Intercontinental Airport (IAH) and one additional nonstop route from San Antonio International Airport (SAT), Indianapolis International Airport (IND) and Bradley International Airport (BDL)</w:t>
      </w:r>
    </w:p>
    <w:p>
      <w:pPr>
        <w:spacing w:after="0" w:line="2" w:lineRule="exact"/>
        <w:rPr>
          <w:rFonts w:ascii="Arial" w:cs="Arial" w:eastAsia="Arial" w:hAnsi="Arial"/>
          <w:sz w:val="18"/>
          <w:szCs w:val="18"/>
          <w:color w:val="0A0A0A"/>
        </w:rPr>
      </w:pPr>
    </w:p>
    <w:p>
      <w:pPr>
        <w:ind w:left="660" w:right="360" w:hanging="328"/>
        <w:spacing w:after="0" w:line="246" w:lineRule="auto"/>
        <w:tabs>
          <w:tab w:leader="none" w:pos="660" w:val="left"/>
        </w:tabs>
        <w:numPr>
          <w:ilvl w:val="0"/>
          <w:numId w:val="3"/>
        </w:numPr>
        <w:rPr>
          <w:rFonts w:ascii="Arial" w:cs="Arial" w:eastAsia="Arial" w:hAnsi="Arial"/>
          <w:sz w:val="18"/>
          <w:szCs w:val="18"/>
          <w:color w:val="0A0A0A"/>
        </w:rPr>
      </w:pPr>
      <w:r>
        <w:rPr>
          <w:rFonts w:ascii="Arial" w:cs="Arial" w:eastAsia="Arial" w:hAnsi="Arial"/>
          <w:sz w:val="18"/>
          <w:szCs w:val="18"/>
          <w:color w:val="0A0A0A"/>
        </w:rPr>
        <w:t>Expanded partnership with Landline, adding connecting bus service from five additional Midwest cities: Brainerd, MN, Rochester, MN, St. Cloud, MN, La Crosse, WI, and Eau Claire, WI</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Capacity</w:t>
      </w:r>
    </w:p>
    <w:p>
      <w:pPr>
        <w:spacing w:after="0" w:line="220"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0A0A0A"/>
        </w:rPr>
        <w:t>On a total departure basis, the Company grew 12% in the first quarter vs prior year, as its new cargo services segment more than offset the 22% decline in passenger service (scheduled plus charter) segment departures. On an available seat mile (“ASM”) basis, the Company saw scheduled service capacity decline 23% in the first quarter as it reduced flying to align with the reduced demand due to the COVID-19 pandemic. Scheduled passenger load factor declined to 67% versus 76% last year. Cargo and charter flying have proven to be more resilient during the pandemic, demonstrating the flexibility that has been built into the Company’s business model.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Revenue</w:t>
      </w:r>
    </w:p>
    <w:p>
      <w:pPr>
        <w:spacing w:after="0" w:line="220" w:lineRule="exact"/>
        <w:rPr>
          <w:sz w:val="20"/>
          <w:szCs w:val="20"/>
          <w:color w:val="auto"/>
        </w:rPr>
      </w:pPr>
    </w:p>
    <w:p>
      <w:pPr>
        <w:spacing w:after="0" w:line="237" w:lineRule="auto"/>
        <w:rPr>
          <w:sz w:val="20"/>
          <w:szCs w:val="20"/>
          <w:color w:val="auto"/>
        </w:rPr>
      </w:pPr>
      <w:r>
        <w:rPr>
          <w:rFonts w:ascii="Arial" w:cs="Arial" w:eastAsia="Arial" w:hAnsi="Arial"/>
          <w:sz w:val="18"/>
          <w:szCs w:val="18"/>
          <w:color w:val="0A0A0A"/>
        </w:rPr>
        <w:t xml:space="preserve">For the first quarter of 2021, the Company reported total revenue of $127.6 million which was $ 53 million, or 29%, lower than the $180.3 million recorded in the first quarter of 2020. Sun Country primarily generates operating revenue </w:t>
      </w:r>
      <w:r>
        <w:rPr>
          <w:rFonts w:ascii="Arial" w:cs="Arial" w:eastAsia="Arial" w:hAnsi="Arial"/>
          <w:sz w:val="18"/>
          <w:szCs w:val="18"/>
          <w:color w:val="000000"/>
        </w:rPr>
        <w:t>from Scheduled service passenger revenue</w:t>
      </w:r>
      <w:r>
        <w:rPr>
          <w:rFonts w:ascii="Arial" w:cs="Arial" w:eastAsia="Arial" w:hAnsi="Arial"/>
          <w:sz w:val="18"/>
          <w:szCs w:val="18"/>
          <w:color w:val="0A0A0A"/>
        </w:rPr>
        <w:t xml:space="preserve"> </w:t>
      </w:r>
      <w:r>
        <w:rPr>
          <w:rFonts w:ascii="Arial" w:cs="Arial" w:eastAsia="Arial" w:hAnsi="Arial"/>
          <w:sz w:val="18"/>
          <w:szCs w:val="18"/>
          <w:color w:val="000000"/>
        </w:rPr>
        <w:t>and ancillary sales, Charter service revenue, and Cargo revenue. The Company’s average base fare in the first quarter of 2021 declined 30% to $ 98.77 versus $140.34 in the same period last year, which was less impacted by COVID-19. The Company saw demand improve during the first quarter of 2021 as the number of vaccinations in the country increased and normal seasonal leisure demand patterns began to return. In contrast to the decline in base fare, ancillary</w:t>
      </w:r>
    </w:p>
    <w:p>
      <w:pPr>
        <w:spacing w:after="0" w:line="299" w:lineRule="exact"/>
        <w:rPr>
          <w:sz w:val="20"/>
          <w:szCs w:val="20"/>
          <w:color w:val="auto"/>
        </w:rPr>
      </w:pPr>
    </w:p>
    <w:p>
      <w:pPr>
        <w:jc w:val="right"/>
        <w:spacing w:after="0"/>
        <w:tabs>
          <w:tab w:leader="none" w:pos="2880" w:val="left"/>
        </w:tabs>
        <w:rPr>
          <w:sz w:val="20"/>
          <w:szCs w:val="20"/>
          <w:color w:val="auto"/>
        </w:rPr>
      </w:pPr>
      <w:r>
        <w:rPr>
          <w:rFonts w:ascii="Arial" w:cs="Arial" w:eastAsia="Arial" w:hAnsi="Arial"/>
          <w:sz w:val="18"/>
          <w:szCs w:val="18"/>
          <w:color w:val="auto"/>
        </w:rPr>
        <w:t>Page 2</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5051425</wp:posOffset>
            </wp:positionH>
            <wp:positionV relativeFrom="page">
              <wp:posOffset>508635</wp:posOffset>
            </wp:positionV>
            <wp:extent cx="2254250" cy="9086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2542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revenue per passenger was little changed from $43.04 in the first quarter of 2020 to $42.98 in the first quarter of 2021.</w:t>
      </w:r>
    </w:p>
    <w:p>
      <w:pPr>
        <w:spacing w:after="0" w:line="198"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Charter service revenue is primarily generated through service provided to collegiate and professional sports teams, the U.S. Department of Defense, casinos and other customers. In the first quarter of 2021, the Company’s charter service revenue was $25.8 million, down 12% versus $29.2 million in the first quarter of 2020, as the return of March Madness flying was offset by a decline in its Casino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Cargo revenue consists of revenue earned from flying cargo aircraft under the Air Transportation Services Agreement (“ATSA”) with Amazon.</w:t>
      </w:r>
    </w:p>
    <w:p>
      <w:pPr>
        <w:spacing w:after="0"/>
        <w:rPr>
          <w:sz w:val="20"/>
          <w:szCs w:val="20"/>
          <w:color w:val="auto"/>
        </w:rPr>
      </w:pPr>
      <w:r>
        <w:rPr>
          <w:rFonts w:ascii="Arial" w:cs="Arial" w:eastAsia="Arial" w:hAnsi="Arial"/>
          <w:sz w:val="18"/>
          <w:szCs w:val="18"/>
          <w:color w:val="auto"/>
        </w:rPr>
        <w:t>In the first quarter of 2021, cargo revenue was $21.6 million. Flying under the ATSA began in May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Cost</w:t>
      </w:r>
    </w:p>
    <w:p>
      <w:pPr>
        <w:spacing w:after="0" w:line="220"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0A0A0A"/>
        </w:rPr>
        <w:t>For the first quarter of 2021, total GAAP operating expenses decreased 38% year over year. First quarter 2021 operating expense includes a net Special Items credit of $26.9 million, consisting primarily of a $32.2 million credit from the CARES Act Payroll Support Program (“PSP2”), offset by certain one-time items related to the purchase of five aircraft that were previously under operating leases. Excluding these Special Items, total operating expenses decreased 22%.</w:t>
      </w:r>
    </w:p>
    <w:p>
      <w:pPr>
        <w:spacing w:after="0" w:line="191"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0A0A0A"/>
        </w:rPr>
        <w:t>The Company continues to focus on reducing its unit operating costs including reducing aircraft ownership, ground handling, and distribution expenses. Adjusted CASM is a non-GAAP measure derived from CASM by excluding fuel costs, Special Items described above, non-cash management stock compensation expenses, costs allocated to its cargo operations (starting in 2020 when the Company launched cargo operations), certain commissions and other costs of selling its vacations product from this measure. In the first quarter of 2021, Adjusted CASM was 6.15</w:t>
      </w:r>
      <w:r>
        <w:rPr>
          <w:rFonts w:ascii="Arial" w:cs="Arial" w:eastAsia="Arial" w:hAnsi="Arial"/>
          <w:sz w:val="29"/>
          <w:szCs w:val="29"/>
          <w:color w:val="0A0A0A"/>
          <w:vertAlign w:val="superscript"/>
        </w:rPr>
        <w:t>(2)</w:t>
      </w:r>
      <w:r>
        <w:rPr>
          <w:rFonts w:ascii="Arial" w:cs="Arial" w:eastAsia="Arial" w:hAnsi="Arial"/>
          <w:sz w:val="18"/>
          <w:szCs w:val="18"/>
          <w:color w:val="0A0A0A"/>
        </w:rPr>
        <w:t xml:space="preserve"> cents.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Balance Sheet and Liquidity</w:t>
      </w:r>
    </w:p>
    <w:p>
      <w:pPr>
        <w:spacing w:after="0" w:line="220" w:lineRule="exact"/>
        <w:rPr>
          <w:sz w:val="20"/>
          <w:szCs w:val="20"/>
          <w:color w:val="auto"/>
        </w:rPr>
      </w:pPr>
    </w:p>
    <w:p>
      <w:pPr>
        <w:ind w:right="260"/>
        <w:spacing w:after="0" w:line="220" w:lineRule="auto"/>
        <w:rPr>
          <w:sz w:val="20"/>
          <w:szCs w:val="20"/>
          <w:color w:val="auto"/>
        </w:rPr>
      </w:pPr>
      <w:r>
        <w:rPr>
          <w:rFonts w:ascii="Arial" w:cs="Arial" w:eastAsia="Arial" w:hAnsi="Arial"/>
          <w:sz w:val="18"/>
          <w:szCs w:val="18"/>
          <w:color w:val="0A0A0A"/>
        </w:rPr>
        <w:t>The Company finished the first quarter with a strong balance sheet as it reduced net debt</w:t>
      </w:r>
      <w:r>
        <w:rPr>
          <w:rFonts w:ascii="Arial" w:cs="Arial" w:eastAsia="Arial" w:hAnsi="Arial"/>
          <w:sz w:val="29"/>
          <w:szCs w:val="29"/>
          <w:color w:val="0A0A0A"/>
          <w:vertAlign w:val="superscript"/>
        </w:rPr>
        <w:t>(3)</w:t>
      </w:r>
      <w:r>
        <w:rPr>
          <w:rFonts w:ascii="Arial" w:cs="Arial" w:eastAsia="Arial" w:hAnsi="Arial"/>
          <w:sz w:val="18"/>
          <w:szCs w:val="18"/>
          <w:color w:val="0A0A0A"/>
        </w:rPr>
        <w:t xml:space="preserve"> to $ 236 million during the quarter versus $475 million at the end of 2020, primarily due to the proceeds of its initial public offering as discussed above. On March 24, 2021 the Company used a portion of the proceeds from the initial public offering to repay the U.S. Treasury loan it received through the CARES Act program. The Company received a $45 million loan through this program in October 2020. Sun Country has now fully repaid the loan along with accrued interest.</w:t>
      </w:r>
    </w:p>
    <w:p>
      <w:pPr>
        <w:spacing w:after="0" w:line="191" w:lineRule="exact"/>
        <w:rPr>
          <w:sz w:val="20"/>
          <w:szCs w:val="20"/>
          <w:color w:val="auto"/>
        </w:rPr>
      </w:pPr>
    </w:p>
    <w:p>
      <w:pPr>
        <w:ind w:right="40"/>
        <w:spacing w:after="0"/>
        <w:rPr>
          <w:sz w:val="20"/>
          <w:szCs w:val="20"/>
          <w:color w:val="auto"/>
        </w:rPr>
      </w:pPr>
      <w:r>
        <w:rPr>
          <w:rFonts w:ascii="Arial" w:cs="Arial" w:eastAsia="Arial" w:hAnsi="Arial"/>
          <w:sz w:val="18"/>
          <w:szCs w:val="18"/>
          <w:color w:val="0A0A0A"/>
        </w:rPr>
        <w:t>On April 29, 2021, the Company received its first installment of $ 17.3 million of the PSP-3 grant from the US Treasury. As of the end of April 2021, the Company had total liquidity of $325 million, consisting of $300 million in cash and equivalents and access to $25 million through an undrawn revolver.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Fleet</w:t>
      </w:r>
    </w:p>
    <w:p>
      <w:pPr>
        <w:spacing w:after="0" w:line="220" w:lineRule="exact"/>
        <w:rPr>
          <w:sz w:val="20"/>
          <w:szCs w:val="20"/>
          <w:color w:val="auto"/>
        </w:rPr>
      </w:pPr>
    </w:p>
    <w:p>
      <w:pPr>
        <w:ind w:right="240"/>
        <w:spacing w:after="0"/>
        <w:rPr>
          <w:sz w:val="20"/>
          <w:szCs w:val="20"/>
          <w:color w:val="auto"/>
        </w:rPr>
      </w:pPr>
      <w:r>
        <w:rPr>
          <w:rFonts w:ascii="Arial" w:cs="Arial" w:eastAsia="Arial" w:hAnsi="Arial"/>
          <w:sz w:val="18"/>
          <w:szCs w:val="18"/>
          <w:color w:val="0A0A0A"/>
        </w:rPr>
        <w:t>The Company currently operates 31 aircraft in passenger service, consisting of 30 Boeing 737-800s and one 737-700, and 12 737-800 freighter aircraft in its cargo operation. In April 2021, the Company entered into certain arrangements to take delivery of an additional three growth aircraft during the year and expects to acquire additional aircraft in the upcoming months.</w:t>
      </w:r>
    </w:p>
    <w:p>
      <w:pPr>
        <w:spacing w:after="0" w:line="297" w:lineRule="exact"/>
        <w:rPr>
          <w:sz w:val="20"/>
          <w:szCs w:val="20"/>
          <w:color w:val="auto"/>
        </w:rPr>
      </w:pPr>
    </w:p>
    <w:p>
      <w:pPr>
        <w:jc w:val="right"/>
        <w:spacing w:after="0"/>
        <w:tabs>
          <w:tab w:leader="none" w:pos="2880" w:val="left"/>
        </w:tabs>
        <w:rPr>
          <w:sz w:val="20"/>
          <w:szCs w:val="20"/>
          <w:color w:val="auto"/>
        </w:rPr>
      </w:pPr>
      <w:r>
        <w:rPr>
          <w:rFonts w:ascii="Arial" w:cs="Arial" w:eastAsia="Arial" w:hAnsi="Arial"/>
          <w:sz w:val="18"/>
          <w:szCs w:val="18"/>
          <w:color w:val="auto"/>
        </w:rPr>
        <w:t>Page 3</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Guidance for Second Quarter 2021</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0A0A0A"/>
        </w:rPr>
        <w:t>Total revenue - millions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A0A0A"/>
        </w:rPr>
        <w:t>Total system ASMs - millions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A0A0A"/>
        </w:rPr>
        <w:t>Adjusted CASM - cents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0A0A0A"/>
        </w:rPr>
        <w:t>Conference Call &amp; Webcast Details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A0A0A"/>
              </w:rPr>
              <w:t>Q2 2021</w:t>
            </w:r>
          </w:p>
        </w:tc>
        <w:tc>
          <w:tcPr>
            <w:tcW w:w="10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A0A0A"/>
                <w:w w:val="99"/>
              </w:rPr>
              <w:t>H/(L) vs Q2 2019</w:t>
            </w:r>
          </w:p>
        </w:tc>
      </w:tr>
      <w:tr>
        <w:trPr>
          <w:trHeight w:val="209"/>
        </w:trPr>
        <w:tc>
          <w:tcPr>
            <w:tcW w:w="2340" w:type="dxa"/>
            <w:vAlign w:val="bottom"/>
            <w:gridSpan w:val="2"/>
          </w:tcPr>
          <w:p>
            <w:pPr>
              <w:jc w:val="center"/>
              <w:ind w:right="120"/>
              <w:spacing w:after="0"/>
              <w:rPr>
                <w:sz w:val="20"/>
                <w:szCs w:val="20"/>
                <w:color w:val="auto"/>
              </w:rPr>
            </w:pPr>
            <w:r>
              <w:rPr>
                <w:rFonts w:ascii="Arial" w:cs="Arial" w:eastAsia="Arial" w:hAnsi="Arial"/>
                <w:sz w:val="18"/>
                <w:szCs w:val="18"/>
                <w:color w:val="0A0A0A"/>
              </w:rPr>
              <w:t>$129 to $135</w:t>
            </w:r>
          </w:p>
        </w:tc>
        <w:tc>
          <w:tcPr>
            <w:tcW w:w="2240" w:type="dxa"/>
            <w:vAlign w:val="bottom"/>
          </w:tcPr>
          <w:p>
            <w:pPr>
              <w:jc w:val="center"/>
              <w:spacing w:after="0"/>
              <w:rPr>
                <w:sz w:val="20"/>
                <w:szCs w:val="20"/>
                <w:color w:val="auto"/>
              </w:rPr>
            </w:pPr>
            <w:r>
              <w:rPr>
                <w:rFonts w:ascii="Arial" w:cs="Arial" w:eastAsia="Arial" w:hAnsi="Arial"/>
                <w:sz w:val="18"/>
                <w:szCs w:val="18"/>
                <w:color w:val="0A0A0A"/>
                <w:w w:val="99"/>
              </w:rPr>
              <w:t>(24%) to (20%)</w:t>
            </w:r>
          </w:p>
        </w:tc>
      </w:tr>
      <w:tr>
        <w:trPr>
          <w:trHeight w:val="216"/>
        </w:trPr>
        <w:tc>
          <w:tcPr>
            <w:tcW w:w="2340" w:type="dxa"/>
            <w:vAlign w:val="bottom"/>
            <w:gridSpan w:val="2"/>
          </w:tcPr>
          <w:p>
            <w:pPr>
              <w:jc w:val="center"/>
              <w:ind w:right="120"/>
              <w:spacing w:after="0"/>
              <w:rPr>
                <w:sz w:val="20"/>
                <w:szCs w:val="20"/>
                <w:color w:val="auto"/>
              </w:rPr>
            </w:pPr>
            <w:r>
              <w:rPr>
                <w:rFonts w:ascii="Arial" w:cs="Arial" w:eastAsia="Arial" w:hAnsi="Arial"/>
                <w:sz w:val="18"/>
                <w:szCs w:val="18"/>
                <w:color w:val="0A0A0A"/>
                <w:w w:val="99"/>
              </w:rPr>
              <w:t>1,400 to 1,450</w:t>
            </w:r>
          </w:p>
        </w:tc>
        <w:tc>
          <w:tcPr>
            <w:tcW w:w="2240" w:type="dxa"/>
            <w:vAlign w:val="bottom"/>
          </w:tcPr>
          <w:p>
            <w:pPr>
              <w:jc w:val="center"/>
              <w:spacing w:after="0"/>
              <w:rPr>
                <w:sz w:val="20"/>
                <w:szCs w:val="20"/>
                <w:color w:val="auto"/>
              </w:rPr>
            </w:pPr>
            <w:r>
              <w:rPr>
                <w:rFonts w:ascii="Arial" w:cs="Arial" w:eastAsia="Arial" w:hAnsi="Arial"/>
                <w:sz w:val="18"/>
                <w:szCs w:val="18"/>
                <w:color w:val="0A0A0A"/>
                <w:w w:val="99"/>
              </w:rPr>
              <w:t>(20%) to (17%)</w:t>
            </w:r>
          </w:p>
        </w:tc>
      </w:tr>
      <w:tr>
        <w:trPr>
          <w:trHeight w:val="230"/>
        </w:trPr>
        <w:tc>
          <w:tcPr>
            <w:tcW w:w="2340" w:type="dxa"/>
            <w:vAlign w:val="bottom"/>
            <w:gridSpan w:val="2"/>
          </w:tcPr>
          <w:p>
            <w:pPr>
              <w:jc w:val="center"/>
              <w:ind w:right="120"/>
              <w:spacing w:after="0"/>
              <w:rPr>
                <w:sz w:val="20"/>
                <w:szCs w:val="20"/>
                <w:color w:val="auto"/>
              </w:rPr>
            </w:pPr>
            <w:r>
              <w:rPr>
                <w:rFonts w:ascii="Arial" w:cs="Arial" w:eastAsia="Arial" w:hAnsi="Arial"/>
                <w:sz w:val="18"/>
                <w:szCs w:val="18"/>
                <w:color w:val="0A0A0A"/>
                <w:w w:val="98"/>
              </w:rPr>
              <w:t>6.4 to 6.7</w:t>
            </w:r>
          </w:p>
        </w:tc>
        <w:tc>
          <w:tcPr>
            <w:tcW w:w="2240" w:type="dxa"/>
            <w:vAlign w:val="bottom"/>
          </w:tcPr>
          <w:p>
            <w:pPr>
              <w:jc w:val="center"/>
              <w:spacing w:after="0"/>
              <w:rPr>
                <w:sz w:val="20"/>
                <w:szCs w:val="20"/>
                <w:color w:val="auto"/>
              </w:rPr>
            </w:pPr>
            <w:r>
              <w:rPr>
                <w:rFonts w:ascii="Arial" w:cs="Arial" w:eastAsia="Arial" w:hAnsi="Arial"/>
                <w:sz w:val="18"/>
                <w:szCs w:val="18"/>
                <w:color w:val="0A0A0A"/>
                <w:w w:val="98"/>
              </w:rPr>
              <w:t>3% to 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-427990</wp:posOffset>
            </wp:positionV>
            <wp:extent cx="713232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-144780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2257425</wp:posOffset>
            </wp:positionH>
            <wp:positionV relativeFrom="paragraph">
              <wp:posOffset>-1885315</wp:posOffset>
            </wp:positionV>
            <wp:extent cx="2254250" cy="908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54250" cy="908685"/>
                    </a:xfrm>
                    <a:prstGeom prst="rect">
                      <a:avLst/>
                    </a:prstGeom>
                    <a:noFill/>
                  </pic:spPr>
                </pic:pic>
              </a:graphicData>
            </a:graphic>
          </wp:anchor>
        </w:drawing>
      </w:r>
    </w:p>
    <w:p>
      <w:pPr>
        <w:spacing w:after="0" w:line="561" w:lineRule="exact"/>
        <w:rPr>
          <w:sz w:val="20"/>
          <w:szCs w:val="20"/>
          <w:color w:val="auto"/>
        </w:rPr>
      </w:pPr>
    </w:p>
    <w:p>
      <w:pPr>
        <w:sectPr>
          <w:pgSz w:w="11900" w:h="16838" w:orient="portrait"/>
          <w:cols w:equalWidth="0" w:num="2">
            <w:col w:w="3360" w:space="720"/>
            <w:col w:w="7160"/>
          </w:cols>
          <w:pgMar w:left="320" w:top="1440" w:right="339" w:bottom="1440" w:gutter="0" w:footer="0" w:header="0"/>
        </w:sectPr>
      </w:pPr>
    </w:p>
    <w:p>
      <w:pPr>
        <w:spacing w:after="0" w:line="32"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0A0A0A"/>
        </w:rPr>
        <w:t xml:space="preserve">Sun Country Airlines will host a conference call to discuss its first quarter 2021 results at 8:30 a.m. Eastern Time on Thursday, May 6, 2021. A live broadcast of the conference call will be available via the investor relations section of Sun Country Airlines’ website at </w:t>
      </w:r>
      <w:r>
        <w:rPr>
          <w:rFonts w:ascii="Arial" w:cs="Arial" w:eastAsia="Arial" w:hAnsi="Arial"/>
          <w:sz w:val="18"/>
          <w:szCs w:val="18"/>
          <w:u w:val="single" w:color="auto"/>
          <w:color w:val="0563C1"/>
        </w:rPr>
        <w:t>https://ir.suncountry.com/news-events/events-and-presentations</w:t>
      </w:r>
      <w:r>
        <w:rPr>
          <w:rFonts w:ascii="Arial" w:cs="Arial" w:eastAsia="Arial" w:hAnsi="Arial"/>
          <w:sz w:val="18"/>
          <w:szCs w:val="18"/>
          <w:color w:val="000000"/>
        </w:rPr>
        <w:t>. The online replay will be available on the same website approximately one</w:t>
      </w:r>
      <w:r>
        <w:rPr>
          <w:rFonts w:ascii="Arial" w:cs="Arial" w:eastAsia="Arial" w:hAnsi="Arial"/>
          <w:sz w:val="18"/>
          <w:szCs w:val="18"/>
          <w:color w:val="0563C1"/>
        </w:rPr>
        <w:t xml:space="preserve"> </w:t>
      </w:r>
      <w:r>
        <w:rPr>
          <w:rFonts w:ascii="Arial" w:cs="Arial" w:eastAsia="Arial" w:hAnsi="Arial"/>
          <w:sz w:val="18"/>
          <w:szCs w:val="18"/>
          <w:color w:val="000000"/>
        </w:rPr>
        <w:t>hour after the call. The conference call can also be listened to live by dialing 1 (800) 708-4539 (U.S. toll free) or 1 (847) 619-6396 (U.S. toll).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About Sun Country Airlines</w:t>
      </w:r>
    </w:p>
    <w:p>
      <w:pPr>
        <w:spacing w:after="0" w:line="220" w:lineRule="exact"/>
        <w:rPr>
          <w:sz w:val="20"/>
          <w:szCs w:val="20"/>
          <w:color w:val="auto"/>
        </w:rPr>
      </w:pPr>
    </w:p>
    <w:p>
      <w:pPr>
        <w:spacing w:after="0" w:line="238" w:lineRule="auto"/>
        <w:rPr>
          <w:sz w:val="20"/>
          <w:szCs w:val="20"/>
          <w:color w:val="auto"/>
        </w:rPr>
      </w:pPr>
      <w:r>
        <w:rPr>
          <w:rFonts w:ascii="Arial" w:cs="Arial" w:eastAsia="Arial" w:hAnsi="Arial"/>
          <w:sz w:val="18"/>
          <w:szCs w:val="18"/>
          <w:color w:val="0A0A0A"/>
        </w:rPr>
        <w:t>Sun Country Airlines is a new breed of hybrid low-cost air carrier that dynamically deploys shared resources across our synergistic scheduled service, charter and cargo businesses. Based in Minnesota, we focus on serving leisure and visiting friends and relatives ("VFR") passengers and charter customers and providing cargo CMI services, with flights throughout the United States and to destinations in Mexico, Central America and the Caribbean.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End Notes</w:t>
      </w:r>
    </w:p>
    <w:p>
      <w:pPr>
        <w:spacing w:after="0" w:line="220" w:lineRule="exact"/>
        <w:rPr>
          <w:sz w:val="20"/>
          <w:szCs w:val="20"/>
          <w:color w:val="auto"/>
        </w:rPr>
      </w:pPr>
    </w:p>
    <w:p>
      <w:pPr>
        <w:ind w:right="220"/>
        <w:spacing w:after="0" w:line="234" w:lineRule="auto"/>
        <w:rPr>
          <w:sz w:val="20"/>
          <w:szCs w:val="20"/>
          <w:color w:val="auto"/>
        </w:rPr>
      </w:pPr>
      <w:r>
        <w:rPr>
          <w:rFonts w:ascii="Arial" w:cs="Arial" w:eastAsia="Arial" w:hAnsi="Arial"/>
          <w:sz w:val="18"/>
          <w:szCs w:val="18"/>
          <w:color w:val="0A0A0A"/>
        </w:rPr>
        <w:t>1 – See additional details in the tables below in the section titled “</w:t>
      </w:r>
      <w:r>
        <w:rPr>
          <w:rFonts w:ascii="Arial" w:cs="Arial" w:eastAsia="Arial" w:hAnsi="Arial"/>
          <w:sz w:val="18"/>
          <w:szCs w:val="18"/>
          <w:color w:val="000000"/>
        </w:rPr>
        <w:t>Adjusted Operating Income Margin, Adjusted Income Before Income Tax,</w:t>
      </w:r>
      <w:r>
        <w:rPr>
          <w:rFonts w:ascii="Arial" w:cs="Arial" w:eastAsia="Arial" w:hAnsi="Arial"/>
          <w:sz w:val="18"/>
          <w:szCs w:val="18"/>
          <w:color w:val="0A0A0A"/>
        </w:rPr>
        <w:t xml:space="preserve"> </w:t>
      </w:r>
      <w:r>
        <w:rPr>
          <w:rFonts w:ascii="Arial" w:cs="Arial" w:eastAsia="Arial" w:hAnsi="Arial"/>
          <w:sz w:val="18"/>
          <w:szCs w:val="18"/>
          <w:color w:val="000000"/>
        </w:rPr>
        <w:t>Adjusted Net Income, and Adjusted EBITDAR”</w:t>
      </w:r>
    </w:p>
    <w:p>
      <w:pPr>
        <w:spacing w:after="0" w:line="236" w:lineRule="auto"/>
        <w:rPr>
          <w:sz w:val="20"/>
          <w:szCs w:val="20"/>
          <w:color w:val="auto"/>
        </w:rPr>
      </w:pPr>
      <w:r>
        <w:rPr>
          <w:rFonts w:ascii="Arial" w:cs="Arial" w:eastAsia="Arial" w:hAnsi="Arial"/>
          <w:sz w:val="18"/>
          <w:szCs w:val="18"/>
          <w:color w:val="0A0A0A"/>
        </w:rPr>
        <w:t>2 – See additional details in table below titled “R</w:t>
      </w:r>
      <w:r>
        <w:rPr>
          <w:rFonts w:ascii="Arial" w:cs="Arial" w:eastAsia="Arial" w:hAnsi="Arial"/>
          <w:sz w:val="18"/>
          <w:szCs w:val="18"/>
          <w:color w:val="000000"/>
        </w:rPr>
        <w:t>econciliation of Adjusted CASM to CASM”</w:t>
      </w:r>
    </w:p>
    <w:p>
      <w:pPr>
        <w:ind w:right="660"/>
        <w:spacing w:after="0" w:line="246" w:lineRule="auto"/>
        <w:rPr>
          <w:sz w:val="20"/>
          <w:szCs w:val="20"/>
          <w:color w:val="auto"/>
        </w:rPr>
      </w:pPr>
      <w:r>
        <w:rPr>
          <w:rFonts w:ascii="Arial" w:cs="Arial" w:eastAsia="Arial" w:hAnsi="Arial"/>
          <w:sz w:val="18"/>
          <w:szCs w:val="18"/>
          <w:color w:val="auto"/>
        </w:rPr>
        <w:t>3 – Net debt = current portion of long-term debt + long-term debt + finance lease obligations + operating lease obligations – cash and equivalents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Contacts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Investor Relations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0A0A0A"/>
        </w:rPr>
        <w:t>Chris Allen</w:t>
      </w:r>
    </w:p>
    <w:p>
      <w:pPr>
        <w:spacing w:after="0" w:line="234" w:lineRule="auto"/>
        <w:rPr>
          <w:sz w:val="20"/>
          <w:szCs w:val="20"/>
          <w:color w:val="auto"/>
        </w:rPr>
      </w:pPr>
      <w:r>
        <w:rPr>
          <w:rFonts w:ascii="Arial" w:cs="Arial" w:eastAsia="Arial" w:hAnsi="Arial"/>
          <w:sz w:val="18"/>
          <w:szCs w:val="18"/>
          <w:color w:val="0A0A0A"/>
        </w:rPr>
        <w:t>651-681-4810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IR@suncountry.com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Media</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0A0A0A"/>
        </w:rPr>
        <w:t>Jessica Wheeler</w:t>
      </w:r>
    </w:p>
    <w:p>
      <w:pPr>
        <w:spacing w:after="0" w:line="234" w:lineRule="auto"/>
        <w:rPr>
          <w:sz w:val="20"/>
          <w:szCs w:val="20"/>
          <w:color w:val="auto"/>
        </w:rPr>
      </w:pPr>
      <w:r>
        <w:rPr>
          <w:rFonts w:ascii="Arial" w:cs="Arial" w:eastAsia="Arial" w:hAnsi="Arial"/>
          <w:sz w:val="18"/>
          <w:szCs w:val="18"/>
          <w:color w:val="0A0A0A"/>
        </w:rPr>
        <w:t>651-900-8400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mediarelations@suncountry.com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Forward Looking Statements</w:t>
      </w:r>
    </w:p>
    <w:p>
      <w:pPr>
        <w:spacing w:after="0" w:line="220"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0A0A0A"/>
        </w:rPr>
        <w:t>This report contains forward-looking statements, which involve risks and uncertainties. These forward-looking statements are generally identified by the use of forward-looking terminology, including the terms “anticipate,”</w:t>
      </w:r>
    </w:p>
    <w:p>
      <w:pPr>
        <w:spacing w:after="0" w:line="291" w:lineRule="exact"/>
        <w:rPr>
          <w:sz w:val="20"/>
          <w:szCs w:val="20"/>
          <w:color w:val="auto"/>
        </w:rPr>
      </w:pPr>
    </w:p>
    <w:p>
      <w:pPr>
        <w:jc w:val="right"/>
        <w:spacing w:after="0"/>
        <w:tabs>
          <w:tab w:leader="none" w:pos="2880" w:val="left"/>
        </w:tabs>
        <w:rPr>
          <w:sz w:val="20"/>
          <w:szCs w:val="20"/>
          <w:color w:val="auto"/>
        </w:rPr>
      </w:pPr>
      <w:r>
        <w:rPr>
          <w:rFonts w:ascii="Arial" w:cs="Arial" w:eastAsia="Arial" w:hAnsi="Arial"/>
          <w:sz w:val="18"/>
          <w:szCs w:val="18"/>
          <w:color w:val="auto"/>
        </w:rPr>
        <w:t>Page 4</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5051425</wp:posOffset>
            </wp:positionH>
            <wp:positionV relativeFrom="page">
              <wp:posOffset>508635</wp:posOffset>
            </wp:positionV>
            <wp:extent cx="2254250" cy="908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22542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0A0A0A"/>
        </w:rPr>
        <w:t>“believe,” “continue,” “could,” “estimate,” “expect,” “intend,” “likely,” “may,” “plan,” “possible,” “potential,” “predict,” “project,” “should,” “target,” “will,” “would” and, in each case, their negative or other various or comparable terminology. All statements other than statements of historical facts contained in this report, including statements regarding our strategy, future operations, future financial position, future revenue, projected costs, prospects, plans, objectives of management, and expected market growth are forward-looking statements. The forward-looking statements are relating to:</w:t>
      </w:r>
    </w:p>
    <w:p>
      <w:pPr>
        <w:spacing w:after="0" w:line="3"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0A0A0A"/>
        </w:rPr>
      </w:pPr>
      <w:r>
        <w:rPr>
          <w:rFonts w:ascii="Arial" w:cs="Arial" w:eastAsia="Arial" w:hAnsi="Arial"/>
          <w:sz w:val="18"/>
          <w:szCs w:val="18"/>
          <w:color w:val="0A0A0A"/>
        </w:rPr>
        <w:t>our strategy, outlook and growth prospects;</w:t>
      </w:r>
    </w:p>
    <w:p>
      <w:pPr>
        <w:spacing w:after="0" w:line="9" w:lineRule="exact"/>
        <w:rPr>
          <w:rFonts w:ascii="Arial" w:cs="Arial" w:eastAsia="Arial" w:hAnsi="Arial"/>
          <w:sz w:val="18"/>
          <w:szCs w:val="18"/>
          <w:color w:val="0A0A0A"/>
        </w:rPr>
      </w:pPr>
    </w:p>
    <w:p>
      <w:pPr>
        <w:ind w:left="340" w:hanging="332"/>
        <w:spacing w:after="0"/>
        <w:tabs>
          <w:tab w:leader="none" w:pos="340" w:val="left"/>
        </w:tabs>
        <w:numPr>
          <w:ilvl w:val="0"/>
          <w:numId w:val="4"/>
        </w:numPr>
        <w:rPr>
          <w:rFonts w:ascii="Arial" w:cs="Arial" w:eastAsia="Arial" w:hAnsi="Arial"/>
          <w:sz w:val="18"/>
          <w:szCs w:val="18"/>
          <w:color w:val="0A0A0A"/>
        </w:rPr>
      </w:pPr>
      <w:r>
        <w:rPr>
          <w:rFonts w:ascii="Arial" w:cs="Arial" w:eastAsia="Arial" w:hAnsi="Arial"/>
          <w:sz w:val="18"/>
          <w:szCs w:val="18"/>
          <w:color w:val="0A0A0A"/>
        </w:rPr>
        <w:t>our operational and financial targets and dividend policy;</w:t>
      </w:r>
    </w:p>
    <w:p>
      <w:pPr>
        <w:spacing w:after="0" w:line="9" w:lineRule="exact"/>
        <w:rPr>
          <w:rFonts w:ascii="Arial" w:cs="Arial" w:eastAsia="Arial" w:hAnsi="Arial"/>
          <w:sz w:val="18"/>
          <w:szCs w:val="18"/>
          <w:color w:val="0A0A0A"/>
        </w:rPr>
      </w:pPr>
    </w:p>
    <w:p>
      <w:pPr>
        <w:ind w:left="340" w:hanging="332"/>
        <w:spacing w:after="0"/>
        <w:tabs>
          <w:tab w:leader="none" w:pos="340" w:val="left"/>
        </w:tabs>
        <w:numPr>
          <w:ilvl w:val="0"/>
          <w:numId w:val="4"/>
        </w:numPr>
        <w:rPr>
          <w:rFonts w:ascii="Arial" w:cs="Arial" w:eastAsia="Arial" w:hAnsi="Arial"/>
          <w:sz w:val="18"/>
          <w:szCs w:val="18"/>
          <w:color w:val="0A0A0A"/>
        </w:rPr>
      </w:pPr>
      <w:r>
        <w:rPr>
          <w:rFonts w:ascii="Arial" w:cs="Arial" w:eastAsia="Arial" w:hAnsi="Arial"/>
          <w:sz w:val="18"/>
          <w:szCs w:val="18"/>
          <w:color w:val="0A0A0A"/>
        </w:rPr>
        <w:t>general economic trends and trends in the industry and markets; and</w:t>
      </w:r>
    </w:p>
    <w:p>
      <w:pPr>
        <w:spacing w:after="0" w:line="9" w:lineRule="exact"/>
        <w:rPr>
          <w:rFonts w:ascii="Arial" w:cs="Arial" w:eastAsia="Arial" w:hAnsi="Arial"/>
          <w:sz w:val="18"/>
          <w:szCs w:val="18"/>
          <w:color w:val="0A0A0A"/>
        </w:rPr>
      </w:pPr>
    </w:p>
    <w:p>
      <w:pPr>
        <w:ind w:left="340" w:hanging="332"/>
        <w:spacing w:after="0"/>
        <w:tabs>
          <w:tab w:leader="none" w:pos="340" w:val="left"/>
        </w:tabs>
        <w:numPr>
          <w:ilvl w:val="0"/>
          <w:numId w:val="4"/>
        </w:numPr>
        <w:rPr>
          <w:rFonts w:ascii="Arial" w:cs="Arial" w:eastAsia="Arial" w:hAnsi="Arial"/>
          <w:sz w:val="18"/>
          <w:szCs w:val="18"/>
          <w:color w:val="0A0A0A"/>
        </w:rPr>
      </w:pPr>
      <w:r>
        <w:rPr>
          <w:rFonts w:ascii="Arial" w:cs="Arial" w:eastAsia="Arial" w:hAnsi="Arial"/>
          <w:sz w:val="18"/>
          <w:szCs w:val="18"/>
          <w:color w:val="0A0A0A"/>
        </w:rPr>
        <w:t>the competitive environment in which we operate.</w:t>
      </w:r>
    </w:p>
    <w:p>
      <w:pPr>
        <w:spacing w:after="0" w:line="212" w:lineRule="exact"/>
        <w:rPr>
          <w:sz w:val="20"/>
          <w:szCs w:val="20"/>
          <w:color w:val="auto"/>
        </w:rPr>
      </w:pPr>
    </w:p>
    <w:p>
      <w:pPr>
        <w:ind w:right="220"/>
        <w:spacing w:after="0"/>
        <w:rPr>
          <w:sz w:val="20"/>
          <w:szCs w:val="20"/>
          <w:color w:val="auto"/>
        </w:rPr>
      </w:pPr>
      <w:r>
        <w:rPr>
          <w:rFonts w:ascii="Arial" w:cs="Arial" w:eastAsia="Arial" w:hAnsi="Arial"/>
          <w:sz w:val="18"/>
          <w:szCs w:val="18"/>
          <w:color w:val="0A0A0A"/>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89" w:lineRule="exact"/>
        <w:rPr>
          <w:sz w:val="20"/>
          <w:szCs w:val="20"/>
          <w:color w:val="auto"/>
        </w:rPr>
      </w:pPr>
    </w:p>
    <w:p>
      <w:pPr>
        <w:spacing w:after="0" w:line="251" w:lineRule="auto"/>
        <w:rPr>
          <w:sz w:val="20"/>
          <w:szCs w:val="20"/>
          <w:color w:val="auto"/>
        </w:rPr>
      </w:pPr>
      <w:r>
        <w:rPr>
          <w:rFonts w:ascii="Arial" w:cs="Arial" w:eastAsia="Arial" w:hAnsi="Arial"/>
          <w:sz w:val="17"/>
          <w:szCs w:val="17"/>
          <w:color w:val="0A0A0A"/>
        </w:rPr>
        <w:t>These forward-looking statements reflect our views with respect to future events as of the date of this report and are based on assumptions and subject to risks and uncertainties. Given these uncertainties, you should not place undue reliance on these forward-looking statements. These forward-looking statements represent our estimates and assumptions only as of the date of this report and, except as required by law, we undertake no obligation to update or review publicly any forward-looking statements, whether as a result of new information, future events or otherwise after the date of this report. We anticipate that subsequent events and developments will cause our views to change. You should read this report completely and with the understanding that our actual future results may be materially different from what we expect. Our forward-looking statements do not reflect the potential impact of any future acquisitions, merger, dispositions, joint ventures, or investments we may undertake. We qualify all of our forward-looking statements by these cautionary statements. Additional information concerning certain factors is contained in the Company’s Securities and Exchange Commission filings, including but not limited to the Company’s Prospectus included in its registration statement on Form S-1, Quarterly Report on Form 10-Q, and Current Reports on Form 8-K.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Non-GAAP Financial Measures</w:t>
      </w:r>
    </w:p>
    <w:p>
      <w:pPr>
        <w:spacing w:after="0" w:line="22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sometimes use information that is derived from the consolidated financial statements, but that is not presented in accordance with GAAP. We believe these non-GAAP measures provide a meaningful comparison of our results to others in the airline industry and our prior year results. Investors should consider these non-GAAP financial measures in addition to, and not as a substitute for, our financial performance measures prepared in accordance with GAAP. Further, our non-GAAP information may be different from the non-GAAP information provided by other companies. We believe certain charges included in our operating expenses on a GAAP basis make it difficult to compare our current period results to prior periods as well as future periods and guidance. The tables below show a reconciliation of non-GAAP financial measures used in this document to the most directly comparable GAAP financial measures.</w:t>
      </w:r>
    </w:p>
    <w:p>
      <w:pPr>
        <w:spacing w:after="0" w:line="297" w:lineRule="exact"/>
        <w:rPr>
          <w:sz w:val="20"/>
          <w:szCs w:val="20"/>
          <w:color w:val="auto"/>
        </w:rPr>
      </w:pPr>
    </w:p>
    <w:p>
      <w:pPr>
        <w:jc w:val="right"/>
        <w:spacing w:after="0"/>
        <w:tabs>
          <w:tab w:leader="none" w:pos="2880" w:val="left"/>
        </w:tabs>
        <w:rPr>
          <w:sz w:val="20"/>
          <w:szCs w:val="20"/>
          <w:color w:val="auto"/>
        </w:rPr>
      </w:pPr>
      <w:r>
        <w:rPr>
          <w:rFonts w:ascii="Arial" w:cs="Arial" w:eastAsia="Arial" w:hAnsi="Arial"/>
          <w:sz w:val="18"/>
          <w:szCs w:val="18"/>
          <w:color w:val="auto"/>
        </w:rPr>
        <w:t>Page 5</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5051425</wp:posOffset>
            </wp:positionH>
            <wp:positionV relativeFrom="page">
              <wp:posOffset>508635</wp:posOffset>
            </wp:positionV>
            <wp:extent cx="2254250" cy="908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22542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70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0A0A0A"/>
                <w:w w:val="99"/>
              </w:rPr>
              <w:t>Three Months Ended March 31,</w:t>
            </w:r>
          </w:p>
        </w:tc>
        <w:tc>
          <w:tcPr>
            <w:tcW w:w="13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0A0A0A"/>
              </w:rPr>
              <w:t>% Change</w:t>
            </w:r>
          </w:p>
        </w:tc>
        <w:tc>
          <w:tcPr>
            <w:tcW w:w="0" w:type="dxa"/>
            <w:vAlign w:val="bottom"/>
          </w:tcPr>
          <w:p>
            <w:pPr>
              <w:spacing w:after="0"/>
              <w:rPr>
                <w:sz w:val="1"/>
                <w:szCs w:val="1"/>
                <w:color w:val="auto"/>
              </w:rPr>
            </w:pPr>
          </w:p>
        </w:tc>
      </w:tr>
      <w:tr>
        <w:trPr>
          <w:trHeight w:val="196"/>
        </w:trPr>
        <w:tc>
          <w:tcPr>
            <w:tcW w:w="6560" w:type="dxa"/>
            <w:vAlign w:val="bottom"/>
            <w:vMerge w:val="restart"/>
          </w:tcPr>
          <w:p>
            <w:pPr>
              <w:spacing w:after="0"/>
              <w:rPr>
                <w:sz w:val="20"/>
                <w:szCs w:val="20"/>
                <w:color w:val="auto"/>
              </w:rPr>
            </w:pPr>
            <w:r>
              <w:rPr>
                <w:rFonts w:ascii="Arial" w:cs="Arial" w:eastAsia="Arial" w:hAnsi="Arial"/>
                <w:sz w:val="18"/>
                <w:szCs w:val="18"/>
                <w:b w:val="1"/>
                <w:bCs w:val="1"/>
                <w:color w:val="0A0A0A"/>
              </w:rPr>
              <w:t>Operating Revenues:</w:t>
            </w:r>
          </w:p>
        </w:tc>
        <w:tc>
          <w:tcPr>
            <w:tcW w:w="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1"/>
              <w:spacing w:after="0" w:line="196" w:lineRule="exact"/>
              <w:rPr>
                <w:sz w:val="20"/>
                <w:szCs w:val="20"/>
                <w:color w:val="auto"/>
              </w:rPr>
            </w:pPr>
            <w:r>
              <w:rPr>
                <w:rFonts w:ascii="Arial" w:cs="Arial" w:eastAsia="Arial" w:hAnsi="Arial"/>
                <w:sz w:val="18"/>
                <w:szCs w:val="18"/>
                <w:b w:val="1"/>
                <w:bCs w:val="1"/>
                <w:color w:val="0A0A0A"/>
              </w:rPr>
              <w:t>2021</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0A0A0A"/>
              </w:rPr>
              <w:t>2020</w:t>
            </w:r>
          </w:p>
        </w:tc>
        <w:tc>
          <w:tcPr>
            <w:tcW w:w="13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Scheduled Service</w:t>
            </w:r>
          </w:p>
        </w:tc>
        <w:tc>
          <w:tcPr>
            <w:tcW w:w="880" w:type="dxa"/>
            <w:vAlign w:val="bottom"/>
            <w:gridSpan w:val="2"/>
            <w:shd w:val="clear" w:color="auto" w:fill="C6F4F9"/>
          </w:tcPr>
          <w:p>
            <w:pPr>
              <w:ind w:left="640"/>
              <w:spacing w:after="0" w:line="202" w:lineRule="exact"/>
              <w:rPr>
                <w:sz w:val="20"/>
                <w:szCs w:val="20"/>
                <w:color w:val="auto"/>
              </w:rPr>
            </w:pPr>
            <w:r>
              <w:rPr>
                <w:rFonts w:ascii="Arial" w:cs="Arial" w:eastAsia="Arial" w:hAnsi="Arial"/>
                <w:sz w:val="18"/>
                <w:szCs w:val="18"/>
                <w:color w:val="0A0A0A"/>
              </w:rPr>
              <w:t>$</w:t>
            </w:r>
          </w:p>
        </w:tc>
        <w:tc>
          <w:tcPr>
            <w:tcW w:w="110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0A0A0A"/>
              </w:rPr>
              <w:t>54,620</w:t>
            </w:r>
          </w:p>
        </w:tc>
        <w:tc>
          <w:tcPr>
            <w:tcW w:w="240" w:type="dxa"/>
            <w:vAlign w:val="bottom"/>
            <w:shd w:val="clear" w:color="auto" w:fill="C6F4F9"/>
          </w:tcPr>
          <w:p>
            <w:pPr>
              <w:jc w:val="right"/>
              <w:ind w:right="30"/>
              <w:spacing w:after="0" w:line="202" w:lineRule="exact"/>
              <w:rPr>
                <w:sz w:val="20"/>
                <w:szCs w:val="20"/>
                <w:color w:val="auto"/>
              </w:rPr>
            </w:pPr>
            <w:r>
              <w:rPr>
                <w:rFonts w:ascii="Arial" w:cs="Arial" w:eastAsia="Arial" w:hAnsi="Arial"/>
                <w:sz w:val="18"/>
                <w:szCs w:val="18"/>
                <w:color w:val="0A0A0A"/>
                <w:w w:val="99"/>
              </w:rPr>
              <w:t>$</w:t>
            </w:r>
          </w:p>
        </w:tc>
        <w:tc>
          <w:tcPr>
            <w:tcW w:w="112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114,228</w:t>
            </w:r>
          </w:p>
        </w:tc>
        <w:tc>
          <w:tcPr>
            <w:tcW w:w="134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0A0A0A"/>
              </w:rPr>
              <w:t>(52.2)</w:t>
            </w:r>
          </w:p>
        </w:tc>
        <w:tc>
          <w:tcPr>
            <w:tcW w:w="0" w:type="dxa"/>
            <w:vAlign w:val="bottom"/>
          </w:tcPr>
          <w:p>
            <w:pPr>
              <w:spacing w:after="0"/>
              <w:rPr>
                <w:sz w:val="1"/>
                <w:szCs w:val="1"/>
                <w:color w:val="auto"/>
              </w:rPr>
            </w:pPr>
          </w:p>
        </w:tc>
      </w:tr>
      <w:tr>
        <w:trPr>
          <w:trHeight w:val="203"/>
        </w:trPr>
        <w:tc>
          <w:tcPr>
            <w:tcW w:w="6560" w:type="dxa"/>
            <w:vAlign w:val="bottom"/>
          </w:tcPr>
          <w:p>
            <w:pPr>
              <w:spacing w:after="0" w:line="202" w:lineRule="exact"/>
              <w:rPr>
                <w:sz w:val="20"/>
                <w:szCs w:val="20"/>
                <w:color w:val="auto"/>
              </w:rPr>
            </w:pPr>
            <w:r>
              <w:rPr>
                <w:rFonts w:ascii="Arial" w:cs="Arial" w:eastAsia="Arial" w:hAnsi="Arial"/>
                <w:sz w:val="18"/>
                <w:szCs w:val="18"/>
                <w:color w:val="0A0A0A"/>
              </w:rPr>
              <w:t>Charter Service</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0A0A0A"/>
              </w:rPr>
              <w:t>25,805</w:t>
            </w:r>
          </w:p>
        </w:tc>
        <w:tc>
          <w:tcPr>
            <w:tcW w:w="24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29,227</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0A0A0A"/>
              </w:rPr>
              <w:t>(11.7)</w:t>
            </w:r>
          </w:p>
        </w:tc>
        <w:tc>
          <w:tcPr>
            <w:tcW w:w="0" w:type="dxa"/>
            <w:vAlign w:val="bottom"/>
          </w:tcPr>
          <w:p>
            <w:pPr>
              <w:spacing w:after="0"/>
              <w:rPr>
                <w:sz w:val="1"/>
                <w:szCs w:val="1"/>
                <w:color w:val="auto"/>
              </w:rPr>
            </w:pPr>
          </w:p>
        </w:tc>
      </w:tr>
      <w:tr>
        <w:trPr>
          <w:trHeight w:val="216"/>
        </w:trPr>
        <w:tc>
          <w:tcPr>
            <w:tcW w:w="6560" w:type="dxa"/>
            <w:vAlign w:val="bottom"/>
            <w:shd w:val="clear" w:color="auto" w:fill="C6F4F9"/>
          </w:tcPr>
          <w:p>
            <w:pPr>
              <w:spacing w:after="0"/>
              <w:rPr>
                <w:sz w:val="20"/>
                <w:szCs w:val="20"/>
                <w:color w:val="auto"/>
              </w:rPr>
            </w:pPr>
            <w:r>
              <w:rPr>
                <w:rFonts w:ascii="Arial" w:cs="Arial" w:eastAsia="Arial" w:hAnsi="Arial"/>
                <w:sz w:val="18"/>
                <w:szCs w:val="18"/>
                <w:color w:val="0A0A0A"/>
              </w:rPr>
              <w:t>Ancillary</w:t>
            </w:r>
          </w:p>
        </w:tc>
        <w:tc>
          <w:tcPr>
            <w:tcW w:w="640" w:type="dxa"/>
            <w:vAlign w:val="bottom"/>
            <w:shd w:val="clear" w:color="auto" w:fill="C6F4F9"/>
          </w:tcPr>
          <w:p>
            <w:pPr>
              <w:spacing w:after="0"/>
              <w:rPr>
                <w:sz w:val="18"/>
                <w:szCs w:val="18"/>
                <w:color w:val="auto"/>
              </w:rPr>
            </w:pPr>
          </w:p>
        </w:tc>
        <w:tc>
          <w:tcPr>
            <w:tcW w:w="240" w:type="dxa"/>
            <w:vAlign w:val="bottom"/>
            <w:tcBorders>
              <w:bottom w:val="single" w:sz="8" w:color="auto"/>
            </w:tcBorders>
            <w:shd w:val="clear" w:color="auto" w:fill="C6F4F9"/>
          </w:tcPr>
          <w:p>
            <w:pPr>
              <w:spacing w:after="0"/>
              <w:rPr>
                <w:sz w:val="18"/>
                <w:szCs w:val="18"/>
                <w:color w:val="auto"/>
              </w:rPr>
            </w:pPr>
          </w:p>
        </w:tc>
        <w:tc>
          <w:tcPr>
            <w:tcW w:w="1100" w:type="dxa"/>
            <w:vAlign w:val="bottom"/>
            <w:tcBorders>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0A0A0A"/>
              </w:rPr>
              <w:t>23,770</w:t>
            </w:r>
          </w:p>
        </w:tc>
        <w:tc>
          <w:tcPr>
            <w:tcW w:w="240" w:type="dxa"/>
            <w:vAlign w:val="bottom"/>
            <w:tcBorders>
              <w:bottom w:val="single" w:sz="8" w:color="auto"/>
            </w:tcBorders>
            <w:shd w:val="clear" w:color="auto" w:fill="C6F4F9"/>
          </w:tcPr>
          <w:p>
            <w:pPr>
              <w:spacing w:after="0"/>
              <w:rPr>
                <w:sz w:val="18"/>
                <w:szCs w:val="18"/>
                <w:color w:val="auto"/>
              </w:rPr>
            </w:pPr>
          </w:p>
        </w:tc>
        <w:tc>
          <w:tcPr>
            <w:tcW w:w="1120" w:type="dxa"/>
            <w:vAlign w:val="bottom"/>
            <w:tcBorders>
              <w:bottom w:val="single" w:sz="8" w:color="auto"/>
            </w:tcBorders>
            <w:shd w:val="clear" w:color="auto" w:fill="C6F4F9"/>
          </w:tcPr>
          <w:p>
            <w:pPr>
              <w:jc w:val="right"/>
              <w:ind w:right="10"/>
              <w:spacing w:after="0"/>
              <w:rPr>
                <w:sz w:val="20"/>
                <w:szCs w:val="20"/>
                <w:color w:val="auto"/>
              </w:rPr>
            </w:pPr>
            <w:r>
              <w:rPr>
                <w:rFonts w:ascii="Arial" w:cs="Arial" w:eastAsia="Arial" w:hAnsi="Arial"/>
                <w:sz w:val="18"/>
                <w:szCs w:val="18"/>
                <w:color w:val="0A0A0A"/>
              </w:rPr>
              <w:t>35,031</w:t>
            </w:r>
          </w:p>
        </w:tc>
        <w:tc>
          <w:tcPr>
            <w:tcW w:w="1340" w:type="dxa"/>
            <w:vAlign w:val="bottom"/>
            <w:tcBorders>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0A0A0A"/>
              </w:rPr>
              <w:t>(32.1)</w:t>
            </w:r>
          </w:p>
        </w:tc>
        <w:tc>
          <w:tcPr>
            <w:tcW w:w="0" w:type="dxa"/>
            <w:vAlign w:val="bottom"/>
          </w:tcPr>
          <w:p>
            <w:pPr>
              <w:spacing w:after="0"/>
              <w:rPr>
                <w:sz w:val="1"/>
                <w:szCs w:val="1"/>
                <w:color w:val="auto"/>
              </w:rPr>
            </w:pPr>
          </w:p>
        </w:tc>
      </w:tr>
      <w:tr>
        <w:trPr>
          <w:trHeight w:val="196"/>
        </w:trPr>
        <w:tc>
          <w:tcPr>
            <w:tcW w:w="6560" w:type="dxa"/>
            <w:vAlign w:val="bottom"/>
          </w:tcPr>
          <w:p>
            <w:pPr>
              <w:spacing w:after="0" w:line="196" w:lineRule="exact"/>
              <w:rPr>
                <w:sz w:val="20"/>
                <w:szCs w:val="20"/>
                <w:color w:val="auto"/>
              </w:rPr>
            </w:pPr>
            <w:r>
              <w:rPr>
                <w:rFonts w:ascii="Arial" w:cs="Arial" w:eastAsia="Arial" w:hAnsi="Arial"/>
                <w:sz w:val="18"/>
                <w:szCs w:val="18"/>
                <w:color w:val="0A0A0A"/>
              </w:rPr>
              <w:t>Passenger</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0A0A0A"/>
              </w:rPr>
              <w:t>104,195</w:t>
            </w:r>
          </w:p>
        </w:tc>
        <w:tc>
          <w:tcPr>
            <w:tcW w:w="240" w:type="dxa"/>
            <w:vAlign w:val="bottom"/>
          </w:tcPr>
          <w:p>
            <w:pPr>
              <w:spacing w:after="0"/>
              <w:rPr>
                <w:sz w:val="17"/>
                <w:szCs w:val="17"/>
                <w:color w:val="auto"/>
              </w:rPr>
            </w:pPr>
          </w:p>
        </w:tc>
        <w:tc>
          <w:tcPr>
            <w:tcW w:w="1120" w:type="dxa"/>
            <w:vAlign w:val="bottom"/>
          </w:tcPr>
          <w:p>
            <w:pPr>
              <w:jc w:val="right"/>
              <w:ind w:right="10"/>
              <w:spacing w:after="0" w:line="196" w:lineRule="exact"/>
              <w:rPr>
                <w:sz w:val="20"/>
                <w:szCs w:val="20"/>
                <w:color w:val="auto"/>
              </w:rPr>
            </w:pPr>
            <w:r>
              <w:rPr>
                <w:rFonts w:ascii="Arial" w:cs="Arial" w:eastAsia="Arial" w:hAnsi="Arial"/>
                <w:sz w:val="18"/>
                <w:szCs w:val="18"/>
                <w:color w:val="0A0A0A"/>
              </w:rPr>
              <w:t>178,486</w:t>
            </w: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0A0A0A"/>
              </w:rPr>
              <w:t>(41.6)</w:t>
            </w:r>
          </w:p>
        </w:tc>
        <w:tc>
          <w:tcPr>
            <w:tcW w:w="0" w:type="dxa"/>
            <w:vAlign w:val="bottom"/>
          </w:tcPr>
          <w:p>
            <w:pPr>
              <w:spacing w:after="0"/>
              <w:rPr>
                <w:sz w:val="1"/>
                <w:szCs w:val="1"/>
                <w:color w:val="auto"/>
              </w:rPr>
            </w:pPr>
          </w:p>
        </w:tc>
      </w:tr>
      <w:tr>
        <w:trPr>
          <w:trHeight w:val="203"/>
        </w:trPr>
        <w:tc>
          <w:tcPr>
            <w:tcW w:w="656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Cargo</w:t>
            </w:r>
          </w:p>
        </w:tc>
        <w:tc>
          <w:tcPr>
            <w:tcW w:w="640" w:type="dxa"/>
            <w:vAlign w:val="bottom"/>
            <w:shd w:val="clear" w:color="auto" w:fill="C6F4F9"/>
          </w:tcPr>
          <w:p>
            <w:pPr>
              <w:spacing w:after="0"/>
              <w:rPr>
                <w:sz w:val="17"/>
                <w:szCs w:val="17"/>
                <w:color w:val="auto"/>
              </w:rPr>
            </w:pPr>
          </w:p>
        </w:tc>
        <w:tc>
          <w:tcPr>
            <w:tcW w:w="240" w:type="dxa"/>
            <w:vAlign w:val="bottom"/>
            <w:shd w:val="clear" w:color="auto" w:fill="C6F4F9"/>
          </w:tcPr>
          <w:p>
            <w:pPr>
              <w:spacing w:after="0"/>
              <w:rPr>
                <w:sz w:val="17"/>
                <w:szCs w:val="17"/>
                <w:color w:val="auto"/>
              </w:rPr>
            </w:pPr>
          </w:p>
        </w:tc>
        <w:tc>
          <w:tcPr>
            <w:tcW w:w="110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0A0A0A"/>
              </w:rPr>
              <w:t>21,585</w:t>
            </w:r>
          </w:p>
        </w:tc>
        <w:tc>
          <w:tcPr>
            <w:tcW w:w="240" w:type="dxa"/>
            <w:vAlign w:val="bottom"/>
            <w:shd w:val="clear" w:color="auto" w:fill="C6F4F9"/>
          </w:tcPr>
          <w:p>
            <w:pPr>
              <w:spacing w:after="0"/>
              <w:rPr>
                <w:sz w:val="17"/>
                <w:szCs w:val="17"/>
                <w:color w:val="auto"/>
              </w:rPr>
            </w:pPr>
          </w:p>
        </w:tc>
        <w:tc>
          <w:tcPr>
            <w:tcW w:w="1120" w:type="dxa"/>
            <w:vAlign w:val="bottom"/>
            <w:shd w:val="clear" w:color="auto" w:fill="C6F4F9"/>
          </w:tcPr>
          <w:p>
            <w:pPr>
              <w:jc w:val="right"/>
              <w:ind w:right="110"/>
              <w:spacing w:after="0" w:line="202" w:lineRule="exact"/>
              <w:rPr>
                <w:sz w:val="20"/>
                <w:szCs w:val="20"/>
                <w:color w:val="auto"/>
              </w:rPr>
            </w:pPr>
            <w:r>
              <w:rPr>
                <w:rFonts w:ascii="Arial" w:cs="Arial" w:eastAsia="Arial" w:hAnsi="Arial"/>
                <w:sz w:val="18"/>
                <w:szCs w:val="18"/>
                <w:color w:val="0A0A0A"/>
              </w:rPr>
              <w:t>—</w:t>
            </w:r>
          </w:p>
        </w:tc>
        <w:tc>
          <w:tcPr>
            <w:tcW w:w="134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na</w:t>
            </w:r>
          </w:p>
        </w:tc>
        <w:tc>
          <w:tcPr>
            <w:tcW w:w="0" w:type="dxa"/>
            <w:vAlign w:val="bottom"/>
          </w:tcPr>
          <w:p>
            <w:pPr>
              <w:spacing w:after="0"/>
              <w:rPr>
                <w:sz w:val="1"/>
                <w:szCs w:val="1"/>
                <w:color w:val="auto"/>
              </w:rPr>
            </w:pPr>
          </w:p>
        </w:tc>
      </w:tr>
      <w:tr>
        <w:trPr>
          <w:trHeight w:val="216"/>
        </w:trPr>
        <w:tc>
          <w:tcPr>
            <w:tcW w:w="6560" w:type="dxa"/>
            <w:vAlign w:val="bottom"/>
            <w:tcBorders>
              <w:bottom w:val="single" w:sz="8" w:color="C6F4F9"/>
            </w:tcBorders>
          </w:tcPr>
          <w:p>
            <w:pPr>
              <w:spacing w:after="0"/>
              <w:rPr>
                <w:sz w:val="20"/>
                <w:szCs w:val="20"/>
                <w:color w:val="auto"/>
              </w:rPr>
            </w:pPr>
            <w:r>
              <w:rPr>
                <w:rFonts w:ascii="Arial" w:cs="Arial" w:eastAsia="Arial" w:hAnsi="Arial"/>
                <w:sz w:val="18"/>
                <w:szCs w:val="18"/>
                <w:color w:val="0A0A0A"/>
              </w:rPr>
              <w:t>Other</w:t>
            </w:r>
          </w:p>
        </w:tc>
        <w:tc>
          <w:tcPr>
            <w:tcW w:w="640" w:type="dxa"/>
            <w:vAlign w:val="bottom"/>
            <w:tcBorders>
              <w:bottom w:val="single" w:sz="8" w:color="C6F4F9"/>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1,831</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0A0A0A"/>
              </w:rPr>
              <w:t>1,844</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(0.7)</w:t>
            </w:r>
          </w:p>
        </w:tc>
        <w:tc>
          <w:tcPr>
            <w:tcW w:w="0" w:type="dxa"/>
            <w:vAlign w:val="bottom"/>
          </w:tcPr>
          <w:p>
            <w:pPr>
              <w:spacing w:after="0"/>
              <w:rPr>
                <w:sz w:val="1"/>
                <w:szCs w:val="1"/>
                <w:color w:val="auto"/>
              </w:rPr>
            </w:pPr>
          </w:p>
        </w:tc>
      </w:tr>
      <w:tr>
        <w:trPr>
          <w:trHeight w:val="196"/>
        </w:trPr>
        <w:tc>
          <w:tcPr>
            <w:tcW w:w="6560" w:type="dxa"/>
            <w:vAlign w:val="bottom"/>
            <w:shd w:val="clear" w:color="auto" w:fill="C6F4F9"/>
          </w:tcPr>
          <w:p>
            <w:pPr>
              <w:spacing w:after="0" w:line="196" w:lineRule="exact"/>
              <w:rPr>
                <w:sz w:val="20"/>
                <w:szCs w:val="20"/>
                <w:color w:val="auto"/>
              </w:rPr>
            </w:pPr>
            <w:r>
              <w:rPr>
                <w:rFonts w:ascii="Arial" w:cs="Arial" w:eastAsia="Arial" w:hAnsi="Arial"/>
                <w:sz w:val="18"/>
                <w:szCs w:val="18"/>
                <w:color w:val="0A0A0A"/>
              </w:rPr>
              <w:t>Total Operating Revenue</w:t>
            </w:r>
          </w:p>
        </w:tc>
        <w:tc>
          <w:tcPr>
            <w:tcW w:w="640" w:type="dxa"/>
            <w:vAlign w:val="bottom"/>
            <w:shd w:val="clear" w:color="auto" w:fill="C6F4F9"/>
          </w:tcPr>
          <w:p>
            <w:pPr>
              <w:spacing w:after="0"/>
              <w:rPr>
                <w:sz w:val="17"/>
                <w:szCs w:val="17"/>
                <w:color w:val="auto"/>
              </w:rPr>
            </w:pPr>
          </w:p>
        </w:tc>
        <w:tc>
          <w:tcPr>
            <w:tcW w:w="240" w:type="dxa"/>
            <w:vAlign w:val="bottom"/>
            <w:tcBorders>
              <w:bottom w:val="single" w:sz="8" w:color="auto"/>
            </w:tcBorders>
            <w:shd w:val="clear" w:color="auto" w:fill="C6F4F9"/>
          </w:tcPr>
          <w:p>
            <w:pPr>
              <w:spacing w:after="0"/>
              <w:rPr>
                <w:sz w:val="17"/>
                <w:szCs w:val="17"/>
                <w:color w:val="auto"/>
              </w:rPr>
            </w:pPr>
          </w:p>
        </w:tc>
        <w:tc>
          <w:tcPr>
            <w:tcW w:w="1100" w:type="dxa"/>
            <w:vAlign w:val="bottom"/>
            <w:tcBorders>
              <w:bottom w:val="single" w:sz="8" w:color="auto"/>
            </w:tcBorders>
            <w:shd w:val="clear" w:color="auto" w:fill="C6F4F9"/>
          </w:tcPr>
          <w:p>
            <w:pPr>
              <w:jc w:val="right"/>
              <w:spacing w:after="0" w:line="196" w:lineRule="exact"/>
              <w:rPr>
                <w:sz w:val="20"/>
                <w:szCs w:val="20"/>
                <w:color w:val="auto"/>
              </w:rPr>
            </w:pPr>
            <w:r>
              <w:rPr>
                <w:rFonts w:ascii="Arial" w:cs="Arial" w:eastAsia="Arial" w:hAnsi="Arial"/>
                <w:sz w:val="18"/>
                <w:szCs w:val="18"/>
                <w:color w:val="0A0A0A"/>
              </w:rPr>
              <w:t>127,611</w:t>
            </w:r>
          </w:p>
        </w:tc>
        <w:tc>
          <w:tcPr>
            <w:tcW w:w="240" w:type="dxa"/>
            <w:vAlign w:val="bottom"/>
            <w:tcBorders>
              <w:bottom w:val="single" w:sz="8" w:color="auto"/>
            </w:tcBorders>
            <w:shd w:val="clear" w:color="auto" w:fill="C6F4F9"/>
          </w:tcPr>
          <w:p>
            <w:pPr>
              <w:spacing w:after="0"/>
              <w:rPr>
                <w:sz w:val="17"/>
                <w:szCs w:val="17"/>
                <w:color w:val="auto"/>
              </w:rPr>
            </w:pPr>
          </w:p>
        </w:tc>
        <w:tc>
          <w:tcPr>
            <w:tcW w:w="1120" w:type="dxa"/>
            <w:vAlign w:val="bottom"/>
            <w:tcBorders>
              <w:bottom w:val="single" w:sz="8" w:color="auto"/>
            </w:tcBorders>
            <w:shd w:val="clear" w:color="auto" w:fill="C6F4F9"/>
          </w:tcPr>
          <w:p>
            <w:pPr>
              <w:jc w:val="right"/>
              <w:ind w:right="10"/>
              <w:spacing w:after="0" w:line="196" w:lineRule="exact"/>
              <w:rPr>
                <w:sz w:val="20"/>
                <w:szCs w:val="20"/>
                <w:color w:val="auto"/>
              </w:rPr>
            </w:pPr>
            <w:r>
              <w:rPr>
                <w:rFonts w:ascii="Arial" w:cs="Arial" w:eastAsia="Arial" w:hAnsi="Arial"/>
                <w:sz w:val="18"/>
                <w:szCs w:val="18"/>
                <w:color w:val="0A0A0A"/>
              </w:rPr>
              <w:t>180,330</w:t>
            </w:r>
          </w:p>
        </w:tc>
        <w:tc>
          <w:tcPr>
            <w:tcW w:w="1340" w:type="dxa"/>
            <w:vAlign w:val="bottom"/>
            <w:tcBorders>
              <w:bottom w:val="single" w:sz="8" w:color="auto"/>
            </w:tcBorders>
            <w:shd w:val="clear" w:color="auto" w:fill="C6F4F9"/>
          </w:tcPr>
          <w:p>
            <w:pPr>
              <w:jc w:val="right"/>
              <w:spacing w:after="0" w:line="196" w:lineRule="exact"/>
              <w:rPr>
                <w:sz w:val="20"/>
                <w:szCs w:val="20"/>
                <w:color w:val="auto"/>
              </w:rPr>
            </w:pPr>
            <w:r>
              <w:rPr>
                <w:rFonts w:ascii="Arial" w:cs="Arial" w:eastAsia="Arial" w:hAnsi="Arial"/>
                <w:sz w:val="18"/>
                <w:szCs w:val="18"/>
                <w:color w:val="0A0A0A"/>
              </w:rPr>
              <w:t>(29.2)</w:t>
            </w:r>
          </w:p>
        </w:tc>
        <w:tc>
          <w:tcPr>
            <w:tcW w:w="0" w:type="dxa"/>
            <w:vAlign w:val="bottom"/>
          </w:tcPr>
          <w:p>
            <w:pPr>
              <w:spacing w:after="0"/>
              <w:rPr>
                <w:sz w:val="1"/>
                <w:szCs w:val="1"/>
                <w:color w:val="auto"/>
              </w:rPr>
            </w:pPr>
          </w:p>
        </w:tc>
      </w:tr>
      <w:tr>
        <w:trPr>
          <w:trHeight w:val="196"/>
        </w:trPr>
        <w:tc>
          <w:tcPr>
            <w:tcW w:w="6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6F4F9"/>
          </w:tcPr>
          <w:p>
            <w:pPr>
              <w:spacing w:after="0" w:line="202" w:lineRule="exact"/>
              <w:rPr>
                <w:sz w:val="20"/>
                <w:szCs w:val="20"/>
                <w:color w:val="auto"/>
              </w:rPr>
            </w:pPr>
            <w:r>
              <w:rPr>
                <w:rFonts w:ascii="Arial" w:cs="Arial" w:eastAsia="Arial" w:hAnsi="Arial"/>
                <w:sz w:val="18"/>
                <w:szCs w:val="18"/>
                <w:b w:val="1"/>
                <w:bCs w:val="1"/>
                <w:color w:val="0A0A0A"/>
              </w:rPr>
              <w:t>Operating Expenses:</w:t>
            </w:r>
          </w:p>
        </w:tc>
        <w:tc>
          <w:tcPr>
            <w:tcW w:w="640" w:type="dxa"/>
            <w:vAlign w:val="bottom"/>
            <w:shd w:val="clear" w:color="auto" w:fill="C6F4F9"/>
          </w:tcPr>
          <w:p>
            <w:pPr>
              <w:spacing w:after="0"/>
              <w:rPr>
                <w:sz w:val="17"/>
                <w:szCs w:val="17"/>
                <w:color w:val="auto"/>
              </w:rPr>
            </w:pPr>
          </w:p>
        </w:tc>
        <w:tc>
          <w:tcPr>
            <w:tcW w:w="240" w:type="dxa"/>
            <w:vAlign w:val="bottom"/>
            <w:shd w:val="clear" w:color="auto" w:fill="C6F4F9"/>
          </w:tcPr>
          <w:p>
            <w:pPr>
              <w:spacing w:after="0"/>
              <w:rPr>
                <w:sz w:val="17"/>
                <w:szCs w:val="17"/>
                <w:color w:val="auto"/>
              </w:rPr>
            </w:pPr>
          </w:p>
        </w:tc>
        <w:tc>
          <w:tcPr>
            <w:tcW w:w="1100" w:type="dxa"/>
            <w:vAlign w:val="bottom"/>
            <w:shd w:val="clear" w:color="auto" w:fill="C6F4F9"/>
          </w:tcPr>
          <w:p>
            <w:pPr>
              <w:spacing w:after="0"/>
              <w:rPr>
                <w:sz w:val="17"/>
                <w:szCs w:val="17"/>
                <w:color w:val="auto"/>
              </w:rPr>
            </w:pPr>
          </w:p>
        </w:tc>
        <w:tc>
          <w:tcPr>
            <w:tcW w:w="240" w:type="dxa"/>
            <w:vAlign w:val="bottom"/>
            <w:shd w:val="clear" w:color="auto" w:fill="C6F4F9"/>
          </w:tcPr>
          <w:p>
            <w:pPr>
              <w:spacing w:after="0"/>
              <w:rPr>
                <w:sz w:val="17"/>
                <w:szCs w:val="17"/>
                <w:color w:val="auto"/>
              </w:rPr>
            </w:pPr>
          </w:p>
        </w:tc>
        <w:tc>
          <w:tcPr>
            <w:tcW w:w="1120" w:type="dxa"/>
            <w:vAlign w:val="bottom"/>
            <w:shd w:val="clear" w:color="auto" w:fill="C6F4F9"/>
          </w:tcPr>
          <w:p>
            <w:pPr>
              <w:spacing w:after="0"/>
              <w:rPr>
                <w:sz w:val="17"/>
                <w:szCs w:val="17"/>
                <w:color w:val="auto"/>
              </w:rPr>
            </w:pPr>
          </w:p>
        </w:tc>
        <w:tc>
          <w:tcPr>
            <w:tcW w:w="1340" w:type="dxa"/>
            <w:vAlign w:val="bottom"/>
            <w:shd w:val="clear" w:color="auto" w:fill="C6F4F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spacing w:after="0" w:line="202" w:lineRule="exact"/>
              <w:rPr>
                <w:sz w:val="20"/>
                <w:szCs w:val="20"/>
                <w:color w:val="auto"/>
              </w:rPr>
            </w:pPr>
            <w:r>
              <w:rPr>
                <w:rFonts w:ascii="Arial" w:cs="Arial" w:eastAsia="Arial" w:hAnsi="Arial"/>
                <w:sz w:val="18"/>
                <w:szCs w:val="18"/>
                <w:color w:val="0A0A0A"/>
              </w:rPr>
              <w:t>Aircraft Fuel</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0A0A0A"/>
              </w:rPr>
              <w:t>24,274</w:t>
            </w:r>
          </w:p>
        </w:tc>
        <w:tc>
          <w:tcPr>
            <w:tcW w:w="24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55,561</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0A0A0A"/>
              </w:rPr>
              <w:t>(56.3)</w:t>
            </w:r>
          </w:p>
        </w:tc>
        <w:tc>
          <w:tcPr>
            <w:tcW w:w="0" w:type="dxa"/>
            <w:vAlign w:val="bottom"/>
          </w:tcPr>
          <w:p>
            <w:pPr>
              <w:spacing w:after="0"/>
              <w:rPr>
                <w:sz w:val="1"/>
                <w:szCs w:val="1"/>
                <w:color w:val="auto"/>
              </w:rPr>
            </w:pPr>
          </w:p>
        </w:tc>
      </w:tr>
      <w:tr>
        <w:trPr>
          <w:trHeight w:val="203"/>
        </w:trPr>
        <w:tc>
          <w:tcPr>
            <w:tcW w:w="656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Salaries, Wages, and Benefits</w:t>
            </w:r>
          </w:p>
        </w:tc>
        <w:tc>
          <w:tcPr>
            <w:tcW w:w="640" w:type="dxa"/>
            <w:vAlign w:val="bottom"/>
            <w:shd w:val="clear" w:color="auto" w:fill="C6F4F9"/>
          </w:tcPr>
          <w:p>
            <w:pPr>
              <w:spacing w:after="0"/>
              <w:rPr>
                <w:sz w:val="17"/>
                <w:szCs w:val="17"/>
                <w:color w:val="auto"/>
              </w:rPr>
            </w:pPr>
          </w:p>
        </w:tc>
        <w:tc>
          <w:tcPr>
            <w:tcW w:w="240" w:type="dxa"/>
            <w:vAlign w:val="bottom"/>
            <w:shd w:val="clear" w:color="auto" w:fill="C6F4F9"/>
          </w:tcPr>
          <w:p>
            <w:pPr>
              <w:spacing w:after="0"/>
              <w:rPr>
                <w:sz w:val="17"/>
                <w:szCs w:val="17"/>
                <w:color w:val="auto"/>
              </w:rPr>
            </w:pPr>
          </w:p>
        </w:tc>
        <w:tc>
          <w:tcPr>
            <w:tcW w:w="110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0A0A0A"/>
              </w:rPr>
              <w:t>44,075</w:t>
            </w:r>
          </w:p>
        </w:tc>
        <w:tc>
          <w:tcPr>
            <w:tcW w:w="240" w:type="dxa"/>
            <w:vAlign w:val="bottom"/>
            <w:shd w:val="clear" w:color="auto" w:fill="C6F4F9"/>
          </w:tcPr>
          <w:p>
            <w:pPr>
              <w:spacing w:after="0"/>
              <w:rPr>
                <w:sz w:val="17"/>
                <w:szCs w:val="17"/>
                <w:color w:val="auto"/>
              </w:rPr>
            </w:pPr>
          </w:p>
        </w:tc>
        <w:tc>
          <w:tcPr>
            <w:tcW w:w="112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38,091</w:t>
            </w:r>
          </w:p>
        </w:tc>
        <w:tc>
          <w:tcPr>
            <w:tcW w:w="134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15.7</w:t>
            </w:r>
          </w:p>
        </w:tc>
        <w:tc>
          <w:tcPr>
            <w:tcW w:w="0" w:type="dxa"/>
            <w:vAlign w:val="bottom"/>
          </w:tcPr>
          <w:p>
            <w:pPr>
              <w:spacing w:after="0"/>
              <w:rPr>
                <w:sz w:val="1"/>
                <w:szCs w:val="1"/>
                <w:color w:val="auto"/>
              </w:rPr>
            </w:pPr>
          </w:p>
        </w:tc>
      </w:tr>
      <w:tr>
        <w:trPr>
          <w:trHeight w:val="203"/>
        </w:trPr>
        <w:tc>
          <w:tcPr>
            <w:tcW w:w="6560" w:type="dxa"/>
            <w:vAlign w:val="bottom"/>
          </w:tcPr>
          <w:p>
            <w:pPr>
              <w:spacing w:after="0" w:line="202" w:lineRule="exact"/>
              <w:rPr>
                <w:sz w:val="20"/>
                <w:szCs w:val="20"/>
                <w:color w:val="auto"/>
              </w:rPr>
            </w:pPr>
            <w:r>
              <w:rPr>
                <w:rFonts w:ascii="Arial" w:cs="Arial" w:eastAsia="Arial" w:hAnsi="Arial"/>
                <w:sz w:val="18"/>
                <w:szCs w:val="18"/>
                <w:color w:val="0A0A0A"/>
              </w:rPr>
              <w:t>Aircraft Rent</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0A0A0A"/>
              </w:rPr>
              <w:t>5,599</w:t>
            </w:r>
          </w:p>
        </w:tc>
        <w:tc>
          <w:tcPr>
            <w:tcW w:w="24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11,032</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0A0A0A"/>
              </w:rPr>
              <w:t>(49.2)</w:t>
            </w:r>
          </w:p>
        </w:tc>
        <w:tc>
          <w:tcPr>
            <w:tcW w:w="0" w:type="dxa"/>
            <w:vAlign w:val="bottom"/>
          </w:tcPr>
          <w:p>
            <w:pPr>
              <w:spacing w:after="0"/>
              <w:rPr>
                <w:sz w:val="1"/>
                <w:szCs w:val="1"/>
                <w:color w:val="auto"/>
              </w:rPr>
            </w:pPr>
          </w:p>
        </w:tc>
      </w:tr>
      <w:tr>
        <w:trPr>
          <w:trHeight w:val="203"/>
        </w:trPr>
        <w:tc>
          <w:tcPr>
            <w:tcW w:w="656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Maintenance</w:t>
            </w:r>
          </w:p>
        </w:tc>
        <w:tc>
          <w:tcPr>
            <w:tcW w:w="640" w:type="dxa"/>
            <w:vAlign w:val="bottom"/>
            <w:shd w:val="clear" w:color="auto" w:fill="C6F4F9"/>
          </w:tcPr>
          <w:p>
            <w:pPr>
              <w:spacing w:after="0"/>
              <w:rPr>
                <w:sz w:val="17"/>
                <w:szCs w:val="17"/>
                <w:color w:val="auto"/>
              </w:rPr>
            </w:pPr>
          </w:p>
        </w:tc>
        <w:tc>
          <w:tcPr>
            <w:tcW w:w="240" w:type="dxa"/>
            <w:vAlign w:val="bottom"/>
            <w:shd w:val="clear" w:color="auto" w:fill="C6F4F9"/>
          </w:tcPr>
          <w:p>
            <w:pPr>
              <w:spacing w:after="0"/>
              <w:rPr>
                <w:sz w:val="17"/>
                <w:szCs w:val="17"/>
                <w:color w:val="auto"/>
              </w:rPr>
            </w:pPr>
          </w:p>
        </w:tc>
        <w:tc>
          <w:tcPr>
            <w:tcW w:w="110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0A0A0A"/>
              </w:rPr>
              <w:t>9,210</w:t>
            </w:r>
          </w:p>
        </w:tc>
        <w:tc>
          <w:tcPr>
            <w:tcW w:w="240" w:type="dxa"/>
            <w:vAlign w:val="bottom"/>
            <w:shd w:val="clear" w:color="auto" w:fill="C6F4F9"/>
          </w:tcPr>
          <w:p>
            <w:pPr>
              <w:spacing w:after="0"/>
              <w:rPr>
                <w:sz w:val="17"/>
                <w:szCs w:val="17"/>
                <w:color w:val="auto"/>
              </w:rPr>
            </w:pPr>
          </w:p>
        </w:tc>
        <w:tc>
          <w:tcPr>
            <w:tcW w:w="112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6,478</w:t>
            </w:r>
          </w:p>
        </w:tc>
        <w:tc>
          <w:tcPr>
            <w:tcW w:w="134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42.2</w:t>
            </w:r>
          </w:p>
        </w:tc>
        <w:tc>
          <w:tcPr>
            <w:tcW w:w="0" w:type="dxa"/>
            <w:vAlign w:val="bottom"/>
          </w:tcPr>
          <w:p>
            <w:pPr>
              <w:spacing w:after="0"/>
              <w:rPr>
                <w:sz w:val="1"/>
                <w:szCs w:val="1"/>
                <w:color w:val="auto"/>
              </w:rPr>
            </w:pPr>
          </w:p>
        </w:tc>
      </w:tr>
      <w:tr>
        <w:trPr>
          <w:trHeight w:val="202"/>
        </w:trPr>
        <w:tc>
          <w:tcPr>
            <w:tcW w:w="6560" w:type="dxa"/>
            <w:vAlign w:val="bottom"/>
          </w:tcPr>
          <w:p>
            <w:pPr>
              <w:spacing w:after="0" w:line="202" w:lineRule="exact"/>
              <w:rPr>
                <w:sz w:val="20"/>
                <w:szCs w:val="20"/>
                <w:color w:val="auto"/>
              </w:rPr>
            </w:pPr>
            <w:r>
              <w:rPr>
                <w:rFonts w:ascii="Arial" w:cs="Arial" w:eastAsia="Arial" w:hAnsi="Arial"/>
                <w:sz w:val="18"/>
                <w:szCs w:val="18"/>
                <w:color w:val="0A0A0A"/>
              </w:rPr>
              <w:t>Sales and Marketing</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0A0A0A"/>
              </w:rPr>
              <w:t>5,110</w:t>
            </w:r>
          </w:p>
        </w:tc>
        <w:tc>
          <w:tcPr>
            <w:tcW w:w="24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8,572</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0A0A0A"/>
              </w:rPr>
              <w:t>(40.4)</w:t>
            </w:r>
          </w:p>
        </w:tc>
        <w:tc>
          <w:tcPr>
            <w:tcW w:w="0" w:type="dxa"/>
            <w:vAlign w:val="bottom"/>
          </w:tcPr>
          <w:p>
            <w:pPr>
              <w:spacing w:after="0"/>
              <w:rPr>
                <w:sz w:val="1"/>
                <w:szCs w:val="1"/>
                <w:color w:val="auto"/>
              </w:rPr>
            </w:pPr>
          </w:p>
        </w:tc>
      </w:tr>
      <w:tr>
        <w:trPr>
          <w:trHeight w:val="203"/>
        </w:trPr>
        <w:tc>
          <w:tcPr>
            <w:tcW w:w="656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Depreciation and Amortization</w:t>
            </w:r>
          </w:p>
        </w:tc>
        <w:tc>
          <w:tcPr>
            <w:tcW w:w="640" w:type="dxa"/>
            <w:vAlign w:val="bottom"/>
            <w:shd w:val="clear" w:color="auto" w:fill="C6F4F9"/>
          </w:tcPr>
          <w:p>
            <w:pPr>
              <w:spacing w:after="0"/>
              <w:rPr>
                <w:sz w:val="17"/>
                <w:szCs w:val="17"/>
                <w:color w:val="auto"/>
              </w:rPr>
            </w:pPr>
          </w:p>
        </w:tc>
        <w:tc>
          <w:tcPr>
            <w:tcW w:w="240" w:type="dxa"/>
            <w:vAlign w:val="bottom"/>
            <w:shd w:val="clear" w:color="auto" w:fill="C6F4F9"/>
          </w:tcPr>
          <w:p>
            <w:pPr>
              <w:spacing w:after="0"/>
              <w:rPr>
                <w:sz w:val="17"/>
                <w:szCs w:val="17"/>
                <w:color w:val="auto"/>
              </w:rPr>
            </w:pPr>
          </w:p>
        </w:tc>
        <w:tc>
          <w:tcPr>
            <w:tcW w:w="110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0A0A0A"/>
              </w:rPr>
              <w:t>12,615</w:t>
            </w:r>
          </w:p>
        </w:tc>
        <w:tc>
          <w:tcPr>
            <w:tcW w:w="240" w:type="dxa"/>
            <w:vAlign w:val="bottom"/>
            <w:shd w:val="clear" w:color="auto" w:fill="C6F4F9"/>
          </w:tcPr>
          <w:p>
            <w:pPr>
              <w:spacing w:after="0"/>
              <w:rPr>
                <w:sz w:val="17"/>
                <w:szCs w:val="17"/>
                <w:color w:val="auto"/>
              </w:rPr>
            </w:pPr>
          </w:p>
        </w:tc>
        <w:tc>
          <w:tcPr>
            <w:tcW w:w="112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10,527</w:t>
            </w:r>
          </w:p>
        </w:tc>
        <w:tc>
          <w:tcPr>
            <w:tcW w:w="134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19.8</w:t>
            </w:r>
          </w:p>
        </w:tc>
        <w:tc>
          <w:tcPr>
            <w:tcW w:w="0" w:type="dxa"/>
            <w:vAlign w:val="bottom"/>
          </w:tcPr>
          <w:p>
            <w:pPr>
              <w:spacing w:after="0"/>
              <w:rPr>
                <w:sz w:val="1"/>
                <w:szCs w:val="1"/>
                <w:color w:val="auto"/>
              </w:rPr>
            </w:pPr>
          </w:p>
        </w:tc>
      </w:tr>
      <w:tr>
        <w:trPr>
          <w:trHeight w:val="203"/>
        </w:trPr>
        <w:tc>
          <w:tcPr>
            <w:tcW w:w="6560" w:type="dxa"/>
            <w:vAlign w:val="bottom"/>
          </w:tcPr>
          <w:p>
            <w:pPr>
              <w:spacing w:after="0" w:line="202" w:lineRule="exact"/>
              <w:rPr>
                <w:sz w:val="20"/>
                <w:szCs w:val="20"/>
                <w:color w:val="auto"/>
              </w:rPr>
            </w:pPr>
            <w:r>
              <w:rPr>
                <w:rFonts w:ascii="Arial" w:cs="Arial" w:eastAsia="Arial" w:hAnsi="Arial"/>
                <w:sz w:val="18"/>
                <w:szCs w:val="18"/>
                <w:color w:val="0A0A0A"/>
              </w:rPr>
              <w:t>Ground Handling</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0A0A0A"/>
              </w:rPr>
              <w:t>5,230</w:t>
            </w:r>
          </w:p>
        </w:tc>
        <w:tc>
          <w:tcPr>
            <w:tcW w:w="24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9,292</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0A0A0A"/>
              </w:rPr>
              <w:t>(43.7)</w:t>
            </w:r>
          </w:p>
        </w:tc>
        <w:tc>
          <w:tcPr>
            <w:tcW w:w="0" w:type="dxa"/>
            <w:vAlign w:val="bottom"/>
          </w:tcPr>
          <w:p>
            <w:pPr>
              <w:spacing w:after="0"/>
              <w:rPr>
                <w:sz w:val="1"/>
                <w:szCs w:val="1"/>
                <w:color w:val="auto"/>
              </w:rPr>
            </w:pPr>
          </w:p>
        </w:tc>
      </w:tr>
      <w:tr>
        <w:trPr>
          <w:trHeight w:val="203"/>
        </w:trPr>
        <w:tc>
          <w:tcPr>
            <w:tcW w:w="656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Landing Fees and Airport Rent</w:t>
            </w:r>
          </w:p>
        </w:tc>
        <w:tc>
          <w:tcPr>
            <w:tcW w:w="640" w:type="dxa"/>
            <w:vAlign w:val="bottom"/>
            <w:shd w:val="clear" w:color="auto" w:fill="C6F4F9"/>
          </w:tcPr>
          <w:p>
            <w:pPr>
              <w:spacing w:after="0"/>
              <w:rPr>
                <w:sz w:val="17"/>
                <w:szCs w:val="17"/>
                <w:color w:val="auto"/>
              </w:rPr>
            </w:pPr>
          </w:p>
        </w:tc>
        <w:tc>
          <w:tcPr>
            <w:tcW w:w="240" w:type="dxa"/>
            <w:vAlign w:val="bottom"/>
            <w:shd w:val="clear" w:color="auto" w:fill="C6F4F9"/>
          </w:tcPr>
          <w:p>
            <w:pPr>
              <w:spacing w:after="0"/>
              <w:rPr>
                <w:sz w:val="17"/>
                <w:szCs w:val="17"/>
                <w:color w:val="auto"/>
              </w:rPr>
            </w:pPr>
          </w:p>
        </w:tc>
        <w:tc>
          <w:tcPr>
            <w:tcW w:w="110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0A0A0A"/>
              </w:rPr>
              <w:t>8,785</w:t>
            </w:r>
          </w:p>
        </w:tc>
        <w:tc>
          <w:tcPr>
            <w:tcW w:w="240" w:type="dxa"/>
            <w:vAlign w:val="bottom"/>
            <w:shd w:val="clear" w:color="auto" w:fill="C6F4F9"/>
          </w:tcPr>
          <w:p>
            <w:pPr>
              <w:spacing w:after="0"/>
              <w:rPr>
                <w:sz w:val="17"/>
                <w:szCs w:val="17"/>
                <w:color w:val="auto"/>
              </w:rPr>
            </w:pPr>
          </w:p>
        </w:tc>
        <w:tc>
          <w:tcPr>
            <w:tcW w:w="112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11,114</w:t>
            </w:r>
          </w:p>
        </w:tc>
        <w:tc>
          <w:tcPr>
            <w:tcW w:w="134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0A0A0A"/>
              </w:rPr>
              <w:t>(21.0)</w:t>
            </w:r>
          </w:p>
        </w:tc>
        <w:tc>
          <w:tcPr>
            <w:tcW w:w="0" w:type="dxa"/>
            <w:vAlign w:val="bottom"/>
          </w:tcPr>
          <w:p>
            <w:pPr>
              <w:spacing w:after="0"/>
              <w:rPr>
                <w:sz w:val="1"/>
                <w:szCs w:val="1"/>
                <w:color w:val="auto"/>
              </w:rPr>
            </w:pPr>
          </w:p>
        </w:tc>
      </w:tr>
      <w:tr>
        <w:trPr>
          <w:trHeight w:val="203"/>
        </w:trPr>
        <w:tc>
          <w:tcPr>
            <w:tcW w:w="6560" w:type="dxa"/>
            <w:vAlign w:val="bottom"/>
          </w:tcPr>
          <w:p>
            <w:pPr>
              <w:spacing w:after="0" w:line="202" w:lineRule="exact"/>
              <w:rPr>
                <w:sz w:val="20"/>
                <w:szCs w:val="20"/>
                <w:color w:val="auto"/>
              </w:rPr>
            </w:pPr>
            <w:r>
              <w:rPr>
                <w:rFonts w:ascii="Arial" w:cs="Arial" w:eastAsia="Arial" w:hAnsi="Arial"/>
                <w:sz w:val="18"/>
                <w:szCs w:val="18"/>
                <w:color w:val="0A0A0A"/>
              </w:rPr>
              <w:t>Special Items, net</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0A0A0A"/>
              </w:rPr>
              <w:t>(26,871)</w:t>
            </w:r>
          </w:p>
        </w:tc>
        <w:tc>
          <w:tcPr>
            <w:tcW w:w="240" w:type="dxa"/>
            <w:vAlign w:val="bottom"/>
          </w:tcPr>
          <w:p>
            <w:pPr>
              <w:spacing w:after="0"/>
              <w:rPr>
                <w:sz w:val="17"/>
                <w:szCs w:val="17"/>
                <w:color w:val="auto"/>
              </w:rPr>
            </w:pPr>
          </w:p>
        </w:tc>
        <w:tc>
          <w:tcPr>
            <w:tcW w:w="1120" w:type="dxa"/>
            <w:vAlign w:val="bottom"/>
          </w:tcPr>
          <w:p>
            <w:pPr>
              <w:jc w:val="right"/>
              <w:ind w:right="110"/>
              <w:spacing w:after="0" w:line="202" w:lineRule="exact"/>
              <w:rPr>
                <w:sz w:val="20"/>
                <w:szCs w:val="20"/>
                <w:color w:val="auto"/>
              </w:rPr>
            </w:pPr>
            <w:r>
              <w:rPr>
                <w:rFonts w:ascii="Arial" w:cs="Arial" w:eastAsia="Arial" w:hAnsi="Arial"/>
                <w:sz w:val="18"/>
                <w:szCs w:val="18"/>
                <w:color w:val="0A0A0A"/>
              </w:rPr>
              <w:t>—</w:t>
            </w: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na</w:t>
            </w:r>
          </w:p>
        </w:tc>
        <w:tc>
          <w:tcPr>
            <w:tcW w:w="0" w:type="dxa"/>
            <w:vAlign w:val="bottom"/>
          </w:tcPr>
          <w:p>
            <w:pPr>
              <w:spacing w:after="0"/>
              <w:rPr>
                <w:sz w:val="1"/>
                <w:szCs w:val="1"/>
                <w:color w:val="auto"/>
              </w:rPr>
            </w:pPr>
          </w:p>
        </w:tc>
      </w:tr>
      <w:tr>
        <w:trPr>
          <w:trHeight w:val="216"/>
        </w:trPr>
        <w:tc>
          <w:tcPr>
            <w:tcW w:w="6560" w:type="dxa"/>
            <w:vAlign w:val="bottom"/>
            <w:shd w:val="clear" w:color="auto" w:fill="C6F4F9"/>
          </w:tcPr>
          <w:p>
            <w:pPr>
              <w:spacing w:after="0"/>
              <w:rPr>
                <w:sz w:val="20"/>
                <w:szCs w:val="20"/>
                <w:color w:val="auto"/>
              </w:rPr>
            </w:pPr>
            <w:r>
              <w:rPr>
                <w:rFonts w:ascii="Arial" w:cs="Arial" w:eastAsia="Arial" w:hAnsi="Arial"/>
                <w:sz w:val="18"/>
                <w:szCs w:val="18"/>
                <w:color w:val="0A0A0A"/>
              </w:rPr>
              <w:t>Other Operating, net</w:t>
            </w:r>
          </w:p>
        </w:tc>
        <w:tc>
          <w:tcPr>
            <w:tcW w:w="640" w:type="dxa"/>
            <w:vAlign w:val="bottom"/>
            <w:shd w:val="clear" w:color="auto" w:fill="C6F4F9"/>
          </w:tcPr>
          <w:p>
            <w:pPr>
              <w:spacing w:after="0"/>
              <w:rPr>
                <w:sz w:val="18"/>
                <w:szCs w:val="18"/>
                <w:color w:val="auto"/>
              </w:rPr>
            </w:pPr>
          </w:p>
        </w:tc>
        <w:tc>
          <w:tcPr>
            <w:tcW w:w="240" w:type="dxa"/>
            <w:vAlign w:val="bottom"/>
            <w:tcBorders>
              <w:bottom w:val="single" w:sz="8" w:color="auto"/>
            </w:tcBorders>
            <w:shd w:val="clear" w:color="auto" w:fill="C6F4F9"/>
          </w:tcPr>
          <w:p>
            <w:pPr>
              <w:spacing w:after="0"/>
              <w:rPr>
                <w:sz w:val="18"/>
                <w:szCs w:val="18"/>
                <w:color w:val="auto"/>
              </w:rPr>
            </w:pPr>
          </w:p>
        </w:tc>
        <w:tc>
          <w:tcPr>
            <w:tcW w:w="1100" w:type="dxa"/>
            <w:vAlign w:val="bottom"/>
            <w:tcBorders>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0A0A0A"/>
              </w:rPr>
              <w:t>14,651</w:t>
            </w:r>
          </w:p>
        </w:tc>
        <w:tc>
          <w:tcPr>
            <w:tcW w:w="240" w:type="dxa"/>
            <w:vAlign w:val="bottom"/>
            <w:tcBorders>
              <w:bottom w:val="single" w:sz="8" w:color="auto"/>
            </w:tcBorders>
            <w:shd w:val="clear" w:color="auto" w:fill="C6F4F9"/>
          </w:tcPr>
          <w:p>
            <w:pPr>
              <w:spacing w:after="0"/>
              <w:rPr>
                <w:sz w:val="18"/>
                <w:szCs w:val="18"/>
                <w:color w:val="auto"/>
              </w:rPr>
            </w:pPr>
          </w:p>
        </w:tc>
        <w:tc>
          <w:tcPr>
            <w:tcW w:w="1120" w:type="dxa"/>
            <w:vAlign w:val="bottom"/>
            <w:tcBorders>
              <w:bottom w:val="single" w:sz="8" w:color="auto"/>
            </w:tcBorders>
            <w:shd w:val="clear" w:color="auto" w:fill="C6F4F9"/>
          </w:tcPr>
          <w:p>
            <w:pPr>
              <w:jc w:val="right"/>
              <w:ind w:right="10"/>
              <w:spacing w:after="0"/>
              <w:rPr>
                <w:sz w:val="20"/>
                <w:szCs w:val="20"/>
                <w:color w:val="auto"/>
              </w:rPr>
            </w:pPr>
            <w:r>
              <w:rPr>
                <w:rFonts w:ascii="Arial" w:cs="Arial" w:eastAsia="Arial" w:hAnsi="Arial"/>
                <w:sz w:val="18"/>
                <w:szCs w:val="18"/>
                <w:color w:val="0A0A0A"/>
              </w:rPr>
              <w:t>14,433</w:t>
            </w:r>
          </w:p>
        </w:tc>
        <w:tc>
          <w:tcPr>
            <w:tcW w:w="1340" w:type="dxa"/>
            <w:vAlign w:val="bottom"/>
            <w:tcBorders>
              <w:bottom w:val="single" w:sz="8" w:color="auto"/>
            </w:tcBorders>
            <w:shd w:val="clear" w:color="auto" w:fill="C6F4F9"/>
          </w:tcPr>
          <w:p>
            <w:pPr>
              <w:jc w:val="right"/>
              <w:ind w:right="10"/>
              <w:spacing w:after="0"/>
              <w:rPr>
                <w:sz w:val="20"/>
                <w:szCs w:val="20"/>
                <w:color w:val="auto"/>
              </w:rPr>
            </w:pPr>
            <w:r>
              <w:rPr>
                <w:rFonts w:ascii="Arial" w:cs="Arial" w:eastAsia="Arial" w:hAnsi="Arial"/>
                <w:sz w:val="18"/>
                <w:szCs w:val="18"/>
                <w:color w:val="0A0A0A"/>
              </w:rPr>
              <w:t>1.5</w:t>
            </w:r>
          </w:p>
        </w:tc>
        <w:tc>
          <w:tcPr>
            <w:tcW w:w="0" w:type="dxa"/>
            <w:vAlign w:val="bottom"/>
          </w:tcPr>
          <w:p>
            <w:pPr>
              <w:spacing w:after="0"/>
              <w:rPr>
                <w:sz w:val="1"/>
                <w:szCs w:val="1"/>
                <w:color w:val="auto"/>
              </w:rPr>
            </w:pPr>
          </w:p>
        </w:tc>
      </w:tr>
      <w:tr>
        <w:trPr>
          <w:trHeight w:val="196"/>
        </w:trPr>
        <w:tc>
          <w:tcPr>
            <w:tcW w:w="6560" w:type="dxa"/>
            <w:vAlign w:val="bottom"/>
            <w:tcBorders>
              <w:bottom w:val="single" w:sz="8" w:color="C6F4F9"/>
            </w:tcBorders>
          </w:tcPr>
          <w:p>
            <w:pPr>
              <w:spacing w:after="0" w:line="196" w:lineRule="exact"/>
              <w:rPr>
                <w:sz w:val="20"/>
                <w:szCs w:val="20"/>
                <w:color w:val="auto"/>
              </w:rPr>
            </w:pPr>
            <w:r>
              <w:rPr>
                <w:rFonts w:ascii="Arial" w:cs="Arial" w:eastAsia="Arial" w:hAnsi="Arial"/>
                <w:sz w:val="18"/>
                <w:szCs w:val="18"/>
                <w:color w:val="0A0A0A"/>
              </w:rPr>
              <w:t>Total Operating Expenses</w:t>
            </w:r>
          </w:p>
        </w:tc>
        <w:tc>
          <w:tcPr>
            <w:tcW w:w="640" w:type="dxa"/>
            <w:vAlign w:val="bottom"/>
            <w:tcBorders>
              <w:bottom w:val="single" w:sz="8" w:color="C6F4F9"/>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0A0A0A"/>
              </w:rPr>
              <w:t>102,678</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0A0A0A"/>
              </w:rPr>
              <w:t>165,100</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0A0A0A"/>
              </w:rPr>
              <w:t>(37.8)</w:t>
            </w:r>
          </w:p>
        </w:tc>
        <w:tc>
          <w:tcPr>
            <w:tcW w:w="0" w:type="dxa"/>
            <w:vAlign w:val="bottom"/>
          </w:tcPr>
          <w:p>
            <w:pPr>
              <w:spacing w:after="0"/>
              <w:rPr>
                <w:sz w:val="1"/>
                <w:szCs w:val="1"/>
                <w:color w:val="auto"/>
              </w:rPr>
            </w:pPr>
          </w:p>
        </w:tc>
      </w:tr>
      <w:tr>
        <w:trPr>
          <w:trHeight w:val="196"/>
        </w:trPr>
        <w:tc>
          <w:tcPr>
            <w:tcW w:w="6560" w:type="dxa"/>
            <w:vAlign w:val="bottom"/>
            <w:shd w:val="clear" w:color="auto" w:fill="C6F4F9"/>
          </w:tcPr>
          <w:p>
            <w:pPr>
              <w:spacing w:after="0" w:line="196" w:lineRule="exact"/>
              <w:rPr>
                <w:sz w:val="20"/>
                <w:szCs w:val="20"/>
                <w:color w:val="auto"/>
              </w:rPr>
            </w:pPr>
            <w:r>
              <w:rPr>
                <w:rFonts w:ascii="Arial" w:cs="Arial" w:eastAsia="Arial" w:hAnsi="Arial"/>
                <w:sz w:val="18"/>
                <w:szCs w:val="18"/>
                <w:color w:val="0A0A0A"/>
              </w:rPr>
              <w:t>Operating Income</w:t>
            </w:r>
          </w:p>
        </w:tc>
        <w:tc>
          <w:tcPr>
            <w:tcW w:w="640" w:type="dxa"/>
            <w:vAlign w:val="bottom"/>
            <w:shd w:val="clear" w:color="auto" w:fill="C6F4F9"/>
          </w:tcPr>
          <w:p>
            <w:pPr>
              <w:spacing w:after="0"/>
              <w:rPr>
                <w:sz w:val="17"/>
                <w:szCs w:val="17"/>
                <w:color w:val="auto"/>
              </w:rPr>
            </w:pPr>
          </w:p>
        </w:tc>
        <w:tc>
          <w:tcPr>
            <w:tcW w:w="240" w:type="dxa"/>
            <w:vAlign w:val="bottom"/>
            <w:tcBorders>
              <w:bottom w:val="single" w:sz="8" w:color="auto"/>
            </w:tcBorders>
            <w:shd w:val="clear" w:color="auto" w:fill="C6F4F9"/>
          </w:tcPr>
          <w:p>
            <w:pPr>
              <w:spacing w:after="0"/>
              <w:rPr>
                <w:sz w:val="17"/>
                <w:szCs w:val="17"/>
                <w:color w:val="auto"/>
              </w:rPr>
            </w:pPr>
          </w:p>
        </w:tc>
        <w:tc>
          <w:tcPr>
            <w:tcW w:w="1100" w:type="dxa"/>
            <w:vAlign w:val="bottom"/>
            <w:tcBorders>
              <w:bottom w:val="single" w:sz="8" w:color="auto"/>
            </w:tcBorders>
            <w:shd w:val="clear" w:color="auto" w:fill="C6F4F9"/>
          </w:tcPr>
          <w:p>
            <w:pPr>
              <w:jc w:val="right"/>
              <w:spacing w:after="0" w:line="196" w:lineRule="exact"/>
              <w:rPr>
                <w:sz w:val="20"/>
                <w:szCs w:val="20"/>
                <w:color w:val="auto"/>
              </w:rPr>
            </w:pPr>
            <w:r>
              <w:rPr>
                <w:rFonts w:ascii="Arial" w:cs="Arial" w:eastAsia="Arial" w:hAnsi="Arial"/>
                <w:sz w:val="18"/>
                <w:szCs w:val="18"/>
                <w:color w:val="0A0A0A"/>
              </w:rPr>
              <w:t>24,933</w:t>
            </w:r>
          </w:p>
        </w:tc>
        <w:tc>
          <w:tcPr>
            <w:tcW w:w="240" w:type="dxa"/>
            <w:vAlign w:val="bottom"/>
            <w:tcBorders>
              <w:bottom w:val="single" w:sz="8" w:color="auto"/>
            </w:tcBorders>
            <w:shd w:val="clear" w:color="auto" w:fill="C6F4F9"/>
          </w:tcPr>
          <w:p>
            <w:pPr>
              <w:spacing w:after="0"/>
              <w:rPr>
                <w:sz w:val="17"/>
                <w:szCs w:val="17"/>
                <w:color w:val="auto"/>
              </w:rPr>
            </w:pPr>
          </w:p>
        </w:tc>
        <w:tc>
          <w:tcPr>
            <w:tcW w:w="1120" w:type="dxa"/>
            <w:vAlign w:val="bottom"/>
            <w:tcBorders>
              <w:bottom w:val="single" w:sz="8" w:color="auto"/>
            </w:tcBorders>
            <w:shd w:val="clear" w:color="auto" w:fill="C6F4F9"/>
          </w:tcPr>
          <w:p>
            <w:pPr>
              <w:jc w:val="right"/>
              <w:ind w:right="10"/>
              <w:spacing w:after="0" w:line="196" w:lineRule="exact"/>
              <w:rPr>
                <w:sz w:val="20"/>
                <w:szCs w:val="20"/>
                <w:color w:val="auto"/>
              </w:rPr>
            </w:pPr>
            <w:r>
              <w:rPr>
                <w:rFonts w:ascii="Arial" w:cs="Arial" w:eastAsia="Arial" w:hAnsi="Arial"/>
                <w:sz w:val="18"/>
                <w:szCs w:val="18"/>
                <w:color w:val="0A0A0A"/>
              </w:rPr>
              <w:t>15,230</w:t>
            </w:r>
          </w:p>
        </w:tc>
        <w:tc>
          <w:tcPr>
            <w:tcW w:w="1340" w:type="dxa"/>
            <w:vAlign w:val="bottom"/>
            <w:tcBorders>
              <w:bottom w:val="single" w:sz="8" w:color="auto"/>
            </w:tcBorders>
            <w:shd w:val="clear" w:color="auto" w:fill="C6F4F9"/>
          </w:tcPr>
          <w:p>
            <w:pPr>
              <w:jc w:val="right"/>
              <w:ind w:right="10"/>
              <w:spacing w:after="0" w:line="196" w:lineRule="exact"/>
              <w:rPr>
                <w:sz w:val="20"/>
                <w:szCs w:val="20"/>
                <w:color w:val="auto"/>
              </w:rPr>
            </w:pPr>
            <w:r>
              <w:rPr>
                <w:rFonts w:ascii="Arial" w:cs="Arial" w:eastAsia="Arial" w:hAnsi="Arial"/>
                <w:sz w:val="18"/>
                <w:szCs w:val="18"/>
                <w:color w:val="0A0A0A"/>
              </w:rPr>
              <w:t>63.7</w:t>
            </w:r>
          </w:p>
        </w:tc>
        <w:tc>
          <w:tcPr>
            <w:tcW w:w="0" w:type="dxa"/>
            <w:vAlign w:val="bottom"/>
          </w:tcPr>
          <w:p>
            <w:pPr>
              <w:spacing w:after="0"/>
              <w:rPr>
                <w:sz w:val="1"/>
                <w:szCs w:val="1"/>
                <w:color w:val="auto"/>
              </w:rPr>
            </w:pPr>
          </w:p>
        </w:tc>
      </w:tr>
      <w:tr>
        <w:trPr>
          <w:trHeight w:val="196"/>
        </w:trPr>
        <w:tc>
          <w:tcPr>
            <w:tcW w:w="6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6F4F9"/>
          </w:tcPr>
          <w:p>
            <w:pPr>
              <w:spacing w:after="0" w:line="202" w:lineRule="exact"/>
              <w:rPr>
                <w:sz w:val="20"/>
                <w:szCs w:val="20"/>
                <w:color w:val="auto"/>
              </w:rPr>
            </w:pPr>
            <w:r>
              <w:rPr>
                <w:rFonts w:ascii="Arial" w:cs="Arial" w:eastAsia="Arial" w:hAnsi="Arial"/>
                <w:sz w:val="18"/>
                <w:szCs w:val="18"/>
                <w:b w:val="1"/>
                <w:bCs w:val="1"/>
                <w:color w:val="0A0A0A"/>
              </w:rPr>
              <w:t>Non-operating Income/(Expense):</w:t>
            </w:r>
          </w:p>
        </w:tc>
        <w:tc>
          <w:tcPr>
            <w:tcW w:w="640" w:type="dxa"/>
            <w:vAlign w:val="bottom"/>
            <w:shd w:val="clear" w:color="auto" w:fill="C6F4F9"/>
          </w:tcPr>
          <w:p>
            <w:pPr>
              <w:spacing w:after="0"/>
              <w:rPr>
                <w:sz w:val="17"/>
                <w:szCs w:val="17"/>
                <w:color w:val="auto"/>
              </w:rPr>
            </w:pPr>
          </w:p>
        </w:tc>
        <w:tc>
          <w:tcPr>
            <w:tcW w:w="240" w:type="dxa"/>
            <w:vAlign w:val="bottom"/>
            <w:shd w:val="clear" w:color="auto" w:fill="C6F4F9"/>
          </w:tcPr>
          <w:p>
            <w:pPr>
              <w:spacing w:after="0"/>
              <w:rPr>
                <w:sz w:val="17"/>
                <w:szCs w:val="17"/>
                <w:color w:val="auto"/>
              </w:rPr>
            </w:pPr>
          </w:p>
        </w:tc>
        <w:tc>
          <w:tcPr>
            <w:tcW w:w="1100" w:type="dxa"/>
            <w:vAlign w:val="bottom"/>
            <w:shd w:val="clear" w:color="auto" w:fill="C6F4F9"/>
          </w:tcPr>
          <w:p>
            <w:pPr>
              <w:spacing w:after="0"/>
              <w:rPr>
                <w:sz w:val="17"/>
                <w:szCs w:val="17"/>
                <w:color w:val="auto"/>
              </w:rPr>
            </w:pPr>
          </w:p>
        </w:tc>
        <w:tc>
          <w:tcPr>
            <w:tcW w:w="240" w:type="dxa"/>
            <w:vAlign w:val="bottom"/>
            <w:shd w:val="clear" w:color="auto" w:fill="C6F4F9"/>
          </w:tcPr>
          <w:p>
            <w:pPr>
              <w:spacing w:after="0"/>
              <w:rPr>
                <w:sz w:val="17"/>
                <w:szCs w:val="17"/>
                <w:color w:val="auto"/>
              </w:rPr>
            </w:pPr>
          </w:p>
        </w:tc>
        <w:tc>
          <w:tcPr>
            <w:tcW w:w="1120" w:type="dxa"/>
            <w:vAlign w:val="bottom"/>
            <w:shd w:val="clear" w:color="auto" w:fill="C6F4F9"/>
          </w:tcPr>
          <w:p>
            <w:pPr>
              <w:spacing w:after="0"/>
              <w:rPr>
                <w:sz w:val="17"/>
                <w:szCs w:val="17"/>
                <w:color w:val="auto"/>
              </w:rPr>
            </w:pPr>
          </w:p>
        </w:tc>
        <w:tc>
          <w:tcPr>
            <w:tcW w:w="1340" w:type="dxa"/>
            <w:vAlign w:val="bottom"/>
            <w:shd w:val="clear" w:color="auto" w:fill="C6F4F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spacing w:after="0" w:line="202" w:lineRule="exact"/>
              <w:rPr>
                <w:sz w:val="20"/>
                <w:szCs w:val="20"/>
                <w:color w:val="auto"/>
              </w:rPr>
            </w:pPr>
            <w:r>
              <w:rPr>
                <w:rFonts w:ascii="Arial" w:cs="Arial" w:eastAsia="Arial" w:hAnsi="Arial"/>
                <w:sz w:val="18"/>
                <w:szCs w:val="18"/>
                <w:color w:val="0A0A0A"/>
              </w:rPr>
              <w:t>Interest Income</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0A0A0A"/>
              </w:rPr>
              <w:t>15</w:t>
            </w:r>
          </w:p>
        </w:tc>
        <w:tc>
          <w:tcPr>
            <w:tcW w:w="24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251</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0A0A0A"/>
              </w:rPr>
              <w:t>(93.9)</w:t>
            </w:r>
          </w:p>
        </w:tc>
        <w:tc>
          <w:tcPr>
            <w:tcW w:w="0" w:type="dxa"/>
            <w:vAlign w:val="bottom"/>
          </w:tcPr>
          <w:p>
            <w:pPr>
              <w:spacing w:after="0"/>
              <w:rPr>
                <w:sz w:val="1"/>
                <w:szCs w:val="1"/>
                <w:color w:val="auto"/>
              </w:rPr>
            </w:pPr>
          </w:p>
        </w:tc>
      </w:tr>
      <w:tr>
        <w:trPr>
          <w:trHeight w:val="203"/>
        </w:trPr>
        <w:tc>
          <w:tcPr>
            <w:tcW w:w="656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Interest Expense</w:t>
            </w:r>
          </w:p>
        </w:tc>
        <w:tc>
          <w:tcPr>
            <w:tcW w:w="640" w:type="dxa"/>
            <w:vAlign w:val="bottom"/>
            <w:shd w:val="clear" w:color="auto" w:fill="C6F4F9"/>
          </w:tcPr>
          <w:p>
            <w:pPr>
              <w:spacing w:after="0"/>
              <w:rPr>
                <w:sz w:val="17"/>
                <w:szCs w:val="17"/>
                <w:color w:val="auto"/>
              </w:rPr>
            </w:pPr>
          </w:p>
        </w:tc>
        <w:tc>
          <w:tcPr>
            <w:tcW w:w="240" w:type="dxa"/>
            <w:vAlign w:val="bottom"/>
            <w:shd w:val="clear" w:color="auto" w:fill="C6F4F9"/>
          </w:tcPr>
          <w:p>
            <w:pPr>
              <w:spacing w:after="0"/>
              <w:rPr>
                <w:sz w:val="17"/>
                <w:szCs w:val="17"/>
                <w:color w:val="auto"/>
              </w:rPr>
            </w:pPr>
          </w:p>
        </w:tc>
        <w:tc>
          <w:tcPr>
            <w:tcW w:w="110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0A0A0A"/>
              </w:rPr>
              <w:t>(7,121)</w:t>
            </w:r>
          </w:p>
        </w:tc>
        <w:tc>
          <w:tcPr>
            <w:tcW w:w="240" w:type="dxa"/>
            <w:vAlign w:val="bottom"/>
            <w:shd w:val="clear" w:color="auto" w:fill="C6F4F9"/>
          </w:tcPr>
          <w:p>
            <w:pPr>
              <w:spacing w:after="0"/>
              <w:rPr>
                <w:sz w:val="17"/>
                <w:szCs w:val="17"/>
                <w:color w:val="auto"/>
              </w:rPr>
            </w:pPr>
          </w:p>
        </w:tc>
        <w:tc>
          <w:tcPr>
            <w:tcW w:w="112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0A0A0A"/>
              </w:rPr>
              <w:t>(5,616)</w:t>
            </w:r>
          </w:p>
        </w:tc>
        <w:tc>
          <w:tcPr>
            <w:tcW w:w="134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26.8</w:t>
            </w:r>
          </w:p>
        </w:tc>
        <w:tc>
          <w:tcPr>
            <w:tcW w:w="0" w:type="dxa"/>
            <w:vAlign w:val="bottom"/>
          </w:tcPr>
          <w:p>
            <w:pPr>
              <w:spacing w:after="0"/>
              <w:rPr>
                <w:sz w:val="1"/>
                <w:szCs w:val="1"/>
                <w:color w:val="auto"/>
              </w:rPr>
            </w:pPr>
          </w:p>
        </w:tc>
      </w:tr>
      <w:tr>
        <w:trPr>
          <w:trHeight w:val="216"/>
        </w:trPr>
        <w:tc>
          <w:tcPr>
            <w:tcW w:w="6560" w:type="dxa"/>
            <w:vAlign w:val="bottom"/>
            <w:tcBorders>
              <w:bottom w:val="single" w:sz="8" w:color="C6F4F9"/>
            </w:tcBorders>
          </w:tcPr>
          <w:p>
            <w:pPr>
              <w:spacing w:after="0"/>
              <w:rPr>
                <w:sz w:val="20"/>
                <w:szCs w:val="20"/>
                <w:color w:val="auto"/>
              </w:rPr>
            </w:pPr>
            <w:r>
              <w:rPr>
                <w:rFonts w:ascii="Arial" w:cs="Arial" w:eastAsia="Arial" w:hAnsi="Arial"/>
                <w:sz w:val="18"/>
                <w:szCs w:val="18"/>
                <w:color w:val="0A0A0A"/>
              </w:rPr>
              <w:t>Other, net</w:t>
            </w:r>
          </w:p>
        </w:tc>
        <w:tc>
          <w:tcPr>
            <w:tcW w:w="640" w:type="dxa"/>
            <w:vAlign w:val="bottom"/>
            <w:tcBorders>
              <w:bottom w:val="single" w:sz="8" w:color="C6F4F9"/>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(5)</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(169)</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(97.0)</w:t>
            </w:r>
          </w:p>
        </w:tc>
        <w:tc>
          <w:tcPr>
            <w:tcW w:w="0" w:type="dxa"/>
            <w:vAlign w:val="bottom"/>
          </w:tcPr>
          <w:p>
            <w:pPr>
              <w:spacing w:after="0"/>
              <w:rPr>
                <w:sz w:val="1"/>
                <w:szCs w:val="1"/>
                <w:color w:val="auto"/>
              </w:rPr>
            </w:pPr>
          </w:p>
        </w:tc>
      </w:tr>
      <w:tr>
        <w:trPr>
          <w:trHeight w:val="196"/>
        </w:trPr>
        <w:tc>
          <w:tcPr>
            <w:tcW w:w="6560" w:type="dxa"/>
            <w:vAlign w:val="bottom"/>
            <w:shd w:val="clear" w:color="auto" w:fill="C6F4F9"/>
          </w:tcPr>
          <w:p>
            <w:pPr>
              <w:spacing w:after="0" w:line="196" w:lineRule="exact"/>
              <w:rPr>
                <w:sz w:val="20"/>
                <w:szCs w:val="20"/>
                <w:color w:val="auto"/>
              </w:rPr>
            </w:pPr>
            <w:r>
              <w:rPr>
                <w:rFonts w:ascii="Arial" w:cs="Arial" w:eastAsia="Arial" w:hAnsi="Arial"/>
                <w:sz w:val="18"/>
                <w:szCs w:val="18"/>
                <w:color w:val="0A0A0A"/>
              </w:rPr>
              <w:t>Total Non-operating Expense, net</w:t>
            </w:r>
          </w:p>
        </w:tc>
        <w:tc>
          <w:tcPr>
            <w:tcW w:w="640" w:type="dxa"/>
            <w:vAlign w:val="bottom"/>
            <w:shd w:val="clear" w:color="auto" w:fill="C6F4F9"/>
          </w:tcPr>
          <w:p>
            <w:pPr>
              <w:spacing w:after="0"/>
              <w:rPr>
                <w:sz w:val="17"/>
                <w:szCs w:val="17"/>
                <w:color w:val="auto"/>
              </w:rPr>
            </w:pPr>
          </w:p>
        </w:tc>
        <w:tc>
          <w:tcPr>
            <w:tcW w:w="240" w:type="dxa"/>
            <w:vAlign w:val="bottom"/>
            <w:shd w:val="clear" w:color="auto" w:fill="C6F4F9"/>
          </w:tcPr>
          <w:p>
            <w:pPr>
              <w:spacing w:after="0"/>
              <w:rPr>
                <w:sz w:val="17"/>
                <w:szCs w:val="17"/>
                <w:color w:val="auto"/>
              </w:rPr>
            </w:pPr>
          </w:p>
        </w:tc>
        <w:tc>
          <w:tcPr>
            <w:tcW w:w="1100" w:type="dxa"/>
            <w:vAlign w:val="bottom"/>
            <w:shd w:val="clear" w:color="auto" w:fill="C6F4F9"/>
          </w:tcPr>
          <w:p>
            <w:pPr>
              <w:jc w:val="right"/>
              <w:spacing w:after="0" w:line="196" w:lineRule="exact"/>
              <w:rPr>
                <w:sz w:val="20"/>
                <w:szCs w:val="20"/>
                <w:color w:val="auto"/>
              </w:rPr>
            </w:pPr>
            <w:r>
              <w:rPr>
                <w:rFonts w:ascii="Arial" w:cs="Arial" w:eastAsia="Arial" w:hAnsi="Arial"/>
                <w:sz w:val="18"/>
                <w:szCs w:val="18"/>
                <w:color w:val="0A0A0A"/>
              </w:rPr>
              <w:t>(7,111)</w:t>
            </w:r>
          </w:p>
        </w:tc>
        <w:tc>
          <w:tcPr>
            <w:tcW w:w="240" w:type="dxa"/>
            <w:vAlign w:val="bottom"/>
            <w:shd w:val="clear" w:color="auto" w:fill="C6F4F9"/>
          </w:tcPr>
          <w:p>
            <w:pPr>
              <w:spacing w:after="0"/>
              <w:rPr>
                <w:sz w:val="17"/>
                <w:szCs w:val="17"/>
                <w:color w:val="auto"/>
              </w:rPr>
            </w:pPr>
          </w:p>
        </w:tc>
        <w:tc>
          <w:tcPr>
            <w:tcW w:w="1120" w:type="dxa"/>
            <w:vAlign w:val="bottom"/>
            <w:shd w:val="clear" w:color="auto" w:fill="C6F4F9"/>
          </w:tcPr>
          <w:p>
            <w:pPr>
              <w:jc w:val="right"/>
              <w:spacing w:after="0" w:line="196" w:lineRule="exact"/>
              <w:rPr>
                <w:sz w:val="20"/>
                <w:szCs w:val="20"/>
                <w:color w:val="auto"/>
              </w:rPr>
            </w:pPr>
            <w:r>
              <w:rPr>
                <w:rFonts w:ascii="Arial" w:cs="Arial" w:eastAsia="Arial" w:hAnsi="Arial"/>
                <w:sz w:val="18"/>
                <w:szCs w:val="18"/>
                <w:color w:val="0A0A0A"/>
              </w:rPr>
              <w:t>(5,534)</w:t>
            </w:r>
          </w:p>
        </w:tc>
        <w:tc>
          <w:tcPr>
            <w:tcW w:w="1340" w:type="dxa"/>
            <w:vAlign w:val="bottom"/>
            <w:shd w:val="clear" w:color="auto" w:fill="C6F4F9"/>
          </w:tcPr>
          <w:p>
            <w:pPr>
              <w:jc w:val="right"/>
              <w:ind w:right="10"/>
              <w:spacing w:after="0" w:line="196" w:lineRule="exact"/>
              <w:rPr>
                <w:sz w:val="20"/>
                <w:szCs w:val="20"/>
                <w:color w:val="auto"/>
              </w:rPr>
            </w:pPr>
            <w:r>
              <w:rPr>
                <w:rFonts w:ascii="Arial" w:cs="Arial" w:eastAsia="Arial" w:hAnsi="Arial"/>
                <w:sz w:val="18"/>
                <w:szCs w:val="18"/>
                <w:color w:val="0A0A0A"/>
              </w:rPr>
              <w:t>28.5</w:t>
            </w:r>
          </w:p>
        </w:tc>
        <w:tc>
          <w:tcPr>
            <w:tcW w:w="0" w:type="dxa"/>
            <w:vAlign w:val="bottom"/>
          </w:tcPr>
          <w:p>
            <w:pPr>
              <w:spacing w:after="0"/>
              <w:rPr>
                <w:sz w:val="1"/>
                <w:szCs w:val="1"/>
                <w:color w:val="auto"/>
              </w:rPr>
            </w:pPr>
          </w:p>
        </w:tc>
      </w:tr>
      <w:tr>
        <w:trPr>
          <w:trHeight w:val="216"/>
        </w:trPr>
        <w:tc>
          <w:tcPr>
            <w:tcW w:w="6560" w:type="dxa"/>
            <w:vAlign w:val="bottom"/>
            <w:tcBorders>
              <w:bottom w:val="single" w:sz="8" w:color="C6F4F9"/>
            </w:tcBorders>
          </w:tcPr>
          <w:p>
            <w:pPr>
              <w:spacing w:after="0"/>
              <w:rPr>
                <w:sz w:val="18"/>
                <w:szCs w:val="18"/>
                <w:color w:val="auto"/>
              </w:rPr>
            </w:pPr>
          </w:p>
        </w:tc>
        <w:tc>
          <w:tcPr>
            <w:tcW w:w="640" w:type="dxa"/>
            <w:vAlign w:val="bottom"/>
            <w:tcBorders>
              <w:bottom w:val="single" w:sz="8" w:color="C6F4F9"/>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560" w:type="dxa"/>
            <w:vAlign w:val="bottom"/>
            <w:shd w:val="clear" w:color="auto" w:fill="C6F4F9"/>
          </w:tcPr>
          <w:p>
            <w:pPr>
              <w:spacing w:after="0" w:line="196" w:lineRule="exact"/>
              <w:rPr>
                <w:sz w:val="20"/>
                <w:szCs w:val="20"/>
                <w:color w:val="auto"/>
              </w:rPr>
            </w:pPr>
            <w:r>
              <w:rPr>
                <w:rFonts w:ascii="Arial" w:cs="Arial" w:eastAsia="Arial" w:hAnsi="Arial"/>
                <w:sz w:val="18"/>
                <w:szCs w:val="18"/>
                <w:color w:val="0A0A0A"/>
              </w:rPr>
              <w:t>Income before Income Tax</w:t>
            </w:r>
          </w:p>
        </w:tc>
        <w:tc>
          <w:tcPr>
            <w:tcW w:w="640" w:type="dxa"/>
            <w:vAlign w:val="bottom"/>
            <w:shd w:val="clear" w:color="auto" w:fill="C6F4F9"/>
          </w:tcPr>
          <w:p>
            <w:pPr>
              <w:spacing w:after="0"/>
              <w:rPr>
                <w:sz w:val="17"/>
                <w:szCs w:val="17"/>
                <w:color w:val="auto"/>
              </w:rPr>
            </w:pPr>
          </w:p>
        </w:tc>
        <w:tc>
          <w:tcPr>
            <w:tcW w:w="240" w:type="dxa"/>
            <w:vAlign w:val="bottom"/>
            <w:tcBorders>
              <w:bottom w:val="single" w:sz="8" w:color="auto"/>
            </w:tcBorders>
            <w:shd w:val="clear" w:color="auto" w:fill="C6F4F9"/>
          </w:tcPr>
          <w:p>
            <w:pPr>
              <w:spacing w:after="0"/>
              <w:rPr>
                <w:sz w:val="17"/>
                <w:szCs w:val="17"/>
                <w:color w:val="auto"/>
              </w:rPr>
            </w:pPr>
          </w:p>
        </w:tc>
        <w:tc>
          <w:tcPr>
            <w:tcW w:w="1100" w:type="dxa"/>
            <w:vAlign w:val="bottom"/>
            <w:tcBorders>
              <w:bottom w:val="single" w:sz="8" w:color="auto"/>
            </w:tcBorders>
            <w:shd w:val="clear" w:color="auto" w:fill="C6F4F9"/>
          </w:tcPr>
          <w:p>
            <w:pPr>
              <w:jc w:val="right"/>
              <w:spacing w:after="0" w:line="196" w:lineRule="exact"/>
              <w:rPr>
                <w:sz w:val="20"/>
                <w:szCs w:val="20"/>
                <w:color w:val="auto"/>
              </w:rPr>
            </w:pPr>
            <w:r>
              <w:rPr>
                <w:rFonts w:ascii="Arial" w:cs="Arial" w:eastAsia="Arial" w:hAnsi="Arial"/>
                <w:sz w:val="18"/>
                <w:szCs w:val="18"/>
                <w:color w:val="0A0A0A"/>
              </w:rPr>
              <w:t>17,822</w:t>
            </w:r>
          </w:p>
        </w:tc>
        <w:tc>
          <w:tcPr>
            <w:tcW w:w="240" w:type="dxa"/>
            <w:vAlign w:val="bottom"/>
            <w:tcBorders>
              <w:bottom w:val="single" w:sz="8" w:color="auto"/>
            </w:tcBorders>
            <w:shd w:val="clear" w:color="auto" w:fill="C6F4F9"/>
          </w:tcPr>
          <w:p>
            <w:pPr>
              <w:spacing w:after="0"/>
              <w:rPr>
                <w:sz w:val="17"/>
                <w:szCs w:val="17"/>
                <w:color w:val="auto"/>
              </w:rPr>
            </w:pPr>
          </w:p>
        </w:tc>
        <w:tc>
          <w:tcPr>
            <w:tcW w:w="1120" w:type="dxa"/>
            <w:vAlign w:val="bottom"/>
            <w:tcBorders>
              <w:bottom w:val="single" w:sz="8" w:color="auto"/>
            </w:tcBorders>
            <w:shd w:val="clear" w:color="auto" w:fill="C6F4F9"/>
          </w:tcPr>
          <w:p>
            <w:pPr>
              <w:jc w:val="right"/>
              <w:ind w:right="10"/>
              <w:spacing w:after="0" w:line="196" w:lineRule="exact"/>
              <w:rPr>
                <w:sz w:val="20"/>
                <w:szCs w:val="20"/>
                <w:color w:val="auto"/>
              </w:rPr>
            </w:pPr>
            <w:r>
              <w:rPr>
                <w:rFonts w:ascii="Arial" w:cs="Arial" w:eastAsia="Arial" w:hAnsi="Arial"/>
                <w:sz w:val="18"/>
                <w:szCs w:val="18"/>
                <w:color w:val="0A0A0A"/>
              </w:rPr>
              <w:t>9,696</w:t>
            </w:r>
          </w:p>
        </w:tc>
        <w:tc>
          <w:tcPr>
            <w:tcW w:w="1340" w:type="dxa"/>
            <w:vAlign w:val="bottom"/>
            <w:tcBorders>
              <w:bottom w:val="single" w:sz="8" w:color="auto"/>
            </w:tcBorders>
            <w:shd w:val="clear" w:color="auto" w:fill="C6F4F9"/>
          </w:tcPr>
          <w:p>
            <w:pPr>
              <w:jc w:val="right"/>
              <w:ind w:right="10"/>
              <w:spacing w:after="0" w:line="196" w:lineRule="exact"/>
              <w:rPr>
                <w:sz w:val="20"/>
                <w:szCs w:val="20"/>
                <w:color w:val="auto"/>
              </w:rPr>
            </w:pPr>
            <w:r>
              <w:rPr>
                <w:rFonts w:ascii="Arial" w:cs="Arial" w:eastAsia="Arial" w:hAnsi="Arial"/>
                <w:sz w:val="18"/>
                <w:szCs w:val="18"/>
                <w:color w:val="0A0A0A"/>
              </w:rPr>
              <w:t>83.8</w:t>
            </w:r>
          </w:p>
        </w:tc>
        <w:tc>
          <w:tcPr>
            <w:tcW w:w="0" w:type="dxa"/>
            <w:vAlign w:val="bottom"/>
          </w:tcPr>
          <w:p>
            <w:pPr>
              <w:spacing w:after="0"/>
              <w:rPr>
                <w:sz w:val="1"/>
                <w:szCs w:val="1"/>
                <w:color w:val="auto"/>
              </w:rPr>
            </w:pPr>
          </w:p>
        </w:tc>
      </w:tr>
      <w:tr>
        <w:trPr>
          <w:trHeight w:val="196"/>
        </w:trPr>
        <w:tc>
          <w:tcPr>
            <w:tcW w:w="6560" w:type="dxa"/>
            <w:vAlign w:val="bottom"/>
            <w:tcBorders>
              <w:bottom w:val="single" w:sz="8" w:color="C6F4F9"/>
            </w:tcBorders>
          </w:tcPr>
          <w:p>
            <w:pPr>
              <w:spacing w:after="0" w:line="196" w:lineRule="exact"/>
              <w:rPr>
                <w:sz w:val="20"/>
                <w:szCs w:val="20"/>
                <w:color w:val="auto"/>
              </w:rPr>
            </w:pPr>
            <w:r>
              <w:rPr>
                <w:rFonts w:ascii="Arial" w:cs="Arial" w:eastAsia="Arial" w:hAnsi="Arial"/>
                <w:sz w:val="18"/>
                <w:szCs w:val="18"/>
                <w:color w:val="0A0A0A"/>
              </w:rPr>
              <w:t>Income Tax Expense</w:t>
            </w:r>
          </w:p>
        </w:tc>
        <w:tc>
          <w:tcPr>
            <w:tcW w:w="640" w:type="dxa"/>
            <w:vAlign w:val="bottom"/>
            <w:tcBorders>
              <w:bottom w:val="single" w:sz="8" w:color="C6F4F9"/>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0A0A0A"/>
              </w:rPr>
              <w:t>5,406</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0A0A0A"/>
              </w:rPr>
              <w:t>2,445</w:t>
            </w:r>
          </w:p>
        </w:tc>
        <w:tc>
          <w:tcPr>
            <w:tcW w:w="13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0A0A0A"/>
              </w:rPr>
              <w:t>121.1</w:t>
            </w:r>
          </w:p>
        </w:tc>
        <w:tc>
          <w:tcPr>
            <w:tcW w:w="0" w:type="dxa"/>
            <w:vAlign w:val="bottom"/>
          </w:tcPr>
          <w:p>
            <w:pPr>
              <w:spacing w:after="0"/>
              <w:rPr>
                <w:sz w:val="1"/>
                <w:szCs w:val="1"/>
                <w:color w:val="auto"/>
              </w:rPr>
            </w:pPr>
          </w:p>
        </w:tc>
      </w:tr>
      <w:tr>
        <w:trPr>
          <w:trHeight w:val="210"/>
        </w:trPr>
        <w:tc>
          <w:tcPr>
            <w:tcW w:w="6560" w:type="dxa"/>
            <w:vAlign w:val="bottom"/>
            <w:shd w:val="clear" w:color="auto" w:fill="C6F4F9"/>
          </w:tcPr>
          <w:p>
            <w:pPr>
              <w:spacing w:after="0" w:line="197" w:lineRule="exact"/>
              <w:rPr>
                <w:sz w:val="20"/>
                <w:szCs w:val="20"/>
                <w:color w:val="auto"/>
              </w:rPr>
            </w:pPr>
            <w:r>
              <w:rPr>
                <w:rFonts w:ascii="Arial" w:cs="Arial" w:eastAsia="Arial" w:hAnsi="Arial"/>
                <w:sz w:val="18"/>
                <w:szCs w:val="18"/>
                <w:color w:val="0A0A0A"/>
              </w:rPr>
              <w:t>Net Income</w:t>
            </w:r>
          </w:p>
        </w:tc>
        <w:tc>
          <w:tcPr>
            <w:tcW w:w="880" w:type="dxa"/>
            <w:vAlign w:val="bottom"/>
            <w:gridSpan w:val="2"/>
            <w:shd w:val="clear" w:color="auto" w:fill="C6F4F9"/>
          </w:tcPr>
          <w:p>
            <w:pPr>
              <w:ind w:left="640"/>
              <w:spacing w:after="0"/>
              <w:rPr>
                <w:sz w:val="20"/>
                <w:szCs w:val="20"/>
                <w:color w:val="auto"/>
              </w:rPr>
            </w:pPr>
            <w:r>
              <w:rPr>
                <w:rFonts w:ascii="Arial" w:cs="Arial" w:eastAsia="Arial" w:hAnsi="Arial"/>
                <w:sz w:val="18"/>
                <w:szCs w:val="18"/>
                <w:color w:val="0A0A0A"/>
              </w:rPr>
              <w:t>$</w:t>
            </w:r>
          </w:p>
        </w:tc>
        <w:tc>
          <w:tcPr>
            <w:tcW w:w="1100" w:type="dxa"/>
            <w:vAlign w:val="bottom"/>
            <w:shd w:val="clear" w:color="auto" w:fill="C6F4F9"/>
          </w:tcPr>
          <w:p>
            <w:pPr>
              <w:jc w:val="right"/>
              <w:spacing w:after="0"/>
              <w:rPr>
                <w:sz w:val="20"/>
                <w:szCs w:val="20"/>
                <w:color w:val="auto"/>
              </w:rPr>
            </w:pPr>
            <w:r>
              <w:rPr>
                <w:rFonts w:ascii="Arial" w:cs="Arial" w:eastAsia="Arial" w:hAnsi="Arial"/>
                <w:sz w:val="18"/>
                <w:szCs w:val="18"/>
                <w:color w:val="0A0A0A"/>
              </w:rPr>
              <w:t>12,416</w:t>
            </w:r>
          </w:p>
        </w:tc>
        <w:tc>
          <w:tcPr>
            <w:tcW w:w="240" w:type="dxa"/>
            <w:vAlign w:val="bottom"/>
            <w:shd w:val="clear" w:color="auto" w:fill="C6F4F9"/>
          </w:tcPr>
          <w:p>
            <w:pPr>
              <w:jc w:val="right"/>
              <w:ind w:right="30"/>
              <w:spacing w:after="0"/>
              <w:rPr>
                <w:sz w:val="20"/>
                <w:szCs w:val="20"/>
                <w:color w:val="auto"/>
              </w:rPr>
            </w:pPr>
            <w:r>
              <w:rPr>
                <w:rFonts w:ascii="Arial" w:cs="Arial" w:eastAsia="Arial" w:hAnsi="Arial"/>
                <w:sz w:val="18"/>
                <w:szCs w:val="18"/>
                <w:color w:val="0A0A0A"/>
                <w:w w:val="99"/>
              </w:rPr>
              <w:t>$</w:t>
            </w:r>
          </w:p>
        </w:tc>
        <w:tc>
          <w:tcPr>
            <w:tcW w:w="1120" w:type="dxa"/>
            <w:vAlign w:val="bottom"/>
            <w:shd w:val="clear" w:color="auto" w:fill="C6F4F9"/>
          </w:tcPr>
          <w:p>
            <w:pPr>
              <w:jc w:val="right"/>
              <w:ind w:right="10"/>
              <w:spacing w:after="0"/>
              <w:rPr>
                <w:sz w:val="20"/>
                <w:szCs w:val="20"/>
                <w:color w:val="auto"/>
              </w:rPr>
            </w:pPr>
            <w:r>
              <w:rPr>
                <w:rFonts w:ascii="Arial" w:cs="Arial" w:eastAsia="Arial" w:hAnsi="Arial"/>
                <w:sz w:val="18"/>
                <w:szCs w:val="18"/>
                <w:color w:val="0A0A0A"/>
              </w:rPr>
              <w:t>7,251</w:t>
            </w:r>
          </w:p>
        </w:tc>
        <w:tc>
          <w:tcPr>
            <w:tcW w:w="1340" w:type="dxa"/>
            <w:vAlign w:val="bottom"/>
            <w:shd w:val="clear" w:color="auto" w:fill="C6F4F9"/>
          </w:tcPr>
          <w:p>
            <w:pPr>
              <w:jc w:val="right"/>
              <w:ind w:right="10"/>
              <w:spacing w:after="0"/>
              <w:rPr>
                <w:sz w:val="20"/>
                <w:szCs w:val="20"/>
                <w:color w:val="auto"/>
              </w:rPr>
            </w:pPr>
            <w:r>
              <w:rPr>
                <w:rFonts w:ascii="Arial" w:cs="Arial" w:eastAsia="Arial" w:hAnsi="Arial"/>
                <w:sz w:val="18"/>
                <w:szCs w:val="18"/>
                <w:color w:val="0A0A0A"/>
              </w:rPr>
              <w:t>71.2</w:t>
            </w:r>
          </w:p>
        </w:tc>
        <w:tc>
          <w:tcPr>
            <w:tcW w:w="0" w:type="dxa"/>
            <w:vAlign w:val="bottom"/>
          </w:tcPr>
          <w:p>
            <w:pPr>
              <w:spacing w:after="0"/>
              <w:rPr>
                <w:sz w:val="1"/>
                <w:szCs w:val="1"/>
                <w:color w:val="auto"/>
              </w:rPr>
            </w:pPr>
          </w:p>
        </w:tc>
      </w:tr>
      <w:tr>
        <w:trPr>
          <w:trHeight w:val="20"/>
        </w:trPr>
        <w:tc>
          <w:tcPr>
            <w:tcW w:w="6560" w:type="dxa"/>
            <w:vAlign w:val="bottom"/>
            <w:tcBorders>
              <w:top w:val="single" w:sz="8" w:color="C6F4F9"/>
            </w:tcBorders>
          </w:tcPr>
          <w:p>
            <w:pPr>
              <w:spacing w:after="0" w:line="20" w:lineRule="exact"/>
              <w:rPr>
                <w:sz w:val="1"/>
                <w:szCs w:val="1"/>
                <w:color w:val="auto"/>
              </w:rPr>
            </w:pPr>
          </w:p>
        </w:tc>
        <w:tc>
          <w:tcPr>
            <w:tcW w:w="640" w:type="dxa"/>
            <w:vAlign w:val="bottom"/>
            <w:tcBorders>
              <w:top w:val="single" w:sz="8" w:color="C6F4F9"/>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Net Income per share to common stockholders:</w:t>
            </w:r>
          </w:p>
        </w:tc>
        <w:tc>
          <w:tcPr>
            <w:tcW w:w="640" w:type="dxa"/>
            <w:vAlign w:val="bottom"/>
            <w:shd w:val="clear" w:color="auto" w:fill="C6F4F9"/>
          </w:tcPr>
          <w:p>
            <w:pPr>
              <w:spacing w:after="0"/>
              <w:rPr>
                <w:sz w:val="17"/>
                <w:szCs w:val="17"/>
                <w:color w:val="auto"/>
              </w:rPr>
            </w:pPr>
          </w:p>
        </w:tc>
        <w:tc>
          <w:tcPr>
            <w:tcW w:w="240" w:type="dxa"/>
            <w:vAlign w:val="bottom"/>
            <w:shd w:val="clear" w:color="auto" w:fill="C6F4F9"/>
          </w:tcPr>
          <w:p>
            <w:pPr>
              <w:spacing w:after="0"/>
              <w:rPr>
                <w:sz w:val="17"/>
                <w:szCs w:val="17"/>
                <w:color w:val="auto"/>
              </w:rPr>
            </w:pPr>
          </w:p>
        </w:tc>
        <w:tc>
          <w:tcPr>
            <w:tcW w:w="1100" w:type="dxa"/>
            <w:vAlign w:val="bottom"/>
            <w:shd w:val="clear" w:color="auto" w:fill="C6F4F9"/>
          </w:tcPr>
          <w:p>
            <w:pPr>
              <w:spacing w:after="0"/>
              <w:rPr>
                <w:sz w:val="17"/>
                <w:szCs w:val="17"/>
                <w:color w:val="auto"/>
              </w:rPr>
            </w:pPr>
          </w:p>
        </w:tc>
        <w:tc>
          <w:tcPr>
            <w:tcW w:w="240" w:type="dxa"/>
            <w:vAlign w:val="bottom"/>
            <w:shd w:val="clear" w:color="auto" w:fill="C6F4F9"/>
          </w:tcPr>
          <w:p>
            <w:pPr>
              <w:spacing w:after="0"/>
              <w:rPr>
                <w:sz w:val="17"/>
                <w:szCs w:val="17"/>
                <w:color w:val="auto"/>
              </w:rPr>
            </w:pPr>
          </w:p>
        </w:tc>
        <w:tc>
          <w:tcPr>
            <w:tcW w:w="1120" w:type="dxa"/>
            <w:vAlign w:val="bottom"/>
            <w:shd w:val="clear" w:color="auto" w:fill="C6F4F9"/>
          </w:tcPr>
          <w:p>
            <w:pPr>
              <w:spacing w:after="0"/>
              <w:rPr>
                <w:sz w:val="17"/>
                <w:szCs w:val="17"/>
                <w:color w:val="auto"/>
              </w:rPr>
            </w:pPr>
          </w:p>
        </w:tc>
        <w:tc>
          <w:tcPr>
            <w:tcW w:w="1340" w:type="dxa"/>
            <w:vAlign w:val="bottom"/>
            <w:shd w:val="clear" w:color="auto" w:fill="C6F4F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spacing w:after="0" w:line="202" w:lineRule="exact"/>
              <w:rPr>
                <w:sz w:val="20"/>
                <w:szCs w:val="20"/>
                <w:color w:val="auto"/>
              </w:rPr>
            </w:pPr>
            <w:r>
              <w:rPr>
                <w:rFonts w:ascii="Arial" w:cs="Arial" w:eastAsia="Arial" w:hAnsi="Arial"/>
                <w:sz w:val="18"/>
                <w:szCs w:val="18"/>
                <w:color w:val="0A0A0A"/>
              </w:rPr>
              <w:t>Basic</w:t>
            </w:r>
          </w:p>
        </w:tc>
        <w:tc>
          <w:tcPr>
            <w:tcW w:w="880" w:type="dxa"/>
            <w:vAlign w:val="bottom"/>
            <w:gridSpan w:val="2"/>
          </w:tcPr>
          <w:p>
            <w:pPr>
              <w:ind w:left="640"/>
              <w:spacing w:after="0" w:line="202" w:lineRule="exact"/>
              <w:rPr>
                <w:sz w:val="20"/>
                <w:szCs w:val="20"/>
                <w:color w:val="auto"/>
              </w:rPr>
            </w:pPr>
            <w:r>
              <w:rPr>
                <w:rFonts w:ascii="Arial" w:cs="Arial" w:eastAsia="Arial" w:hAnsi="Arial"/>
                <w:sz w:val="18"/>
                <w:szCs w:val="18"/>
                <w:color w:val="0A0A0A"/>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0A0A0A"/>
              </w:rPr>
              <w:t>0.26</w:t>
            </w:r>
          </w:p>
        </w:tc>
        <w:tc>
          <w:tcPr>
            <w:tcW w:w="240" w:type="dxa"/>
            <w:vAlign w:val="bottom"/>
          </w:tcPr>
          <w:p>
            <w:pPr>
              <w:jc w:val="right"/>
              <w:ind w:right="30"/>
              <w:spacing w:after="0" w:line="202" w:lineRule="exact"/>
              <w:rPr>
                <w:sz w:val="20"/>
                <w:szCs w:val="20"/>
                <w:color w:val="auto"/>
              </w:rPr>
            </w:pPr>
            <w:r>
              <w:rPr>
                <w:rFonts w:ascii="Arial" w:cs="Arial" w:eastAsia="Arial" w:hAnsi="Arial"/>
                <w:sz w:val="18"/>
                <w:szCs w:val="18"/>
                <w:color w:val="0A0A0A"/>
                <w:w w:val="99"/>
              </w:rPr>
              <w:t>$</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0.16</w:t>
            </w: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62.5</w:t>
            </w:r>
          </w:p>
        </w:tc>
        <w:tc>
          <w:tcPr>
            <w:tcW w:w="0" w:type="dxa"/>
            <w:vAlign w:val="bottom"/>
          </w:tcPr>
          <w:p>
            <w:pPr>
              <w:spacing w:after="0"/>
              <w:rPr>
                <w:sz w:val="1"/>
                <w:szCs w:val="1"/>
                <w:color w:val="auto"/>
              </w:rPr>
            </w:pPr>
          </w:p>
        </w:tc>
      </w:tr>
      <w:tr>
        <w:trPr>
          <w:trHeight w:val="203"/>
        </w:trPr>
        <w:tc>
          <w:tcPr>
            <w:tcW w:w="656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Diluted</w:t>
            </w:r>
          </w:p>
        </w:tc>
        <w:tc>
          <w:tcPr>
            <w:tcW w:w="880" w:type="dxa"/>
            <w:vAlign w:val="bottom"/>
            <w:gridSpan w:val="2"/>
            <w:shd w:val="clear" w:color="auto" w:fill="C6F4F9"/>
          </w:tcPr>
          <w:p>
            <w:pPr>
              <w:ind w:left="640"/>
              <w:spacing w:after="0" w:line="202" w:lineRule="exact"/>
              <w:rPr>
                <w:sz w:val="20"/>
                <w:szCs w:val="20"/>
                <w:color w:val="auto"/>
              </w:rPr>
            </w:pPr>
            <w:r>
              <w:rPr>
                <w:rFonts w:ascii="Arial" w:cs="Arial" w:eastAsia="Arial" w:hAnsi="Arial"/>
                <w:sz w:val="18"/>
                <w:szCs w:val="18"/>
                <w:color w:val="0A0A0A"/>
              </w:rPr>
              <w:t>$</w:t>
            </w:r>
          </w:p>
        </w:tc>
        <w:tc>
          <w:tcPr>
            <w:tcW w:w="110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0A0A0A"/>
              </w:rPr>
              <w:t>0.24</w:t>
            </w:r>
          </w:p>
        </w:tc>
        <w:tc>
          <w:tcPr>
            <w:tcW w:w="240" w:type="dxa"/>
            <w:vAlign w:val="bottom"/>
            <w:shd w:val="clear" w:color="auto" w:fill="C6F4F9"/>
          </w:tcPr>
          <w:p>
            <w:pPr>
              <w:jc w:val="right"/>
              <w:ind w:right="30"/>
              <w:spacing w:after="0" w:line="202" w:lineRule="exact"/>
              <w:rPr>
                <w:sz w:val="20"/>
                <w:szCs w:val="20"/>
                <w:color w:val="auto"/>
              </w:rPr>
            </w:pPr>
            <w:r>
              <w:rPr>
                <w:rFonts w:ascii="Arial" w:cs="Arial" w:eastAsia="Arial" w:hAnsi="Arial"/>
                <w:sz w:val="18"/>
                <w:szCs w:val="18"/>
                <w:color w:val="0A0A0A"/>
                <w:w w:val="99"/>
              </w:rPr>
              <w:t>$</w:t>
            </w:r>
          </w:p>
        </w:tc>
        <w:tc>
          <w:tcPr>
            <w:tcW w:w="112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0.15</w:t>
            </w:r>
          </w:p>
        </w:tc>
        <w:tc>
          <w:tcPr>
            <w:tcW w:w="134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60.0</w:t>
            </w:r>
          </w:p>
        </w:tc>
        <w:tc>
          <w:tcPr>
            <w:tcW w:w="0" w:type="dxa"/>
            <w:vAlign w:val="bottom"/>
          </w:tcPr>
          <w:p>
            <w:pPr>
              <w:spacing w:after="0"/>
              <w:rPr>
                <w:sz w:val="1"/>
                <w:szCs w:val="1"/>
                <w:color w:val="auto"/>
              </w:rPr>
            </w:pPr>
          </w:p>
        </w:tc>
      </w:tr>
      <w:tr>
        <w:trPr>
          <w:trHeight w:val="203"/>
        </w:trPr>
        <w:tc>
          <w:tcPr>
            <w:tcW w:w="6560" w:type="dxa"/>
            <w:vAlign w:val="bottom"/>
          </w:tcPr>
          <w:p>
            <w:pPr>
              <w:spacing w:after="0" w:line="202" w:lineRule="exact"/>
              <w:rPr>
                <w:sz w:val="20"/>
                <w:szCs w:val="20"/>
                <w:color w:val="auto"/>
              </w:rPr>
            </w:pPr>
            <w:r>
              <w:rPr>
                <w:rFonts w:ascii="Arial" w:cs="Arial" w:eastAsia="Arial" w:hAnsi="Arial"/>
                <w:sz w:val="18"/>
                <w:szCs w:val="18"/>
                <w:color w:val="0A0A0A"/>
              </w:rPr>
              <w:t>Shares used for computation:</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Basic</w:t>
            </w:r>
          </w:p>
        </w:tc>
        <w:tc>
          <w:tcPr>
            <w:tcW w:w="640" w:type="dxa"/>
            <w:vAlign w:val="bottom"/>
            <w:shd w:val="clear" w:color="auto" w:fill="C6F4F9"/>
          </w:tcPr>
          <w:p>
            <w:pPr>
              <w:spacing w:after="0"/>
              <w:rPr>
                <w:sz w:val="17"/>
                <w:szCs w:val="17"/>
                <w:color w:val="auto"/>
              </w:rPr>
            </w:pPr>
          </w:p>
        </w:tc>
        <w:tc>
          <w:tcPr>
            <w:tcW w:w="240" w:type="dxa"/>
            <w:vAlign w:val="bottom"/>
            <w:shd w:val="clear" w:color="auto" w:fill="C6F4F9"/>
          </w:tcPr>
          <w:p>
            <w:pPr>
              <w:spacing w:after="0"/>
              <w:rPr>
                <w:sz w:val="17"/>
                <w:szCs w:val="17"/>
                <w:color w:val="auto"/>
              </w:rPr>
            </w:pPr>
          </w:p>
        </w:tc>
        <w:tc>
          <w:tcPr>
            <w:tcW w:w="110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0A0A0A"/>
              </w:rPr>
              <w:t>48,496,077</w:t>
            </w:r>
          </w:p>
        </w:tc>
        <w:tc>
          <w:tcPr>
            <w:tcW w:w="240" w:type="dxa"/>
            <w:vAlign w:val="bottom"/>
            <w:shd w:val="clear" w:color="auto" w:fill="C6F4F9"/>
          </w:tcPr>
          <w:p>
            <w:pPr>
              <w:spacing w:after="0"/>
              <w:rPr>
                <w:sz w:val="17"/>
                <w:szCs w:val="17"/>
                <w:color w:val="auto"/>
              </w:rPr>
            </w:pPr>
          </w:p>
        </w:tc>
        <w:tc>
          <w:tcPr>
            <w:tcW w:w="112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46,805,951</w:t>
            </w:r>
          </w:p>
        </w:tc>
        <w:tc>
          <w:tcPr>
            <w:tcW w:w="134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3.6</w:t>
            </w:r>
          </w:p>
        </w:tc>
        <w:tc>
          <w:tcPr>
            <w:tcW w:w="0" w:type="dxa"/>
            <w:vAlign w:val="bottom"/>
          </w:tcPr>
          <w:p>
            <w:pPr>
              <w:spacing w:after="0"/>
              <w:rPr>
                <w:sz w:val="1"/>
                <w:szCs w:val="1"/>
                <w:color w:val="auto"/>
              </w:rPr>
            </w:pPr>
          </w:p>
        </w:tc>
      </w:tr>
      <w:tr>
        <w:trPr>
          <w:trHeight w:val="203"/>
        </w:trPr>
        <w:tc>
          <w:tcPr>
            <w:tcW w:w="6560" w:type="dxa"/>
            <w:vAlign w:val="bottom"/>
          </w:tcPr>
          <w:p>
            <w:pPr>
              <w:spacing w:after="0" w:line="202" w:lineRule="exact"/>
              <w:rPr>
                <w:sz w:val="20"/>
                <w:szCs w:val="20"/>
                <w:color w:val="auto"/>
              </w:rPr>
            </w:pPr>
            <w:r>
              <w:rPr>
                <w:rFonts w:ascii="Arial" w:cs="Arial" w:eastAsia="Arial" w:hAnsi="Arial"/>
                <w:sz w:val="18"/>
                <w:szCs w:val="18"/>
                <w:color w:val="0A0A0A"/>
              </w:rPr>
              <w:t>Diluted</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0A0A0A"/>
              </w:rPr>
              <w:t>52,508,186</w:t>
            </w:r>
          </w:p>
        </w:tc>
        <w:tc>
          <w:tcPr>
            <w:tcW w:w="24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48,225,603</w:t>
            </w: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8.9</w:t>
            </w:r>
          </w:p>
        </w:tc>
        <w:tc>
          <w:tcPr>
            <w:tcW w:w="0" w:type="dxa"/>
            <w:vAlign w:val="bottom"/>
          </w:tcPr>
          <w:p>
            <w:pPr>
              <w:spacing w:after="0"/>
              <w:rPr>
                <w:sz w:val="1"/>
                <w:szCs w:val="1"/>
                <w:color w:val="auto"/>
              </w:rPr>
            </w:pPr>
          </w:p>
        </w:tc>
      </w:tr>
      <w:tr>
        <w:trPr>
          <w:trHeight w:val="203"/>
        </w:trPr>
        <w:tc>
          <w:tcPr>
            <w:tcW w:w="6560" w:type="dxa"/>
            <w:vAlign w:val="bottom"/>
            <w:shd w:val="clear" w:color="auto" w:fill="C6F4F9"/>
          </w:tcPr>
          <w:p>
            <w:pPr>
              <w:spacing w:after="0"/>
              <w:rPr>
                <w:sz w:val="17"/>
                <w:szCs w:val="17"/>
                <w:color w:val="auto"/>
              </w:rPr>
            </w:pPr>
          </w:p>
        </w:tc>
        <w:tc>
          <w:tcPr>
            <w:tcW w:w="640" w:type="dxa"/>
            <w:vAlign w:val="bottom"/>
            <w:shd w:val="clear" w:color="auto" w:fill="C6F4F9"/>
          </w:tcPr>
          <w:p>
            <w:pPr>
              <w:spacing w:after="0"/>
              <w:rPr>
                <w:sz w:val="17"/>
                <w:szCs w:val="17"/>
                <w:color w:val="auto"/>
              </w:rPr>
            </w:pPr>
          </w:p>
        </w:tc>
        <w:tc>
          <w:tcPr>
            <w:tcW w:w="240" w:type="dxa"/>
            <w:vAlign w:val="bottom"/>
            <w:shd w:val="clear" w:color="auto" w:fill="C6F4F9"/>
          </w:tcPr>
          <w:p>
            <w:pPr>
              <w:spacing w:after="0"/>
              <w:rPr>
                <w:sz w:val="17"/>
                <w:szCs w:val="17"/>
                <w:color w:val="auto"/>
              </w:rPr>
            </w:pPr>
          </w:p>
        </w:tc>
        <w:tc>
          <w:tcPr>
            <w:tcW w:w="3800" w:type="dxa"/>
            <w:vAlign w:val="bottom"/>
            <w:gridSpan w:val="4"/>
            <w:shd w:val="clear" w:color="auto" w:fill="C6F4F9"/>
          </w:tcPr>
          <w:p>
            <w:pPr>
              <w:spacing w:after="0"/>
              <w:rPr>
                <w:sz w:val="17"/>
                <w:szCs w:val="17"/>
                <w:color w:val="auto"/>
              </w:rPr>
            </w:pPr>
          </w:p>
        </w:tc>
        <w:tc>
          <w:tcPr>
            <w:tcW w:w="0" w:type="dxa"/>
            <w:vAlign w:val="bottom"/>
          </w:tcPr>
          <w:p>
            <w:pPr>
              <w:spacing w:after="0"/>
              <w:rPr>
                <w:sz w:val="1"/>
                <w:szCs w:val="1"/>
                <w:color w:val="auto"/>
              </w:rPr>
            </w:pPr>
          </w:p>
        </w:tc>
      </w:tr>
      <w:tr>
        <w:trPr>
          <w:trHeight w:val="709"/>
        </w:trPr>
        <w:tc>
          <w:tcPr>
            <w:tcW w:w="6560" w:type="dxa"/>
            <w:vAlign w:val="bottom"/>
            <w:tcBorders>
              <w:bottom w:val="single" w:sz="8" w:color="auto"/>
            </w:tcBorders>
          </w:tcPr>
          <w:p>
            <w:pPr>
              <w:ind w:left="5340"/>
              <w:spacing w:after="0"/>
              <w:rPr>
                <w:sz w:val="20"/>
                <w:szCs w:val="20"/>
                <w:color w:val="auto"/>
              </w:rPr>
            </w:pPr>
            <w:r>
              <w:rPr>
                <w:rFonts w:ascii="Arial" w:cs="Arial" w:eastAsia="Arial" w:hAnsi="Arial"/>
                <w:sz w:val="18"/>
                <w:szCs w:val="18"/>
                <w:color w:val="auto"/>
              </w:rPr>
              <w:t>Page 6</w:t>
            </w: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5051425</wp:posOffset>
            </wp:positionH>
            <wp:positionV relativeFrom="page">
              <wp:posOffset>508635</wp:posOffset>
            </wp:positionV>
            <wp:extent cx="2254250" cy="908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22542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520" w:type="dxa"/>
            <w:vAlign w:val="bottom"/>
          </w:tcPr>
          <w:p>
            <w:pPr>
              <w:spacing w:after="0"/>
              <w:rPr>
                <w:sz w:val="20"/>
                <w:szCs w:val="20"/>
                <w:color w:val="auto"/>
              </w:rPr>
            </w:pPr>
            <w:r>
              <w:rPr>
                <w:rFonts w:ascii="Arial" w:cs="Arial" w:eastAsia="Arial" w:hAnsi="Arial"/>
                <w:sz w:val="18"/>
                <w:szCs w:val="18"/>
                <w:b w:val="1"/>
                <w:bCs w:val="1"/>
                <w:color w:val="auto"/>
              </w:rPr>
              <w:t>Key Operating Statistics</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800" w:type="dxa"/>
            <w:vAlign w:val="bottom"/>
            <w:gridSpan w:val="5"/>
          </w:tcPr>
          <w:p>
            <w:pPr>
              <w:spacing w:after="0"/>
              <w:rPr>
                <w:sz w:val="20"/>
                <w:szCs w:val="20"/>
                <w:color w:val="auto"/>
              </w:rPr>
            </w:pPr>
            <w:r>
              <w:rPr>
                <w:rFonts w:ascii="Arial" w:cs="Arial" w:eastAsia="Arial" w:hAnsi="Arial"/>
                <w:sz w:val="18"/>
                <w:szCs w:val="18"/>
                <w:color w:val="auto"/>
              </w:rPr>
              <w:t>The following table presents key operating statistics and metrics for the three months ended March 31, 2021.</w:t>
            </w: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13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196"/>
        </w:trPr>
        <w:tc>
          <w:tcPr>
            <w:tcW w:w="6520" w:type="dxa"/>
            <w:vAlign w:val="bottom"/>
            <w:vMerge w:val="restart"/>
          </w:tcPr>
          <w:p>
            <w:pPr>
              <w:spacing w:after="0"/>
              <w:rPr>
                <w:sz w:val="20"/>
                <w:szCs w:val="20"/>
                <w:color w:val="auto"/>
              </w:rPr>
            </w:pPr>
            <w:r>
              <w:rPr>
                <w:rFonts w:ascii="Arial" w:cs="Arial" w:eastAsia="Arial" w:hAnsi="Arial"/>
                <w:sz w:val="18"/>
                <w:szCs w:val="18"/>
                <w:b w:val="1"/>
                <w:bCs w:val="1"/>
                <w:color w:val="auto"/>
              </w:rPr>
              <w:t>Scheduled service statistics:</w:t>
            </w:r>
          </w:p>
        </w:tc>
        <w:tc>
          <w:tcPr>
            <w:tcW w:w="6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11"/>
              <w:spacing w:after="0" w:line="196" w:lineRule="exact"/>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2020</w:t>
            </w:r>
          </w:p>
        </w:tc>
        <w:tc>
          <w:tcPr>
            <w:tcW w:w="13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2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Revenue passenger miles (RPMs) – thousands</w:t>
            </w:r>
          </w:p>
        </w:tc>
        <w:tc>
          <w:tcPr>
            <w:tcW w:w="600" w:type="dxa"/>
            <w:vAlign w:val="bottom"/>
            <w:shd w:val="clear" w:color="auto" w:fill="C6F4F9"/>
          </w:tcPr>
          <w:p>
            <w:pPr>
              <w:spacing w:after="0"/>
              <w:rPr>
                <w:sz w:val="17"/>
                <w:szCs w:val="17"/>
                <w:color w:val="auto"/>
              </w:rPr>
            </w:pPr>
          </w:p>
        </w:tc>
        <w:tc>
          <w:tcPr>
            <w:tcW w:w="220" w:type="dxa"/>
            <w:vAlign w:val="bottom"/>
            <w:shd w:val="clear" w:color="auto" w:fill="C6F4F9"/>
          </w:tcPr>
          <w:p>
            <w:pPr>
              <w:spacing w:after="0"/>
              <w:rPr>
                <w:sz w:val="17"/>
                <w:szCs w:val="17"/>
                <w:color w:val="auto"/>
              </w:rPr>
            </w:pPr>
          </w:p>
        </w:tc>
        <w:tc>
          <w:tcPr>
            <w:tcW w:w="1180" w:type="dxa"/>
            <w:vAlign w:val="bottom"/>
            <w:shd w:val="clear" w:color="auto" w:fill="C6F4F9"/>
          </w:tcPr>
          <w:p>
            <w:pPr>
              <w:jc w:val="right"/>
              <w:ind w:right="71"/>
              <w:spacing w:after="0" w:line="202" w:lineRule="exact"/>
              <w:rPr>
                <w:sz w:val="20"/>
                <w:szCs w:val="20"/>
                <w:color w:val="auto"/>
              </w:rPr>
            </w:pPr>
            <w:r>
              <w:rPr>
                <w:rFonts w:ascii="Arial" w:cs="Arial" w:eastAsia="Arial" w:hAnsi="Arial"/>
                <w:sz w:val="18"/>
                <w:szCs w:val="18"/>
                <w:color w:val="auto"/>
              </w:rPr>
              <w:t>774,999</w:t>
            </w:r>
          </w:p>
        </w:tc>
        <w:tc>
          <w:tcPr>
            <w:tcW w:w="280" w:type="dxa"/>
            <w:vAlign w:val="bottom"/>
            <w:shd w:val="clear" w:color="auto" w:fill="C6F4F9"/>
          </w:tcPr>
          <w:p>
            <w:pPr>
              <w:spacing w:after="0"/>
              <w:rPr>
                <w:sz w:val="17"/>
                <w:szCs w:val="17"/>
                <w:color w:val="auto"/>
              </w:rPr>
            </w:pPr>
          </w:p>
        </w:tc>
        <w:tc>
          <w:tcPr>
            <w:tcW w:w="1100" w:type="dxa"/>
            <w:vAlign w:val="bottom"/>
            <w:shd w:val="clear" w:color="auto" w:fill="C6F4F9"/>
          </w:tcPr>
          <w:p>
            <w:pPr>
              <w:jc w:val="right"/>
              <w:ind w:right="70"/>
              <w:spacing w:after="0" w:line="202" w:lineRule="exact"/>
              <w:rPr>
                <w:sz w:val="20"/>
                <w:szCs w:val="20"/>
                <w:color w:val="auto"/>
              </w:rPr>
            </w:pPr>
            <w:r>
              <w:rPr>
                <w:rFonts w:ascii="Arial" w:cs="Arial" w:eastAsia="Arial" w:hAnsi="Arial"/>
                <w:sz w:val="18"/>
                <w:szCs w:val="18"/>
                <w:color w:val="auto"/>
              </w:rPr>
              <w:t>1,149,906</w:t>
            </w:r>
          </w:p>
        </w:tc>
        <w:tc>
          <w:tcPr>
            <w:tcW w:w="134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Available seat miles (ASMs) – thousands</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ind w:right="71"/>
              <w:spacing w:after="0" w:line="202" w:lineRule="exact"/>
              <w:rPr>
                <w:sz w:val="20"/>
                <w:szCs w:val="20"/>
                <w:color w:val="auto"/>
              </w:rPr>
            </w:pPr>
            <w:r>
              <w:rPr>
                <w:rFonts w:ascii="Arial" w:cs="Arial" w:eastAsia="Arial" w:hAnsi="Arial"/>
                <w:sz w:val="18"/>
                <w:szCs w:val="18"/>
                <w:color w:val="auto"/>
              </w:rPr>
              <w:t>1,158,012</w:t>
            </w:r>
          </w:p>
        </w:tc>
        <w:tc>
          <w:tcPr>
            <w:tcW w:w="280" w:type="dxa"/>
            <w:vAlign w:val="bottom"/>
          </w:tcPr>
          <w:p>
            <w:pPr>
              <w:spacing w:after="0"/>
              <w:rPr>
                <w:sz w:val="17"/>
                <w:szCs w:val="17"/>
                <w:color w:val="auto"/>
              </w:rPr>
            </w:pPr>
          </w:p>
        </w:tc>
        <w:tc>
          <w:tcPr>
            <w:tcW w:w="11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1,508,196</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03"/>
        </w:trPr>
        <w:tc>
          <w:tcPr>
            <w:tcW w:w="652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Load factor</w:t>
            </w:r>
          </w:p>
        </w:tc>
        <w:tc>
          <w:tcPr>
            <w:tcW w:w="600" w:type="dxa"/>
            <w:vAlign w:val="bottom"/>
            <w:shd w:val="clear" w:color="auto" w:fill="C6F4F9"/>
          </w:tcPr>
          <w:p>
            <w:pPr>
              <w:spacing w:after="0"/>
              <w:rPr>
                <w:sz w:val="17"/>
                <w:szCs w:val="17"/>
                <w:color w:val="auto"/>
              </w:rPr>
            </w:pPr>
          </w:p>
        </w:tc>
        <w:tc>
          <w:tcPr>
            <w:tcW w:w="220" w:type="dxa"/>
            <w:vAlign w:val="bottom"/>
            <w:shd w:val="clear" w:color="auto" w:fill="C6F4F9"/>
          </w:tcPr>
          <w:p>
            <w:pPr>
              <w:spacing w:after="0"/>
              <w:rPr>
                <w:sz w:val="17"/>
                <w:szCs w:val="17"/>
                <w:color w:val="auto"/>
              </w:rPr>
            </w:pPr>
          </w:p>
        </w:tc>
        <w:tc>
          <w:tcPr>
            <w:tcW w:w="118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66.9%</w:t>
            </w:r>
          </w:p>
        </w:tc>
        <w:tc>
          <w:tcPr>
            <w:tcW w:w="280" w:type="dxa"/>
            <w:vAlign w:val="bottom"/>
            <w:shd w:val="clear" w:color="auto" w:fill="C6F4F9"/>
          </w:tcPr>
          <w:p>
            <w:pPr>
              <w:spacing w:after="0"/>
              <w:rPr>
                <w:sz w:val="17"/>
                <w:szCs w:val="17"/>
                <w:color w:val="auto"/>
              </w:rPr>
            </w:pPr>
          </w:p>
        </w:tc>
        <w:tc>
          <w:tcPr>
            <w:tcW w:w="110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76.2%</w:t>
            </w:r>
          </w:p>
        </w:tc>
        <w:tc>
          <w:tcPr>
            <w:tcW w:w="134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(9.3) pts</w:t>
            </w:r>
          </w:p>
        </w:tc>
        <w:tc>
          <w:tcPr>
            <w:tcW w:w="0" w:type="dxa"/>
            <w:vAlign w:val="bottom"/>
          </w:tcPr>
          <w:p>
            <w:pPr>
              <w:spacing w:after="0"/>
              <w:rPr>
                <w:sz w:val="1"/>
                <w:szCs w:val="1"/>
                <w:color w:val="auto"/>
              </w:rPr>
            </w:pP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Revenue passengers carried</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ind w:right="71"/>
              <w:spacing w:after="0" w:line="202" w:lineRule="exact"/>
              <w:rPr>
                <w:sz w:val="20"/>
                <w:szCs w:val="20"/>
                <w:color w:val="auto"/>
              </w:rPr>
            </w:pPr>
            <w:r>
              <w:rPr>
                <w:rFonts w:ascii="Arial" w:cs="Arial" w:eastAsia="Arial" w:hAnsi="Arial"/>
                <w:sz w:val="18"/>
                <w:szCs w:val="18"/>
                <w:color w:val="auto"/>
              </w:rPr>
              <w:t>553,032</w:t>
            </w:r>
          </w:p>
        </w:tc>
        <w:tc>
          <w:tcPr>
            <w:tcW w:w="280" w:type="dxa"/>
            <w:vAlign w:val="bottom"/>
          </w:tcPr>
          <w:p>
            <w:pPr>
              <w:spacing w:after="0"/>
              <w:rPr>
                <w:sz w:val="17"/>
                <w:szCs w:val="17"/>
                <w:color w:val="auto"/>
              </w:rPr>
            </w:pPr>
          </w:p>
        </w:tc>
        <w:tc>
          <w:tcPr>
            <w:tcW w:w="11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813,938</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3"/>
        </w:trPr>
        <w:tc>
          <w:tcPr>
            <w:tcW w:w="652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Departures</w:t>
            </w:r>
          </w:p>
        </w:tc>
        <w:tc>
          <w:tcPr>
            <w:tcW w:w="600" w:type="dxa"/>
            <w:vAlign w:val="bottom"/>
            <w:shd w:val="clear" w:color="auto" w:fill="C6F4F9"/>
          </w:tcPr>
          <w:p>
            <w:pPr>
              <w:spacing w:after="0"/>
              <w:rPr>
                <w:sz w:val="17"/>
                <w:szCs w:val="17"/>
                <w:color w:val="auto"/>
              </w:rPr>
            </w:pPr>
          </w:p>
        </w:tc>
        <w:tc>
          <w:tcPr>
            <w:tcW w:w="220" w:type="dxa"/>
            <w:vAlign w:val="bottom"/>
            <w:shd w:val="clear" w:color="auto" w:fill="C6F4F9"/>
          </w:tcPr>
          <w:p>
            <w:pPr>
              <w:spacing w:after="0"/>
              <w:rPr>
                <w:sz w:val="17"/>
                <w:szCs w:val="17"/>
                <w:color w:val="auto"/>
              </w:rPr>
            </w:pPr>
          </w:p>
        </w:tc>
        <w:tc>
          <w:tcPr>
            <w:tcW w:w="1180" w:type="dxa"/>
            <w:vAlign w:val="bottom"/>
            <w:shd w:val="clear" w:color="auto" w:fill="C6F4F9"/>
          </w:tcPr>
          <w:p>
            <w:pPr>
              <w:jc w:val="right"/>
              <w:ind w:right="71"/>
              <w:spacing w:after="0" w:line="202" w:lineRule="exact"/>
              <w:rPr>
                <w:sz w:val="20"/>
                <w:szCs w:val="20"/>
                <w:color w:val="auto"/>
              </w:rPr>
            </w:pPr>
            <w:r>
              <w:rPr>
                <w:rFonts w:ascii="Arial" w:cs="Arial" w:eastAsia="Arial" w:hAnsi="Arial"/>
                <w:sz w:val="18"/>
                <w:szCs w:val="18"/>
                <w:color w:val="auto"/>
              </w:rPr>
              <w:t>4,323</w:t>
            </w:r>
          </w:p>
        </w:tc>
        <w:tc>
          <w:tcPr>
            <w:tcW w:w="280" w:type="dxa"/>
            <w:vAlign w:val="bottom"/>
            <w:shd w:val="clear" w:color="auto" w:fill="C6F4F9"/>
          </w:tcPr>
          <w:p>
            <w:pPr>
              <w:spacing w:after="0"/>
              <w:rPr>
                <w:sz w:val="17"/>
                <w:szCs w:val="17"/>
                <w:color w:val="auto"/>
              </w:rPr>
            </w:pPr>
          </w:p>
        </w:tc>
        <w:tc>
          <w:tcPr>
            <w:tcW w:w="1100" w:type="dxa"/>
            <w:vAlign w:val="bottom"/>
            <w:shd w:val="clear" w:color="auto" w:fill="C6F4F9"/>
          </w:tcPr>
          <w:p>
            <w:pPr>
              <w:jc w:val="right"/>
              <w:ind w:right="70"/>
              <w:spacing w:after="0" w:line="202" w:lineRule="exact"/>
              <w:rPr>
                <w:sz w:val="20"/>
                <w:szCs w:val="20"/>
                <w:color w:val="auto"/>
              </w:rPr>
            </w:pPr>
            <w:r>
              <w:rPr>
                <w:rFonts w:ascii="Arial" w:cs="Arial" w:eastAsia="Arial" w:hAnsi="Arial"/>
                <w:sz w:val="18"/>
                <w:szCs w:val="18"/>
                <w:color w:val="auto"/>
              </w:rPr>
              <w:t>5,806</w:t>
            </w:r>
          </w:p>
        </w:tc>
        <w:tc>
          <w:tcPr>
            <w:tcW w:w="134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Block hours</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ind w:right="71"/>
              <w:spacing w:after="0" w:line="202" w:lineRule="exact"/>
              <w:rPr>
                <w:sz w:val="20"/>
                <w:szCs w:val="20"/>
                <w:color w:val="auto"/>
              </w:rPr>
            </w:pPr>
            <w:r>
              <w:rPr>
                <w:rFonts w:ascii="Arial" w:cs="Arial" w:eastAsia="Arial" w:hAnsi="Arial"/>
                <w:sz w:val="18"/>
                <w:szCs w:val="18"/>
                <w:color w:val="auto"/>
              </w:rPr>
              <w:t>15,207</w:t>
            </w:r>
          </w:p>
        </w:tc>
        <w:tc>
          <w:tcPr>
            <w:tcW w:w="280" w:type="dxa"/>
            <w:vAlign w:val="bottom"/>
          </w:tcPr>
          <w:p>
            <w:pPr>
              <w:spacing w:after="0"/>
              <w:rPr>
                <w:sz w:val="17"/>
                <w:szCs w:val="17"/>
                <w:color w:val="auto"/>
              </w:rPr>
            </w:pPr>
          </w:p>
        </w:tc>
        <w:tc>
          <w:tcPr>
            <w:tcW w:w="11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20,242</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03"/>
        </w:trPr>
        <w:tc>
          <w:tcPr>
            <w:tcW w:w="652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Aircraft miles</w:t>
            </w:r>
          </w:p>
        </w:tc>
        <w:tc>
          <w:tcPr>
            <w:tcW w:w="600" w:type="dxa"/>
            <w:vAlign w:val="bottom"/>
            <w:shd w:val="clear" w:color="auto" w:fill="C6F4F9"/>
          </w:tcPr>
          <w:p>
            <w:pPr>
              <w:spacing w:after="0"/>
              <w:rPr>
                <w:sz w:val="17"/>
                <w:szCs w:val="17"/>
                <w:color w:val="auto"/>
              </w:rPr>
            </w:pPr>
          </w:p>
        </w:tc>
        <w:tc>
          <w:tcPr>
            <w:tcW w:w="220" w:type="dxa"/>
            <w:vAlign w:val="bottom"/>
            <w:shd w:val="clear" w:color="auto" w:fill="C6F4F9"/>
          </w:tcPr>
          <w:p>
            <w:pPr>
              <w:spacing w:after="0"/>
              <w:rPr>
                <w:sz w:val="17"/>
                <w:szCs w:val="17"/>
                <w:color w:val="auto"/>
              </w:rPr>
            </w:pPr>
          </w:p>
        </w:tc>
        <w:tc>
          <w:tcPr>
            <w:tcW w:w="1180" w:type="dxa"/>
            <w:vAlign w:val="bottom"/>
            <w:shd w:val="clear" w:color="auto" w:fill="C6F4F9"/>
          </w:tcPr>
          <w:p>
            <w:pPr>
              <w:jc w:val="right"/>
              <w:ind w:right="71"/>
              <w:spacing w:after="0" w:line="202" w:lineRule="exact"/>
              <w:rPr>
                <w:sz w:val="20"/>
                <w:szCs w:val="20"/>
                <w:color w:val="auto"/>
              </w:rPr>
            </w:pPr>
            <w:r>
              <w:rPr>
                <w:rFonts w:ascii="Arial" w:cs="Arial" w:eastAsia="Arial" w:hAnsi="Arial"/>
                <w:sz w:val="18"/>
                <w:szCs w:val="18"/>
                <w:color w:val="auto"/>
              </w:rPr>
              <w:t>6,233,184</w:t>
            </w:r>
          </w:p>
        </w:tc>
        <w:tc>
          <w:tcPr>
            <w:tcW w:w="280" w:type="dxa"/>
            <w:vAlign w:val="bottom"/>
            <w:shd w:val="clear" w:color="auto" w:fill="C6F4F9"/>
          </w:tcPr>
          <w:p>
            <w:pPr>
              <w:spacing w:after="0"/>
              <w:rPr>
                <w:sz w:val="17"/>
                <w:szCs w:val="17"/>
                <w:color w:val="auto"/>
              </w:rPr>
            </w:pPr>
          </w:p>
        </w:tc>
        <w:tc>
          <w:tcPr>
            <w:tcW w:w="1100" w:type="dxa"/>
            <w:vAlign w:val="bottom"/>
            <w:shd w:val="clear" w:color="auto" w:fill="C6F4F9"/>
          </w:tcPr>
          <w:p>
            <w:pPr>
              <w:jc w:val="right"/>
              <w:ind w:right="70"/>
              <w:spacing w:after="0" w:line="202" w:lineRule="exact"/>
              <w:rPr>
                <w:sz w:val="20"/>
                <w:szCs w:val="20"/>
                <w:color w:val="auto"/>
              </w:rPr>
            </w:pPr>
            <w:r>
              <w:rPr>
                <w:rFonts w:ascii="Arial" w:cs="Arial" w:eastAsia="Arial" w:hAnsi="Arial"/>
                <w:sz w:val="18"/>
                <w:szCs w:val="18"/>
                <w:color w:val="auto"/>
              </w:rPr>
              <w:t>8,157,586</w:t>
            </w:r>
          </w:p>
        </w:tc>
        <w:tc>
          <w:tcPr>
            <w:tcW w:w="134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Passenger revenue per ASM (PRASM) - cents</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4.72¢</w:t>
            </w: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7.57¢</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03"/>
        </w:trPr>
        <w:tc>
          <w:tcPr>
            <w:tcW w:w="652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Average base fare per passenger</w:t>
            </w:r>
          </w:p>
        </w:tc>
        <w:tc>
          <w:tcPr>
            <w:tcW w:w="820" w:type="dxa"/>
            <w:vAlign w:val="bottom"/>
            <w:gridSpan w:val="2"/>
            <w:shd w:val="clear" w:color="auto" w:fill="C6F4F9"/>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6F4F9"/>
          </w:tcPr>
          <w:p>
            <w:pPr>
              <w:jc w:val="right"/>
              <w:ind w:right="71"/>
              <w:spacing w:after="0" w:line="202" w:lineRule="exact"/>
              <w:rPr>
                <w:sz w:val="20"/>
                <w:szCs w:val="20"/>
                <w:color w:val="auto"/>
              </w:rPr>
            </w:pPr>
            <w:r>
              <w:rPr>
                <w:rFonts w:ascii="Arial" w:cs="Arial" w:eastAsia="Arial" w:hAnsi="Arial"/>
                <w:sz w:val="18"/>
                <w:szCs w:val="18"/>
                <w:color w:val="auto"/>
              </w:rPr>
              <w:t>98.77</w:t>
            </w:r>
          </w:p>
        </w:tc>
        <w:tc>
          <w:tcPr>
            <w:tcW w:w="280" w:type="dxa"/>
            <w:vAlign w:val="bottom"/>
            <w:shd w:val="clear" w:color="auto" w:fill="C6F4F9"/>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6F4F9"/>
          </w:tcPr>
          <w:p>
            <w:pPr>
              <w:jc w:val="right"/>
              <w:ind w:right="70"/>
              <w:spacing w:after="0" w:line="202" w:lineRule="exact"/>
              <w:rPr>
                <w:sz w:val="20"/>
                <w:szCs w:val="20"/>
                <w:color w:val="auto"/>
              </w:rPr>
            </w:pPr>
            <w:r>
              <w:rPr>
                <w:rFonts w:ascii="Arial" w:cs="Arial" w:eastAsia="Arial" w:hAnsi="Arial"/>
                <w:sz w:val="18"/>
                <w:szCs w:val="18"/>
                <w:color w:val="auto"/>
              </w:rPr>
              <w:t>140.34</w:t>
            </w:r>
          </w:p>
        </w:tc>
        <w:tc>
          <w:tcPr>
            <w:tcW w:w="134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Ancillary revenue per passenger</w:t>
            </w:r>
          </w:p>
        </w:tc>
        <w:tc>
          <w:tcPr>
            <w:tcW w:w="8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71"/>
              <w:spacing w:after="0" w:line="202" w:lineRule="exact"/>
              <w:rPr>
                <w:sz w:val="20"/>
                <w:szCs w:val="20"/>
                <w:color w:val="auto"/>
              </w:rPr>
            </w:pPr>
            <w:r>
              <w:rPr>
                <w:rFonts w:ascii="Arial" w:cs="Arial" w:eastAsia="Arial" w:hAnsi="Arial"/>
                <w:sz w:val="18"/>
                <w:szCs w:val="18"/>
                <w:color w:val="auto"/>
              </w:rPr>
              <w:t>42.98</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43.04</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3"/>
        </w:trPr>
        <w:tc>
          <w:tcPr>
            <w:tcW w:w="652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Fuel gallons - thousands</w:t>
            </w:r>
          </w:p>
        </w:tc>
        <w:tc>
          <w:tcPr>
            <w:tcW w:w="600" w:type="dxa"/>
            <w:vAlign w:val="bottom"/>
            <w:shd w:val="clear" w:color="auto" w:fill="C6F4F9"/>
          </w:tcPr>
          <w:p>
            <w:pPr>
              <w:spacing w:after="0"/>
              <w:rPr>
                <w:sz w:val="17"/>
                <w:szCs w:val="17"/>
                <w:color w:val="auto"/>
              </w:rPr>
            </w:pPr>
          </w:p>
        </w:tc>
        <w:tc>
          <w:tcPr>
            <w:tcW w:w="220" w:type="dxa"/>
            <w:vAlign w:val="bottom"/>
            <w:shd w:val="clear" w:color="auto" w:fill="C6F4F9"/>
          </w:tcPr>
          <w:p>
            <w:pPr>
              <w:spacing w:after="0"/>
              <w:rPr>
                <w:sz w:val="17"/>
                <w:szCs w:val="17"/>
                <w:color w:val="auto"/>
              </w:rPr>
            </w:pPr>
          </w:p>
        </w:tc>
        <w:tc>
          <w:tcPr>
            <w:tcW w:w="1180" w:type="dxa"/>
            <w:vAlign w:val="bottom"/>
            <w:shd w:val="clear" w:color="auto" w:fill="C6F4F9"/>
          </w:tcPr>
          <w:p>
            <w:pPr>
              <w:jc w:val="right"/>
              <w:ind w:right="71"/>
              <w:spacing w:after="0" w:line="202" w:lineRule="exact"/>
              <w:rPr>
                <w:sz w:val="20"/>
                <w:szCs w:val="20"/>
                <w:color w:val="auto"/>
              </w:rPr>
            </w:pPr>
            <w:r>
              <w:rPr>
                <w:rFonts w:ascii="Arial" w:cs="Arial" w:eastAsia="Arial" w:hAnsi="Arial"/>
                <w:sz w:val="18"/>
                <w:szCs w:val="18"/>
                <w:color w:val="auto"/>
              </w:rPr>
              <w:t>11,557</w:t>
            </w:r>
          </w:p>
        </w:tc>
        <w:tc>
          <w:tcPr>
            <w:tcW w:w="280" w:type="dxa"/>
            <w:vAlign w:val="bottom"/>
            <w:shd w:val="clear" w:color="auto" w:fill="C6F4F9"/>
          </w:tcPr>
          <w:p>
            <w:pPr>
              <w:spacing w:after="0"/>
              <w:rPr>
                <w:sz w:val="17"/>
                <w:szCs w:val="17"/>
                <w:color w:val="auto"/>
              </w:rPr>
            </w:pPr>
          </w:p>
        </w:tc>
        <w:tc>
          <w:tcPr>
            <w:tcW w:w="1100" w:type="dxa"/>
            <w:vAlign w:val="bottom"/>
            <w:shd w:val="clear" w:color="auto" w:fill="C6F4F9"/>
          </w:tcPr>
          <w:p>
            <w:pPr>
              <w:jc w:val="right"/>
              <w:ind w:right="70"/>
              <w:spacing w:after="0" w:line="202" w:lineRule="exact"/>
              <w:rPr>
                <w:sz w:val="20"/>
                <w:szCs w:val="20"/>
                <w:color w:val="auto"/>
              </w:rPr>
            </w:pPr>
            <w:r>
              <w:rPr>
                <w:rFonts w:ascii="Arial" w:cs="Arial" w:eastAsia="Arial" w:hAnsi="Arial"/>
                <w:sz w:val="18"/>
                <w:szCs w:val="18"/>
                <w:color w:val="auto"/>
              </w:rPr>
              <w:t>15,751</w:t>
            </w:r>
          </w:p>
        </w:tc>
        <w:tc>
          <w:tcPr>
            <w:tcW w:w="134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03"/>
        </w:trPr>
        <w:tc>
          <w:tcPr>
            <w:tcW w:w="6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shd w:val="clear" w:color="auto" w:fill="C6F4F9"/>
          </w:tcPr>
          <w:p>
            <w:pPr>
              <w:spacing w:after="0" w:line="202" w:lineRule="exact"/>
              <w:rPr>
                <w:sz w:val="20"/>
                <w:szCs w:val="20"/>
                <w:color w:val="auto"/>
              </w:rPr>
            </w:pPr>
            <w:r>
              <w:rPr>
                <w:rFonts w:ascii="Arial" w:cs="Arial" w:eastAsia="Arial" w:hAnsi="Arial"/>
                <w:sz w:val="18"/>
                <w:szCs w:val="18"/>
                <w:b w:val="1"/>
                <w:bCs w:val="1"/>
                <w:color w:val="auto"/>
              </w:rPr>
              <w:t>Total system statistics:</w:t>
            </w:r>
          </w:p>
        </w:tc>
        <w:tc>
          <w:tcPr>
            <w:tcW w:w="600" w:type="dxa"/>
            <w:vAlign w:val="bottom"/>
            <w:shd w:val="clear" w:color="auto" w:fill="C6F4F9"/>
          </w:tcPr>
          <w:p>
            <w:pPr>
              <w:spacing w:after="0"/>
              <w:rPr>
                <w:sz w:val="17"/>
                <w:szCs w:val="17"/>
                <w:color w:val="auto"/>
              </w:rPr>
            </w:pPr>
          </w:p>
        </w:tc>
        <w:tc>
          <w:tcPr>
            <w:tcW w:w="220" w:type="dxa"/>
            <w:vAlign w:val="bottom"/>
            <w:shd w:val="clear" w:color="auto" w:fill="C6F4F9"/>
          </w:tcPr>
          <w:p>
            <w:pPr>
              <w:spacing w:after="0"/>
              <w:rPr>
                <w:sz w:val="17"/>
                <w:szCs w:val="17"/>
                <w:color w:val="auto"/>
              </w:rPr>
            </w:pPr>
          </w:p>
        </w:tc>
        <w:tc>
          <w:tcPr>
            <w:tcW w:w="1180" w:type="dxa"/>
            <w:vAlign w:val="bottom"/>
            <w:shd w:val="clear" w:color="auto" w:fill="C6F4F9"/>
          </w:tcPr>
          <w:p>
            <w:pPr>
              <w:spacing w:after="0"/>
              <w:rPr>
                <w:sz w:val="17"/>
                <w:szCs w:val="17"/>
                <w:color w:val="auto"/>
              </w:rPr>
            </w:pPr>
          </w:p>
        </w:tc>
        <w:tc>
          <w:tcPr>
            <w:tcW w:w="280" w:type="dxa"/>
            <w:vAlign w:val="bottom"/>
            <w:shd w:val="clear" w:color="auto" w:fill="C6F4F9"/>
          </w:tcPr>
          <w:p>
            <w:pPr>
              <w:spacing w:after="0"/>
              <w:rPr>
                <w:sz w:val="17"/>
                <w:szCs w:val="17"/>
                <w:color w:val="auto"/>
              </w:rPr>
            </w:pPr>
          </w:p>
        </w:tc>
        <w:tc>
          <w:tcPr>
            <w:tcW w:w="1100" w:type="dxa"/>
            <w:vAlign w:val="bottom"/>
            <w:shd w:val="clear" w:color="auto" w:fill="C6F4F9"/>
          </w:tcPr>
          <w:p>
            <w:pPr>
              <w:spacing w:after="0"/>
              <w:rPr>
                <w:sz w:val="17"/>
                <w:szCs w:val="17"/>
                <w:color w:val="auto"/>
              </w:rPr>
            </w:pPr>
          </w:p>
        </w:tc>
        <w:tc>
          <w:tcPr>
            <w:tcW w:w="1340" w:type="dxa"/>
            <w:vAlign w:val="bottom"/>
            <w:shd w:val="clear" w:color="auto" w:fill="C6F4F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Average passenger aircraft – available for service</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ind w:right="71"/>
              <w:spacing w:after="0" w:line="202" w:lineRule="exact"/>
              <w:rPr>
                <w:sz w:val="20"/>
                <w:szCs w:val="20"/>
                <w:color w:val="auto"/>
              </w:rPr>
            </w:pPr>
            <w:r>
              <w:rPr>
                <w:rFonts w:ascii="Arial" w:cs="Arial" w:eastAsia="Arial" w:hAnsi="Arial"/>
                <w:sz w:val="18"/>
                <w:szCs w:val="18"/>
                <w:color w:val="auto"/>
              </w:rPr>
              <w:t>27.7</w:t>
            </w:r>
          </w:p>
        </w:tc>
        <w:tc>
          <w:tcPr>
            <w:tcW w:w="280" w:type="dxa"/>
            <w:vAlign w:val="bottom"/>
          </w:tcPr>
          <w:p>
            <w:pPr>
              <w:spacing w:after="0"/>
              <w:rPr>
                <w:sz w:val="17"/>
                <w:szCs w:val="17"/>
                <w:color w:val="auto"/>
              </w:rPr>
            </w:pPr>
          </w:p>
        </w:tc>
        <w:tc>
          <w:tcPr>
            <w:tcW w:w="11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26.6</w:t>
            </w: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3"/>
        </w:trPr>
        <w:tc>
          <w:tcPr>
            <w:tcW w:w="652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Passenger aircraft – end of period</w:t>
            </w:r>
          </w:p>
        </w:tc>
        <w:tc>
          <w:tcPr>
            <w:tcW w:w="600" w:type="dxa"/>
            <w:vAlign w:val="bottom"/>
            <w:shd w:val="clear" w:color="auto" w:fill="C6F4F9"/>
          </w:tcPr>
          <w:p>
            <w:pPr>
              <w:spacing w:after="0"/>
              <w:rPr>
                <w:sz w:val="17"/>
                <w:szCs w:val="17"/>
                <w:color w:val="auto"/>
              </w:rPr>
            </w:pPr>
          </w:p>
        </w:tc>
        <w:tc>
          <w:tcPr>
            <w:tcW w:w="220" w:type="dxa"/>
            <w:vAlign w:val="bottom"/>
            <w:shd w:val="clear" w:color="auto" w:fill="C6F4F9"/>
          </w:tcPr>
          <w:p>
            <w:pPr>
              <w:spacing w:after="0"/>
              <w:rPr>
                <w:sz w:val="17"/>
                <w:szCs w:val="17"/>
                <w:color w:val="auto"/>
              </w:rPr>
            </w:pPr>
          </w:p>
        </w:tc>
        <w:tc>
          <w:tcPr>
            <w:tcW w:w="1180" w:type="dxa"/>
            <w:vAlign w:val="bottom"/>
            <w:shd w:val="clear" w:color="auto" w:fill="C6F4F9"/>
          </w:tcPr>
          <w:p>
            <w:pPr>
              <w:jc w:val="right"/>
              <w:ind w:right="71"/>
              <w:spacing w:after="0" w:line="202" w:lineRule="exact"/>
              <w:rPr>
                <w:sz w:val="20"/>
                <w:szCs w:val="20"/>
                <w:color w:val="auto"/>
              </w:rPr>
            </w:pPr>
            <w:r>
              <w:rPr>
                <w:rFonts w:ascii="Arial" w:cs="Arial" w:eastAsia="Arial" w:hAnsi="Arial"/>
                <w:sz w:val="18"/>
                <w:szCs w:val="18"/>
                <w:color w:val="auto"/>
              </w:rPr>
              <w:t>31</w:t>
            </w:r>
          </w:p>
        </w:tc>
        <w:tc>
          <w:tcPr>
            <w:tcW w:w="280" w:type="dxa"/>
            <w:vAlign w:val="bottom"/>
            <w:shd w:val="clear" w:color="auto" w:fill="C6F4F9"/>
          </w:tcPr>
          <w:p>
            <w:pPr>
              <w:spacing w:after="0"/>
              <w:rPr>
                <w:sz w:val="17"/>
                <w:szCs w:val="17"/>
                <w:color w:val="auto"/>
              </w:rPr>
            </w:pPr>
          </w:p>
        </w:tc>
        <w:tc>
          <w:tcPr>
            <w:tcW w:w="1100" w:type="dxa"/>
            <w:vAlign w:val="bottom"/>
            <w:shd w:val="clear" w:color="auto" w:fill="C6F4F9"/>
          </w:tcPr>
          <w:p>
            <w:pPr>
              <w:jc w:val="right"/>
              <w:ind w:right="70"/>
              <w:spacing w:after="0" w:line="202" w:lineRule="exact"/>
              <w:rPr>
                <w:sz w:val="20"/>
                <w:szCs w:val="20"/>
                <w:color w:val="auto"/>
              </w:rPr>
            </w:pPr>
            <w:r>
              <w:rPr>
                <w:rFonts w:ascii="Arial" w:cs="Arial" w:eastAsia="Arial" w:hAnsi="Arial"/>
                <w:sz w:val="18"/>
                <w:szCs w:val="18"/>
                <w:color w:val="auto"/>
              </w:rPr>
              <w:t>32</w:t>
            </w:r>
          </w:p>
        </w:tc>
        <w:tc>
          <w:tcPr>
            <w:tcW w:w="134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Cargo aircraft – end of period</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ind w:right="71"/>
              <w:spacing w:after="0" w:line="202" w:lineRule="exact"/>
              <w:rPr>
                <w:sz w:val="20"/>
                <w:szCs w:val="20"/>
                <w:color w:val="auto"/>
              </w:rPr>
            </w:pPr>
            <w:r>
              <w:rPr>
                <w:rFonts w:ascii="Arial" w:cs="Arial" w:eastAsia="Arial" w:hAnsi="Arial"/>
                <w:sz w:val="18"/>
                <w:szCs w:val="18"/>
                <w:color w:val="auto"/>
              </w:rPr>
              <w:t>12</w:t>
            </w:r>
          </w:p>
        </w:tc>
        <w:tc>
          <w:tcPr>
            <w:tcW w:w="280" w:type="dxa"/>
            <w:vAlign w:val="bottom"/>
          </w:tcPr>
          <w:p>
            <w:pPr>
              <w:spacing w:after="0"/>
              <w:rPr>
                <w:sz w:val="17"/>
                <w:szCs w:val="17"/>
                <w:color w:val="auto"/>
              </w:rPr>
            </w:pPr>
          </w:p>
        </w:tc>
        <w:tc>
          <w:tcPr>
            <w:tcW w:w="11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652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Available seat miles (ASMs) – thousands</w:t>
            </w:r>
          </w:p>
        </w:tc>
        <w:tc>
          <w:tcPr>
            <w:tcW w:w="600" w:type="dxa"/>
            <w:vAlign w:val="bottom"/>
            <w:shd w:val="clear" w:color="auto" w:fill="C6F4F9"/>
          </w:tcPr>
          <w:p>
            <w:pPr>
              <w:spacing w:after="0"/>
              <w:rPr>
                <w:sz w:val="17"/>
                <w:szCs w:val="17"/>
                <w:color w:val="auto"/>
              </w:rPr>
            </w:pPr>
          </w:p>
        </w:tc>
        <w:tc>
          <w:tcPr>
            <w:tcW w:w="220" w:type="dxa"/>
            <w:vAlign w:val="bottom"/>
            <w:shd w:val="clear" w:color="auto" w:fill="C6F4F9"/>
          </w:tcPr>
          <w:p>
            <w:pPr>
              <w:spacing w:after="0"/>
              <w:rPr>
                <w:sz w:val="17"/>
                <w:szCs w:val="17"/>
                <w:color w:val="auto"/>
              </w:rPr>
            </w:pPr>
          </w:p>
        </w:tc>
        <w:tc>
          <w:tcPr>
            <w:tcW w:w="1180" w:type="dxa"/>
            <w:vAlign w:val="bottom"/>
            <w:shd w:val="clear" w:color="auto" w:fill="C6F4F9"/>
          </w:tcPr>
          <w:p>
            <w:pPr>
              <w:jc w:val="right"/>
              <w:ind w:right="71"/>
              <w:spacing w:after="0" w:line="202" w:lineRule="exact"/>
              <w:rPr>
                <w:sz w:val="20"/>
                <w:szCs w:val="20"/>
                <w:color w:val="auto"/>
              </w:rPr>
            </w:pPr>
            <w:r>
              <w:rPr>
                <w:rFonts w:ascii="Arial" w:cs="Arial" w:eastAsia="Arial" w:hAnsi="Arial"/>
                <w:sz w:val="18"/>
                <w:szCs w:val="18"/>
                <w:color w:val="auto"/>
              </w:rPr>
              <w:t>1,376,796</w:t>
            </w:r>
          </w:p>
        </w:tc>
        <w:tc>
          <w:tcPr>
            <w:tcW w:w="280" w:type="dxa"/>
            <w:vAlign w:val="bottom"/>
            <w:shd w:val="clear" w:color="auto" w:fill="C6F4F9"/>
          </w:tcPr>
          <w:p>
            <w:pPr>
              <w:spacing w:after="0"/>
              <w:rPr>
                <w:sz w:val="17"/>
                <w:szCs w:val="17"/>
                <w:color w:val="auto"/>
              </w:rPr>
            </w:pPr>
          </w:p>
        </w:tc>
        <w:tc>
          <w:tcPr>
            <w:tcW w:w="1100" w:type="dxa"/>
            <w:vAlign w:val="bottom"/>
            <w:shd w:val="clear" w:color="auto" w:fill="C6F4F9"/>
          </w:tcPr>
          <w:p>
            <w:pPr>
              <w:jc w:val="right"/>
              <w:ind w:right="70"/>
              <w:spacing w:after="0" w:line="202" w:lineRule="exact"/>
              <w:rPr>
                <w:sz w:val="20"/>
                <w:szCs w:val="20"/>
                <w:color w:val="auto"/>
              </w:rPr>
            </w:pPr>
            <w:r>
              <w:rPr>
                <w:rFonts w:ascii="Arial" w:cs="Arial" w:eastAsia="Arial" w:hAnsi="Arial"/>
                <w:sz w:val="18"/>
                <w:szCs w:val="18"/>
                <w:color w:val="auto"/>
              </w:rPr>
              <w:t>1,757,067</w:t>
            </w:r>
          </w:p>
        </w:tc>
        <w:tc>
          <w:tcPr>
            <w:tcW w:w="134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Departures</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ind w:right="71"/>
              <w:spacing w:after="0" w:line="202" w:lineRule="exact"/>
              <w:rPr>
                <w:sz w:val="20"/>
                <w:szCs w:val="20"/>
                <w:color w:val="auto"/>
              </w:rPr>
            </w:pPr>
            <w:r>
              <w:rPr>
                <w:rFonts w:ascii="Arial" w:cs="Arial" w:eastAsia="Arial" w:hAnsi="Arial"/>
                <w:sz w:val="18"/>
                <w:szCs w:val="18"/>
                <w:color w:val="auto"/>
              </w:rPr>
              <w:t>8,452</w:t>
            </w:r>
          </w:p>
        </w:tc>
        <w:tc>
          <w:tcPr>
            <w:tcW w:w="280" w:type="dxa"/>
            <w:vAlign w:val="bottom"/>
          </w:tcPr>
          <w:p>
            <w:pPr>
              <w:spacing w:after="0"/>
              <w:rPr>
                <w:sz w:val="17"/>
                <w:szCs w:val="17"/>
                <w:color w:val="auto"/>
              </w:rPr>
            </w:pPr>
          </w:p>
        </w:tc>
        <w:tc>
          <w:tcPr>
            <w:tcW w:w="11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7,523</w:t>
            </w: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3"/>
        </w:trPr>
        <w:tc>
          <w:tcPr>
            <w:tcW w:w="652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Block hours</w:t>
            </w:r>
          </w:p>
        </w:tc>
        <w:tc>
          <w:tcPr>
            <w:tcW w:w="600" w:type="dxa"/>
            <w:vAlign w:val="bottom"/>
            <w:shd w:val="clear" w:color="auto" w:fill="C6F4F9"/>
          </w:tcPr>
          <w:p>
            <w:pPr>
              <w:spacing w:after="0"/>
              <w:rPr>
                <w:sz w:val="17"/>
                <w:szCs w:val="17"/>
                <w:color w:val="auto"/>
              </w:rPr>
            </w:pPr>
          </w:p>
        </w:tc>
        <w:tc>
          <w:tcPr>
            <w:tcW w:w="220" w:type="dxa"/>
            <w:vAlign w:val="bottom"/>
            <w:shd w:val="clear" w:color="auto" w:fill="C6F4F9"/>
          </w:tcPr>
          <w:p>
            <w:pPr>
              <w:spacing w:after="0"/>
              <w:rPr>
                <w:sz w:val="17"/>
                <w:szCs w:val="17"/>
                <w:color w:val="auto"/>
              </w:rPr>
            </w:pPr>
          </w:p>
        </w:tc>
        <w:tc>
          <w:tcPr>
            <w:tcW w:w="1180" w:type="dxa"/>
            <w:vAlign w:val="bottom"/>
            <w:shd w:val="clear" w:color="auto" w:fill="C6F4F9"/>
          </w:tcPr>
          <w:p>
            <w:pPr>
              <w:jc w:val="right"/>
              <w:ind w:right="71"/>
              <w:spacing w:after="0" w:line="202" w:lineRule="exact"/>
              <w:rPr>
                <w:sz w:val="20"/>
                <w:szCs w:val="20"/>
                <w:color w:val="auto"/>
              </w:rPr>
            </w:pPr>
            <w:r>
              <w:rPr>
                <w:rFonts w:ascii="Arial" w:cs="Arial" w:eastAsia="Arial" w:hAnsi="Arial"/>
                <w:sz w:val="18"/>
                <w:szCs w:val="18"/>
                <w:color w:val="auto"/>
              </w:rPr>
              <w:t>26,932</w:t>
            </w:r>
          </w:p>
        </w:tc>
        <w:tc>
          <w:tcPr>
            <w:tcW w:w="280" w:type="dxa"/>
            <w:vAlign w:val="bottom"/>
            <w:shd w:val="clear" w:color="auto" w:fill="C6F4F9"/>
          </w:tcPr>
          <w:p>
            <w:pPr>
              <w:spacing w:after="0"/>
              <w:rPr>
                <w:sz w:val="17"/>
                <w:szCs w:val="17"/>
                <w:color w:val="auto"/>
              </w:rPr>
            </w:pPr>
          </w:p>
        </w:tc>
        <w:tc>
          <w:tcPr>
            <w:tcW w:w="1100" w:type="dxa"/>
            <w:vAlign w:val="bottom"/>
            <w:shd w:val="clear" w:color="auto" w:fill="C6F4F9"/>
          </w:tcPr>
          <w:p>
            <w:pPr>
              <w:jc w:val="right"/>
              <w:ind w:right="70"/>
              <w:spacing w:after="0" w:line="202" w:lineRule="exact"/>
              <w:rPr>
                <w:sz w:val="20"/>
                <w:szCs w:val="20"/>
                <w:color w:val="auto"/>
              </w:rPr>
            </w:pPr>
            <w:r>
              <w:rPr>
                <w:rFonts w:ascii="Arial" w:cs="Arial" w:eastAsia="Arial" w:hAnsi="Arial"/>
                <w:sz w:val="18"/>
                <w:szCs w:val="18"/>
                <w:color w:val="auto"/>
              </w:rPr>
              <w:t>24,087</w:t>
            </w:r>
          </w:p>
        </w:tc>
        <w:tc>
          <w:tcPr>
            <w:tcW w:w="134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Daily utilization – hours</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ind w:right="71"/>
              <w:spacing w:after="0" w:line="202" w:lineRule="exact"/>
              <w:rPr>
                <w:sz w:val="20"/>
                <w:szCs w:val="20"/>
                <w:color w:val="auto"/>
              </w:rPr>
            </w:pPr>
            <w:r>
              <w:rPr>
                <w:rFonts w:ascii="Arial" w:cs="Arial" w:eastAsia="Arial" w:hAnsi="Arial"/>
                <w:sz w:val="18"/>
                <w:szCs w:val="18"/>
                <w:color w:val="auto"/>
              </w:rPr>
              <w:t>6.7</w:t>
            </w:r>
          </w:p>
        </w:tc>
        <w:tc>
          <w:tcPr>
            <w:tcW w:w="280" w:type="dxa"/>
            <w:vAlign w:val="bottom"/>
          </w:tcPr>
          <w:p>
            <w:pPr>
              <w:spacing w:after="0"/>
              <w:rPr>
                <w:sz w:val="17"/>
                <w:szCs w:val="17"/>
                <w:color w:val="auto"/>
              </w:rPr>
            </w:pPr>
          </w:p>
        </w:tc>
        <w:tc>
          <w:tcPr>
            <w:tcW w:w="11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8.2</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3"/>
        </w:trPr>
        <w:tc>
          <w:tcPr>
            <w:tcW w:w="652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Aircraft miles</w:t>
            </w:r>
          </w:p>
        </w:tc>
        <w:tc>
          <w:tcPr>
            <w:tcW w:w="600" w:type="dxa"/>
            <w:vAlign w:val="bottom"/>
            <w:shd w:val="clear" w:color="auto" w:fill="C6F4F9"/>
          </w:tcPr>
          <w:p>
            <w:pPr>
              <w:spacing w:after="0"/>
              <w:rPr>
                <w:sz w:val="17"/>
                <w:szCs w:val="17"/>
                <w:color w:val="auto"/>
              </w:rPr>
            </w:pPr>
          </w:p>
        </w:tc>
        <w:tc>
          <w:tcPr>
            <w:tcW w:w="220" w:type="dxa"/>
            <w:vAlign w:val="bottom"/>
            <w:shd w:val="clear" w:color="auto" w:fill="C6F4F9"/>
          </w:tcPr>
          <w:p>
            <w:pPr>
              <w:spacing w:after="0"/>
              <w:rPr>
                <w:sz w:val="17"/>
                <w:szCs w:val="17"/>
                <w:color w:val="auto"/>
              </w:rPr>
            </w:pPr>
          </w:p>
        </w:tc>
        <w:tc>
          <w:tcPr>
            <w:tcW w:w="1180" w:type="dxa"/>
            <w:vAlign w:val="bottom"/>
            <w:shd w:val="clear" w:color="auto" w:fill="C6F4F9"/>
          </w:tcPr>
          <w:p>
            <w:pPr>
              <w:jc w:val="right"/>
              <w:ind w:right="71"/>
              <w:spacing w:after="0" w:line="202" w:lineRule="exact"/>
              <w:rPr>
                <w:sz w:val="20"/>
                <w:szCs w:val="20"/>
                <w:color w:val="auto"/>
              </w:rPr>
            </w:pPr>
            <w:r>
              <w:rPr>
                <w:rFonts w:ascii="Arial" w:cs="Arial" w:eastAsia="Arial" w:hAnsi="Arial"/>
                <w:sz w:val="18"/>
                <w:szCs w:val="18"/>
                <w:color w:val="auto"/>
              </w:rPr>
              <w:t>10,784,543</w:t>
            </w:r>
          </w:p>
        </w:tc>
        <w:tc>
          <w:tcPr>
            <w:tcW w:w="280" w:type="dxa"/>
            <w:vAlign w:val="bottom"/>
            <w:shd w:val="clear" w:color="auto" w:fill="C6F4F9"/>
          </w:tcPr>
          <w:p>
            <w:pPr>
              <w:spacing w:after="0"/>
              <w:rPr>
                <w:sz w:val="17"/>
                <w:szCs w:val="17"/>
                <w:color w:val="auto"/>
              </w:rPr>
            </w:pPr>
          </w:p>
        </w:tc>
        <w:tc>
          <w:tcPr>
            <w:tcW w:w="1100" w:type="dxa"/>
            <w:vAlign w:val="bottom"/>
            <w:shd w:val="clear" w:color="auto" w:fill="C6F4F9"/>
          </w:tcPr>
          <w:p>
            <w:pPr>
              <w:jc w:val="right"/>
              <w:ind w:right="70"/>
              <w:spacing w:after="0" w:line="202" w:lineRule="exact"/>
              <w:rPr>
                <w:sz w:val="20"/>
                <w:szCs w:val="20"/>
                <w:color w:val="auto"/>
              </w:rPr>
            </w:pPr>
            <w:r>
              <w:rPr>
                <w:rFonts w:ascii="Arial" w:cs="Arial" w:eastAsia="Arial" w:hAnsi="Arial"/>
                <w:sz w:val="18"/>
                <w:szCs w:val="18"/>
                <w:color w:val="auto"/>
              </w:rPr>
              <w:t>9,534,560</w:t>
            </w:r>
          </w:p>
        </w:tc>
        <w:tc>
          <w:tcPr>
            <w:tcW w:w="134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Average stage length – miles</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ind w:right="71"/>
              <w:spacing w:after="0" w:line="202" w:lineRule="exact"/>
              <w:rPr>
                <w:sz w:val="20"/>
                <w:szCs w:val="20"/>
                <w:color w:val="auto"/>
              </w:rPr>
            </w:pPr>
            <w:r>
              <w:rPr>
                <w:rFonts w:ascii="Arial" w:cs="Arial" w:eastAsia="Arial" w:hAnsi="Arial"/>
                <w:sz w:val="18"/>
                <w:szCs w:val="18"/>
                <w:color w:val="auto"/>
              </w:rPr>
              <w:t>1,278</w:t>
            </w:r>
          </w:p>
        </w:tc>
        <w:tc>
          <w:tcPr>
            <w:tcW w:w="280" w:type="dxa"/>
            <w:vAlign w:val="bottom"/>
          </w:tcPr>
          <w:p>
            <w:pPr>
              <w:spacing w:after="0"/>
              <w:rPr>
                <w:sz w:val="17"/>
                <w:szCs w:val="17"/>
                <w:color w:val="auto"/>
              </w:rPr>
            </w:pPr>
          </w:p>
        </w:tc>
        <w:tc>
          <w:tcPr>
            <w:tcW w:w="11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1,272</w:t>
            </w: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3"/>
        </w:trPr>
        <w:tc>
          <w:tcPr>
            <w:tcW w:w="652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Total revenue per ASM (TRASM) - cents</w:t>
            </w:r>
          </w:p>
        </w:tc>
        <w:tc>
          <w:tcPr>
            <w:tcW w:w="600" w:type="dxa"/>
            <w:vAlign w:val="bottom"/>
            <w:shd w:val="clear" w:color="auto" w:fill="C6F4F9"/>
          </w:tcPr>
          <w:p>
            <w:pPr>
              <w:spacing w:after="0"/>
              <w:rPr>
                <w:sz w:val="17"/>
                <w:szCs w:val="17"/>
                <w:color w:val="auto"/>
              </w:rPr>
            </w:pPr>
          </w:p>
        </w:tc>
        <w:tc>
          <w:tcPr>
            <w:tcW w:w="220" w:type="dxa"/>
            <w:vAlign w:val="bottom"/>
            <w:shd w:val="clear" w:color="auto" w:fill="C6F4F9"/>
          </w:tcPr>
          <w:p>
            <w:pPr>
              <w:spacing w:after="0"/>
              <w:rPr>
                <w:sz w:val="17"/>
                <w:szCs w:val="17"/>
                <w:color w:val="auto"/>
              </w:rPr>
            </w:pPr>
          </w:p>
        </w:tc>
        <w:tc>
          <w:tcPr>
            <w:tcW w:w="118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7.70¢</w:t>
            </w:r>
          </w:p>
        </w:tc>
        <w:tc>
          <w:tcPr>
            <w:tcW w:w="280" w:type="dxa"/>
            <w:vAlign w:val="bottom"/>
            <w:shd w:val="clear" w:color="auto" w:fill="C6F4F9"/>
          </w:tcPr>
          <w:p>
            <w:pPr>
              <w:spacing w:after="0"/>
              <w:rPr>
                <w:sz w:val="17"/>
                <w:szCs w:val="17"/>
                <w:color w:val="auto"/>
              </w:rPr>
            </w:pPr>
          </w:p>
        </w:tc>
        <w:tc>
          <w:tcPr>
            <w:tcW w:w="110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10.26¢</w:t>
            </w:r>
          </w:p>
        </w:tc>
        <w:tc>
          <w:tcPr>
            <w:tcW w:w="134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Cost per ASM (CASM) - cents</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7.46¢</w:t>
            </w: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9.40¢</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3"/>
        </w:trPr>
        <w:tc>
          <w:tcPr>
            <w:tcW w:w="652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Adjusted CASM - cents</w:t>
            </w:r>
          </w:p>
        </w:tc>
        <w:tc>
          <w:tcPr>
            <w:tcW w:w="600" w:type="dxa"/>
            <w:vAlign w:val="bottom"/>
            <w:shd w:val="clear" w:color="auto" w:fill="C6F4F9"/>
          </w:tcPr>
          <w:p>
            <w:pPr>
              <w:spacing w:after="0"/>
              <w:rPr>
                <w:sz w:val="17"/>
                <w:szCs w:val="17"/>
                <w:color w:val="auto"/>
              </w:rPr>
            </w:pPr>
          </w:p>
        </w:tc>
        <w:tc>
          <w:tcPr>
            <w:tcW w:w="220" w:type="dxa"/>
            <w:vAlign w:val="bottom"/>
            <w:shd w:val="clear" w:color="auto" w:fill="C6F4F9"/>
          </w:tcPr>
          <w:p>
            <w:pPr>
              <w:spacing w:after="0"/>
              <w:rPr>
                <w:sz w:val="17"/>
                <w:szCs w:val="17"/>
                <w:color w:val="auto"/>
              </w:rPr>
            </w:pPr>
          </w:p>
        </w:tc>
        <w:tc>
          <w:tcPr>
            <w:tcW w:w="118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6.15¢</w:t>
            </w:r>
          </w:p>
        </w:tc>
        <w:tc>
          <w:tcPr>
            <w:tcW w:w="280" w:type="dxa"/>
            <w:vAlign w:val="bottom"/>
            <w:shd w:val="clear" w:color="auto" w:fill="C6F4F9"/>
          </w:tcPr>
          <w:p>
            <w:pPr>
              <w:spacing w:after="0"/>
              <w:rPr>
                <w:sz w:val="17"/>
                <w:szCs w:val="17"/>
                <w:color w:val="auto"/>
              </w:rPr>
            </w:pPr>
          </w:p>
        </w:tc>
        <w:tc>
          <w:tcPr>
            <w:tcW w:w="110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6.20¢</w:t>
            </w:r>
          </w:p>
        </w:tc>
        <w:tc>
          <w:tcPr>
            <w:tcW w:w="134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Fuel gallons - thousands</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ind w:right="71"/>
              <w:spacing w:after="0" w:line="202" w:lineRule="exact"/>
              <w:rPr>
                <w:sz w:val="20"/>
                <w:szCs w:val="20"/>
                <w:color w:val="auto"/>
              </w:rPr>
            </w:pPr>
            <w:r>
              <w:rPr>
                <w:rFonts w:ascii="Arial" w:cs="Arial" w:eastAsia="Arial" w:hAnsi="Arial"/>
                <w:sz w:val="18"/>
                <w:szCs w:val="18"/>
                <w:color w:val="auto"/>
              </w:rPr>
              <w:t>13,993</w:t>
            </w:r>
          </w:p>
        </w:tc>
        <w:tc>
          <w:tcPr>
            <w:tcW w:w="280" w:type="dxa"/>
            <w:vAlign w:val="bottom"/>
          </w:tcPr>
          <w:p>
            <w:pPr>
              <w:spacing w:after="0"/>
              <w:rPr>
                <w:sz w:val="17"/>
                <w:szCs w:val="17"/>
                <w:color w:val="auto"/>
              </w:rPr>
            </w:pPr>
          </w:p>
        </w:tc>
        <w:tc>
          <w:tcPr>
            <w:tcW w:w="11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18,571</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2"/>
        </w:trPr>
        <w:tc>
          <w:tcPr>
            <w:tcW w:w="652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Fuel cost per gallon, excluding derivatives</w:t>
            </w:r>
          </w:p>
        </w:tc>
        <w:tc>
          <w:tcPr>
            <w:tcW w:w="820" w:type="dxa"/>
            <w:vAlign w:val="bottom"/>
            <w:gridSpan w:val="2"/>
            <w:shd w:val="clear" w:color="auto" w:fill="C6F4F9"/>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6F4F9"/>
          </w:tcPr>
          <w:p>
            <w:pPr>
              <w:jc w:val="right"/>
              <w:ind w:right="71"/>
              <w:spacing w:after="0" w:line="202" w:lineRule="exact"/>
              <w:rPr>
                <w:sz w:val="20"/>
                <w:szCs w:val="20"/>
                <w:color w:val="auto"/>
              </w:rPr>
            </w:pPr>
            <w:r>
              <w:rPr>
                <w:rFonts w:ascii="Arial" w:cs="Arial" w:eastAsia="Arial" w:hAnsi="Arial"/>
                <w:sz w:val="18"/>
                <w:szCs w:val="18"/>
                <w:color w:val="auto"/>
              </w:rPr>
              <w:t>1.91</w:t>
            </w:r>
          </w:p>
        </w:tc>
        <w:tc>
          <w:tcPr>
            <w:tcW w:w="280" w:type="dxa"/>
            <w:vAlign w:val="bottom"/>
            <w:shd w:val="clear" w:color="auto" w:fill="C6F4F9"/>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6F4F9"/>
          </w:tcPr>
          <w:p>
            <w:pPr>
              <w:jc w:val="right"/>
              <w:ind w:right="70"/>
              <w:spacing w:after="0" w:line="202" w:lineRule="exact"/>
              <w:rPr>
                <w:sz w:val="20"/>
                <w:szCs w:val="20"/>
                <w:color w:val="auto"/>
              </w:rPr>
            </w:pPr>
            <w:r>
              <w:rPr>
                <w:rFonts w:ascii="Arial" w:cs="Arial" w:eastAsia="Arial" w:hAnsi="Arial"/>
                <w:sz w:val="18"/>
                <w:szCs w:val="18"/>
                <w:color w:val="auto"/>
              </w:rPr>
              <w:t>1.82</w:t>
            </w:r>
          </w:p>
        </w:tc>
        <w:tc>
          <w:tcPr>
            <w:tcW w:w="134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Employees at end of period</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ind w:right="71"/>
              <w:spacing w:after="0" w:line="202" w:lineRule="exact"/>
              <w:rPr>
                <w:sz w:val="20"/>
                <w:szCs w:val="20"/>
                <w:color w:val="auto"/>
              </w:rPr>
            </w:pPr>
            <w:r>
              <w:rPr>
                <w:rFonts w:ascii="Arial" w:cs="Arial" w:eastAsia="Arial" w:hAnsi="Arial"/>
                <w:sz w:val="18"/>
                <w:szCs w:val="18"/>
                <w:color w:val="auto"/>
              </w:rPr>
              <w:t>1,768</w:t>
            </w:r>
          </w:p>
        </w:tc>
        <w:tc>
          <w:tcPr>
            <w:tcW w:w="280" w:type="dxa"/>
            <w:vAlign w:val="bottom"/>
          </w:tcPr>
          <w:p>
            <w:pPr>
              <w:spacing w:after="0"/>
              <w:rPr>
                <w:sz w:val="17"/>
                <w:szCs w:val="17"/>
                <w:color w:val="auto"/>
              </w:rPr>
            </w:pPr>
          </w:p>
        </w:tc>
        <w:tc>
          <w:tcPr>
            <w:tcW w:w="11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1,640</w:t>
            </w: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3"/>
        </w:trPr>
        <w:tc>
          <w:tcPr>
            <w:tcW w:w="6520" w:type="dxa"/>
            <w:vAlign w:val="bottom"/>
            <w:shd w:val="clear" w:color="auto" w:fill="C6F4F9"/>
          </w:tcPr>
          <w:p>
            <w:pPr>
              <w:spacing w:after="0"/>
              <w:rPr>
                <w:sz w:val="17"/>
                <w:szCs w:val="17"/>
                <w:color w:val="auto"/>
              </w:rPr>
            </w:pPr>
          </w:p>
        </w:tc>
        <w:tc>
          <w:tcPr>
            <w:tcW w:w="600" w:type="dxa"/>
            <w:vAlign w:val="bottom"/>
            <w:shd w:val="clear" w:color="auto" w:fill="C6F4F9"/>
          </w:tcPr>
          <w:p>
            <w:pPr>
              <w:spacing w:after="0"/>
              <w:rPr>
                <w:sz w:val="17"/>
                <w:szCs w:val="17"/>
                <w:color w:val="auto"/>
              </w:rPr>
            </w:pPr>
          </w:p>
        </w:tc>
        <w:tc>
          <w:tcPr>
            <w:tcW w:w="220" w:type="dxa"/>
            <w:vAlign w:val="bottom"/>
            <w:shd w:val="clear" w:color="auto" w:fill="C6F4F9"/>
          </w:tcPr>
          <w:p>
            <w:pPr>
              <w:spacing w:after="0"/>
              <w:rPr>
                <w:sz w:val="17"/>
                <w:szCs w:val="17"/>
                <w:color w:val="auto"/>
              </w:rPr>
            </w:pPr>
          </w:p>
        </w:tc>
        <w:tc>
          <w:tcPr>
            <w:tcW w:w="3900" w:type="dxa"/>
            <w:vAlign w:val="bottom"/>
            <w:gridSpan w:val="4"/>
            <w:shd w:val="clear" w:color="auto" w:fill="C6F4F9"/>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6520" w:type="dxa"/>
            <w:vAlign w:val="bottom"/>
            <w:tcBorders>
              <w:bottom w:val="single" w:sz="8" w:color="auto"/>
            </w:tcBorders>
          </w:tcPr>
          <w:p>
            <w:pPr>
              <w:ind w:left="5340"/>
              <w:spacing w:after="0"/>
              <w:rPr>
                <w:sz w:val="20"/>
                <w:szCs w:val="20"/>
                <w:color w:val="auto"/>
              </w:rPr>
            </w:pPr>
            <w:r>
              <w:rPr>
                <w:rFonts w:ascii="Arial" w:cs="Arial" w:eastAsia="Arial" w:hAnsi="Arial"/>
                <w:sz w:val="18"/>
                <w:szCs w:val="18"/>
                <w:color w:val="auto"/>
              </w:rPr>
              <w:t>Page 7</w:t>
            </w: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5051425</wp:posOffset>
            </wp:positionH>
            <wp:positionV relativeFrom="page">
              <wp:posOffset>509270</wp:posOffset>
            </wp:positionV>
            <wp:extent cx="2254250" cy="9086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22542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200" w:type="dxa"/>
            <w:vAlign w:val="bottom"/>
          </w:tcPr>
          <w:p>
            <w:pPr>
              <w:spacing w:after="0"/>
              <w:rPr>
                <w:sz w:val="20"/>
                <w:szCs w:val="20"/>
                <w:color w:val="auto"/>
              </w:rPr>
            </w:pPr>
            <w:r>
              <w:rPr>
                <w:rFonts w:ascii="Arial" w:cs="Arial" w:eastAsia="Arial" w:hAnsi="Arial"/>
                <w:sz w:val="18"/>
                <w:szCs w:val="18"/>
                <w:b w:val="1"/>
                <w:bCs w:val="1"/>
                <w:color w:val="0A0A0A"/>
              </w:rPr>
              <w:t>Summary Balance Sheet</w:t>
            </w:r>
          </w:p>
        </w:tc>
        <w:tc>
          <w:tcPr>
            <w:tcW w:w="1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8"/>
        </w:trPr>
        <w:tc>
          <w:tcPr>
            <w:tcW w:w="7200" w:type="dxa"/>
            <w:vAlign w:val="bottom"/>
            <w:tcBorders>
              <w:bottom w:val="single" w:sz="8" w:color="C6F4F9"/>
            </w:tcBorders>
          </w:tcPr>
          <w:p>
            <w:pPr>
              <w:spacing w:after="0"/>
              <w:rPr>
                <w:sz w:val="20"/>
                <w:szCs w:val="20"/>
                <w:color w:val="auto"/>
              </w:rPr>
            </w:pPr>
            <w:r>
              <w:rPr>
                <w:rFonts w:ascii="Arial" w:cs="Arial" w:eastAsia="Arial" w:hAnsi="Arial"/>
                <w:sz w:val="18"/>
                <w:szCs w:val="18"/>
                <w:b w:val="1"/>
                <w:bCs w:val="1"/>
                <w:color w:val="0A0A0A"/>
              </w:rPr>
              <w:t>Unaudited (dollars in millions)</w:t>
            </w:r>
          </w:p>
        </w:tc>
        <w:tc>
          <w:tcPr>
            <w:tcW w:w="14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0A0A0A"/>
              </w:rPr>
              <w:t>3/31/2021</w:t>
            </w:r>
          </w:p>
        </w:tc>
        <w:tc>
          <w:tcPr>
            <w:tcW w:w="13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0A0A0A"/>
              </w:rPr>
              <w:t>12/31/2020</w:t>
            </w: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0A0A0A"/>
              </w:rPr>
              <w:t>% Change</w:t>
            </w:r>
          </w:p>
        </w:tc>
      </w:tr>
      <w:tr>
        <w:trPr>
          <w:trHeight w:val="196"/>
        </w:trPr>
        <w:tc>
          <w:tcPr>
            <w:tcW w:w="7200" w:type="dxa"/>
            <w:vAlign w:val="bottom"/>
            <w:shd w:val="clear" w:color="auto" w:fill="C6F4F9"/>
          </w:tcPr>
          <w:p>
            <w:pPr>
              <w:spacing w:after="0" w:line="196" w:lineRule="exact"/>
              <w:rPr>
                <w:sz w:val="20"/>
                <w:szCs w:val="20"/>
                <w:color w:val="auto"/>
              </w:rPr>
            </w:pPr>
            <w:r>
              <w:rPr>
                <w:rFonts w:ascii="Arial" w:cs="Arial" w:eastAsia="Arial" w:hAnsi="Arial"/>
                <w:sz w:val="18"/>
                <w:szCs w:val="18"/>
                <w:color w:val="0A0A0A"/>
              </w:rPr>
              <w:t>Cash and cash equivalents</w:t>
            </w:r>
          </w:p>
        </w:tc>
        <w:tc>
          <w:tcPr>
            <w:tcW w:w="1420" w:type="dxa"/>
            <w:vAlign w:val="bottom"/>
            <w:shd w:val="clear" w:color="auto" w:fill="C6F4F9"/>
          </w:tcPr>
          <w:p>
            <w:pPr>
              <w:jc w:val="right"/>
              <w:ind w:right="70"/>
              <w:spacing w:after="0" w:line="196" w:lineRule="exact"/>
              <w:rPr>
                <w:sz w:val="20"/>
                <w:szCs w:val="20"/>
                <w:color w:val="auto"/>
              </w:rPr>
            </w:pPr>
            <w:r>
              <w:rPr>
                <w:rFonts w:ascii="Arial" w:cs="Arial" w:eastAsia="Arial" w:hAnsi="Arial"/>
                <w:sz w:val="18"/>
                <w:szCs w:val="18"/>
                <w:color w:val="0A0A0A"/>
              </w:rPr>
              <w:t>269.6</w:t>
            </w:r>
          </w:p>
        </w:tc>
        <w:tc>
          <w:tcPr>
            <w:tcW w:w="1340" w:type="dxa"/>
            <w:vAlign w:val="bottom"/>
            <w:shd w:val="clear" w:color="auto" w:fill="C6F4F9"/>
          </w:tcPr>
          <w:p>
            <w:pPr>
              <w:jc w:val="right"/>
              <w:ind w:right="70"/>
              <w:spacing w:after="0" w:line="196" w:lineRule="exact"/>
              <w:rPr>
                <w:sz w:val="20"/>
                <w:szCs w:val="20"/>
                <w:color w:val="auto"/>
              </w:rPr>
            </w:pPr>
            <w:r>
              <w:rPr>
                <w:rFonts w:ascii="Arial" w:cs="Arial" w:eastAsia="Arial" w:hAnsi="Arial"/>
                <w:sz w:val="18"/>
                <w:szCs w:val="18"/>
                <w:color w:val="0A0A0A"/>
              </w:rPr>
              <w:t>62.0</w:t>
            </w:r>
          </w:p>
        </w:tc>
        <w:tc>
          <w:tcPr>
            <w:tcW w:w="1280" w:type="dxa"/>
            <w:vAlign w:val="bottom"/>
            <w:shd w:val="clear" w:color="auto" w:fill="C6F4F9"/>
          </w:tcPr>
          <w:p>
            <w:pPr>
              <w:jc w:val="right"/>
              <w:ind w:right="10"/>
              <w:spacing w:after="0" w:line="196" w:lineRule="exact"/>
              <w:rPr>
                <w:sz w:val="20"/>
                <w:szCs w:val="20"/>
                <w:color w:val="auto"/>
              </w:rPr>
            </w:pPr>
            <w:r>
              <w:rPr>
                <w:rFonts w:ascii="Arial" w:cs="Arial" w:eastAsia="Arial" w:hAnsi="Arial"/>
                <w:sz w:val="18"/>
                <w:szCs w:val="18"/>
                <w:color w:val="0A0A0A"/>
              </w:rPr>
              <w:t>334.8</w:t>
            </w:r>
          </w:p>
        </w:tc>
      </w:tr>
      <w:tr>
        <w:trPr>
          <w:trHeight w:val="216"/>
        </w:trPr>
        <w:tc>
          <w:tcPr>
            <w:tcW w:w="7200" w:type="dxa"/>
            <w:vAlign w:val="bottom"/>
            <w:tcBorders>
              <w:bottom w:val="single" w:sz="8" w:color="C6F4F9"/>
            </w:tcBorders>
          </w:tcPr>
          <w:p>
            <w:pPr>
              <w:spacing w:after="0"/>
              <w:rPr>
                <w:sz w:val="20"/>
                <w:szCs w:val="20"/>
                <w:color w:val="auto"/>
              </w:rPr>
            </w:pPr>
            <w:r>
              <w:rPr>
                <w:rFonts w:ascii="Arial" w:cs="Arial" w:eastAsia="Arial" w:hAnsi="Arial"/>
                <w:sz w:val="18"/>
                <w:szCs w:val="18"/>
                <w:color w:val="0A0A0A"/>
              </w:rPr>
              <w:t>Other current assets</w:t>
            </w: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0A0A0A"/>
              </w:rPr>
              <w:t>58.6</w:t>
            </w: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0A0A0A"/>
              </w:rPr>
              <w:t>64.7</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(9.4)</w:t>
            </w:r>
          </w:p>
        </w:tc>
      </w:tr>
      <w:tr>
        <w:trPr>
          <w:trHeight w:val="196"/>
        </w:trPr>
        <w:tc>
          <w:tcPr>
            <w:tcW w:w="7200" w:type="dxa"/>
            <w:vAlign w:val="bottom"/>
            <w:shd w:val="clear" w:color="auto" w:fill="C6F4F9"/>
          </w:tcPr>
          <w:p>
            <w:pPr>
              <w:spacing w:after="0" w:line="196" w:lineRule="exact"/>
              <w:rPr>
                <w:sz w:val="20"/>
                <w:szCs w:val="20"/>
                <w:color w:val="auto"/>
              </w:rPr>
            </w:pPr>
            <w:r>
              <w:rPr>
                <w:rFonts w:ascii="Arial" w:cs="Arial" w:eastAsia="Arial" w:hAnsi="Arial"/>
                <w:sz w:val="18"/>
                <w:szCs w:val="18"/>
                <w:color w:val="0A0A0A"/>
              </w:rPr>
              <w:t>Total current assets</w:t>
            </w:r>
          </w:p>
        </w:tc>
        <w:tc>
          <w:tcPr>
            <w:tcW w:w="1420" w:type="dxa"/>
            <w:vAlign w:val="bottom"/>
            <w:shd w:val="clear" w:color="auto" w:fill="C6F4F9"/>
          </w:tcPr>
          <w:p>
            <w:pPr>
              <w:jc w:val="right"/>
              <w:ind w:right="70"/>
              <w:spacing w:after="0" w:line="196" w:lineRule="exact"/>
              <w:rPr>
                <w:sz w:val="20"/>
                <w:szCs w:val="20"/>
                <w:color w:val="auto"/>
              </w:rPr>
            </w:pPr>
            <w:r>
              <w:rPr>
                <w:rFonts w:ascii="Arial" w:cs="Arial" w:eastAsia="Arial" w:hAnsi="Arial"/>
                <w:sz w:val="18"/>
                <w:szCs w:val="18"/>
                <w:color w:val="0A0A0A"/>
              </w:rPr>
              <w:t>328.2</w:t>
            </w:r>
          </w:p>
        </w:tc>
        <w:tc>
          <w:tcPr>
            <w:tcW w:w="1340" w:type="dxa"/>
            <w:vAlign w:val="bottom"/>
            <w:shd w:val="clear" w:color="auto" w:fill="C6F4F9"/>
          </w:tcPr>
          <w:p>
            <w:pPr>
              <w:jc w:val="right"/>
              <w:ind w:right="70"/>
              <w:spacing w:after="0" w:line="196" w:lineRule="exact"/>
              <w:rPr>
                <w:sz w:val="20"/>
                <w:szCs w:val="20"/>
                <w:color w:val="auto"/>
              </w:rPr>
            </w:pPr>
            <w:r>
              <w:rPr>
                <w:rFonts w:ascii="Arial" w:cs="Arial" w:eastAsia="Arial" w:hAnsi="Arial"/>
                <w:sz w:val="18"/>
                <w:szCs w:val="18"/>
                <w:color w:val="0A0A0A"/>
              </w:rPr>
              <w:t>126.7</w:t>
            </w:r>
          </w:p>
        </w:tc>
        <w:tc>
          <w:tcPr>
            <w:tcW w:w="1280" w:type="dxa"/>
            <w:vAlign w:val="bottom"/>
            <w:shd w:val="clear" w:color="auto" w:fill="C6F4F9"/>
          </w:tcPr>
          <w:p>
            <w:pPr>
              <w:jc w:val="right"/>
              <w:ind w:right="10"/>
              <w:spacing w:after="0" w:line="196" w:lineRule="exact"/>
              <w:rPr>
                <w:sz w:val="20"/>
                <w:szCs w:val="20"/>
                <w:color w:val="auto"/>
              </w:rPr>
            </w:pPr>
            <w:r>
              <w:rPr>
                <w:rFonts w:ascii="Arial" w:cs="Arial" w:eastAsia="Arial" w:hAnsi="Arial"/>
                <w:sz w:val="18"/>
                <w:szCs w:val="18"/>
                <w:color w:val="0A0A0A"/>
              </w:rPr>
              <w:t>159.0</w:t>
            </w:r>
          </w:p>
        </w:tc>
      </w:tr>
      <w:tr>
        <w:trPr>
          <w:trHeight w:val="203"/>
        </w:trPr>
        <w:tc>
          <w:tcPr>
            <w:tcW w:w="7200" w:type="dxa"/>
            <w:vAlign w:val="bottom"/>
          </w:tcPr>
          <w:p>
            <w:pPr>
              <w:spacing w:after="0" w:line="202" w:lineRule="exact"/>
              <w:rPr>
                <w:sz w:val="20"/>
                <w:szCs w:val="20"/>
                <w:color w:val="auto"/>
              </w:rPr>
            </w:pPr>
            <w:r>
              <w:rPr>
                <w:rFonts w:ascii="Arial" w:cs="Arial" w:eastAsia="Arial" w:hAnsi="Arial"/>
                <w:sz w:val="18"/>
                <w:szCs w:val="18"/>
                <w:color w:val="0A0A0A"/>
              </w:rPr>
              <w:t>Total property &amp; equipment, net</w:t>
            </w:r>
          </w:p>
        </w:tc>
        <w:tc>
          <w:tcPr>
            <w:tcW w:w="1420" w:type="dxa"/>
            <w:vAlign w:val="bottom"/>
          </w:tcPr>
          <w:p>
            <w:pPr>
              <w:jc w:val="right"/>
              <w:ind w:right="70"/>
              <w:spacing w:after="0" w:line="202" w:lineRule="exact"/>
              <w:rPr>
                <w:sz w:val="20"/>
                <w:szCs w:val="20"/>
                <w:color w:val="auto"/>
              </w:rPr>
            </w:pPr>
            <w:r>
              <w:rPr>
                <w:rFonts w:ascii="Arial" w:cs="Arial" w:eastAsia="Arial" w:hAnsi="Arial"/>
                <w:sz w:val="18"/>
                <w:szCs w:val="18"/>
                <w:color w:val="0A0A0A"/>
              </w:rPr>
              <w:t>456.9</w:t>
            </w:r>
          </w:p>
        </w:tc>
        <w:tc>
          <w:tcPr>
            <w:tcW w:w="1340" w:type="dxa"/>
            <w:vAlign w:val="bottom"/>
          </w:tcPr>
          <w:p>
            <w:pPr>
              <w:jc w:val="right"/>
              <w:ind w:right="70"/>
              <w:spacing w:after="0" w:line="202" w:lineRule="exact"/>
              <w:rPr>
                <w:sz w:val="20"/>
                <w:szCs w:val="20"/>
                <w:color w:val="auto"/>
              </w:rPr>
            </w:pPr>
            <w:r>
              <w:rPr>
                <w:rFonts w:ascii="Arial" w:cs="Arial" w:eastAsia="Arial" w:hAnsi="Arial"/>
                <w:sz w:val="18"/>
                <w:szCs w:val="18"/>
                <w:color w:val="0A0A0A"/>
              </w:rPr>
              <w:t>414.5</w:t>
            </w:r>
          </w:p>
        </w:tc>
        <w:tc>
          <w:tcPr>
            <w:tcW w:w="128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10.2</w:t>
            </w:r>
          </w:p>
        </w:tc>
      </w:tr>
      <w:tr>
        <w:trPr>
          <w:trHeight w:val="216"/>
        </w:trPr>
        <w:tc>
          <w:tcPr>
            <w:tcW w:w="7200" w:type="dxa"/>
            <w:vAlign w:val="bottom"/>
            <w:shd w:val="clear" w:color="auto" w:fill="C6F4F9"/>
          </w:tcPr>
          <w:p>
            <w:pPr>
              <w:spacing w:after="0"/>
              <w:rPr>
                <w:sz w:val="20"/>
                <w:szCs w:val="20"/>
                <w:color w:val="auto"/>
              </w:rPr>
            </w:pPr>
            <w:r>
              <w:rPr>
                <w:rFonts w:ascii="Arial" w:cs="Arial" w:eastAsia="Arial" w:hAnsi="Arial"/>
                <w:sz w:val="18"/>
                <w:szCs w:val="18"/>
                <w:color w:val="0A0A0A"/>
              </w:rPr>
              <w:t>Other</w:t>
            </w:r>
          </w:p>
        </w:tc>
        <w:tc>
          <w:tcPr>
            <w:tcW w:w="1420" w:type="dxa"/>
            <w:vAlign w:val="bottom"/>
            <w:shd w:val="clear" w:color="auto" w:fill="C6F4F9"/>
          </w:tcPr>
          <w:p>
            <w:pPr>
              <w:jc w:val="right"/>
              <w:ind w:right="70"/>
              <w:spacing w:after="0"/>
              <w:rPr>
                <w:sz w:val="20"/>
                <w:szCs w:val="20"/>
                <w:color w:val="auto"/>
              </w:rPr>
            </w:pPr>
            <w:r>
              <w:rPr>
                <w:rFonts w:ascii="Arial" w:cs="Arial" w:eastAsia="Arial" w:hAnsi="Arial"/>
                <w:sz w:val="18"/>
                <w:szCs w:val="18"/>
                <w:color w:val="0A0A0A"/>
              </w:rPr>
              <w:t>459.1</w:t>
            </w:r>
          </w:p>
        </w:tc>
        <w:tc>
          <w:tcPr>
            <w:tcW w:w="1340" w:type="dxa"/>
            <w:vAlign w:val="bottom"/>
            <w:shd w:val="clear" w:color="auto" w:fill="C6F4F9"/>
          </w:tcPr>
          <w:p>
            <w:pPr>
              <w:jc w:val="right"/>
              <w:ind w:right="70"/>
              <w:spacing w:after="0"/>
              <w:rPr>
                <w:sz w:val="20"/>
                <w:szCs w:val="20"/>
                <w:color w:val="auto"/>
              </w:rPr>
            </w:pPr>
            <w:r>
              <w:rPr>
                <w:rFonts w:ascii="Arial" w:cs="Arial" w:eastAsia="Arial" w:hAnsi="Arial"/>
                <w:sz w:val="18"/>
                <w:szCs w:val="18"/>
                <w:color w:val="0A0A0A"/>
              </w:rPr>
              <w:t>512.1</w:t>
            </w:r>
          </w:p>
        </w:tc>
        <w:tc>
          <w:tcPr>
            <w:tcW w:w="1280" w:type="dxa"/>
            <w:vAlign w:val="bottom"/>
            <w:shd w:val="clear" w:color="auto" w:fill="C6F4F9"/>
          </w:tcPr>
          <w:p>
            <w:pPr>
              <w:jc w:val="right"/>
              <w:spacing w:after="0"/>
              <w:rPr>
                <w:sz w:val="20"/>
                <w:szCs w:val="20"/>
                <w:color w:val="auto"/>
              </w:rPr>
            </w:pPr>
            <w:r>
              <w:rPr>
                <w:rFonts w:ascii="Arial" w:cs="Arial" w:eastAsia="Arial" w:hAnsi="Arial"/>
                <w:sz w:val="18"/>
                <w:szCs w:val="18"/>
                <w:color w:val="0A0A0A"/>
              </w:rPr>
              <w:t>(10.3)</w:t>
            </w:r>
          </w:p>
        </w:tc>
      </w:tr>
    </w:tbl>
    <w:p>
      <w:pPr>
        <w:spacing w:after="0" w:line="1"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rPr>
          <w:sz w:val="20"/>
          <w:szCs w:val="20"/>
          <w:color w:val="auto"/>
        </w:rPr>
      </w:pPr>
      <w:r>
        <w:rPr>
          <w:rFonts w:ascii="Arial" w:cs="Arial" w:eastAsia="Arial" w:hAnsi="Arial"/>
          <w:sz w:val="18"/>
          <w:szCs w:val="18"/>
          <w:b w:val="1"/>
          <w:bCs w:val="1"/>
          <w:color w:val="0A0A0A"/>
        </w:rPr>
        <w:t>Total assets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0A0A0A"/>
        </w:rPr>
        <w:t>Air traffic liabilities</w:t>
      </w:r>
    </w:p>
    <w:p>
      <w:pPr>
        <w:spacing w:after="0" w:line="234" w:lineRule="auto"/>
        <w:rPr>
          <w:sz w:val="20"/>
          <w:szCs w:val="20"/>
          <w:color w:val="auto"/>
        </w:rPr>
      </w:pPr>
      <w:r>
        <w:rPr>
          <w:rFonts w:ascii="Arial" w:cs="Arial" w:eastAsia="Arial" w:hAnsi="Arial"/>
          <w:sz w:val="18"/>
          <w:szCs w:val="18"/>
          <w:color w:val="0A0A0A"/>
        </w:rPr>
        <w:t>Current finance lease obligations</w:t>
      </w:r>
    </w:p>
    <w:p>
      <w:pPr>
        <w:spacing w:after="0" w:line="235" w:lineRule="auto"/>
        <w:rPr>
          <w:sz w:val="20"/>
          <w:szCs w:val="20"/>
          <w:color w:val="auto"/>
        </w:rPr>
      </w:pPr>
      <w:r>
        <w:rPr>
          <w:rFonts w:ascii="Arial" w:cs="Arial" w:eastAsia="Arial" w:hAnsi="Arial"/>
          <w:sz w:val="18"/>
          <w:szCs w:val="18"/>
          <w:color w:val="0A0A0A"/>
        </w:rPr>
        <w:t>Current operating lease obligations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0A0A0A"/>
        </w:rPr>
        <w:t>Current maturities of long-term debt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0A0A0A"/>
        </w:rPr>
        <w:t>Other current liabilities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0A0A0A"/>
        </w:rPr>
        <w:t>Total current liabilities</w:t>
      </w:r>
    </w:p>
    <w:p>
      <w:pPr>
        <w:spacing w:after="0" w:line="234" w:lineRule="auto"/>
        <w:rPr>
          <w:sz w:val="20"/>
          <w:szCs w:val="20"/>
          <w:color w:val="auto"/>
        </w:rPr>
      </w:pPr>
      <w:r>
        <w:rPr>
          <w:rFonts w:ascii="Arial" w:cs="Arial" w:eastAsia="Arial" w:hAnsi="Arial"/>
          <w:sz w:val="18"/>
          <w:szCs w:val="18"/>
          <w:color w:val="0A0A0A"/>
        </w:rPr>
        <w:t>Finance lease obligations</w:t>
      </w:r>
    </w:p>
    <w:p>
      <w:pPr>
        <w:spacing w:after="0" w:line="235" w:lineRule="auto"/>
        <w:rPr>
          <w:sz w:val="20"/>
          <w:szCs w:val="20"/>
          <w:color w:val="auto"/>
        </w:rPr>
      </w:pPr>
      <w:r>
        <w:rPr>
          <w:rFonts w:ascii="Arial" w:cs="Arial" w:eastAsia="Arial" w:hAnsi="Arial"/>
          <w:sz w:val="18"/>
          <w:szCs w:val="18"/>
          <w:color w:val="0A0A0A"/>
        </w:rPr>
        <w:t>Operating lease obligations</w:t>
      </w:r>
    </w:p>
    <w:p>
      <w:pPr>
        <w:spacing w:after="0" w:line="235" w:lineRule="auto"/>
        <w:rPr>
          <w:sz w:val="20"/>
          <w:szCs w:val="20"/>
          <w:color w:val="auto"/>
        </w:rPr>
      </w:pPr>
      <w:r>
        <w:rPr>
          <w:rFonts w:ascii="Arial" w:cs="Arial" w:eastAsia="Arial" w:hAnsi="Arial"/>
          <w:sz w:val="18"/>
          <w:szCs w:val="18"/>
          <w:color w:val="0A0A0A"/>
        </w:rPr>
        <w:t>Long-term debt</w:t>
      </w:r>
    </w:p>
    <w:p>
      <w:pPr>
        <w:spacing w:after="0" w:line="235" w:lineRule="auto"/>
        <w:rPr>
          <w:sz w:val="20"/>
          <w:szCs w:val="20"/>
          <w:color w:val="auto"/>
        </w:rPr>
      </w:pPr>
      <w:r>
        <w:rPr>
          <w:rFonts w:ascii="Arial" w:cs="Arial" w:eastAsia="Arial" w:hAnsi="Arial"/>
          <w:sz w:val="18"/>
          <w:szCs w:val="18"/>
          <w:color w:val="0A0A0A"/>
        </w:rPr>
        <w:t>Income tax receivable agreement</w:t>
      </w:r>
    </w:p>
    <w:p>
      <w:pPr>
        <w:spacing w:after="0"/>
        <w:rPr>
          <w:sz w:val="20"/>
          <w:szCs w:val="20"/>
          <w:color w:val="auto"/>
        </w:rPr>
      </w:pPr>
      <w:r>
        <w:rPr>
          <w:rFonts w:ascii="Arial" w:cs="Arial" w:eastAsia="Arial" w:hAnsi="Arial"/>
          <w:sz w:val="18"/>
          <w:szCs w:val="18"/>
          <w:color w:val="0A0A0A"/>
        </w:rPr>
        <w:t>Other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16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0A0A0A"/>
              </w:rPr>
              <w:t>1,244.2</w:t>
            </w:r>
          </w:p>
        </w:tc>
        <w:tc>
          <w:tcPr>
            <w:tcW w:w="144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0A0A0A"/>
              </w:rPr>
              <w:t>1,053.3</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0A0A0A"/>
              </w:rPr>
              <w:t>18.1</w:t>
            </w:r>
          </w:p>
        </w:tc>
      </w:tr>
      <w:tr>
        <w:trPr>
          <w:trHeight w:val="361"/>
        </w:trPr>
        <w:tc>
          <w:tcPr>
            <w:tcW w:w="1620" w:type="dxa"/>
            <w:vAlign w:val="bottom"/>
          </w:tcPr>
          <w:p>
            <w:pPr>
              <w:jc w:val="right"/>
              <w:ind w:right="270"/>
              <w:spacing w:after="0"/>
              <w:rPr>
                <w:sz w:val="20"/>
                <w:szCs w:val="20"/>
                <w:color w:val="auto"/>
              </w:rPr>
            </w:pPr>
            <w:r>
              <w:rPr>
                <w:rFonts w:ascii="Arial" w:cs="Arial" w:eastAsia="Arial" w:hAnsi="Arial"/>
                <w:sz w:val="18"/>
                <w:szCs w:val="18"/>
                <w:color w:val="0A0A0A"/>
              </w:rPr>
              <w:t>94.7</w:t>
            </w:r>
          </w:p>
        </w:tc>
        <w:tc>
          <w:tcPr>
            <w:tcW w:w="1440" w:type="dxa"/>
            <w:vAlign w:val="bottom"/>
          </w:tcPr>
          <w:p>
            <w:pPr>
              <w:jc w:val="right"/>
              <w:ind w:right="370"/>
              <w:spacing w:after="0"/>
              <w:rPr>
                <w:sz w:val="20"/>
                <w:szCs w:val="20"/>
                <w:color w:val="auto"/>
              </w:rPr>
            </w:pPr>
            <w:r>
              <w:rPr>
                <w:rFonts w:ascii="Arial" w:cs="Arial" w:eastAsia="Arial" w:hAnsi="Arial"/>
                <w:sz w:val="18"/>
                <w:szCs w:val="18"/>
                <w:color w:val="0A0A0A"/>
              </w:rPr>
              <w:t>101.1</w:t>
            </w:r>
          </w:p>
        </w:tc>
        <w:tc>
          <w:tcPr>
            <w:tcW w:w="980" w:type="dxa"/>
            <w:vAlign w:val="bottom"/>
          </w:tcPr>
          <w:p>
            <w:pPr>
              <w:jc w:val="right"/>
              <w:spacing w:after="0"/>
              <w:rPr>
                <w:sz w:val="20"/>
                <w:szCs w:val="20"/>
                <w:color w:val="auto"/>
              </w:rPr>
            </w:pPr>
            <w:r>
              <w:rPr>
                <w:rFonts w:ascii="Arial" w:cs="Arial" w:eastAsia="Arial" w:hAnsi="Arial"/>
                <w:sz w:val="18"/>
                <w:szCs w:val="18"/>
                <w:color w:val="0A0A0A"/>
              </w:rPr>
              <w:t>(6.3)</w:t>
            </w:r>
          </w:p>
        </w:tc>
      </w:tr>
      <w:tr>
        <w:trPr>
          <w:trHeight w:val="203"/>
        </w:trPr>
        <w:tc>
          <w:tcPr>
            <w:tcW w:w="1620" w:type="dxa"/>
            <w:vAlign w:val="bottom"/>
          </w:tcPr>
          <w:p>
            <w:pPr>
              <w:jc w:val="right"/>
              <w:ind w:right="270"/>
              <w:spacing w:after="0" w:line="202" w:lineRule="exact"/>
              <w:rPr>
                <w:sz w:val="20"/>
                <w:szCs w:val="20"/>
                <w:color w:val="auto"/>
              </w:rPr>
            </w:pPr>
            <w:r>
              <w:rPr>
                <w:rFonts w:ascii="Arial" w:cs="Arial" w:eastAsia="Arial" w:hAnsi="Arial"/>
                <w:sz w:val="18"/>
                <w:szCs w:val="18"/>
                <w:color w:val="0A0A0A"/>
              </w:rPr>
              <w:t>10.0</w:t>
            </w:r>
          </w:p>
        </w:tc>
        <w:tc>
          <w:tcPr>
            <w:tcW w:w="1440" w:type="dxa"/>
            <w:vAlign w:val="bottom"/>
          </w:tcPr>
          <w:p>
            <w:pPr>
              <w:jc w:val="right"/>
              <w:ind w:right="370"/>
              <w:spacing w:after="0" w:line="202" w:lineRule="exact"/>
              <w:rPr>
                <w:sz w:val="20"/>
                <w:szCs w:val="20"/>
                <w:color w:val="auto"/>
              </w:rPr>
            </w:pPr>
            <w:r>
              <w:rPr>
                <w:rFonts w:ascii="Arial" w:cs="Arial" w:eastAsia="Arial" w:hAnsi="Arial"/>
                <w:sz w:val="18"/>
                <w:szCs w:val="18"/>
                <w:color w:val="0A0A0A"/>
              </w:rPr>
              <w:t>11.5</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0A0A0A"/>
              </w:rPr>
              <w:t>(13.0)</w:t>
            </w:r>
          </w:p>
        </w:tc>
      </w:tr>
      <w:tr>
        <w:trPr>
          <w:trHeight w:val="203"/>
        </w:trPr>
        <w:tc>
          <w:tcPr>
            <w:tcW w:w="1620" w:type="dxa"/>
            <w:vAlign w:val="bottom"/>
          </w:tcPr>
          <w:p>
            <w:pPr>
              <w:jc w:val="right"/>
              <w:ind w:right="270"/>
              <w:spacing w:after="0" w:line="202" w:lineRule="exact"/>
              <w:rPr>
                <w:sz w:val="20"/>
                <w:szCs w:val="20"/>
                <w:color w:val="auto"/>
              </w:rPr>
            </w:pPr>
            <w:r>
              <w:rPr>
                <w:rFonts w:ascii="Arial" w:cs="Arial" w:eastAsia="Arial" w:hAnsi="Arial"/>
                <w:sz w:val="18"/>
                <w:szCs w:val="18"/>
                <w:color w:val="0A0A0A"/>
              </w:rPr>
              <w:t>20.7</w:t>
            </w:r>
          </w:p>
        </w:tc>
        <w:tc>
          <w:tcPr>
            <w:tcW w:w="1440" w:type="dxa"/>
            <w:vAlign w:val="bottom"/>
          </w:tcPr>
          <w:p>
            <w:pPr>
              <w:jc w:val="right"/>
              <w:ind w:right="370"/>
              <w:spacing w:after="0" w:line="202" w:lineRule="exact"/>
              <w:rPr>
                <w:sz w:val="20"/>
                <w:szCs w:val="20"/>
                <w:color w:val="auto"/>
              </w:rPr>
            </w:pPr>
            <w:r>
              <w:rPr>
                <w:rFonts w:ascii="Arial" w:cs="Arial" w:eastAsia="Arial" w:hAnsi="Arial"/>
                <w:sz w:val="18"/>
                <w:szCs w:val="18"/>
                <w:color w:val="0A0A0A"/>
              </w:rPr>
              <w:t>34.5</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0A0A0A"/>
              </w:rPr>
              <w:t>(40.0)</w:t>
            </w:r>
          </w:p>
        </w:tc>
      </w:tr>
      <w:tr>
        <w:trPr>
          <w:trHeight w:val="216"/>
        </w:trPr>
        <w:tc>
          <w:tcPr>
            <w:tcW w:w="1620" w:type="dxa"/>
            <w:vAlign w:val="bottom"/>
          </w:tcPr>
          <w:p>
            <w:pPr>
              <w:jc w:val="right"/>
              <w:ind w:right="270"/>
              <w:spacing w:after="0"/>
              <w:rPr>
                <w:sz w:val="20"/>
                <w:szCs w:val="20"/>
                <w:color w:val="auto"/>
              </w:rPr>
            </w:pPr>
            <w:r>
              <w:rPr>
                <w:rFonts w:ascii="Arial" w:cs="Arial" w:eastAsia="Arial" w:hAnsi="Arial"/>
                <w:sz w:val="18"/>
                <w:szCs w:val="18"/>
                <w:color w:val="0A0A0A"/>
              </w:rPr>
              <w:t>29.2</w:t>
            </w:r>
          </w:p>
        </w:tc>
        <w:tc>
          <w:tcPr>
            <w:tcW w:w="1440" w:type="dxa"/>
            <w:vAlign w:val="bottom"/>
          </w:tcPr>
          <w:p>
            <w:pPr>
              <w:jc w:val="right"/>
              <w:ind w:right="370"/>
              <w:spacing w:after="0"/>
              <w:rPr>
                <w:sz w:val="20"/>
                <w:szCs w:val="20"/>
                <w:color w:val="auto"/>
              </w:rPr>
            </w:pPr>
            <w:r>
              <w:rPr>
                <w:rFonts w:ascii="Arial" w:cs="Arial" w:eastAsia="Arial" w:hAnsi="Arial"/>
                <w:sz w:val="18"/>
                <w:szCs w:val="18"/>
                <w:color w:val="0A0A0A"/>
              </w:rPr>
              <w:t>26.1</w:t>
            </w:r>
          </w:p>
        </w:tc>
        <w:tc>
          <w:tcPr>
            <w:tcW w:w="980" w:type="dxa"/>
            <w:vAlign w:val="bottom"/>
          </w:tcPr>
          <w:p>
            <w:pPr>
              <w:jc w:val="right"/>
              <w:ind w:right="10"/>
              <w:spacing w:after="0"/>
              <w:rPr>
                <w:sz w:val="20"/>
                <w:szCs w:val="20"/>
                <w:color w:val="auto"/>
              </w:rPr>
            </w:pPr>
            <w:r>
              <w:rPr>
                <w:rFonts w:ascii="Arial" w:cs="Arial" w:eastAsia="Arial" w:hAnsi="Arial"/>
                <w:sz w:val="18"/>
                <w:szCs w:val="18"/>
                <w:color w:val="0A0A0A"/>
              </w:rPr>
              <w:t>11.9</w:t>
            </w:r>
          </w:p>
        </w:tc>
      </w:tr>
      <w:tr>
        <w:trPr>
          <w:trHeight w:val="203"/>
        </w:trPr>
        <w:tc>
          <w:tcPr>
            <w:tcW w:w="162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0A0A0A"/>
              </w:rPr>
              <w:t>83.0</w:t>
            </w:r>
          </w:p>
        </w:tc>
        <w:tc>
          <w:tcPr>
            <w:tcW w:w="1440" w:type="dxa"/>
            <w:vAlign w:val="bottom"/>
            <w:tcBorders>
              <w:bottom w:val="single" w:sz="8" w:color="auto"/>
            </w:tcBorders>
          </w:tcPr>
          <w:p>
            <w:pPr>
              <w:jc w:val="right"/>
              <w:ind w:right="370"/>
              <w:spacing w:after="0" w:line="203" w:lineRule="exact"/>
              <w:rPr>
                <w:sz w:val="20"/>
                <w:szCs w:val="20"/>
                <w:color w:val="auto"/>
              </w:rPr>
            </w:pPr>
            <w:r>
              <w:rPr>
                <w:rFonts w:ascii="Arial" w:cs="Arial" w:eastAsia="Arial" w:hAnsi="Arial"/>
                <w:sz w:val="18"/>
                <w:szCs w:val="18"/>
                <w:color w:val="0A0A0A"/>
              </w:rPr>
              <w:t>80.5</w:t>
            </w:r>
          </w:p>
        </w:tc>
        <w:tc>
          <w:tcPr>
            <w:tcW w:w="9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0A0A0A"/>
              </w:rPr>
              <w:t>3.1</w:t>
            </w:r>
          </w:p>
        </w:tc>
      </w:tr>
      <w:tr>
        <w:trPr>
          <w:trHeight w:val="195"/>
        </w:trPr>
        <w:tc>
          <w:tcPr>
            <w:tcW w:w="1620" w:type="dxa"/>
            <w:vAlign w:val="bottom"/>
          </w:tcPr>
          <w:p>
            <w:pPr>
              <w:jc w:val="right"/>
              <w:ind w:right="270"/>
              <w:spacing w:after="0" w:line="195" w:lineRule="exact"/>
              <w:rPr>
                <w:sz w:val="20"/>
                <w:szCs w:val="20"/>
                <w:color w:val="auto"/>
              </w:rPr>
            </w:pPr>
            <w:r>
              <w:rPr>
                <w:rFonts w:ascii="Arial" w:cs="Arial" w:eastAsia="Arial" w:hAnsi="Arial"/>
                <w:sz w:val="18"/>
                <w:szCs w:val="18"/>
                <w:color w:val="0A0A0A"/>
              </w:rPr>
              <w:t>237.6</w:t>
            </w:r>
          </w:p>
        </w:tc>
        <w:tc>
          <w:tcPr>
            <w:tcW w:w="1440" w:type="dxa"/>
            <w:vAlign w:val="bottom"/>
          </w:tcPr>
          <w:p>
            <w:pPr>
              <w:jc w:val="right"/>
              <w:ind w:right="370"/>
              <w:spacing w:after="0" w:line="195" w:lineRule="exact"/>
              <w:rPr>
                <w:sz w:val="20"/>
                <w:szCs w:val="20"/>
                <w:color w:val="auto"/>
              </w:rPr>
            </w:pPr>
            <w:r>
              <w:rPr>
                <w:rFonts w:ascii="Arial" w:cs="Arial" w:eastAsia="Arial" w:hAnsi="Arial"/>
                <w:sz w:val="18"/>
                <w:szCs w:val="18"/>
                <w:color w:val="0A0A0A"/>
              </w:rPr>
              <w:t>253.7</w:t>
            </w: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0A0A0A"/>
              </w:rPr>
              <w:t>(6.3)</w:t>
            </w:r>
          </w:p>
        </w:tc>
      </w:tr>
      <w:tr>
        <w:trPr>
          <w:trHeight w:val="203"/>
        </w:trPr>
        <w:tc>
          <w:tcPr>
            <w:tcW w:w="1620" w:type="dxa"/>
            <w:vAlign w:val="bottom"/>
          </w:tcPr>
          <w:p>
            <w:pPr>
              <w:jc w:val="right"/>
              <w:ind w:right="270"/>
              <w:spacing w:after="0" w:line="202" w:lineRule="exact"/>
              <w:rPr>
                <w:sz w:val="20"/>
                <w:szCs w:val="20"/>
                <w:color w:val="auto"/>
              </w:rPr>
            </w:pPr>
            <w:r>
              <w:rPr>
                <w:rFonts w:ascii="Arial" w:cs="Arial" w:eastAsia="Arial" w:hAnsi="Arial"/>
                <w:sz w:val="18"/>
                <w:szCs w:val="18"/>
                <w:color w:val="0A0A0A"/>
              </w:rPr>
              <w:t>93.3</w:t>
            </w:r>
          </w:p>
        </w:tc>
        <w:tc>
          <w:tcPr>
            <w:tcW w:w="1440" w:type="dxa"/>
            <w:vAlign w:val="bottom"/>
          </w:tcPr>
          <w:p>
            <w:pPr>
              <w:jc w:val="right"/>
              <w:ind w:right="370"/>
              <w:spacing w:after="0" w:line="202" w:lineRule="exact"/>
              <w:rPr>
                <w:sz w:val="20"/>
                <w:szCs w:val="20"/>
                <w:color w:val="auto"/>
              </w:rPr>
            </w:pPr>
            <w:r>
              <w:rPr>
                <w:rFonts w:ascii="Arial" w:cs="Arial" w:eastAsia="Arial" w:hAnsi="Arial"/>
                <w:sz w:val="18"/>
                <w:szCs w:val="18"/>
                <w:color w:val="0A0A0A"/>
              </w:rPr>
              <w:t>95.7</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0A0A0A"/>
              </w:rPr>
              <w:t>(2.5)</w:t>
            </w:r>
          </w:p>
        </w:tc>
      </w:tr>
      <w:tr>
        <w:trPr>
          <w:trHeight w:val="203"/>
        </w:trPr>
        <w:tc>
          <w:tcPr>
            <w:tcW w:w="1620" w:type="dxa"/>
            <w:vAlign w:val="bottom"/>
          </w:tcPr>
          <w:p>
            <w:pPr>
              <w:jc w:val="right"/>
              <w:ind w:right="270"/>
              <w:spacing w:after="0" w:line="202" w:lineRule="exact"/>
              <w:rPr>
                <w:sz w:val="20"/>
                <w:szCs w:val="20"/>
                <w:color w:val="auto"/>
              </w:rPr>
            </w:pPr>
            <w:r>
              <w:rPr>
                <w:rFonts w:ascii="Arial" w:cs="Arial" w:eastAsia="Arial" w:hAnsi="Arial"/>
                <w:sz w:val="18"/>
                <w:szCs w:val="18"/>
                <w:color w:val="0A0A0A"/>
              </w:rPr>
              <w:t>77.8</w:t>
            </w:r>
          </w:p>
        </w:tc>
        <w:tc>
          <w:tcPr>
            <w:tcW w:w="1440" w:type="dxa"/>
            <w:vAlign w:val="bottom"/>
          </w:tcPr>
          <w:p>
            <w:pPr>
              <w:jc w:val="right"/>
              <w:ind w:right="370"/>
              <w:spacing w:after="0" w:line="202" w:lineRule="exact"/>
              <w:rPr>
                <w:sz w:val="20"/>
                <w:szCs w:val="20"/>
                <w:color w:val="auto"/>
              </w:rPr>
            </w:pPr>
            <w:r>
              <w:rPr>
                <w:rFonts w:ascii="Arial" w:cs="Arial" w:eastAsia="Arial" w:hAnsi="Arial"/>
                <w:sz w:val="18"/>
                <w:szCs w:val="18"/>
                <w:color w:val="0A0A0A"/>
              </w:rPr>
              <w:t>112.7</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0A0A0A"/>
              </w:rPr>
              <w:t>(31.0)</w:t>
            </w:r>
          </w:p>
        </w:tc>
      </w:tr>
      <w:tr>
        <w:trPr>
          <w:trHeight w:val="203"/>
        </w:trPr>
        <w:tc>
          <w:tcPr>
            <w:tcW w:w="1620" w:type="dxa"/>
            <w:vAlign w:val="bottom"/>
          </w:tcPr>
          <w:p>
            <w:pPr>
              <w:jc w:val="right"/>
              <w:ind w:right="270"/>
              <w:spacing w:after="0" w:line="202" w:lineRule="exact"/>
              <w:rPr>
                <w:sz w:val="20"/>
                <w:szCs w:val="20"/>
                <w:color w:val="auto"/>
              </w:rPr>
            </w:pPr>
            <w:r>
              <w:rPr>
                <w:rFonts w:ascii="Arial" w:cs="Arial" w:eastAsia="Arial" w:hAnsi="Arial"/>
                <w:sz w:val="18"/>
                <w:szCs w:val="18"/>
                <w:color w:val="0A0A0A"/>
              </w:rPr>
              <w:t>274.1</w:t>
            </w:r>
          </w:p>
        </w:tc>
        <w:tc>
          <w:tcPr>
            <w:tcW w:w="1440" w:type="dxa"/>
            <w:vAlign w:val="bottom"/>
          </w:tcPr>
          <w:p>
            <w:pPr>
              <w:jc w:val="right"/>
              <w:ind w:right="370"/>
              <w:spacing w:after="0" w:line="202" w:lineRule="exact"/>
              <w:rPr>
                <w:sz w:val="20"/>
                <w:szCs w:val="20"/>
                <w:color w:val="auto"/>
              </w:rPr>
            </w:pPr>
            <w:r>
              <w:rPr>
                <w:rFonts w:ascii="Arial" w:cs="Arial" w:eastAsia="Arial" w:hAnsi="Arial"/>
                <w:sz w:val="18"/>
                <w:szCs w:val="18"/>
                <w:color w:val="0A0A0A"/>
              </w:rPr>
              <w:t>256.3</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6.9</w:t>
            </w:r>
          </w:p>
        </w:tc>
      </w:tr>
      <w:tr>
        <w:trPr>
          <w:trHeight w:val="216"/>
        </w:trPr>
        <w:tc>
          <w:tcPr>
            <w:tcW w:w="1620" w:type="dxa"/>
            <w:vAlign w:val="bottom"/>
          </w:tcPr>
          <w:p>
            <w:pPr>
              <w:jc w:val="right"/>
              <w:ind w:right="270"/>
              <w:spacing w:after="0"/>
              <w:rPr>
                <w:sz w:val="20"/>
                <w:szCs w:val="20"/>
                <w:color w:val="auto"/>
              </w:rPr>
            </w:pPr>
            <w:r>
              <w:rPr>
                <w:rFonts w:ascii="Arial" w:cs="Arial" w:eastAsia="Arial" w:hAnsi="Arial"/>
                <w:sz w:val="18"/>
                <w:szCs w:val="18"/>
                <w:color w:val="0A0A0A"/>
              </w:rPr>
              <w:t>115.2</w:t>
            </w:r>
          </w:p>
        </w:tc>
        <w:tc>
          <w:tcPr>
            <w:tcW w:w="1440" w:type="dxa"/>
            <w:vAlign w:val="bottom"/>
          </w:tcPr>
          <w:p>
            <w:pPr>
              <w:jc w:val="right"/>
              <w:ind w:right="370"/>
              <w:spacing w:after="0"/>
              <w:rPr>
                <w:sz w:val="20"/>
                <w:szCs w:val="20"/>
                <w:color w:val="auto"/>
              </w:rPr>
            </w:pPr>
            <w:r>
              <w:rPr>
                <w:rFonts w:ascii="Arial" w:cs="Arial" w:eastAsia="Arial" w:hAnsi="Arial"/>
                <w:sz w:val="18"/>
                <w:szCs w:val="18"/>
                <w:color w:val="0A0A0A"/>
              </w:rPr>
              <w:t>0</w:t>
            </w:r>
          </w:p>
        </w:tc>
        <w:tc>
          <w:tcPr>
            <w:tcW w:w="980" w:type="dxa"/>
            <w:vAlign w:val="bottom"/>
          </w:tcPr>
          <w:p>
            <w:pPr>
              <w:jc w:val="right"/>
              <w:ind w:right="10"/>
              <w:spacing w:after="0"/>
              <w:rPr>
                <w:sz w:val="20"/>
                <w:szCs w:val="20"/>
                <w:color w:val="auto"/>
              </w:rPr>
            </w:pPr>
            <w:r>
              <w:rPr>
                <w:rFonts w:ascii="Arial" w:cs="Arial" w:eastAsia="Arial" w:hAnsi="Arial"/>
                <w:sz w:val="18"/>
                <w:szCs w:val="18"/>
                <w:color w:val="0A0A0A"/>
              </w:rPr>
              <w:t>n/a</w:t>
            </w:r>
          </w:p>
        </w:tc>
      </w:tr>
      <w:tr>
        <w:trPr>
          <w:trHeight w:val="203"/>
        </w:trPr>
        <w:tc>
          <w:tcPr>
            <w:tcW w:w="1620" w:type="dxa"/>
            <w:vAlign w:val="bottom"/>
          </w:tcPr>
          <w:p>
            <w:pPr>
              <w:jc w:val="right"/>
              <w:ind w:right="270"/>
              <w:spacing w:after="0" w:line="203" w:lineRule="exact"/>
              <w:rPr>
                <w:sz w:val="20"/>
                <w:szCs w:val="20"/>
                <w:color w:val="auto"/>
              </w:rPr>
            </w:pPr>
            <w:r>
              <w:rPr>
                <w:rFonts w:ascii="Arial" w:cs="Arial" w:eastAsia="Arial" w:hAnsi="Arial"/>
                <w:sz w:val="18"/>
                <w:szCs w:val="18"/>
                <w:color w:val="0A0A0A"/>
              </w:rPr>
              <w:t>36.2</w:t>
            </w:r>
          </w:p>
        </w:tc>
        <w:tc>
          <w:tcPr>
            <w:tcW w:w="1440" w:type="dxa"/>
            <w:vAlign w:val="bottom"/>
          </w:tcPr>
          <w:p>
            <w:pPr>
              <w:jc w:val="right"/>
              <w:ind w:right="370"/>
              <w:spacing w:after="0" w:line="203" w:lineRule="exact"/>
              <w:rPr>
                <w:sz w:val="20"/>
                <w:szCs w:val="20"/>
                <w:color w:val="auto"/>
              </w:rPr>
            </w:pPr>
            <w:r>
              <w:rPr>
                <w:rFonts w:ascii="Arial" w:cs="Arial" w:eastAsia="Arial" w:hAnsi="Arial"/>
                <w:sz w:val="18"/>
                <w:szCs w:val="18"/>
                <w:color w:val="0A0A0A"/>
              </w:rPr>
              <w:t>51.1</w:t>
            </w: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0A0A0A"/>
              </w:rPr>
              <w:t>(29.2)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-1567815</wp:posOffset>
            </wp:positionV>
            <wp:extent cx="7132320"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-1310640</wp:posOffset>
            </wp:positionV>
            <wp:extent cx="7132320"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-1053465</wp:posOffset>
            </wp:positionV>
            <wp:extent cx="7132320"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-788035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-521970</wp:posOffset>
            </wp:positionV>
            <wp:extent cx="7132320"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-264795</wp:posOffset>
            </wp:positionV>
            <wp:extent cx="7132320"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480" w:space="720"/>
            <w:col w:w="404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7200" w:type="dxa"/>
            <w:vAlign w:val="bottom"/>
            <w:tcBorders>
              <w:top w:val="single" w:sz="8" w:color="C6F4F9"/>
            </w:tcBorders>
            <w:shd w:val="clear" w:color="auto" w:fill="C6F4F9"/>
          </w:tcPr>
          <w:p>
            <w:pPr>
              <w:spacing w:after="0" w:line="196" w:lineRule="exact"/>
              <w:rPr>
                <w:sz w:val="20"/>
                <w:szCs w:val="20"/>
                <w:color w:val="auto"/>
              </w:rPr>
            </w:pPr>
            <w:r>
              <w:rPr>
                <w:rFonts w:ascii="Arial" w:cs="Arial" w:eastAsia="Arial" w:hAnsi="Arial"/>
                <w:sz w:val="18"/>
                <w:szCs w:val="18"/>
                <w:b w:val="1"/>
                <w:bCs w:val="1"/>
                <w:color w:val="0A0A0A"/>
              </w:rPr>
              <w:t>Total liabilities</w:t>
            </w:r>
          </w:p>
        </w:tc>
        <w:tc>
          <w:tcPr>
            <w:tcW w:w="1700" w:type="dxa"/>
            <w:vAlign w:val="bottom"/>
            <w:tcBorders>
              <w:top w:val="single" w:sz="8" w:color="auto"/>
            </w:tcBorders>
            <w:shd w:val="clear" w:color="auto" w:fill="C6F4F9"/>
          </w:tcPr>
          <w:p>
            <w:pPr>
              <w:jc w:val="right"/>
              <w:ind w:right="356"/>
              <w:spacing w:after="0" w:line="196" w:lineRule="exact"/>
              <w:rPr>
                <w:sz w:val="20"/>
                <w:szCs w:val="20"/>
                <w:color w:val="auto"/>
              </w:rPr>
            </w:pPr>
            <w:r>
              <w:rPr>
                <w:rFonts w:ascii="Arial" w:cs="Arial" w:eastAsia="Arial" w:hAnsi="Arial"/>
                <w:sz w:val="18"/>
                <w:szCs w:val="18"/>
                <w:b w:val="1"/>
                <w:bCs w:val="1"/>
                <w:color w:val="0A0A0A"/>
              </w:rPr>
              <w:t>834.2</w:t>
            </w:r>
          </w:p>
        </w:tc>
        <w:tc>
          <w:tcPr>
            <w:tcW w:w="1380" w:type="dxa"/>
            <w:vAlign w:val="bottom"/>
            <w:tcBorders>
              <w:top w:val="single" w:sz="8" w:color="auto"/>
            </w:tcBorders>
            <w:shd w:val="clear" w:color="auto" w:fill="C6F4F9"/>
          </w:tcPr>
          <w:p>
            <w:pPr>
              <w:jc w:val="right"/>
              <w:ind w:right="390"/>
              <w:spacing w:after="0" w:line="196" w:lineRule="exact"/>
              <w:rPr>
                <w:sz w:val="20"/>
                <w:szCs w:val="20"/>
                <w:color w:val="auto"/>
              </w:rPr>
            </w:pPr>
            <w:r>
              <w:rPr>
                <w:rFonts w:ascii="Arial" w:cs="Arial" w:eastAsia="Arial" w:hAnsi="Arial"/>
                <w:sz w:val="18"/>
                <w:szCs w:val="18"/>
                <w:b w:val="1"/>
                <w:bCs w:val="1"/>
                <w:color w:val="0A0A0A"/>
              </w:rPr>
              <w:t>769.5</w:t>
            </w:r>
          </w:p>
        </w:tc>
        <w:tc>
          <w:tcPr>
            <w:tcW w:w="960" w:type="dxa"/>
            <w:vAlign w:val="bottom"/>
            <w:tcBorders>
              <w:top w:val="single" w:sz="8" w:color="auto"/>
            </w:tcBorders>
            <w:shd w:val="clear" w:color="auto" w:fill="C6F4F9"/>
          </w:tcPr>
          <w:p>
            <w:pPr>
              <w:jc w:val="right"/>
              <w:ind w:right="10"/>
              <w:spacing w:after="0" w:line="196" w:lineRule="exact"/>
              <w:rPr>
                <w:sz w:val="20"/>
                <w:szCs w:val="20"/>
                <w:color w:val="auto"/>
              </w:rPr>
            </w:pPr>
            <w:r>
              <w:rPr>
                <w:rFonts w:ascii="Arial" w:cs="Arial" w:eastAsia="Arial" w:hAnsi="Arial"/>
                <w:sz w:val="18"/>
                <w:szCs w:val="18"/>
                <w:b w:val="1"/>
                <w:bCs w:val="1"/>
                <w:color w:val="0A0A0A"/>
              </w:rPr>
              <w:t>8.4</w:t>
            </w:r>
          </w:p>
        </w:tc>
      </w:tr>
      <w:tr>
        <w:trPr>
          <w:trHeight w:val="203"/>
        </w:trPr>
        <w:tc>
          <w:tcPr>
            <w:tcW w:w="7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7200" w:type="dxa"/>
            <w:vAlign w:val="bottom"/>
            <w:shd w:val="clear" w:color="auto" w:fill="C6F4F9"/>
          </w:tcPr>
          <w:p>
            <w:pPr>
              <w:spacing w:after="0" w:line="202" w:lineRule="exact"/>
              <w:rPr>
                <w:sz w:val="20"/>
                <w:szCs w:val="20"/>
                <w:color w:val="auto"/>
              </w:rPr>
            </w:pPr>
            <w:r>
              <w:rPr>
                <w:rFonts w:ascii="Arial" w:cs="Arial" w:eastAsia="Arial" w:hAnsi="Arial"/>
                <w:sz w:val="18"/>
                <w:szCs w:val="18"/>
                <w:b w:val="1"/>
                <w:bCs w:val="1"/>
                <w:color w:val="0A0A0A"/>
              </w:rPr>
              <w:t>Total stockholders equity</w:t>
            </w:r>
          </w:p>
        </w:tc>
        <w:tc>
          <w:tcPr>
            <w:tcW w:w="1700" w:type="dxa"/>
            <w:vAlign w:val="bottom"/>
            <w:shd w:val="clear" w:color="auto" w:fill="C6F4F9"/>
          </w:tcPr>
          <w:p>
            <w:pPr>
              <w:jc w:val="right"/>
              <w:ind w:right="356"/>
              <w:spacing w:after="0" w:line="202" w:lineRule="exact"/>
              <w:rPr>
                <w:sz w:val="20"/>
                <w:szCs w:val="20"/>
                <w:color w:val="auto"/>
              </w:rPr>
            </w:pPr>
            <w:r>
              <w:rPr>
                <w:rFonts w:ascii="Arial" w:cs="Arial" w:eastAsia="Arial" w:hAnsi="Arial"/>
                <w:sz w:val="18"/>
                <w:szCs w:val="18"/>
                <w:b w:val="1"/>
                <w:bCs w:val="1"/>
                <w:color w:val="0A0A0A"/>
              </w:rPr>
              <w:t>410.0</w:t>
            </w:r>
          </w:p>
        </w:tc>
        <w:tc>
          <w:tcPr>
            <w:tcW w:w="1380" w:type="dxa"/>
            <w:vAlign w:val="bottom"/>
            <w:shd w:val="clear" w:color="auto" w:fill="C6F4F9"/>
          </w:tcPr>
          <w:p>
            <w:pPr>
              <w:jc w:val="right"/>
              <w:ind w:right="390"/>
              <w:spacing w:after="0" w:line="202" w:lineRule="exact"/>
              <w:rPr>
                <w:sz w:val="20"/>
                <w:szCs w:val="20"/>
                <w:color w:val="auto"/>
              </w:rPr>
            </w:pPr>
            <w:r>
              <w:rPr>
                <w:rFonts w:ascii="Arial" w:cs="Arial" w:eastAsia="Arial" w:hAnsi="Arial"/>
                <w:sz w:val="18"/>
                <w:szCs w:val="18"/>
                <w:b w:val="1"/>
                <w:bCs w:val="1"/>
                <w:color w:val="0A0A0A"/>
              </w:rPr>
              <w:t>283.8</w:t>
            </w:r>
          </w:p>
        </w:tc>
        <w:tc>
          <w:tcPr>
            <w:tcW w:w="9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b w:val="1"/>
                <w:bCs w:val="1"/>
                <w:color w:val="0A0A0A"/>
              </w:rPr>
              <w:t>44.5</w:t>
            </w:r>
          </w:p>
        </w:tc>
      </w:tr>
      <w:tr>
        <w:trPr>
          <w:trHeight w:val="736"/>
        </w:trPr>
        <w:tc>
          <w:tcPr>
            <w:tcW w:w="7200" w:type="dxa"/>
            <w:vAlign w:val="bottom"/>
            <w:tcBorders>
              <w:bottom w:val="single" w:sz="8" w:color="auto"/>
            </w:tcBorders>
          </w:tcPr>
          <w:p>
            <w:pPr>
              <w:ind w:left="5340"/>
              <w:spacing w:after="0"/>
              <w:rPr>
                <w:sz w:val="20"/>
                <w:szCs w:val="20"/>
                <w:color w:val="auto"/>
              </w:rPr>
            </w:pPr>
            <w:r>
              <w:rPr>
                <w:rFonts w:ascii="Arial" w:cs="Arial" w:eastAsia="Arial" w:hAnsi="Arial"/>
                <w:sz w:val="18"/>
                <w:szCs w:val="18"/>
                <w:color w:val="auto"/>
              </w:rPr>
              <w:t>Page 8</w:t>
            </w:r>
          </w:p>
        </w:tc>
        <w:tc>
          <w:tcPr>
            <w:tcW w:w="4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tc>
      </w:tr>
    </w:tbl>
    <w:p>
      <w:pPr>
        <w:sectPr>
          <w:pgSz w:w="11900" w:h="16838" w:orient="portrait"/>
          <w:cols w:equalWidth="0" w:num="1">
            <w:col w:w="11240"/>
          </w:cols>
          <w:pgMar w:left="320" w:top="1440" w:right="339" w:bottom="1440"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5051425</wp:posOffset>
            </wp:positionH>
            <wp:positionV relativeFrom="page">
              <wp:posOffset>509270</wp:posOffset>
            </wp:positionV>
            <wp:extent cx="2254250" cy="9086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22542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200" w:type="dxa"/>
            <w:vAlign w:val="bottom"/>
          </w:tcPr>
          <w:p>
            <w:pPr>
              <w:spacing w:after="0"/>
              <w:rPr>
                <w:sz w:val="20"/>
                <w:szCs w:val="20"/>
                <w:color w:val="auto"/>
              </w:rPr>
            </w:pPr>
            <w:r>
              <w:rPr>
                <w:rFonts w:ascii="Arial" w:cs="Arial" w:eastAsia="Arial" w:hAnsi="Arial"/>
                <w:sz w:val="18"/>
                <w:szCs w:val="18"/>
                <w:b w:val="1"/>
                <w:bCs w:val="1"/>
                <w:color w:val="0A0A0A"/>
              </w:rPr>
              <w:t>Summary Cash Flow</w:t>
            </w:r>
          </w:p>
        </w:tc>
        <w:tc>
          <w:tcPr>
            <w:tcW w:w="14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7200" w:type="dxa"/>
            <w:vAlign w:val="bottom"/>
          </w:tcPr>
          <w:p>
            <w:pPr>
              <w:spacing w:after="0"/>
              <w:rPr>
                <w:sz w:val="20"/>
                <w:szCs w:val="20"/>
                <w:color w:val="auto"/>
              </w:rPr>
            </w:pPr>
            <w:r>
              <w:rPr>
                <w:rFonts w:ascii="Arial" w:cs="Arial" w:eastAsia="Arial" w:hAnsi="Arial"/>
                <w:sz w:val="18"/>
                <w:szCs w:val="18"/>
                <w:b w:val="1"/>
                <w:bCs w:val="1"/>
                <w:color w:val="0A0A0A"/>
              </w:rPr>
              <w:t>Unaudited (dollars in millions)</w:t>
            </w:r>
          </w:p>
        </w:tc>
        <w:tc>
          <w:tcPr>
            <w:tcW w:w="1480" w:type="dxa"/>
            <w:vAlign w:val="bottom"/>
          </w:tcPr>
          <w:p>
            <w:pPr>
              <w:jc w:val="right"/>
              <w:ind w:right="311"/>
              <w:spacing w:after="0"/>
              <w:rPr>
                <w:sz w:val="20"/>
                <w:szCs w:val="20"/>
                <w:color w:val="auto"/>
              </w:rPr>
            </w:pPr>
            <w:r>
              <w:rPr>
                <w:rFonts w:ascii="Arial" w:cs="Arial" w:eastAsia="Arial" w:hAnsi="Arial"/>
                <w:sz w:val="18"/>
                <w:szCs w:val="18"/>
                <w:b w:val="1"/>
                <w:bCs w:val="1"/>
                <w:color w:val="0A0A0A"/>
              </w:rPr>
              <w:t>3/31/2021</w:t>
            </w: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0A0A0A"/>
              </w:rPr>
              <w:t>3/31/2020</w:t>
            </w:r>
          </w:p>
        </w:tc>
        <w:tc>
          <w:tcPr>
            <w:tcW w:w="1260" w:type="dxa"/>
            <w:vAlign w:val="bottom"/>
            <w:gridSpan w:val="2"/>
          </w:tcPr>
          <w:p>
            <w:pPr>
              <w:ind w:left="140"/>
              <w:spacing w:after="0"/>
              <w:rPr>
                <w:sz w:val="20"/>
                <w:szCs w:val="20"/>
                <w:color w:val="auto"/>
              </w:rPr>
            </w:pPr>
            <w:r>
              <w:rPr>
                <w:rFonts w:ascii="Arial" w:cs="Arial" w:eastAsia="Arial" w:hAnsi="Arial"/>
                <w:sz w:val="18"/>
                <w:szCs w:val="18"/>
                <w:b w:val="1"/>
                <w:bCs w:val="1"/>
                <w:color w:val="0A0A0A"/>
              </w:rPr>
              <w:t>% Change</w:t>
            </w:r>
          </w:p>
        </w:tc>
        <w:tc>
          <w:tcPr>
            <w:tcW w:w="0" w:type="dxa"/>
            <w:vAlign w:val="bottom"/>
          </w:tcPr>
          <w:p>
            <w:pPr>
              <w:spacing w:after="0"/>
              <w:rPr>
                <w:sz w:val="1"/>
                <w:szCs w:val="1"/>
                <w:color w:val="auto"/>
              </w:rPr>
            </w:pPr>
          </w:p>
        </w:tc>
      </w:tr>
      <w:tr>
        <w:trPr>
          <w:trHeight w:val="196"/>
        </w:trPr>
        <w:tc>
          <w:tcPr>
            <w:tcW w:w="7200" w:type="dxa"/>
            <w:vAlign w:val="bottom"/>
            <w:tcBorders>
              <w:top w:val="single" w:sz="8" w:color="C6F4F9"/>
            </w:tcBorders>
            <w:shd w:val="clear" w:color="auto" w:fill="C6F4F9"/>
          </w:tcPr>
          <w:p>
            <w:pPr>
              <w:spacing w:after="0" w:line="196" w:lineRule="exact"/>
              <w:rPr>
                <w:sz w:val="20"/>
                <w:szCs w:val="20"/>
                <w:color w:val="auto"/>
              </w:rPr>
            </w:pPr>
            <w:r>
              <w:rPr>
                <w:rFonts w:ascii="Arial" w:cs="Arial" w:eastAsia="Arial" w:hAnsi="Arial"/>
                <w:sz w:val="18"/>
                <w:szCs w:val="18"/>
                <w:b w:val="1"/>
                <w:bCs w:val="1"/>
                <w:color w:val="0A0A0A"/>
              </w:rPr>
              <w:t>Net cash provided by operating activities</w:t>
            </w:r>
          </w:p>
        </w:tc>
        <w:tc>
          <w:tcPr>
            <w:tcW w:w="1480" w:type="dxa"/>
            <w:vAlign w:val="bottom"/>
            <w:tcBorders>
              <w:top w:val="single" w:sz="8" w:color="auto"/>
            </w:tcBorders>
            <w:shd w:val="clear" w:color="auto" w:fill="C6F4F9"/>
          </w:tcPr>
          <w:p>
            <w:pPr>
              <w:jc w:val="right"/>
              <w:ind w:right="131"/>
              <w:spacing w:after="0" w:line="196" w:lineRule="exact"/>
              <w:rPr>
                <w:sz w:val="20"/>
                <w:szCs w:val="20"/>
                <w:color w:val="auto"/>
              </w:rPr>
            </w:pPr>
            <w:r>
              <w:rPr>
                <w:rFonts w:ascii="Arial" w:cs="Arial" w:eastAsia="Arial" w:hAnsi="Arial"/>
                <w:sz w:val="18"/>
                <w:szCs w:val="18"/>
                <w:b w:val="1"/>
                <w:bCs w:val="1"/>
                <w:color w:val="0A0A0A"/>
              </w:rPr>
              <w:t>15.8</w:t>
            </w:r>
          </w:p>
        </w:tc>
        <w:tc>
          <w:tcPr>
            <w:tcW w:w="1320" w:type="dxa"/>
            <w:vAlign w:val="bottom"/>
            <w:tcBorders>
              <w:top w:val="single" w:sz="8" w:color="auto"/>
            </w:tcBorders>
            <w:shd w:val="clear" w:color="auto" w:fill="C6F4F9"/>
          </w:tcPr>
          <w:p>
            <w:pPr>
              <w:jc w:val="right"/>
              <w:ind w:right="110"/>
              <w:spacing w:after="0" w:line="196" w:lineRule="exact"/>
              <w:rPr>
                <w:sz w:val="20"/>
                <w:szCs w:val="20"/>
                <w:color w:val="auto"/>
              </w:rPr>
            </w:pPr>
            <w:r>
              <w:rPr>
                <w:rFonts w:ascii="Arial" w:cs="Arial" w:eastAsia="Arial" w:hAnsi="Arial"/>
                <w:sz w:val="18"/>
                <w:szCs w:val="18"/>
                <w:b w:val="1"/>
                <w:bCs w:val="1"/>
                <w:color w:val="0A0A0A"/>
              </w:rPr>
              <w:t>13.9</w:t>
            </w:r>
          </w:p>
        </w:tc>
        <w:tc>
          <w:tcPr>
            <w:tcW w:w="1240" w:type="dxa"/>
            <w:vAlign w:val="bottom"/>
            <w:tcBorders>
              <w:top w:val="single" w:sz="8" w:color="auto"/>
            </w:tcBorders>
            <w:shd w:val="clear" w:color="auto" w:fill="C6F4F9"/>
          </w:tcPr>
          <w:p>
            <w:pPr>
              <w:jc w:val="right"/>
              <w:ind w:right="10"/>
              <w:spacing w:after="0" w:line="196" w:lineRule="exact"/>
              <w:rPr>
                <w:sz w:val="20"/>
                <w:szCs w:val="20"/>
                <w:color w:val="auto"/>
              </w:rPr>
            </w:pPr>
            <w:r>
              <w:rPr>
                <w:rFonts w:ascii="Arial" w:cs="Arial" w:eastAsia="Arial" w:hAnsi="Arial"/>
                <w:sz w:val="18"/>
                <w:szCs w:val="18"/>
                <w:b w:val="1"/>
                <w:bCs w:val="1"/>
                <w:color w:val="0A0A0A"/>
              </w:rPr>
              <w:t>13.7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Purchases of property &amp; equipment</w:t>
            </w:r>
          </w:p>
        </w:tc>
        <w:tc>
          <w:tcPr>
            <w:tcW w:w="1480" w:type="dxa"/>
            <w:vAlign w:val="bottom"/>
            <w:shd w:val="clear" w:color="auto" w:fill="C6F4F9"/>
          </w:tcPr>
          <w:p>
            <w:pPr>
              <w:jc w:val="right"/>
              <w:ind w:right="71"/>
              <w:spacing w:after="0" w:line="202" w:lineRule="exact"/>
              <w:rPr>
                <w:sz w:val="20"/>
                <w:szCs w:val="20"/>
                <w:color w:val="auto"/>
              </w:rPr>
            </w:pPr>
            <w:r>
              <w:rPr>
                <w:rFonts w:ascii="Arial" w:cs="Arial" w:eastAsia="Arial" w:hAnsi="Arial"/>
                <w:sz w:val="18"/>
                <w:szCs w:val="18"/>
                <w:color w:val="0A0A0A"/>
              </w:rPr>
              <w:t>(54.4)</w:t>
            </w:r>
          </w:p>
        </w:tc>
        <w:tc>
          <w:tcPr>
            <w:tcW w:w="1320" w:type="dxa"/>
            <w:vAlign w:val="bottom"/>
            <w:shd w:val="clear" w:color="auto" w:fill="C6F4F9"/>
          </w:tcPr>
          <w:p>
            <w:pPr>
              <w:jc w:val="right"/>
              <w:ind w:right="50"/>
              <w:spacing w:after="0" w:line="202" w:lineRule="exact"/>
              <w:rPr>
                <w:sz w:val="20"/>
                <w:szCs w:val="20"/>
                <w:color w:val="auto"/>
              </w:rPr>
            </w:pPr>
            <w:r>
              <w:rPr>
                <w:rFonts w:ascii="Arial" w:cs="Arial" w:eastAsia="Arial" w:hAnsi="Arial"/>
                <w:sz w:val="18"/>
                <w:szCs w:val="18"/>
                <w:color w:val="0A0A0A"/>
              </w:rPr>
              <w:t>(75.3)</w:t>
            </w:r>
          </w:p>
        </w:tc>
        <w:tc>
          <w:tcPr>
            <w:tcW w:w="124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0A0A0A"/>
              </w:rPr>
              <w:t>(27.8)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0" w:type="dxa"/>
            <w:vAlign w:val="bottom"/>
            <w:tcBorders>
              <w:bottom w:val="single" w:sz="8" w:color="C6F4F9"/>
            </w:tcBorders>
          </w:tcPr>
          <w:p>
            <w:pPr>
              <w:spacing w:after="0"/>
              <w:rPr>
                <w:sz w:val="20"/>
                <w:szCs w:val="20"/>
                <w:color w:val="auto"/>
              </w:rPr>
            </w:pPr>
            <w:r>
              <w:rPr>
                <w:rFonts w:ascii="Arial" w:cs="Arial" w:eastAsia="Arial" w:hAnsi="Arial"/>
                <w:sz w:val="18"/>
                <w:szCs w:val="18"/>
                <w:color w:val="0A0A0A"/>
              </w:rPr>
              <w:t>Other</w:t>
            </w:r>
          </w:p>
        </w:tc>
        <w:tc>
          <w:tcPr>
            <w:tcW w:w="14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0A0A0A"/>
              </w:rPr>
              <w:t>(0.2)</w:t>
            </w:r>
          </w:p>
        </w:tc>
        <w:tc>
          <w:tcPr>
            <w:tcW w:w="1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0A0A0A"/>
              </w:rPr>
              <w:t>0.2</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200" w:type="dxa"/>
            <w:vAlign w:val="bottom"/>
            <w:shd w:val="clear" w:color="auto" w:fill="C6F4F9"/>
          </w:tcPr>
          <w:p>
            <w:pPr>
              <w:spacing w:after="0" w:line="196" w:lineRule="exact"/>
              <w:rPr>
                <w:sz w:val="20"/>
                <w:szCs w:val="20"/>
                <w:color w:val="auto"/>
              </w:rPr>
            </w:pPr>
            <w:r>
              <w:rPr>
                <w:rFonts w:ascii="Arial" w:cs="Arial" w:eastAsia="Arial" w:hAnsi="Arial"/>
                <w:sz w:val="18"/>
                <w:szCs w:val="18"/>
                <w:b w:val="1"/>
                <w:bCs w:val="1"/>
                <w:color w:val="0A0A0A"/>
              </w:rPr>
              <w:t>Net cash used in investing activities</w:t>
            </w:r>
          </w:p>
        </w:tc>
        <w:tc>
          <w:tcPr>
            <w:tcW w:w="1480" w:type="dxa"/>
            <w:vAlign w:val="bottom"/>
            <w:shd w:val="clear" w:color="auto" w:fill="C6F4F9"/>
          </w:tcPr>
          <w:p>
            <w:pPr>
              <w:jc w:val="right"/>
              <w:ind w:right="71"/>
              <w:spacing w:after="0" w:line="196" w:lineRule="exact"/>
              <w:rPr>
                <w:sz w:val="20"/>
                <w:szCs w:val="20"/>
                <w:color w:val="auto"/>
              </w:rPr>
            </w:pPr>
            <w:r>
              <w:rPr>
                <w:rFonts w:ascii="Arial" w:cs="Arial" w:eastAsia="Arial" w:hAnsi="Arial"/>
                <w:sz w:val="18"/>
                <w:szCs w:val="18"/>
                <w:b w:val="1"/>
                <w:bCs w:val="1"/>
                <w:color w:val="0A0A0A"/>
              </w:rPr>
              <w:t>(54.6)</w:t>
            </w:r>
          </w:p>
        </w:tc>
        <w:tc>
          <w:tcPr>
            <w:tcW w:w="1320" w:type="dxa"/>
            <w:vAlign w:val="bottom"/>
            <w:shd w:val="clear" w:color="auto" w:fill="C6F4F9"/>
          </w:tcPr>
          <w:p>
            <w:pPr>
              <w:jc w:val="right"/>
              <w:ind w:right="50"/>
              <w:spacing w:after="0" w:line="196" w:lineRule="exact"/>
              <w:rPr>
                <w:sz w:val="20"/>
                <w:szCs w:val="20"/>
                <w:color w:val="auto"/>
              </w:rPr>
            </w:pPr>
            <w:r>
              <w:rPr>
                <w:rFonts w:ascii="Arial" w:cs="Arial" w:eastAsia="Arial" w:hAnsi="Arial"/>
                <w:sz w:val="18"/>
                <w:szCs w:val="18"/>
                <w:b w:val="1"/>
                <w:bCs w:val="1"/>
                <w:color w:val="0A0A0A"/>
              </w:rPr>
              <w:t>(75.0)</w:t>
            </w:r>
          </w:p>
        </w:tc>
        <w:tc>
          <w:tcPr>
            <w:tcW w:w="1240" w:type="dxa"/>
            <w:vAlign w:val="bottom"/>
            <w:shd w:val="clear" w:color="auto" w:fill="C6F4F9"/>
          </w:tcPr>
          <w:p>
            <w:pPr>
              <w:jc w:val="right"/>
              <w:spacing w:after="0" w:line="196" w:lineRule="exact"/>
              <w:rPr>
                <w:sz w:val="20"/>
                <w:szCs w:val="20"/>
                <w:color w:val="auto"/>
              </w:rPr>
            </w:pPr>
            <w:r>
              <w:rPr>
                <w:rFonts w:ascii="Arial" w:cs="Arial" w:eastAsia="Arial" w:hAnsi="Arial"/>
                <w:sz w:val="18"/>
                <w:szCs w:val="18"/>
                <w:b w:val="1"/>
                <w:bCs w:val="1"/>
                <w:color w:val="0A0A0A"/>
              </w:rPr>
              <w:t>(27.2)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Cash received from stock offering</w:t>
            </w:r>
          </w:p>
        </w:tc>
        <w:tc>
          <w:tcPr>
            <w:tcW w:w="1480" w:type="dxa"/>
            <w:vAlign w:val="bottom"/>
            <w:shd w:val="clear" w:color="auto" w:fill="C6F4F9"/>
          </w:tcPr>
          <w:p>
            <w:pPr>
              <w:jc w:val="right"/>
              <w:ind w:right="131"/>
              <w:spacing w:after="0" w:line="202" w:lineRule="exact"/>
              <w:rPr>
                <w:sz w:val="20"/>
                <w:szCs w:val="20"/>
                <w:color w:val="auto"/>
              </w:rPr>
            </w:pPr>
            <w:r>
              <w:rPr>
                <w:rFonts w:ascii="Arial" w:cs="Arial" w:eastAsia="Arial" w:hAnsi="Arial"/>
                <w:sz w:val="18"/>
                <w:szCs w:val="18"/>
                <w:color w:val="0A0A0A"/>
              </w:rPr>
              <w:t>235.9</w:t>
            </w:r>
          </w:p>
        </w:tc>
        <w:tc>
          <w:tcPr>
            <w:tcW w:w="1320" w:type="dxa"/>
            <w:vAlign w:val="bottom"/>
            <w:shd w:val="clear" w:color="auto" w:fill="C6F4F9"/>
          </w:tcPr>
          <w:p>
            <w:pPr>
              <w:spacing w:after="0"/>
              <w:rPr>
                <w:sz w:val="17"/>
                <w:szCs w:val="17"/>
                <w:color w:val="auto"/>
              </w:rPr>
            </w:pPr>
          </w:p>
        </w:tc>
        <w:tc>
          <w:tcPr>
            <w:tcW w:w="124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n/a</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tcPr>
          <w:p>
            <w:pPr>
              <w:spacing w:after="0" w:line="202" w:lineRule="exact"/>
              <w:rPr>
                <w:sz w:val="20"/>
                <w:szCs w:val="20"/>
                <w:color w:val="auto"/>
              </w:rPr>
            </w:pPr>
            <w:r>
              <w:rPr>
                <w:rFonts w:ascii="Arial" w:cs="Arial" w:eastAsia="Arial" w:hAnsi="Arial"/>
                <w:sz w:val="18"/>
                <w:szCs w:val="18"/>
                <w:color w:val="0A0A0A"/>
              </w:rPr>
              <w:t>Proceeds from borrowing</w:t>
            </w:r>
          </w:p>
        </w:tc>
        <w:tc>
          <w:tcPr>
            <w:tcW w:w="1480" w:type="dxa"/>
            <w:vAlign w:val="bottom"/>
          </w:tcPr>
          <w:p>
            <w:pPr>
              <w:jc w:val="right"/>
              <w:ind w:right="131"/>
              <w:spacing w:after="0" w:line="202" w:lineRule="exact"/>
              <w:rPr>
                <w:sz w:val="20"/>
                <w:szCs w:val="20"/>
                <w:color w:val="auto"/>
              </w:rPr>
            </w:pPr>
            <w:r>
              <w:rPr>
                <w:rFonts w:ascii="Arial" w:cs="Arial" w:eastAsia="Arial" w:hAnsi="Arial"/>
                <w:sz w:val="18"/>
                <w:szCs w:val="18"/>
                <w:color w:val="0A0A0A"/>
              </w:rPr>
              <w:t>68.0</w:t>
            </w:r>
          </w:p>
        </w:tc>
        <w:tc>
          <w:tcPr>
            <w:tcW w:w="1320" w:type="dxa"/>
            <w:vAlign w:val="bottom"/>
          </w:tcPr>
          <w:p>
            <w:pPr>
              <w:jc w:val="right"/>
              <w:ind w:right="110"/>
              <w:spacing w:after="0" w:line="202" w:lineRule="exact"/>
              <w:rPr>
                <w:sz w:val="20"/>
                <w:szCs w:val="20"/>
                <w:color w:val="auto"/>
              </w:rPr>
            </w:pPr>
            <w:r>
              <w:rPr>
                <w:rFonts w:ascii="Arial" w:cs="Arial" w:eastAsia="Arial" w:hAnsi="Arial"/>
                <w:sz w:val="18"/>
                <w:szCs w:val="18"/>
                <w:color w:val="0A0A0A"/>
              </w:rPr>
              <w:t>108.8</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0A0A0A"/>
              </w:rPr>
              <w:t>(37.5)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Repayment of finance lease obligations</w:t>
            </w:r>
          </w:p>
        </w:tc>
        <w:tc>
          <w:tcPr>
            <w:tcW w:w="1480" w:type="dxa"/>
            <w:vAlign w:val="bottom"/>
            <w:shd w:val="clear" w:color="auto" w:fill="C6F4F9"/>
          </w:tcPr>
          <w:p>
            <w:pPr>
              <w:jc w:val="right"/>
              <w:ind w:right="71"/>
              <w:spacing w:after="0" w:line="202" w:lineRule="exact"/>
              <w:rPr>
                <w:sz w:val="20"/>
                <w:szCs w:val="20"/>
                <w:color w:val="auto"/>
              </w:rPr>
            </w:pPr>
            <w:r>
              <w:rPr>
                <w:rFonts w:ascii="Arial" w:cs="Arial" w:eastAsia="Arial" w:hAnsi="Arial"/>
                <w:sz w:val="18"/>
                <w:szCs w:val="18"/>
                <w:color w:val="0A0A0A"/>
              </w:rPr>
              <w:t>(3.9)</w:t>
            </w:r>
          </w:p>
        </w:tc>
        <w:tc>
          <w:tcPr>
            <w:tcW w:w="1320" w:type="dxa"/>
            <w:vAlign w:val="bottom"/>
            <w:shd w:val="clear" w:color="auto" w:fill="C6F4F9"/>
          </w:tcPr>
          <w:p>
            <w:pPr>
              <w:jc w:val="right"/>
              <w:ind w:right="50"/>
              <w:spacing w:after="0" w:line="202" w:lineRule="exact"/>
              <w:rPr>
                <w:sz w:val="20"/>
                <w:szCs w:val="20"/>
                <w:color w:val="auto"/>
              </w:rPr>
            </w:pPr>
            <w:r>
              <w:rPr>
                <w:rFonts w:ascii="Arial" w:cs="Arial" w:eastAsia="Arial" w:hAnsi="Arial"/>
                <w:sz w:val="18"/>
                <w:szCs w:val="18"/>
                <w:color w:val="0A0A0A"/>
              </w:rPr>
              <w:t>(4.3)</w:t>
            </w:r>
          </w:p>
        </w:tc>
        <w:tc>
          <w:tcPr>
            <w:tcW w:w="124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0A0A0A"/>
              </w:rPr>
              <w:t>(9.3)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tcPr>
          <w:p>
            <w:pPr>
              <w:spacing w:after="0" w:line="202" w:lineRule="exact"/>
              <w:rPr>
                <w:sz w:val="20"/>
                <w:szCs w:val="20"/>
                <w:color w:val="auto"/>
              </w:rPr>
            </w:pPr>
            <w:r>
              <w:rPr>
                <w:rFonts w:ascii="Arial" w:cs="Arial" w:eastAsia="Arial" w:hAnsi="Arial"/>
                <w:sz w:val="18"/>
                <w:szCs w:val="18"/>
                <w:color w:val="0A0A0A"/>
              </w:rPr>
              <w:t>Repayment of borrowings</w:t>
            </w:r>
          </w:p>
        </w:tc>
        <w:tc>
          <w:tcPr>
            <w:tcW w:w="1480" w:type="dxa"/>
            <w:vAlign w:val="bottom"/>
          </w:tcPr>
          <w:p>
            <w:pPr>
              <w:jc w:val="right"/>
              <w:ind w:right="71"/>
              <w:spacing w:after="0" w:line="202" w:lineRule="exact"/>
              <w:rPr>
                <w:sz w:val="20"/>
                <w:szCs w:val="20"/>
                <w:color w:val="auto"/>
              </w:rPr>
            </w:pPr>
            <w:r>
              <w:rPr>
                <w:rFonts w:ascii="Arial" w:cs="Arial" w:eastAsia="Arial" w:hAnsi="Arial"/>
                <w:sz w:val="18"/>
                <w:szCs w:val="18"/>
                <w:color w:val="0A0A0A"/>
              </w:rPr>
              <w:t>(46.1)</w:t>
            </w:r>
          </w:p>
        </w:tc>
        <w:tc>
          <w:tcPr>
            <w:tcW w:w="1320" w:type="dxa"/>
            <w:vAlign w:val="bottom"/>
          </w:tcPr>
          <w:p>
            <w:pPr>
              <w:jc w:val="right"/>
              <w:ind w:right="50"/>
              <w:spacing w:after="0" w:line="202" w:lineRule="exact"/>
              <w:rPr>
                <w:sz w:val="20"/>
                <w:szCs w:val="20"/>
                <w:color w:val="auto"/>
              </w:rPr>
            </w:pPr>
            <w:r>
              <w:rPr>
                <w:rFonts w:ascii="Arial" w:cs="Arial" w:eastAsia="Arial" w:hAnsi="Arial"/>
                <w:sz w:val="18"/>
                <w:szCs w:val="18"/>
                <w:color w:val="0A0A0A"/>
              </w:rPr>
              <w:t>(47.3)</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0A0A0A"/>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6F4F9"/>
          </w:tcPr>
          <w:p>
            <w:pPr>
              <w:spacing w:after="0"/>
              <w:rPr>
                <w:sz w:val="20"/>
                <w:szCs w:val="20"/>
                <w:color w:val="auto"/>
              </w:rPr>
            </w:pPr>
            <w:r>
              <w:rPr>
                <w:rFonts w:ascii="Arial" w:cs="Arial" w:eastAsia="Arial" w:hAnsi="Arial"/>
                <w:sz w:val="18"/>
                <w:szCs w:val="18"/>
                <w:color w:val="0A0A0A"/>
              </w:rPr>
              <w:t>Other</w:t>
            </w:r>
          </w:p>
        </w:tc>
        <w:tc>
          <w:tcPr>
            <w:tcW w:w="1480" w:type="dxa"/>
            <w:vAlign w:val="bottom"/>
            <w:tcBorders>
              <w:bottom w:val="single" w:sz="8" w:color="auto"/>
            </w:tcBorders>
            <w:shd w:val="clear" w:color="auto" w:fill="C6F4F9"/>
          </w:tcPr>
          <w:p>
            <w:pPr>
              <w:jc w:val="right"/>
              <w:ind w:right="71"/>
              <w:spacing w:after="0"/>
              <w:rPr>
                <w:sz w:val="20"/>
                <w:szCs w:val="20"/>
                <w:color w:val="auto"/>
              </w:rPr>
            </w:pPr>
            <w:r>
              <w:rPr>
                <w:rFonts w:ascii="Arial" w:cs="Arial" w:eastAsia="Arial" w:hAnsi="Arial"/>
                <w:sz w:val="18"/>
                <w:szCs w:val="18"/>
                <w:color w:val="0A0A0A"/>
              </w:rPr>
              <w:t>(9.9)</w:t>
            </w:r>
          </w:p>
        </w:tc>
        <w:tc>
          <w:tcPr>
            <w:tcW w:w="1320" w:type="dxa"/>
            <w:vAlign w:val="bottom"/>
            <w:tcBorders>
              <w:bottom w:val="single" w:sz="8" w:color="auto"/>
            </w:tcBorders>
            <w:shd w:val="clear" w:color="auto" w:fill="C6F4F9"/>
          </w:tcPr>
          <w:p>
            <w:pPr>
              <w:jc w:val="right"/>
              <w:ind w:right="50"/>
              <w:spacing w:after="0"/>
              <w:rPr>
                <w:sz w:val="20"/>
                <w:szCs w:val="20"/>
                <w:color w:val="auto"/>
              </w:rPr>
            </w:pPr>
            <w:r>
              <w:rPr>
                <w:rFonts w:ascii="Arial" w:cs="Arial" w:eastAsia="Arial" w:hAnsi="Arial"/>
                <w:sz w:val="18"/>
                <w:szCs w:val="18"/>
                <w:color w:val="0A0A0A"/>
              </w:rPr>
              <w:t>(2.4)</w:t>
            </w:r>
          </w:p>
        </w:tc>
        <w:tc>
          <w:tcPr>
            <w:tcW w:w="1240" w:type="dxa"/>
            <w:vAlign w:val="bottom"/>
            <w:tcBorders>
              <w:bottom w:val="single" w:sz="8" w:color="auto"/>
            </w:tcBorders>
            <w:shd w:val="clear" w:color="auto" w:fill="C6F4F9"/>
          </w:tcPr>
          <w:p>
            <w:pPr>
              <w:jc w:val="right"/>
              <w:ind w:right="10"/>
              <w:spacing w:after="0"/>
              <w:rPr>
                <w:sz w:val="20"/>
                <w:szCs w:val="20"/>
                <w:color w:val="auto"/>
              </w:rPr>
            </w:pPr>
            <w:r>
              <w:rPr>
                <w:rFonts w:ascii="Arial" w:cs="Arial" w:eastAsia="Arial" w:hAnsi="Arial"/>
                <w:sz w:val="18"/>
                <w:szCs w:val="18"/>
                <w:color w:val="0A0A0A"/>
              </w:rPr>
              <w:t>312.5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200" w:type="dxa"/>
            <w:vAlign w:val="bottom"/>
          </w:tcPr>
          <w:p>
            <w:pPr>
              <w:spacing w:after="0" w:line="196" w:lineRule="exact"/>
              <w:rPr>
                <w:sz w:val="20"/>
                <w:szCs w:val="20"/>
                <w:color w:val="auto"/>
              </w:rPr>
            </w:pPr>
            <w:r>
              <w:rPr>
                <w:rFonts w:ascii="Arial" w:cs="Arial" w:eastAsia="Arial" w:hAnsi="Arial"/>
                <w:sz w:val="18"/>
                <w:szCs w:val="18"/>
                <w:b w:val="1"/>
                <w:bCs w:val="1"/>
                <w:color w:val="0A0A0A"/>
              </w:rPr>
              <w:t>Net cash provided by financing activities</w:t>
            </w:r>
          </w:p>
        </w:tc>
        <w:tc>
          <w:tcPr>
            <w:tcW w:w="1480" w:type="dxa"/>
            <w:vAlign w:val="bottom"/>
          </w:tcPr>
          <w:p>
            <w:pPr>
              <w:jc w:val="right"/>
              <w:ind w:right="131"/>
              <w:spacing w:after="0" w:line="196" w:lineRule="exact"/>
              <w:rPr>
                <w:sz w:val="20"/>
                <w:szCs w:val="20"/>
                <w:color w:val="auto"/>
              </w:rPr>
            </w:pPr>
            <w:r>
              <w:rPr>
                <w:rFonts w:ascii="Arial" w:cs="Arial" w:eastAsia="Arial" w:hAnsi="Arial"/>
                <w:sz w:val="18"/>
                <w:szCs w:val="18"/>
                <w:b w:val="1"/>
                <w:bCs w:val="1"/>
                <w:color w:val="0A0A0A"/>
              </w:rPr>
              <w:t>244.0</w:t>
            </w:r>
          </w:p>
        </w:tc>
        <w:tc>
          <w:tcPr>
            <w:tcW w:w="1320" w:type="dxa"/>
            <w:vAlign w:val="bottom"/>
          </w:tcPr>
          <w:p>
            <w:pPr>
              <w:jc w:val="right"/>
              <w:ind w:right="110"/>
              <w:spacing w:after="0" w:line="196" w:lineRule="exact"/>
              <w:rPr>
                <w:sz w:val="20"/>
                <w:szCs w:val="20"/>
                <w:color w:val="auto"/>
              </w:rPr>
            </w:pPr>
            <w:r>
              <w:rPr>
                <w:rFonts w:ascii="Arial" w:cs="Arial" w:eastAsia="Arial" w:hAnsi="Arial"/>
                <w:sz w:val="18"/>
                <w:szCs w:val="18"/>
                <w:b w:val="1"/>
                <w:bCs w:val="1"/>
                <w:color w:val="0A0A0A"/>
              </w:rPr>
              <w:t>54.9</w:t>
            </w:r>
          </w:p>
        </w:tc>
        <w:tc>
          <w:tcPr>
            <w:tcW w:w="124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0A0A0A"/>
              </w:rPr>
              <w:t>344.4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shd w:val="clear" w:color="auto" w:fill="C6F4F9"/>
          </w:tcPr>
          <w:p>
            <w:pPr>
              <w:spacing w:after="0"/>
              <w:rPr>
                <w:sz w:val="17"/>
                <w:szCs w:val="17"/>
                <w:color w:val="auto"/>
              </w:rPr>
            </w:pPr>
          </w:p>
        </w:tc>
        <w:tc>
          <w:tcPr>
            <w:tcW w:w="1480" w:type="dxa"/>
            <w:vAlign w:val="bottom"/>
            <w:shd w:val="clear" w:color="auto" w:fill="C6F4F9"/>
          </w:tcPr>
          <w:p>
            <w:pPr>
              <w:spacing w:after="0"/>
              <w:rPr>
                <w:sz w:val="17"/>
                <w:szCs w:val="17"/>
                <w:color w:val="auto"/>
              </w:rPr>
            </w:pPr>
          </w:p>
        </w:tc>
        <w:tc>
          <w:tcPr>
            <w:tcW w:w="1320" w:type="dxa"/>
            <w:vAlign w:val="bottom"/>
            <w:shd w:val="clear" w:color="auto" w:fill="C6F4F9"/>
          </w:tcPr>
          <w:p>
            <w:pPr>
              <w:spacing w:after="0"/>
              <w:rPr>
                <w:sz w:val="17"/>
                <w:szCs w:val="17"/>
                <w:color w:val="auto"/>
              </w:rPr>
            </w:pPr>
          </w:p>
        </w:tc>
        <w:tc>
          <w:tcPr>
            <w:tcW w:w="1240" w:type="dxa"/>
            <w:vAlign w:val="bottom"/>
            <w:shd w:val="clear" w:color="auto" w:fill="C6F4F9"/>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tcPr>
          <w:p>
            <w:pPr>
              <w:spacing w:after="0" w:line="202" w:lineRule="exact"/>
              <w:rPr>
                <w:sz w:val="20"/>
                <w:szCs w:val="20"/>
                <w:color w:val="auto"/>
              </w:rPr>
            </w:pPr>
            <w:r>
              <w:rPr>
                <w:rFonts w:ascii="Arial" w:cs="Arial" w:eastAsia="Arial" w:hAnsi="Arial"/>
                <w:sz w:val="18"/>
                <w:szCs w:val="18"/>
                <w:color w:val="0A0A0A"/>
              </w:rPr>
              <w:t>Change in cash</w:t>
            </w:r>
          </w:p>
        </w:tc>
        <w:tc>
          <w:tcPr>
            <w:tcW w:w="1480" w:type="dxa"/>
            <w:vAlign w:val="bottom"/>
          </w:tcPr>
          <w:p>
            <w:pPr>
              <w:jc w:val="right"/>
              <w:ind w:right="131"/>
              <w:spacing w:after="0" w:line="202" w:lineRule="exact"/>
              <w:rPr>
                <w:sz w:val="20"/>
                <w:szCs w:val="20"/>
                <w:color w:val="auto"/>
              </w:rPr>
            </w:pPr>
            <w:r>
              <w:rPr>
                <w:rFonts w:ascii="Arial" w:cs="Arial" w:eastAsia="Arial" w:hAnsi="Arial"/>
                <w:sz w:val="18"/>
                <w:szCs w:val="18"/>
                <w:color w:val="0A0A0A"/>
              </w:rPr>
              <w:t>205.3</w:t>
            </w:r>
          </w:p>
        </w:tc>
        <w:tc>
          <w:tcPr>
            <w:tcW w:w="1320" w:type="dxa"/>
            <w:vAlign w:val="bottom"/>
          </w:tcPr>
          <w:p>
            <w:pPr>
              <w:jc w:val="right"/>
              <w:ind w:right="50"/>
              <w:spacing w:after="0" w:line="202" w:lineRule="exact"/>
              <w:rPr>
                <w:sz w:val="20"/>
                <w:szCs w:val="20"/>
                <w:color w:val="auto"/>
              </w:rPr>
            </w:pPr>
            <w:r>
              <w:rPr>
                <w:rFonts w:ascii="Arial" w:cs="Arial" w:eastAsia="Arial" w:hAnsi="Arial"/>
                <w:sz w:val="18"/>
                <w:szCs w:val="18"/>
                <w:color w:val="0A0A0A"/>
              </w:rPr>
              <w:t>(6.3)</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n/a</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Cash and equivalents and restricted cash – beginning of the period</w:t>
            </w:r>
          </w:p>
        </w:tc>
        <w:tc>
          <w:tcPr>
            <w:tcW w:w="1480" w:type="dxa"/>
            <w:vAlign w:val="bottom"/>
            <w:shd w:val="clear" w:color="auto" w:fill="C6F4F9"/>
          </w:tcPr>
          <w:p>
            <w:pPr>
              <w:jc w:val="right"/>
              <w:ind w:right="131"/>
              <w:spacing w:after="0" w:line="202" w:lineRule="exact"/>
              <w:rPr>
                <w:sz w:val="20"/>
                <w:szCs w:val="20"/>
                <w:color w:val="auto"/>
              </w:rPr>
            </w:pPr>
            <w:r>
              <w:rPr>
                <w:rFonts w:ascii="Arial" w:cs="Arial" w:eastAsia="Arial" w:hAnsi="Arial"/>
                <w:sz w:val="18"/>
                <w:szCs w:val="18"/>
                <w:color w:val="0A0A0A"/>
              </w:rPr>
              <w:t>70.4</w:t>
            </w:r>
          </w:p>
        </w:tc>
        <w:tc>
          <w:tcPr>
            <w:tcW w:w="1320" w:type="dxa"/>
            <w:vAlign w:val="bottom"/>
            <w:shd w:val="clear" w:color="auto" w:fill="C6F4F9"/>
          </w:tcPr>
          <w:p>
            <w:pPr>
              <w:jc w:val="right"/>
              <w:ind w:right="110"/>
              <w:spacing w:after="0" w:line="202" w:lineRule="exact"/>
              <w:rPr>
                <w:sz w:val="20"/>
                <w:szCs w:val="20"/>
                <w:color w:val="auto"/>
              </w:rPr>
            </w:pPr>
            <w:r>
              <w:rPr>
                <w:rFonts w:ascii="Arial" w:cs="Arial" w:eastAsia="Arial" w:hAnsi="Arial"/>
                <w:sz w:val="18"/>
                <w:szCs w:val="18"/>
                <w:color w:val="0A0A0A"/>
              </w:rPr>
              <w:t>64.5</w:t>
            </w:r>
          </w:p>
        </w:tc>
        <w:tc>
          <w:tcPr>
            <w:tcW w:w="124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200" w:type="dxa"/>
            <w:vAlign w:val="bottom"/>
          </w:tcPr>
          <w:p>
            <w:pPr>
              <w:spacing w:after="0"/>
              <w:rPr>
                <w:sz w:val="20"/>
                <w:szCs w:val="20"/>
                <w:color w:val="auto"/>
              </w:rPr>
            </w:pPr>
            <w:r>
              <w:rPr>
                <w:rFonts w:ascii="Arial" w:cs="Arial" w:eastAsia="Arial" w:hAnsi="Arial"/>
                <w:sz w:val="18"/>
                <w:szCs w:val="18"/>
                <w:color w:val="0A0A0A"/>
              </w:rPr>
              <w:t>Cash and equivalents and restricted cash – end of the period</w:t>
            </w:r>
          </w:p>
        </w:tc>
        <w:tc>
          <w:tcPr>
            <w:tcW w:w="1480" w:type="dxa"/>
            <w:vAlign w:val="bottom"/>
          </w:tcPr>
          <w:p>
            <w:pPr>
              <w:jc w:val="right"/>
              <w:ind w:right="131"/>
              <w:spacing w:after="0"/>
              <w:rPr>
                <w:sz w:val="20"/>
                <w:szCs w:val="20"/>
                <w:color w:val="auto"/>
              </w:rPr>
            </w:pPr>
            <w:r>
              <w:rPr>
                <w:rFonts w:ascii="Arial" w:cs="Arial" w:eastAsia="Arial" w:hAnsi="Arial"/>
                <w:sz w:val="18"/>
                <w:szCs w:val="18"/>
                <w:color w:val="0A0A0A"/>
              </w:rPr>
              <w:t>275.6</w:t>
            </w:r>
          </w:p>
        </w:tc>
        <w:tc>
          <w:tcPr>
            <w:tcW w:w="1320" w:type="dxa"/>
            <w:vAlign w:val="bottom"/>
          </w:tcPr>
          <w:p>
            <w:pPr>
              <w:jc w:val="right"/>
              <w:ind w:right="110"/>
              <w:spacing w:after="0"/>
              <w:rPr>
                <w:sz w:val="20"/>
                <w:szCs w:val="20"/>
                <w:color w:val="auto"/>
              </w:rPr>
            </w:pPr>
            <w:r>
              <w:rPr>
                <w:rFonts w:ascii="Arial" w:cs="Arial" w:eastAsia="Arial" w:hAnsi="Arial"/>
                <w:sz w:val="18"/>
                <w:szCs w:val="18"/>
                <w:color w:val="0A0A0A"/>
              </w:rPr>
              <w:t>58.1</w:t>
            </w:r>
          </w:p>
        </w:tc>
        <w:tc>
          <w:tcPr>
            <w:tcW w:w="1240" w:type="dxa"/>
            <w:vAlign w:val="bottom"/>
          </w:tcPr>
          <w:p>
            <w:pPr>
              <w:jc w:val="right"/>
              <w:ind w:right="10"/>
              <w:spacing w:after="0"/>
              <w:rPr>
                <w:sz w:val="20"/>
                <w:szCs w:val="20"/>
                <w:color w:val="auto"/>
              </w:rPr>
            </w:pPr>
            <w:r>
              <w:rPr>
                <w:rFonts w:ascii="Arial" w:cs="Arial" w:eastAsia="Arial" w:hAnsi="Arial"/>
                <w:sz w:val="18"/>
                <w:szCs w:val="18"/>
                <w:color w:val="0A0A0A"/>
              </w:rPr>
              <w:t>374.4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2"/>
        </w:trPr>
        <w:tc>
          <w:tcPr>
            <w:tcW w:w="7200" w:type="dxa"/>
            <w:vAlign w:val="bottom"/>
            <w:tcBorders>
              <w:bottom w:val="single" w:sz="8" w:color="auto"/>
            </w:tcBorders>
          </w:tcPr>
          <w:p>
            <w:pPr>
              <w:ind w:left="5340"/>
              <w:spacing w:after="0"/>
              <w:rPr>
                <w:sz w:val="20"/>
                <w:szCs w:val="20"/>
                <w:color w:val="auto"/>
              </w:rPr>
            </w:pPr>
            <w:r>
              <w:rPr>
                <w:rFonts w:ascii="Arial" w:cs="Arial" w:eastAsia="Arial" w:hAnsi="Arial"/>
                <w:sz w:val="18"/>
                <w:szCs w:val="18"/>
                <w:color w:val="auto"/>
              </w:rPr>
              <w:t>Page 9</w:t>
            </w:r>
          </w:p>
        </w:tc>
        <w:tc>
          <w:tcPr>
            <w:tcW w:w="4060" w:type="dxa"/>
            <w:vAlign w:val="bottom"/>
            <w:tcBorders>
              <w:bottom w:val="single" w:sz="8" w:color="auto"/>
            </w:tcBorders>
            <w:gridSpan w:val="4"/>
          </w:tcPr>
          <w:p>
            <w:pPr>
              <w:ind w:left="1140"/>
              <w:spacing w:after="0"/>
              <w:rPr>
                <w:sz w:val="20"/>
                <w:szCs w:val="20"/>
                <w:color w:val="auto"/>
              </w:rPr>
            </w:pP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5051425</wp:posOffset>
            </wp:positionH>
            <wp:positionV relativeFrom="page">
              <wp:posOffset>509270</wp:posOffset>
            </wp:positionV>
            <wp:extent cx="2254250" cy="9086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22542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Calculation of Special Items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 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The following table lists the items that are included as special items.</w:t>
            </w:r>
          </w:p>
        </w:tc>
        <w:tc>
          <w:tcPr>
            <w:tcW w:w="1580" w:type="dxa"/>
            <w:vAlign w:val="bottom"/>
            <w:tcBorders>
              <w:top w:val="single" w:sz="8" w:color="auto"/>
            </w:tcBorders>
          </w:tcPr>
          <w:p>
            <w:pPr>
              <w:spacing w:after="0"/>
              <w:rPr>
                <w:sz w:val="18"/>
                <w:szCs w:val="18"/>
                <w:color w:val="auto"/>
              </w:rPr>
            </w:pPr>
          </w:p>
        </w:tc>
        <w:tc>
          <w:tcPr>
            <w:tcW w:w="2680" w:type="dxa"/>
            <w:vAlign w:val="bottom"/>
            <w:tcBorders>
              <w:top w:val="single" w:sz="8" w:color="auto"/>
            </w:tcBorders>
            <w:gridSpan w:val="4"/>
            <w:vMerge w:val="restart"/>
          </w:tcPr>
          <w:p>
            <w:pPr>
              <w:spacing w:after="0"/>
              <w:rPr>
                <w:sz w:val="20"/>
                <w:szCs w:val="20"/>
                <w:color w:val="auto"/>
              </w:rPr>
            </w:pPr>
            <w:r>
              <w:rPr>
                <w:rFonts w:ascii="Arial" w:cs="Arial" w:eastAsia="Arial" w:hAnsi="Arial"/>
                <w:sz w:val="18"/>
                <w:szCs w:val="18"/>
                <w:b w:val="1"/>
                <w:bCs w:val="1"/>
                <w:color w:val="auto"/>
                <w:w w:val="99"/>
              </w:rPr>
              <w:t>Three Months Ended March 31,</w:t>
            </w:r>
          </w:p>
        </w:tc>
        <w:tc>
          <w:tcPr>
            <w:tcW w:w="0" w:type="dxa"/>
            <w:vAlign w:val="bottom"/>
          </w:tcPr>
          <w:p>
            <w:pPr>
              <w:spacing w:after="0"/>
              <w:rPr>
                <w:sz w:val="1"/>
                <w:szCs w:val="1"/>
                <w:color w:val="auto"/>
              </w:rPr>
            </w:pPr>
          </w:p>
        </w:tc>
      </w:tr>
      <w:tr>
        <w:trPr>
          <w:trHeight w:val="159"/>
        </w:trPr>
        <w:tc>
          <w:tcPr>
            <w:tcW w:w="69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6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6980" w:type="dxa"/>
            <w:vAlign w:val="bottom"/>
            <w:tcBorders>
              <w:bottom w:val="single" w:sz="8" w:color="C6F4F9"/>
            </w:tcBorders>
          </w:tcPr>
          <w:p>
            <w:pPr>
              <w:spacing w:after="0"/>
              <w:rPr>
                <w:sz w:val="19"/>
                <w:szCs w:val="19"/>
                <w:color w:val="auto"/>
              </w:rPr>
            </w:pPr>
          </w:p>
        </w:tc>
        <w:tc>
          <w:tcPr>
            <w:tcW w:w="1580" w:type="dxa"/>
            <w:vAlign w:val="bottom"/>
            <w:tcBorders>
              <w:bottom w:val="single" w:sz="8" w:color="C6F4F9"/>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6980" w:type="dxa"/>
            <w:vAlign w:val="bottom"/>
            <w:shd w:val="clear" w:color="auto" w:fill="C6F4F9"/>
          </w:tcPr>
          <w:p>
            <w:pPr>
              <w:spacing w:after="0" w:line="223" w:lineRule="exact"/>
              <w:rPr>
                <w:sz w:val="20"/>
                <w:szCs w:val="20"/>
                <w:color w:val="auto"/>
              </w:rPr>
            </w:pPr>
            <w:r>
              <w:rPr>
                <w:rFonts w:ascii="Arial" w:cs="Arial" w:eastAsia="Arial" w:hAnsi="Arial"/>
                <w:sz w:val="16"/>
                <w:szCs w:val="16"/>
                <w:color w:val="auto"/>
              </w:rPr>
              <w:t xml:space="preserve">CARES Act grant recognition </w:t>
            </w:r>
            <w:r>
              <w:rPr>
                <w:rFonts w:ascii="Arial" w:cs="Arial" w:eastAsia="Arial" w:hAnsi="Arial"/>
                <w:sz w:val="25"/>
                <w:szCs w:val="25"/>
                <w:color w:val="auto"/>
                <w:vertAlign w:val="superscript"/>
              </w:rPr>
              <w:t>(1)</w:t>
            </w:r>
          </w:p>
        </w:tc>
        <w:tc>
          <w:tcPr>
            <w:tcW w:w="1860" w:type="dxa"/>
            <w:vAlign w:val="bottom"/>
            <w:gridSpan w:val="2"/>
            <w:shd w:val="clear" w:color="auto" w:fill="C6F4F9"/>
          </w:tcPr>
          <w:p>
            <w:pPr>
              <w:ind w:left="15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(32,208)</w:t>
            </w:r>
          </w:p>
        </w:tc>
        <w:tc>
          <w:tcPr>
            <w:tcW w:w="300" w:type="dxa"/>
            <w:vAlign w:val="bottom"/>
            <w:shd w:val="clear" w:color="auto" w:fill="C6F4F9"/>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6F4F9"/>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tcPr>
          <w:p>
            <w:pPr>
              <w:spacing w:after="0" w:line="243" w:lineRule="exact"/>
              <w:rPr>
                <w:sz w:val="20"/>
                <w:szCs w:val="20"/>
                <w:color w:val="auto"/>
              </w:rPr>
            </w:pPr>
            <w:r>
              <w:rPr>
                <w:rFonts w:ascii="Arial" w:cs="Arial" w:eastAsia="Arial" w:hAnsi="Arial"/>
                <w:sz w:val="17"/>
                <w:szCs w:val="17"/>
                <w:color w:val="auto"/>
              </w:rPr>
              <w:t xml:space="preserve">CARES Act employee retention credit </w:t>
            </w:r>
            <w:r>
              <w:rPr>
                <w:rFonts w:ascii="Arial" w:cs="Arial" w:eastAsia="Arial" w:hAnsi="Arial"/>
                <w:sz w:val="28"/>
                <w:szCs w:val="28"/>
                <w:color w:val="auto"/>
                <w:vertAlign w:val="superscript"/>
              </w:rPr>
              <w:t>(2)</w:t>
            </w:r>
          </w:p>
        </w:tc>
        <w:tc>
          <w:tcPr>
            <w:tcW w:w="1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(334)</w:t>
            </w:r>
          </w:p>
        </w:tc>
        <w:tc>
          <w:tcPr>
            <w:tcW w:w="300" w:type="dxa"/>
            <w:vAlign w:val="bottom"/>
          </w:tcPr>
          <w:p>
            <w:pPr>
              <w:spacing w:after="0"/>
              <w:rPr>
                <w:sz w:val="21"/>
                <w:szCs w:val="21"/>
                <w:color w:val="auto"/>
              </w:rPr>
            </w:pPr>
          </w:p>
        </w:tc>
        <w:tc>
          <w:tcPr>
            <w:tcW w:w="1060" w:type="dxa"/>
            <w:vAlign w:val="bottom"/>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shd w:val="clear" w:color="auto" w:fill="C6F4F9"/>
          </w:tcPr>
          <w:p>
            <w:pPr>
              <w:spacing w:after="0" w:line="243" w:lineRule="exact"/>
              <w:rPr>
                <w:sz w:val="20"/>
                <w:szCs w:val="20"/>
                <w:color w:val="auto"/>
              </w:rPr>
            </w:pPr>
            <w:r>
              <w:rPr>
                <w:rFonts w:ascii="Arial" w:cs="Arial" w:eastAsia="Arial" w:hAnsi="Arial"/>
                <w:sz w:val="17"/>
                <w:szCs w:val="17"/>
                <w:color w:val="auto"/>
              </w:rPr>
              <w:t xml:space="preserve">Aircraft purchase impacts </w:t>
            </w:r>
            <w:r>
              <w:rPr>
                <w:rFonts w:ascii="Arial" w:cs="Arial" w:eastAsia="Arial" w:hAnsi="Arial"/>
                <w:sz w:val="28"/>
                <w:szCs w:val="28"/>
                <w:color w:val="auto"/>
                <w:vertAlign w:val="superscript"/>
              </w:rPr>
              <w:t>(3)</w:t>
            </w:r>
          </w:p>
        </w:tc>
        <w:tc>
          <w:tcPr>
            <w:tcW w:w="1580" w:type="dxa"/>
            <w:vAlign w:val="bottom"/>
            <w:shd w:val="clear" w:color="auto" w:fill="C6F4F9"/>
          </w:tcPr>
          <w:p>
            <w:pPr>
              <w:spacing w:after="0"/>
              <w:rPr>
                <w:sz w:val="21"/>
                <w:szCs w:val="21"/>
                <w:color w:val="auto"/>
              </w:rPr>
            </w:pPr>
          </w:p>
        </w:tc>
        <w:tc>
          <w:tcPr>
            <w:tcW w:w="280" w:type="dxa"/>
            <w:vAlign w:val="bottom"/>
            <w:shd w:val="clear" w:color="auto" w:fill="C6F4F9"/>
          </w:tcPr>
          <w:p>
            <w:pPr>
              <w:spacing w:after="0"/>
              <w:rPr>
                <w:sz w:val="21"/>
                <w:szCs w:val="21"/>
                <w:color w:val="auto"/>
              </w:rPr>
            </w:pPr>
          </w:p>
        </w:tc>
        <w:tc>
          <w:tcPr>
            <w:tcW w:w="10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5,664</w:t>
            </w:r>
          </w:p>
        </w:tc>
        <w:tc>
          <w:tcPr>
            <w:tcW w:w="300" w:type="dxa"/>
            <w:vAlign w:val="bottom"/>
            <w:shd w:val="clear" w:color="auto" w:fill="C6F4F9"/>
          </w:tcPr>
          <w:p>
            <w:pPr>
              <w:spacing w:after="0"/>
              <w:rPr>
                <w:sz w:val="21"/>
                <w:szCs w:val="21"/>
                <w:color w:val="auto"/>
              </w:rPr>
            </w:pPr>
          </w:p>
        </w:tc>
        <w:tc>
          <w:tcPr>
            <w:tcW w:w="1060" w:type="dxa"/>
            <w:vAlign w:val="bottom"/>
            <w:shd w:val="clear" w:color="auto" w:fill="C6F4F9"/>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tcBorders>
              <w:bottom w:val="single" w:sz="8" w:color="C6F4F9"/>
            </w:tcBorders>
          </w:tcPr>
          <w:p>
            <w:pPr>
              <w:spacing w:after="0"/>
              <w:rPr>
                <w:sz w:val="20"/>
                <w:szCs w:val="20"/>
                <w:color w:val="auto"/>
              </w:rPr>
            </w:pPr>
            <w:r>
              <w:rPr>
                <w:rFonts w:ascii="Arial" w:cs="Arial" w:eastAsia="Arial" w:hAnsi="Arial"/>
                <w:sz w:val="18"/>
                <w:szCs w:val="18"/>
                <w:color w:val="auto"/>
              </w:rPr>
              <w:t>Other</w:t>
            </w:r>
          </w:p>
        </w:tc>
        <w:tc>
          <w:tcPr>
            <w:tcW w:w="1580" w:type="dxa"/>
            <w:vAlign w:val="bottom"/>
            <w:tcBorders>
              <w:bottom w:val="single" w:sz="8" w:color="C6F4F9"/>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980" w:type="dxa"/>
            <w:vAlign w:val="bottom"/>
            <w:shd w:val="clear" w:color="auto" w:fill="C6F4F9"/>
          </w:tcPr>
          <w:p>
            <w:pPr>
              <w:spacing w:after="0" w:line="197" w:lineRule="exact"/>
              <w:rPr>
                <w:sz w:val="20"/>
                <w:szCs w:val="20"/>
                <w:color w:val="auto"/>
              </w:rPr>
            </w:pPr>
            <w:r>
              <w:rPr>
                <w:rFonts w:ascii="Arial" w:cs="Arial" w:eastAsia="Arial" w:hAnsi="Arial"/>
                <w:sz w:val="18"/>
                <w:szCs w:val="18"/>
                <w:color w:val="auto"/>
              </w:rPr>
              <w:t>Total special items, net</w:t>
            </w:r>
          </w:p>
        </w:tc>
        <w:tc>
          <w:tcPr>
            <w:tcW w:w="1860" w:type="dxa"/>
            <w:vAlign w:val="bottom"/>
            <w:gridSpan w:val="2"/>
            <w:shd w:val="clear" w:color="auto" w:fill="C6F4F9"/>
          </w:tcPr>
          <w:p>
            <w:pPr>
              <w:ind w:left="15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(26,871)</w:t>
            </w:r>
          </w:p>
        </w:tc>
        <w:tc>
          <w:tcPr>
            <w:tcW w:w="300" w:type="dxa"/>
            <w:vAlign w:val="bottom"/>
            <w:shd w:val="clear" w:color="auto" w:fill="C6F4F9"/>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6F4F9"/>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80" w:type="dxa"/>
            <w:vAlign w:val="bottom"/>
            <w:tcBorders>
              <w:top w:val="single" w:sz="8" w:color="C6F4F9"/>
            </w:tcBorders>
          </w:tcPr>
          <w:p>
            <w:pPr>
              <w:spacing w:after="0" w:line="20" w:lineRule="exact"/>
              <w:rPr>
                <w:sz w:val="1"/>
                <w:szCs w:val="1"/>
                <w:color w:val="auto"/>
              </w:rPr>
            </w:pPr>
          </w:p>
        </w:tc>
        <w:tc>
          <w:tcPr>
            <w:tcW w:w="1580" w:type="dxa"/>
            <w:vAlign w:val="bottom"/>
            <w:tcBorders>
              <w:top w:val="single" w:sz="8" w:color="C6F4F9"/>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3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quarter ended March 31, 2021, the United States Department of the Treasury (the Treasury) awarded the Company a grant of $32,208 under the Payroll Support Program Extension (“PSP2”) under the Consolidated Appropriations Act, 2021. On April 22, 2021, we received $4,831 from the Treasury as a top-off grant under PSP2</w:t>
      </w:r>
    </w:p>
    <w:p>
      <w:pPr>
        <w:spacing w:after="0" w:line="2"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Relates to a credit recognized under the CARES Act Employee Retention credit which is a refundable tax credit against certain employee taxes</w:t>
      </w:r>
    </w:p>
    <w:p>
      <w:pPr>
        <w:spacing w:after="0" w:line="1" w:lineRule="exact"/>
        <w:rPr>
          <w:rFonts w:ascii="Arial" w:cs="Arial" w:eastAsia="Arial" w:hAnsi="Arial"/>
          <w:sz w:val="18"/>
          <w:szCs w:val="18"/>
          <w:color w:val="auto"/>
        </w:rPr>
      </w:pPr>
    </w:p>
    <w:p>
      <w:pPr>
        <w:ind w:left="660" w:right="20" w:hanging="328"/>
        <w:spacing w:after="0" w:line="24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Five aircraft were purchased in March 2021 that were previously under operating leases. The net loss results from the carrying value exceeding the fair value at time of purchase</w:t>
      </w:r>
    </w:p>
    <w:p>
      <w:pPr>
        <w:spacing w:after="0" w:line="200" w:lineRule="exact"/>
        <w:rPr>
          <w:sz w:val="20"/>
          <w:szCs w:val="20"/>
          <w:color w:val="auto"/>
        </w:rPr>
      </w:pPr>
    </w:p>
    <w:p>
      <w:pPr>
        <w:spacing w:after="0" w:line="294" w:lineRule="exact"/>
        <w:rPr>
          <w:sz w:val="20"/>
          <w:szCs w:val="20"/>
          <w:color w:val="auto"/>
        </w:rPr>
      </w:pPr>
    </w:p>
    <w:p>
      <w:pPr>
        <w:jc w:val="right"/>
        <w:spacing w:after="0"/>
        <w:tabs>
          <w:tab w:leader="none" w:pos="2880" w:val="left"/>
        </w:tabs>
        <w:rPr>
          <w:sz w:val="20"/>
          <w:szCs w:val="20"/>
          <w:color w:val="auto"/>
        </w:rPr>
      </w:pPr>
      <w:r>
        <w:rPr>
          <w:rFonts w:ascii="Arial" w:cs="Arial" w:eastAsia="Arial" w:hAnsi="Arial"/>
          <w:sz w:val="18"/>
          <w:szCs w:val="18"/>
          <w:color w:val="auto"/>
        </w:rPr>
        <w:t>Page 10</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5051425</wp:posOffset>
            </wp:positionH>
            <wp:positionV relativeFrom="page">
              <wp:posOffset>509270</wp:posOffset>
            </wp:positionV>
            <wp:extent cx="2254250" cy="9086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22542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Operating Income Margin, Adjusted Income Before Income Tax, Adjusted Net Income, and Adjusted EBITDAR</w:t>
      </w:r>
    </w:p>
    <w:p>
      <w:pPr>
        <w:spacing w:after="0" w:line="22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Adjusted Operating Income Margin, Adjusted Income Before Income Tax, and Adjusted Net Income are non-GAAP measures included as supplemental disclosure because we believe they are useful indicators of our operating performance. Derivations of operating income and net income are well recognized performance measurements in the airline industry that are frequently used by our management, as well as by investors, securities analysts and other interested parties in comparing the operating performance of companies in our industry. Adjusted EBITDAR is a non-GAAP measure included as supplemental disclosure because we believe it is a valuation measure commonly used by investors, securities analysts and other interested parties in the industry to compare airline companies and derive valuation estimates without consideration of airline capital structure or aircraft ownership methodology. We believe that while items excluded from Adjusted EBITDAR may be recurring in nature and should not be disregarded in evaluation of our earnings performance, Adjusted EBITDAR is useful because its calculation isolates the effects of financing in general, the accounting effects of capital spending and acquisitions (primarily aircraft, which may be acquired directly, directly subject to acquisition debt, by finance lease or by operating lease, each of which is presented differently for accounting purposes), and income taxes, which may vary significantly between periods and for different companies for reasons unrelated to overall operating performance. Adjusted EBITDAR should not be viewed as a measure of overall performance or considered in isolation or as an alternative to net income because it excludes aircraft rent, which is a normal, recurring cash operating expense that is necessary to operate our business. We have historically incurred substantial rent expense due to our legacy fleet of operating leased aircraft, which are currently being transitioned to owned and finance leased aircraft.</w:t>
      </w:r>
    </w:p>
    <w:p>
      <w:pPr>
        <w:spacing w:after="0" w:line="20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Adjusted Operating Income Margin, Adjusted Income Before Income Tax, Adjusted Net Income and Adjusted EBITDAR have limitations as analytical tools. Some of the limitations applicable to these measures include: Adjusted Operating Income Margin, Adjusted Income Before Income Tax, Adjusted Net Income and Adjusted EBITDAR do not reflect the impact of certain cash charges resulting from matters we consider not to be indicative of our ongoing operations; Adjusted EBITDAR does not reflect our cash expenditures, or future requirements, for capital expenditures or contractual commitments; Adjusted EBITDAR does not reflect changes in, or cash requirements for, our working capital needs; they do not reflect the interest expense, or the cash requirements necessary to service interest or principal payments, on our debt; although depreciation and amortization are non-cash charges, the assets being depreciated and amortized will often have to be replaced in the future, and Adjusted EBITDAR does not reflect any cash requirements for such replacements; and other companies in our industry may calculate Adjusted Operating Income Margin, Adjusted Income Before Income Tax, Adjusted Net Income and Adjusted EBITDAR differently than we do, limiting each measure’s usefulness as a comparative measure. Because of these limitations, Adjusted Operating Income Margin, Adjusted Income Before Income Tax, Adjusted Net Income and Adjusted EBITDAR should not be considered in isolation or as a substitute for performance measures calculated in accordance with GAAP.</w:t>
      </w:r>
    </w:p>
    <w:p>
      <w:pPr>
        <w:spacing w:after="0" w:line="190"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As derivations of Adjusted Operating Income Margin, Adjusted Income Before Income Tax, Adjusted Net Income and Adjusted EBITDAR are not determined in accordance with GAAP, such measures are susceptible to varying calculations and not all companies calculate the measures in the same manner. As a result, derivations of net income, including Adjusted Operating Income Margin, Adjusted Income Before Income Tax, Adjusted Net Income and Adjusted EBITDAR, as presented may not be directly comparable to similarly titled measures presented by other companies. For the foregoing reasons, each of Adjusted Operating Income Margin, Adjusted Income Before Income Tax, Adjusted Net Income and Adjusted EBITDAR has significant</w:t>
      </w:r>
    </w:p>
    <w:p>
      <w:pPr>
        <w:spacing w:after="0" w:line="299" w:lineRule="exact"/>
        <w:rPr>
          <w:sz w:val="20"/>
          <w:szCs w:val="20"/>
          <w:color w:val="auto"/>
        </w:rPr>
      </w:pPr>
    </w:p>
    <w:p>
      <w:pPr>
        <w:jc w:val="right"/>
        <w:spacing w:after="0"/>
        <w:tabs>
          <w:tab w:leader="none" w:pos="2880" w:val="left"/>
        </w:tabs>
        <w:rPr>
          <w:sz w:val="20"/>
          <w:szCs w:val="20"/>
          <w:color w:val="auto"/>
        </w:rPr>
      </w:pPr>
      <w:r>
        <w:rPr>
          <w:rFonts w:ascii="Arial" w:cs="Arial" w:eastAsia="Arial" w:hAnsi="Arial"/>
          <w:sz w:val="18"/>
          <w:szCs w:val="18"/>
          <w:color w:val="auto"/>
        </w:rPr>
        <w:t>Page 11</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5051425</wp:posOffset>
            </wp:positionH>
            <wp:positionV relativeFrom="page">
              <wp:posOffset>509270</wp:posOffset>
            </wp:positionV>
            <wp:extent cx="2254250" cy="9086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22542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limitations which affect its use as an indicator of our profitability and valuation. Accordingly, you are cautioned not to place undue reliance on this information.</w:t>
      </w:r>
    </w:p>
    <w:p>
      <w:pPr>
        <w:spacing w:after="0" w:line="161" w:lineRule="exact"/>
        <w:rPr>
          <w:sz w:val="20"/>
          <w:szCs w:val="20"/>
          <w:color w:val="auto"/>
        </w:rPr>
      </w:pPr>
    </w:p>
    <w:p>
      <w:pPr>
        <w:ind w:right="5020"/>
        <w:spacing w:after="0" w:line="255" w:lineRule="auto"/>
        <w:rPr>
          <w:sz w:val="20"/>
          <w:szCs w:val="20"/>
          <w:color w:val="auto"/>
        </w:rPr>
      </w:pPr>
      <w:r>
        <w:rPr>
          <w:rFonts w:ascii="Arial" w:cs="Arial" w:eastAsia="Arial" w:hAnsi="Arial"/>
          <w:sz w:val="18"/>
          <w:szCs w:val="18"/>
          <w:b w:val="1"/>
          <w:bCs w:val="1"/>
          <w:color w:val="auto"/>
        </w:rPr>
        <w:t>Reconciliation of Adjusted Operating Income to GAAP Operating Income Dollars in thousands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following table presents the reconciliation of adjusted operating income to GAAP operating income.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54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 March</w:t>
            </w:r>
          </w:p>
        </w:tc>
      </w:tr>
      <w:tr>
        <w:trPr>
          <w:trHeight w:val="225"/>
        </w:trPr>
        <w:tc>
          <w:tcPr>
            <w:tcW w:w="48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31,</w:t>
            </w:r>
          </w:p>
        </w:tc>
        <w:tc>
          <w:tcPr>
            <w:tcW w:w="980" w:type="dxa"/>
            <w:vAlign w:val="bottom"/>
            <w:tcBorders>
              <w:bottom w:val="single" w:sz="8" w:color="auto"/>
            </w:tcBorders>
          </w:tcPr>
          <w:p>
            <w:pPr>
              <w:spacing w:after="0"/>
              <w:rPr>
                <w:sz w:val="19"/>
                <w:szCs w:val="19"/>
                <w:color w:val="auto"/>
              </w:rPr>
            </w:pPr>
          </w:p>
        </w:tc>
        <w:tc>
          <w:tcPr>
            <w:tcW w:w="2020" w:type="dxa"/>
            <w:vAlign w:val="bottom"/>
          </w:tcPr>
          <w:p>
            <w:pPr>
              <w:spacing w:after="0"/>
              <w:rPr>
                <w:sz w:val="19"/>
                <w:szCs w:val="19"/>
                <w:color w:val="auto"/>
              </w:rPr>
            </w:pPr>
          </w:p>
        </w:tc>
      </w:tr>
      <w:tr>
        <w:trPr>
          <w:trHeight w:val="196"/>
        </w:trPr>
        <w:tc>
          <w:tcPr>
            <w:tcW w:w="4860" w:type="dxa"/>
            <w:vAlign w:val="bottom"/>
            <w:tcBorders>
              <w:bottom w:val="single" w:sz="8" w:color="C6F4F9"/>
            </w:tcBorders>
          </w:tcPr>
          <w:p>
            <w:pPr>
              <w:spacing w:after="0"/>
              <w:rPr>
                <w:sz w:val="17"/>
                <w:szCs w:val="17"/>
                <w:color w:val="auto"/>
              </w:rPr>
            </w:pPr>
          </w:p>
        </w:tc>
        <w:tc>
          <w:tcPr>
            <w:tcW w:w="1840" w:type="dxa"/>
            <w:vAlign w:val="bottom"/>
            <w:tcBorders>
              <w:bottom w:val="single" w:sz="8" w:color="C6F4F9"/>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2020</w:t>
            </w:r>
          </w:p>
        </w:tc>
        <w:tc>
          <w:tcPr>
            <w:tcW w:w="2020" w:type="dxa"/>
            <w:vAlign w:val="bottom"/>
            <w:tcBorders>
              <w:bottom w:val="single" w:sz="8" w:color="C6F4F9"/>
            </w:tcBorders>
          </w:tcPr>
          <w:p>
            <w:pPr>
              <w:spacing w:after="0"/>
              <w:rPr>
                <w:sz w:val="17"/>
                <w:szCs w:val="17"/>
                <w:color w:val="auto"/>
              </w:rPr>
            </w:pPr>
          </w:p>
        </w:tc>
      </w:tr>
      <w:tr>
        <w:trPr>
          <w:trHeight w:val="196"/>
        </w:trPr>
        <w:tc>
          <w:tcPr>
            <w:tcW w:w="4860" w:type="dxa"/>
            <w:vAlign w:val="bottom"/>
            <w:shd w:val="clear" w:color="auto" w:fill="C6F4F9"/>
          </w:tcPr>
          <w:p>
            <w:pPr>
              <w:spacing w:after="0" w:line="196" w:lineRule="exact"/>
              <w:rPr>
                <w:sz w:val="20"/>
                <w:szCs w:val="20"/>
                <w:color w:val="auto"/>
              </w:rPr>
            </w:pPr>
            <w:r>
              <w:rPr>
                <w:rFonts w:ascii="Arial" w:cs="Arial" w:eastAsia="Arial" w:hAnsi="Arial"/>
                <w:sz w:val="18"/>
                <w:szCs w:val="18"/>
                <w:color w:val="auto"/>
              </w:rPr>
              <w:t>Operating revenue</w:t>
            </w:r>
          </w:p>
        </w:tc>
        <w:tc>
          <w:tcPr>
            <w:tcW w:w="1840" w:type="dxa"/>
            <w:vAlign w:val="bottom"/>
            <w:shd w:val="clear" w:color="auto" w:fill="C6F4F9"/>
          </w:tcPr>
          <w:p>
            <w:pPr>
              <w:spacing w:after="0"/>
              <w:rPr>
                <w:sz w:val="17"/>
                <w:szCs w:val="17"/>
                <w:color w:val="auto"/>
              </w:rPr>
            </w:pPr>
          </w:p>
        </w:tc>
        <w:tc>
          <w:tcPr>
            <w:tcW w:w="260" w:type="dxa"/>
            <w:vAlign w:val="bottom"/>
            <w:shd w:val="clear" w:color="auto" w:fill="C6F4F9"/>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6F4F9"/>
          </w:tcPr>
          <w:p>
            <w:pPr>
              <w:jc w:val="right"/>
              <w:ind w:right="70"/>
              <w:spacing w:after="0" w:line="196" w:lineRule="exact"/>
              <w:rPr>
                <w:sz w:val="20"/>
                <w:szCs w:val="20"/>
                <w:color w:val="auto"/>
              </w:rPr>
            </w:pPr>
            <w:r>
              <w:rPr>
                <w:rFonts w:ascii="Arial" w:cs="Arial" w:eastAsia="Arial" w:hAnsi="Arial"/>
                <w:sz w:val="18"/>
                <w:szCs w:val="18"/>
                <w:color w:val="auto"/>
              </w:rPr>
              <w:t>127,611</w:t>
            </w:r>
          </w:p>
        </w:tc>
        <w:tc>
          <w:tcPr>
            <w:tcW w:w="280" w:type="dxa"/>
            <w:vAlign w:val="bottom"/>
            <w:shd w:val="clear" w:color="auto" w:fill="C6F4F9"/>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6F4F9"/>
          </w:tcPr>
          <w:p>
            <w:pPr>
              <w:jc w:val="right"/>
              <w:ind w:right="70"/>
              <w:spacing w:after="0" w:line="196" w:lineRule="exact"/>
              <w:rPr>
                <w:sz w:val="20"/>
                <w:szCs w:val="20"/>
                <w:color w:val="auto"/>
              </w:rPr>
            </w:pPr>
            <w:r>
              <w:rPr>
                <w:rFonts w:ascii="Arial" w:cs="Arial" w:eastAsia="Arial" w:hAnsi="Arial"/>
                <w:sz w:val="18"/>
                <w:szCs w:val="18"/>
                <w:color w:val="auto"/>
              </w:rPr>
              <w:t>180,330</w:t>
            </w:r>
          </w:p>
        </w:tc>
        <w:tc>
          <w:tcPr>
            <w:tcW w:w="2020" w:type="dxa"/>
            <w:vAlign w:val="bottom"/>
            <w:shd w:val="clear" w:color="auto" w:fill="C6F4F9"/>
          </w:tcPr>
          <w:p>
            <w:pPr>
              <w:spacing w:after="0"/>
              <w:rPr>
                <w:sz w:val="17"/>
                <w:szCs w:val="17"/>
                <w:color w:val="auto"/>
              </w:rPr>
            </w:pP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Operating income</w:t>
            </w:r>
          </w:p>
        </w:tc>
        <w:tc>
          <w:tcPr>
            <w:tcW w:w="1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24,933</w:t>
            </w:r>
          </w:p>
        </w:tc>
        <w:tc>
          <w:tcPr>
            <w:tcW w:w="280" w:type="dxa"/>
            <w:vAlign w:val="bottom"/>
          </w:tcPr>
          <w:p>
            <w:pPr>
              <w:spacing w:after="0"/>
              <w:rPr>
                <w:sz w:val="17"/>
                <w:szCs w:val="17"/>
                <w:color w:val="auto"/>
              </w:rPr>
            </w:pPr>
          </w:p>
        </w:tc>
        <w:tc>
          <w:tcPr>
            <w:tcW w:w="9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15,230</w:t>
            </w:r>
          </w:p>
        </w:tc>
        <w:tc>
          <w:tcPr>
            <w:tcW w:w="2020" w:type="dxa"/>
            <w:vAlign w:val="bottom"/>
          </w:tcPr>
          <w:p>
            <w:pPr>
              <w:spacing w:after="0"/>
              <w:rPr>
                <w:sz w:val="17"/>
                <w:szCs w:val="17"/>
                <w:color w:val="auto"/>
              </w:rPr>
            </w:pPr>
          </w:p>
        </w:tc>
      </w:tr>
      <w:tr>
        <w:trPr>
          <w:trHeight w:val="243"/>
        </w:trPr>
        <w:tc>
          <w:tcPr>
            <w:tcW w:w="4860" w:type="dxa"/>
            <w:vAlign w:val="bottom"/>
            <w:shd w:val="clear" w:color="auto" w:fill="C6F4F9"/>
          </w:tcPr>
          <w:p>
            <w:pPr>
              <w:spacing w:after="0" w:line="243" w:lineRule="exact"/>
              <w:rPr>
                <w:sz w:val="20"/>
                <w:szCs w:val="20"/>
                <w:color w:val="auto"/>
              </w:rPr>
            </w:pPr>
            <w:r>
              <w:rPr>
                <w:rFonts w:ascii="Arial" w:cs="Arial" w:eastAsia="Arial" w:hAnsi="Arial"/>
                <w:sz w:val="17"/>
                <w:szCs w:val="17"/>
                <w:color w:val="auto"/>
              </w:rPr>
              <w:t xml:space="preserve">Special items, net </w:t>
            </w:r>
            <w:r>
              <w:rPr>
                <w:rFonts w:ascii="Arial" w:cs="Arial" w:eastAsia="Arial" w:hAnsi="Arial"/>
                <w:sz w:val="28"/>
                <w:szCs w:val="28"/>
                <w:color w:val="auto"/>
                <w:vertAlign w:val="superscript"/>
              </w:rPr>
              <w:t>(1)</w:t>
            </w:r>
          </w:p>
        </w:tc>
        <w:tc>
          <w:tcPr>
            <w:tcW w:w="1840" w:type="dxa"/>
            <w:vAlign w:val="bottom"/>
            <w:shd w:val="clear" w:color="auto" w:fill="C6F4F9"/>
          </w:tcPr>
          <w:p>
            <w:pPr>
              <w:spacing w:after="0"/>
              <w:rPr>
                <w:sz w:val="21"/>
                <w:szCs w:val="21"/>
                <w:color w:val="auto"/>
              </w:rPr>
            </w:pPr>
          </w:p>
        </w:tc>
        <w:tc>
          <w:tcPr>
            <w:tcW w:w="260" w:type="dxa"/>
            <w:vAlign w:val="bottom"/>
            <w:shd w:val="clear" w:color="auto" w:fill="C6F4F9"/>
          </w:tcPr>
          <w:p>
            <w:pPr>
              <w:spacing w:after="0"/>
              <w:rPr>
                <w:sz w:val="21"/>
                <w:szCs w:val="21"/>
                <w:color w:val="auto"/>
              </w:rPr>
            </w:pPr>
          </w:p>
        </w:tc>
        <w:tc>
          <w:tcPr>
            <w:tcW w:w="1000" w:type="dxa"/>
            <w:vAlign w:val="bottom"/>
            <w:shd w:val="clear" w:color="auto" w:fill="C6F4F9"/>
          </w:tcPr>
          <w:p>
            <w:pPr>
              <w:jc w:val="right"/>
              <w:ind w:right="10"/>
              <w:spacing w:after="0"/>
              <w:rPr>
                <w:sz w:val="20"/>
                <w:szCs w:val="20"/>
                <w:color w:val="auto"/>
              </w:rPr>
            </w:pPr>
            <w:r>
              <w:rPr>
                <w:rFonts w:ascii="Arial" w:cs="Arial" w:eastAsia="Arial" w:hAnsi="Arial"/>
                <w:sz w:val="18"/>
                <w:szCs w:val="18"/>
                <w:color w:val="auto"/>
              </w:rPr>
              <w:t>(26,871)</w:t>
            </w:r>
          </w:p>
        </w:tc>
        <w:tc>
          <w:tcPr>
            <w:tcW w:w="280" w:type="dxa"/>
            <w:vAlign w:val="bottom"/>
            <w:shd w:val="clear" w:color="auto" w:fill="C6F4F9"/>
          </w:tcPr>
          <w:p>
            <w:pPr>
              <w:spacing w:after="0"/>
              <w:rPr>
                <w:sz w:val="21"/>
                <w:szCs w:val="21"/>
                <w:color w:val="auto"/>
              </w:rPr>
            </w:pPr>
          </w:p>
        </w:tc>
        <w:tc>
          <w:tcPr>
            <w:tcW w:w="3000" w:type="dxa"/>
            <w:vAlign w:val="bottom"/>
            <w:gridSpan w:val="2"/>
            <w:shd w:val="clear" w:color="auto" w:fill="C6F4F9"/>
          </w:tcPr>
          <w:p>
            <w:pPr>
              <w:ind w:left="540"/>
              <w:spacing w:after="0"/>
              <w:rPr>
                <w:sz w:val="20"/>
                <w:szCs w:val="20"/>
                <w:color w:val="auto"/>
              </w:rPr>
            </w:pPr>
            <w:r>
              <w:rPr>
                <w:rFonts w:ascii="Arial" w:cs="Arial" w:eastAsia="Arial" w:hAnsi="Arial"/>
                <w:sz w:val="18"/>
                <w:szCs w:val="18"/>
                <w:color w:val="auto"/>
              </w:rPr>
              <w:t>—</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Stock compensation expense</w:t>
            </w:r>
          </w:p>
        </w:tc>
        <w:tc>
          <w:tcPr>
            <w:tcW w:w="1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2,870</w:t>
            </w:r>
          </w:p>
        </w:tc>
        <w:tc>
          <w:tcPr>
            <w:tcW w:w="280" w:type="dxa"/>
            <w:vAlign w:val="bottom"/>
          </w:tcPr>
          <w:p>
            <w:pPr>
              <w:spacing w:after="0"/>
              <w:rPr>
                <w:sz w:val="17"/>
                <w:szCs w:val="17"/>
                <w:color w:val="auto"/>
              </w:rPr>
            </w:pPr>
          </w:p>
        </w:tc>
        <w:tc>
          <w:tcPr>
            <w:tcW w:w="9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369</w:t>
            </w:r>
          </w:p>
        </w:tc>
        <w:tc>
          <w:tcPr>
            <w:tcW w:w="2020" w:type="dxa"/>
            <w:vAlign w:val="bottom"/>
          </w:tcPr>
          <w:p>
            <w:pPr>
              <w:spacing w:after="0"/>
              <w:rPr>
                <w:sz w:val="17"/>
                <w:szCs w:val="17"/>
                <w:color w:val="auto"/>
              </w:rPr>
            </w:pPr>
          </w:p>
        </w:tc>
      </w:tr>
      <w:tr>
        <w:trPr>
          <w:trHeight w:val="257"/>
        </w:trPr>
        <w:tc>
          <w:tcPr>
            <w:tcW w:w="4860" w:type="dxa"/>
            <w:vAlign w:val="bottom"/>
            <w:shd w:val="clear" w:color="auto" w:fill="C6F4F9"/>
          </w:tcPr>
          <w:p>
            <w:pPr>
              <w:spacing w:after="0" w:line="256" w:lineRule="exact"/>
              <w:rPr>
                <w:sz w:val="20"/>
                <w:szCs w:val="20"/>
                <w:color w:val="auto"/>
              </w:rPr>
            </w:pPr>
            <w:r>
              <w:rPr>
                <w:rFonts w:ascii="Arial" w:cs="Arial" w:eastAsia="Arial" w:hAnsi="Arial"/>
                <w:sz w:val="18"/>
                <w:szCs w:val="18"/>
                <w:color w:val="auto"/>
              </w:rPr>
              <w:t xml:space="preserve">Tax receivable agreement expense </w:t>
            </w:r>
            <w:r>
              <w:rPr>
                <w:rFonts w:ascii="Arial" w:cs="Arial" w:eastAsia="Arial" w:hAnsi="Arial"/>
                <w:sz w:val="29"/>
                <w:szCs w:val="29"/>
                <w:color w:val="auto"/>
                <w:vertAlign w:val="superscript"/>
              </w:rPr>
              <w:t>(2)</w:t>
            </w:r>
          </w:p>
        </w:tc>
        <w:tc>
          <w:tcPr>
            <w:tcW w:w="1840" w:type="dxa"/>
            <w:vAlign w:val="bottom"/>
            <w:shd w:val="clear" w:color="auto" w:fill="C6F4F9"/>
          </w:tcPr>
          <w:p>
            <w:pPr>
              <w:spacing w:after="0"/>
              <w:rPr>
                <w:sz w:val="22"/>
                <w:szCs w:val="22"/>
                <w:color w:val="auto"/>
              </w:rPr>
            </w:pPr>
          </w:p>
        </w:tc>
        <w:tc>
          <w:tcPr>
            <w:tcW w:w="260" w:type="dxa"/>
            <w:vAlign w:val="bottom"/>
            <w:tcBorders>
              <w:bottom w:val="single" w:sz="8" w:color="auto"/>
            </w:tcBorders>
            <w:shd w:val="clear" w:color="auto" w:fill="C6F4F9"/>
          </w:tcPr>
          <w:p>
            <w:pPr>
              <w:spacing w:after="0"/>
              <w:rPr>
                <w:sz w:val="22"/>
                <w:szCs w:val="22"/>
                <w:color w:val="auto"/>
              </w:rPr>
            </w:pPr>
          </w:p>
        </w:tc>
        <w:tc>
          <w:tcPr>
            <w:tcW w:w="1000" w:type="dxa"/>
            <w:vAlign w:val="bottom"/>
            <w:tcBorders>
              <w:bottom w:val="single" w:sz="8" w:color="auto"/>
            </w:tcBorders>
            <w:shd w:val="clear" w:color="auto" w:fill="C6F4F9"/>
          </w:tcPr>
          <w:p>
            <w:pPr>
              <w:jc w:val="right"/>
              <w:ind w:right="70"/>
              <w:spacing w:after="0"/>
              <w:rPr>
                <w:sz w:val="20"/>
                <w:szCs w:val="20"/>
                <w:color w:val="auto"/>
              </w:rPr>
            </w:pPr>
            <w:r>
              <w:rPr>
                <w:rFonts w:ascii="Arial" w:cs="Arial" w:eastAsia="Arial" w:hAnsi="Arial"/>
                <w:sz w:val="18"/>
                <w:szCs w:val="18"/>
                <w:color w:val="auto"/>
              </w:rPr>
              <w:t>264</w:t>
            </w:r>
          </w:p>
        </w:tc>
        <w:tc>
          <w:tcPr>
            <w:tcW w:w="280" w:type="dxa"/>
            <w:vAlign w:val="bottom"/>
            <w:tcBorders>
              <w:bottom w:val="single" w:sz="8" w:color="auto"/>
            </w:tcBorders>
            <w:shd w:val="clear" w:color="auto" w:fill="C6F4F9"/>
          </w:tcPr>
          <w:p>
            <w:pPr>
              <w:spacing w:after="0"/>
              <w:rPr>
                <w:sz w:val="22"/>
                <w:szCs w:val="22"/>
                <w:color w:val="auto"/>
              </w:rPr>
            </w:pPr>
          </w:p>
        </w:tc>
        <w:tc>
          <w:tcPr>
            <w:tcW w:w="980" w:type="dxa"/>
            <w:vAlign w:val="bottom"/>
            <w:tcBorders>
              <w:bottom w:val="single" w:sz="8" w:color="auto"/>
            </w:tcBorders>
            <w:shd w:val="clear" w:color="auto" w:fill="C6F4F9"/>
          </w:tcPr>
          <w:p>
            <w:pPr>
              <w:ind w:left="54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6F4F9"/>
          </w:tcPr>
          <w:p>
            <w:pPr>
              <w:spacing w:after="0"/>
              <w:rPr>
                <w:sz w:val="22"/>
                <w:szCs w:val="22"/>
                <w:color w:val="auto"/>
              </w:rPr>
            </w:pPr>
          </w:p>
        </w:tc>
      </w:tr>
      <w:tr>
        <w:trPr>
          <w:trHeight w:val="249"/>
        </w:trPr>
        <w:tc>
          <w:tcPr>
            <w:tcW w:w="4860" w:type="dxa"/>
            <w:vAlign w:val="bottom"/>
          </w:tcPr>
          <w:p>
            <w:pPr>
              <w:spacing w:after="0" w:line="197" w:lineRule="exact"/>
              <w:rPr>
                <w:sz w:val="20"/>
                <w:szCs w:val="20"/>
                <w:color w:val="auto"/>
              </w:rPr>
            </w:pPr>
            <w:r>
              <w:rPr>
                <w:rFonts w:ascii="Arial" w:cs="Arial" w:eastAsia="Arial" w:hAnsi="Arial"/>
                <w:sz w:val="18"/>
                <w:szCs w:val="18"/>
                <w:color w:val="auto"/>
              </w:rPr>
              <w:t>Adjusted operating income</w:t>
            </w:r>
          </w:p>
        </w:tc>
        <w:tc>
          <w:tcPr>
            <w:tcW w:w="21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1,196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15,599</w:t>
            </w:r>
          </w:p>
        </w:tc>
        <w:tc>
          <w:tcPr>
            <w:tcW w:w="2020" w:type="dxa"/>
            <w:vAlign w:val="bottom"/>
          </w:tcPr>
          <w:p>
            <w:pPr>
              <w:spacing w:after="0"/>
              <w:rPr>
                <w:sz w:val="21"/>
                <w:szCs w:val="21"/>
                <w:color w:val="auto"/>
              </w:rPr>
            </w:pPr>
          </w:p>
        </w:tc>
      </w:tr>
      <w:tr>
        <w:trPr>
          <w:trHeight w:val="183"/>
        </w:trPr>
        <w:tc>
          <w:tcPr>
            <w:tcW w:w="4860" w:type="dxa"/>
            <w:vAlign w:val="bottom"/>
            <w:tcBorders>
              <w:top w:val="single" w:sz="8" w:color="C6F4F9"/>
            </w:tcBorders>
            <w:shd w:val="clear" w:color="auto" w:fill="C6F4F9"/>
          </w:tcPr>
          <w:p>
            <w:pPr>
              <w:spacing w:after="0"/>
              <w:rPr>
                <w:sz w:val="15"/>
                <w:szCs w:val="15"/>
                <w:color w:val="auto"/>
              </w:rPr>
            </w:pPr>
          </w:p>
        </w:tc>
        <w:tc>
          <w:tcPr>
            <w:tcW w:w="1840" w:type="dxa"/>
            <w:vAlign w:val="bottom"/>
            <w:tcBorders>
              <w:top w:val="single" w:sz="8" w:color="C6F4F9"/>
            </w:tcBorders>
            <w:shd w:val="clear" w:color="auto" w:fill="C6F4F9"/>
          </w:tcPr>
          <w:p>
            <w:pPr>
              <w:spacing w:after="0"/>
              <w:rPr>
                <w:sz w:val="15"/>
                <w:szCs w:val="15"/>
                <w:color w:val="auto"/>
              </w:rPr>
            </w:pPr>
          </w:p>
        </w:tc>
        <w:tc>
          <w:tcPr>
            <w:tcW w:w="260" w:type="dxa"/>
            <w:vAlign w:val="bottom"/>
            <w:tcBorders>
              <w:top w:val="single" w:sz="8" w:color="auto"/>
            </w:tcBorders>
            <w:shd w:val="clear" w:color="auto" w:fill="C6F4F9"/>
          </w:tcPr>
          <w:p>
            <w:pPr>
              <w:spacing w:after="0"/>
              <w:rPr>
                <w:sz w:val="15"/>
                <w:szCs w:val="15"/>
                <w:color w:val="auto"/>
              </w:rPr>
            </w:pPr>
          </w:p>
        </w:tc>
        <w:tc>
          <w:tcPr>
            <w:tcW w:w="1000" w:type="dxa"/>
            <w:vAlign w:val="bottom"/>
            <w:tcBorders>
              <w:top w:val="single" w:sz="8" w:color="auto"/>
            </w:tcBorders>
            <w:shd w:val="clear" w:color="auto" w:fill="C6F4F9"/>
          </w:tcPr>
          <w:p>
            <w:pPr>
              <w:spacing w:after="0"/>
              <w:rPr>
                <w:sz w:val="15"/>
                <w:szCs w:val="15"/>
                <w:color w:val="auto"/>
              </w:rPr>
            </w:pPr>
          </w:p>
        </w:tc>
        <w:tc>
          <w:tcPr>
            <w:tcW w:w="280" w:type="dxa"/>
            <w:vAlign w:val="bottom"/>
            <w:tcBorders>
              <w:top w:val="single" w:sz="8" w:color="auto"/>
            </w:tcBorders>
            <w:shd w:val="clear" w:color="auto" w:fill="C6F4F9"/>
          </w:tcPr>
          <w:p>
            <w:pPr>
              <w:spacing w:after="0"/>
              <w:rPr>
                <w:sz w:val="15"/>
                <w:szCs w:val="15"/>
                <w:color w:val="auto"/>
              </w:rPr>
            </w:pPr>
          </w:p>
        </w:tc>
        <w:tc>
          <w:tcPr>
            <w:tcW w:w="980" w:type="dxa"/>
            <w:vAlign w:val="bottom"/>
            <w:tcBorders>
              <w:top w:val="single" w:sz="8" w:color="auto"/>
            </w:tcBorders>
            <w:shd w:val="clear" w:color="auto" w:fill="C6F4F9"/>
          </w:tcPr>
          <w:p>
            <w:pPr>
              <w:spacing w:after="0"/>
              <w:rPr>
                <w:sz w:val="15"/>
                <w:szCs w:val="15"/>
                <w:color w:val="auto"/>
              </w:rPr>
            </w:pPr>
          </w:p>
        </w:tc>
        <w:tc>
          <w:tcPr>
            <w:tcW w:w="2020" w:type="dxa"/>
            <w:vAlign w:val="bottom"/>
            <w:tcBorders>
              <w:top w:val="single" w:sz="8" w:color="C6F4F9"/>
            </w:tcBorders>
            <w:shd w:val="clear" w:color="auto" w:fill="C6F4F9"/>
          </w:tcPr>
          <w:p>
            <w:pPr>
              <w:spacing w:after="0"/>
              <w:rPr>
                <w:sz w:val="15"/>
                <w:szCs w:val="15"/>
                <w:color w:val="auto"/>
              </w:rPr>
            </w:pP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Operating income margin</w:t>
            </w:r>
          </w:p>
        </w:tc>
        <w:tc>
          <w:tcPr>
            <w:tcW w:w="1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19.5%</w:t>
            </w:r>
          </w:p>
        </w:tc>
        <w:tc>
          <w:tcPr>
            <w:tcW w:w="2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8.4%</w:t>
            </w:r>
          </w:p>
        </w:tc>
        <w:tc>
          <w:tcPr>
            <w:tcW w:w="2020" w:type="dxa"/>
            <w:vAlign w:val="bottom"/>
          </w:tcPr>
          <w:p>
            <w:pPr>
              <w:spacing w:after="0"/>
              <w:rPr>
                <w:sz w:val="17"/>
                <w:szCs w:val="17"/>
                <w:color w:val="auto"/>
              </w:rPr>
            </w:pPr>
          </w:p>
        </w:tc>
      </w:tr>
      <w:tr>
        <w:trPr>
          <w:trHeight w:val="203"/>
        </w:trPr>
        <w:tc>
          <w:tcPr>
            <w:tcW w:w="48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Adjusted operating income margin</w:t>
            </w:r>
          </w:p>
        </w:tc>
        <w:tc>
          <w:tcPr>
            <w:tcW w:w="1840" w:type="dxa"/>
            <w:vAlign w:val="bottom"/>
            <w:shd w:val="clear" w:color="auto" w:fill="C6F4F9"/>
          </w:tcPr>
          <w:p>
            <w:pPr>
              <w:spacing w:after="0"/>
              <w:rPr>
                <w:sz w:val="17"/>
                <w:szCs w:val="17"/>
                <w:color w:val="auto"/>
              </w:rPr>
            </w:pPr>
          </w:p>
        </w:tc>
        <w:tc>
          <w:tcPr>
            <w:tcW w:w="260" w:type="dxa"/>
            <w:vAlign w:val="bottom"/>
            <w:shd w:val="clear" w:color="auto" w:fill="C6F4F9"/>
          </w:tcPr>
          <w:p>
            <w:pPr>
              <w:spacing w:after="0"/>
              <w:rPr>
                <w:sz w:val="17"/>
                <w:szCs w:val="17"/>
                <w:color w:val="auto"/>
              </w:rPr>
            </w:pPr>
          </w:p>
        </w:tc>
        <w:tc>
          <w:tcPr>
            <w:tcW w:w="100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0.9%</w:t>
            </w:r>
          </w:p>
        </w:tc>
        <w:tc>
          <w:tcPr>
            <w:tcW w:w="280" w:type="dxa"/>
            <w:vAlign w:val="bottom"/>
            <w:shd w:val="clear" w:color="auto" w:fill="C6F4F9"/>
          </w:tcPr>
          <w:p>
            <w:pPr>
              <w:spacing w:after="0"/>
              <w:rPr>
                <w:sz w:val="17"/>
                <w:szCs w:val="17"/>
                <w:color w:val="auto"/>
              </w:rPr>
            </w:pPr>
          </w:p>
        </w:tc>
        <w:tc>
          <w:tcPr>
            <w:tcW w:w="98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8.7%</w:t>
            </w:r>
          </w:p>
        </w:tc>
        <w:tc>
          <w:tcPr>
            <w:tcW w:w="2020" w:type="dxa"/>
            <w:vAlign w:val="bottom"/>
            <w:shd w:val="clear" w:color="auto" w:fill="C6F4F9"/>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-1662430</wp:posOffset>
            </wp:positionV>
            <wp:extent cx="1276985" cy="5314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6985" cy="53149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-1002665</wp:posOffset>
            </wp:positionV>
            <wp:extent cx="1276985"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6985" cy="15430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-719455</wp:posOffset>
            </wp:positionV>
            <wp:extent cx="1276985" cy="163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6985" cy="16319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-402590</wp:posOffset>
            </wp:positionV>
            <wp:extent cx="1276985"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6985" cy="14605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-128270</wp:posOffset>
            </wp:positionV>
            <wp:extent cx="127698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6985" cy="128905"/>
                    </a:xfrm>
                    <a:prstGeom prst="rect">
                      <a:avLst/>
                    </a:prstGeom>
                    <a:noFill/>
                  </pic:spPr>
                </pic:pic>
              </a:graphicData>
            </a:graphic>
          </wp:anchor>
        </w:drawing>
      </w:r>
    </w:p>
    <w:p>
      <w:pPr>
        <w:spacing w:after="0" w:line="17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 special items table above for more details</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represents the one-time costs to establish the Tax Receivable Agreement with our pre-IPO stockholders</w:t>
      </w:r>
    </w:p>
    <w:p>
      <w:pPr>
        <w:spacing w:after="0" w:line="176" w:lineRule="exact"/>
        <w:rPr>
          <w:sz w:val="20"/>
          <w:szCs w:val="20"/>
          <w:color w:val="auto"/>
        </w:rPr>
      </w:pPr>
    </w:p>
    <w:p>
      <w:pPr>
        <w:ind w:right="3560"/>
        <w:spacing w:after="0" w:line="255" w:lineRule="auto"/>
        <w:rPr>
          <w:sz w:val="20"/>
          <w:szCs w:val="20"/>
          <w:color w:val="auto"/>
        </w:rPr>
      </w:pPr>
      <w:r>
        <w:rPr>
          <w:rFonts w:ascii="Arial" w:cs="Arial" w:eastAsia="Arial" w:hAnsi="Arial"/>
          <w:sz w:val="18"/>
          <w:szCs w:val="18"/>
          <w:b w:val="1"/>
          <w:bCs w:val="1"/>
          <w:color w:val="auto"/>
        </w:rPr>
        <w:t>Reconciliation of Adjusted Income Before Income Tax to GAAP Income Before Income tax Dollars in thousands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following table presents the reconciliation of adjusted income before income tax to GAAP income before income tax.</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gridSpan w:val="4"/>
          </w:tcPr>
          <w:p>
            <w:pPr>
              <w:ind w:left="20"/>
              <w:spacing w:after="0"/>
              <w:rPr>
                <w:sz w:val="20"/>
                <w:szCs w:val="20"/>
                <w:color w:val="auto"/>
              </w:rPr>
            </w:pPr>
            <w:r>
              <w:rPr>
                <w:rFonts w:ascii="Arial" w:cs="Arial" w:eastAsia="Arial" w:hAnsi="Arial"/>
                <w:sz w:val="18"/>
                <w:szCs w:val="18"/>
                <w:b w:val="1"/>
                <w:bCs w:val="1"/>
                <w:color w:val="auto"/>
              </w:rPr>
              <w:t>Three Months Ended March</w:t>
            </w:r>
          </w:p>
        </w:tc>
      </w:tr>
      <w:tr>
        <w:trPr>
          <w:trHeight w:val="225"/>
        </w:trPr>
        <w:tc>
          <w:tcPr>
            <w:tcW w:w="6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31,</w:t>
            </w:r>
          </w:p>
        </w:tc>
        <w:tc>
          <w:tcPr>
            <w:tcW w:w="1000" w:type="dxa"/>
            <w:vAlign w:val="bottom"/>
            <w:tcBorders>
              <w:bottom w:val="single" w:sz="8" w:color="auto"/>
            </w:tcBorders>
          </w:tcPr>
          <w:p>
            <w:pPr>
              <w:spacing w:after="0"/>
              <w:rPr>
                <w:sz w:val="19"/>
                <w:szCs w:val="19"/>
                <w:color w:val="auto"/>
              </w:rPr>
            </w:pPr>
          </w:p>
        </w:tc>
        <w:tc>
          <w:tcPr>
            <w:tcW w:w="1980" w:type="dxa"/>
            <w:vAlign w:val="bottom"/>
          </w:tcPr>
          <w:p>
            <w:pPr>
              <w:spacing w:after="0"/>
              <w:rPr>
                <w:sz w:val="19"/>
                <w:szCs w:val="19"/>
                <w:color w:val="auto"/>
              </w:rPr>
            </w:pPr>
          </w:p>
        </w:tc>
      </w:tr>
      <w:tr>
        <w:trPr>
          <w:trHeight w:val="196"/>
        </w:trPr>
        <w:tc>
          <w:tcPr>
            <w:tcW w:w="6640" w:type="dxa"/>
            <w:vAlign w:val="bottom"/>
            <w:tcBorders>
              <w:bottom w:val="single" w:sz="8" w:color="C6F4F9"/>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2020</w:t>
            </w:r>
          </w:p>
        </w:tc>
        <w:tc>
          <w:tcPr>
            <w:tcW w:w="1980" w:type="dxa"/>
            <w:vAlign w:val="bottom"/>
            <w:tcBorders>
              <w:bottom w:val="single" w:sz="8" w:color="C6F4F9"/>
            </w:tcBorders>
          </w:tcPr>
          <w:p>
            <w:pPr>
              <w:spacing w:after="0"/>
              <w:rPr>
                <w:sz w:val="17"/>
                <w:szCs w:val="17"/>
                <w:color w:val="auto"/>
              </w:rPr>
            </w:pPr>
          </w:p>
        </w:tc>
      </w:tr>
      <w:tr>
        <w:trPr>
          <w:trHeight w:val="196"/>
        </w:trPr>
        <w:tc>
          <w:tcPr>
            <w:tcW w:w="6640" w:type="dxa"/>
            <w:vAlign w:val="bottom"/>
            <w:shd w:val="clear" w:color="auto" w:fill="C6F4F9"/>
          </w:tcPr>
          <w:p>
            <w:pPr>
              <w:spacing w:after="0" w:line="196" w:lineRule="exact"/>
              <w:rPr>
                <w:sz w:val="20"/>
                <w:szCs w:val="20"/>
                <w:color w:val="auto"/>
              </w:rPr>
            </w:pPr>
            <w:r>
              <w:rPr>
                <w:rFonts w:ascii="Arial" w:cs="Arial" w:eastAsia="Arial" w:hAnsi="Arial"/>
                <w:sz w:val="18"/>
                <w:szCs w:val="18"/>
                <w:color w:val="auto"/>
              </w:rPr>
              <w:t>Net Income</w:t>
            </w:r>
          </w:p>
        </w:tc>
        <w:tc>
          <w:tcPr>
            <w:tcW w:w="120" w:type="dxa"/>
            <w:vAlign w:val="bottom"/>
            <w:shd w:val="clear" w:color="auto" w:fill="C6F4F9"/>
          </w:tcPr>
          <w:p>
            <w:pPr>
              <w:jc w:val="right"/>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shd w:val="clear" w:color="auto" w:fill="C6F4F9"/>
          </w:tcPr>
          <w:p>
            <w:pPr>
              <w:jc w:val="right"/>
              <w:ind w:right="130"/>
              <w:spacing w:after="0" w:line="196" w:lineRule="exact"/>
              <w:rPr>
                <w:sz w:val="20"/>
                <w:szCs w:val="20"/>
                <w:color w:val="auto"/>
              </w:rPr>
            </w:pPr>
            <w:r>
              <w:rPr>
                <w:rFonts w:ascii="Arial" w:cs="Arial" w:eastAsia="Arial" w:hAnsi="Arial"/>
                <w:sz w:val="18"/>
                <w:szCs w:val="18"/>
                <w:color w:val="auto"/>
              </w:rPr>
              <w:t>12,416</w:t>
            </w:r>
          </w:p>
        </w:tc>
        <w:tc>
          <w:tcPr>
            <w:tcW w:w="280" w:type="dxa"/>
            <w:vAlign w:val="bottom"/>
            <w:shd w:val="clear" w:color="auto" w:fill="C6F4F9"/>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6F4F9"/>
          </w:tcPr>
          <w:p>
            <w:pPr>
              <w:jc w:val="right"/>
              <w:ind w:right="70"/>
              <w:spacing w:after="0" w:line="196" w:lineRule="exact"/>
              <w:rPr>
                <w:sz w:val="20"/>
                <w:szCs w:val="20"/>
                <w:color w:val="auto"/>
              </w:rPr>
            </w:pPr>
            <w:r>
              <w:rPr>
                <w:rFonts w:ascii="Arial" w:cs="Arial" w:eastAsia="Arial" w:hAnsi="Arial"/>
                <w:sz w:val="18"/>
                <w:szCs w:val="18"/>
                <w:color w:val="auto"/>
              </w:rPr>
              <w:t>7,251</w:t>
            </w:r>
          </w:p>
        </w:tc>
        <w:tc>
          <w:tcPr>
            <w:tcW w:w="1980" w:type="dxa"/>
            <w:vAlign w:val="bottom"/>
            <w:shd w:val="clear" w:color="auto" w:fill="C6F4F9"/>
          </w:tcPr>
          <w:p>
            <w:pPr>
              <w:spacing w:after="0"/>
              <w:rPr>
                <w:sz w:val="17"/>
                <w:szCs w:val="17"/>
                <w:color w:val="auto"/>
              </w:rPr>
            </w:pPr>
          </w:p>
        </w:tc>
      </w:tr>
      <w:tr>
        <w:trPr>
          <w:trHeight w:val="216"/>
        </w:trPr>
        <w:tc>
          <w:tcPr>
            <w:tcW w:w="6640" w:type="dxa"/>
            <w:vAlign w:val="bottom"/>
            <w:tcBorders>
              <w:bottom w:val="single" w:sz="8" w:color="C6F4F9"/>
            </w:tcBorders>
          </w:tcPr>
          <w:p>
            <w:pPr>
              <w:spacing w:after="0"/>
              <w:rPr>
                <w:sz w:val="20"/>
                <w:szCs w:val="20"/>
                <w:color w:val="auto"/>
              </w:rPr>
            </w:pPr>
            <w:r>
              <w:rPr>
                <w:rFonts w:ascii="Arial" w:cs="Arial" w:eastAsia="Arial" w:hAnsi="Arial"/>
                <w:sz w:val="18"/>
                <w:szCs w:val="18"/>
                <w:color w:val="auto"/>
              </w:rPr>
              <w:t>Add: Provision for income tax expense</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5,406</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2,445</w:t>
            </w:r>
          </w:p>
        </w:tc>
        <w:tc>
          <w:tcPr>
            <w:tcW w:w="1980" w:type="dxa"/>
            <w:vAlign w:val="bottom"/>
            <w:tcBorders>
              <w:bottom w:val="single" w:sz="8" w:color="C6F4F9"/>
            </w:tcBorders>
          </w:tcPr>
          <w:p>
            <w:pPr>
              <w:spacing w:after="0"/>
              <w:rPr>
                <w:sz w:val="18"/>
                <w:szCs w:val="18"/>
                <w:color w:val="auto"/>
              </w:rPr>
            </w:pPr>
          </w:p>
        </w:tc>
      </w:tr>
      <w:tr>
        <w:trPr>
          <w:trHeight w:val="196"/>
        </w:trPr>
        <w:tc>
          <w:tcPr>
            <w:tcW w:w="6640" w:type="dxa"/>
            <w:vAlign w:val="bottom"/>
            <w:shd w:val="clear" w:color="auto" w:fill="C6F4F9"/>
          </w:tcPr>
          <w:p>
            <w:pPr>
              <w:spacing w:after="0" w:line="196" w:lineRule="exact"/>
              <w:rPr>
                <w:sz w:val="20"/>
                <w:szCs w:val="20"/>
                <w:color w:val="auto"/>
              </w:rPr>
            </w:pPr>
            <w:r>
              <w:rPr>
                <w:rFonts w:ascii="Arial" w:cs="Arial" w:eastAsia="Arial" w:hAnsi="Arial"/>
                <w:sz w:val="18"/>
                <w:szCs w:val="18"/>
                <w:color w:val="auto"/>
              </w:rPr>
              <w:t>Income before income tax, as reported</w:t>
            </w:r>
          </w:p>
        </w:tc>
        <w:tc>
          <w:tcPr>
            <w:tcW w:w="120" w:type="dxa"/>
            <w:vAlign w:val="bottom"/>
            <w:shd w:val="clear" w:color="auto" w:fill="C6F4F9"/>
          </w:tcPr>
          <w:p>
            <w:pPr>
              <w:spacing w:after="0"/>
              <w:rPr>
                <w:sz w:val="17"/>
                <w:szCs w:val="17"/>
                <w:color w:val="auto"/>
              </w:rPr>
            </w:pPr>
          </w:p>
        </w:tc>
        <w:tc>
          <w:tcPr>
            <w:tcW w:w="1220" w:type="dxa"/>
            <w:vAlign w:val="bottom"/>
            <w:shd w:val="clear" w:color="auto" w:fill="C6F4F9"/>
          </w:tcPr>
          <w:p>
            <w:pPr>
              <w:jc w:val="right"/>
              <w:ind w:right="130"/>
              <w:spacing w:after="0" w:line="196" w:lineRule="exact"/>
              <w:rPr>
                <w:sz w:val="20"/>
                <w:szCs w:val="20"/>
                <w:color w:val="auto"/>
              </w:rPr>
            </w:pPr>
            <w:r>
              <w:rPr>
                <w:rFonts w:ascii="Arial" w:cs="Arial" w:eastAsia="Arial" w:hAnsi="Arial"/>
                <w:sz w:val="18"/>
                <w:szCs w:val="18"/>
                <w:color w:val="auto"/>
              </w:rPr>
              <w:t>17,822</w:t>
            </w:r>
          </w:p>
        </w:tc>
        <w:tc>
          <w:tcPr>
            <w:tcW w:w="280" w:type="dxa"/>
            <w:vAlign w:val="bottom"/>
            <w:shd w:val="clear" w:color="auto" w:fill="C6F4F9"/>
          </w:tcPr>
          <w:p>
            <w:pPr>
              <w:spacing w:after="0"/>
              <w:rPr>
                <w:sz w:val="17"/>
                <w:szCs w:val="17"/>
                <w:color w:val="auto"/>
              </w:rPr>
            </w:pPr>
          </w:p>
        </w:tc>
        <w:tc>
          <w:tcPr>
            <w:tcW w:w="1000" w:type="dxa"/>
            <w:vAlign w:val="bottom"/>
            <w:shd w:val="clear" w:color="auto" w:fill="C6F4F9"/>
          </w:tcPr>
          <w:p>
            <w:pPr>
              <w:jc w:val="right"/>
              <w:ind w:right="70"/>
              <w:spacing w:after="0" w:line="196" w:lineRule="exact"/>
              <w:rPr>
                <w:sz w:val="20"/>
                <w:szCs w:val="20"/>
                <w:color w:val="auto"/>
              </w:rPr>
            </w:pPr>
            <w:r>
              <w:rPr>
                <w:rFonts w:ascii="Arial" w:cs="Arial" w:eastAsia="Arial" w:hAnsi="Arial"/>
                <w:sz w:val="18"/>
                <w:szCs w:val="18"/>
                <w:color w:val="auto"/>
              </w:rPr>
              <w:t>9,696</w:t>
            </w:r>
          </w:p>
        </w:tc>
        <w:tc>
          <w:tcPr>
            <w:tcW w:w="1980" w:type="dxa"/>
            <w:vAlign w:val="bottom"/>
            <w:shd w:val="clear" w:color="auto" w:fill="C6F4F9"/>
          </w:tcPr>
          <w:p>
            <w:pPr>
              <w:spacing w:after="0"/>
              <w:rPr>
                <w:sz w:val="17"/>
                <w:szCs w:val="17"/>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Pre-tax margin</w:t>
            </w:r>
          </w:p>
        </w:tc>
        <w:tc>
          <w:tcPr>
            <w:tcW w:w="1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14.0%</w:t>
            </w:r>
          </w:p>
        </w:tc>
        <w:tc>
          <w:tcPr>
            <w:tcW w:w="2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c>
          <w:tcPr>
            <w:tcW w:w="1980" w:type="dxa"/>
            <w:vAlign w:val="bottom"/>
          </w:tcPr>
          <w:p>
            <w:pPr>
              <w:spacing w:after="0"/>
              <w:rPr>
                <w:sz w:val="17"/>
                <w:szCs w:val="17"/>
                <w:color w:val="auto"/>
              </w:rPr>
            </w:pPr>
          </w:p>
        </w:tc>
      </w:tr>
      <w:tr>
        <w:trPr>
          <w:trHeight w:val="203"/>
        </w:trPr>
        <w:tc>
          <w:tcPr>
            <w:tcW w:w="6640" w:type="dxa"/>
            <w:vAlign w:val="bottom"/>
            <w:shd w:val="clear" w:color="auto" w:fill="C6F4F9"/>
          </w:tcPr>
          <w:p>
            <w:pPr>
              <w:spacing w:after="0"/>
              <w:rPr>
                <w:sz w:val="17"/>
                <w:szCs w:val="17"/>
                <w:color w:val="auto"/>
              </w:rPr>
            </w:pPr>
          </w:p>
        </w:tc>
        <w:tc>
          <w:tcPr>
            <w:tcW w:w="120" w:type="dxa"/>
            <w:vAlign w:val="bottom"/>
            <w:shd w:val="clear" w:color="auto" w:fill="C6F4F9"/>
          </w:tcPr>
          <w:p>
            <w:pPr>
              <w:spacing w:after="0"/>
              <w:rPr>
                <w:sz w:val="17"/>
                <w:szCs w:val="17"/>
                <w:color w:val="auto"/>
              </w:rPr>
            </w:pPr>
          </w:p>
        </w:tc>
        <w:tc>
          <w:tcPr>
            <w:tcW w:w="1220" w:type="dxa"/>
            <w:vAlign w:val="bottom"/>
            <w:shd w:val="clear" w:color="auto" w:fill="C6F4F9"/>
          </w:tcPr>
          <w:p>
            <w:pPr>
              <w:spacing w:after="0"/>
              <w:rPr>
                <w:sz w:val="17"/>
                <w:szCs w:val="17"/>
                <w:color w:val="auto"/>
              </w:rPr>
            </w:pPr>
          </w:p>
        </w:tc>
        <w:tc>
          <w:tcPr>
            <w:tcW w:w="280" w:type="dxa"/>
            <w:vAlign w:val="bottom"/>
            <w:shd w:val="clear" w:color="auto" w:fill="C6F4F9"/>
          </w:tcPr>
          <w:p>
            <w:pPr>
              <w:spacing w:after="0"/>
              <w:rPr>
                <w:sz w:val="17"/>
                <w:szCs w:val="17"/>
                <w:color w:val="auto"/>
              </w:rPr>
            </w:pPr>
          </w:p>
        </w:tc>
        <w:tc>
          <w:tcPr>
            <w:tcW w:w="1000" w:type="dxa"/>
            <w:vAlign w:val="bottom"/>
            <w:shd w:val="clear" w:color="auto" w:fill="C6F4F9"/>
          </w:tcPr>
          <w:p>
            <w:pPr>
              <w:spacing w:after="0"/>
              <w:rPr>
                <w:sz w:val="17"/>
                <w:szCs w:val="17"/>
                <w:color w:val="auto"/>
              </w:rPr>
            </w:pPr>
          </w:p>
        </w:tc>
        <w:tc>
          <w:tcPr>
            <w:tcW w:w="1980" w:type="dxa"/>
            <w:vAlign w:val="bottom"/>
            <w:shd w:val="clear" w:color="auto" w:fill="C6F4F9"/>
          </w:tcPr>
          <w:p>
            <w:pPr>
              <w:spacing w:after="0"/>
              <w:rPr>
                <w:sz w:val="17"/>
                <w:szCs w:val="17"/>
                <w:color w:val="auto"/>
              </w:rPr>
            </w:pPr>
          </w:p>
        </w:tc>
      </w:tr>
      <w:tr>
        <w:trPr>
          <w:trHeight w:val="243"/>
        </w:trPr>
        <w:tc>
          <w:tcPr>
            <w:tcW w:w="6640" w:type="dxa"/>
            <w:vAlign w:val="bottom"/>
          </w:tcPr>
          <w:p>
            <w:pPr>
              <w:spacing w:after="0" w:line="243" w:lineRule="exact"/>
              <w:rPr>
                <w:sz w:val="20"/>
                <w:szCs w:val="20"/>
                <w:color w:val="auto"/>
              </w:rPr>
            </w:pPr>
            <w:r>
              <w:rPr>
                <w:rFonts w:ascii="Arial" w:cs="Arial" w:eastAsia="Arial" w:hAnsi="Arial"/>
                <w:sz w:val="17"/>
                <w:szCs w:val="17"/>
                <w:color w:val="auto"/>
              </w:rPr>
              <w:t xml:space="preserve">Add: Special items, net </w:t>
            </w:r>
            <w:r>
              <w:rPr>
                <w:rFonts w:ascii="Arial" w:cs="Arial" w:eastAsia="Arial" w:hAnsi="Arial"/>
                <w:sz w:val="28"/>
                <w:szCs w:val="28"/>
                <w:color w:val="auto"/>
                <w:vertAlign w:val="superscript"/>
              </w:rPr>
              <w:t>(1)</w:t>
            </w:r>
          </w:p>
        </w:tc>
        <w:tc>
          <w:tcPr>
            <w:tcW w:w="12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(26,871)</w:t>
            </w:r>
          </w:p>
        </w:tc>
        <w:tc>
          <w:tcPr>
            <w:tcW w:w="280" w:type="dxa"/>
            <w:vAlign w:val="bottom"/>
          </w:tcPr>
          <w:p>
            <w:pPr>
              <w:spacing w:after="0"/>
              <w:rPr>
                <w:sz w:val="21"/>
                <w:szCs w:val="21"/>
                <w:color w:val="auto"/>
              </w:rPr>
            </w:pPr>
          </w:p>
        </w:tc>
        <w:tc>
          <w:tcPr>
            <w:tcW w:w="2980" w:type="dxa"/>
            <w:vAlign w:val="bottom"/>
            <w:gridSpan w:val="2"/>
          </w:tcPr>
          <w:p>
            <w:pPr>
              <w:ind w:left="560"/>
              <w:spacing w:after="0"/>
              <w:rPr>
                <w:sz w:val="20"/>
                <w:szCs w:val="20"/>
                <w:color w:val="auto"/>
              </w:rPr>
            </w:pPr>
            <w:r>
              <w:rPr>
                <w:rFonts w:ascii="Arial" w:cs="Arial" w:eastAsia="Arial" w:hAnsi="Arial"/>
                <w:sz w:val="18"/>
                <w:szCs w:val="18"/>
                <w:color w:val="auto"/>
              </w:rPr>
              <w:t>—</w:t>
            </w:r>
          </w:p>
        </w:tc>
      </w:tr>
      <w:tr>
        <w:trPr>
          <w:trHeight w:val="203"/>
        </w:trPr>
        <w:tc>
          <w:tcPr>
            <w:tcW w:w="664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Add: Stock compensation expense</w:t>
            </w:r>
          </w:p>
        </w:tc>
        <w:tc>
          <w:tcPr>
            <w:tcW w:w="120" w:type="dxa"/>
            <w:vAlign w:val="bottom"/>
            <w:shd w:val="clear" w:color="auto" w:fill="C6F4F9"/>
          </w:tcPr>
          <w:p>
            <w:pPr>
              <w:spacing w:after="0"/>
              <w:rPr>
                <w:sz w:val="17"/>
                <w:szCs w:val="17"/>
                <w:color w:val="auto"/>
              </w:rPr>
            </w:pPr>
          </w:p>
        </w:tc>
        <w:tc>
          <w:tcPr>
            <w:tcW w:w="122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2,870</w:t>
            </w:r>
          </w:p>
        </w:tc>
        <w:tc>
          <w:tcPr>
            <w:tcW w:w="280" w:type="dxa"/>
            <w:vAlign w:val="bottom"/>
            <w:shd w:val="clear" w:color="auto" w:fill="C6F4F9"/>
          </w:tcPr>
          <w:p>
            <w:pPr>
              <w:spacing w:after="0"/>
              <w:rPr>
                <w:sz w:val="17"/>
                <w:szCs w:val="17"/>
                <w:color w:val="auto"/>
              </w:rPr>
            </w:pPr>
          </w:p>
        </w:tc>
        <w:tc>
          <w:tcPr>
            <w:tcW w:w="1000" w:type="dxa"/>
            <w:vAlign w:val="bottom"/>
            <w:shd w:val="clear" w:color="auto" w:fill="C6F4F9"/>
          </w:tcPr>
          <w:p>
            <w:pPr>
              <w:jc w:val="right"/>
              <w:ind w:right="70"/>
              <w:spacing w:after="0" w:line="202" w:lineRule="exact"/>
              <w:rPr>
                <w:sz w:val="20"/>
                <w:szCs w:val="20"/>
                <w:color w:val="auto"/>
              </w:rPr>
            </w:pPr>
            <w:r>
              <w:rPr>
                <w:rFonts w:ascii="Arial" w:cs="Arial" w:eastAsia="Arial" w:hAnsi="Arial"/>
                <w:sz w:val="18"/>
                <w:szCs w:val="18"/>
                <w:color w:val="auto"/>
              </w:rPr>
              <w:t>369</w:t>
            </w:r>
          </w:p>
        </w:tc>
        <w:tc>
          <w:tcPr>
            <w:tcW w:w="1980" w:type="dxa"/>
            <w:vAlign w:val="bottom"/>
            <w:shd w:val="clear" w:color="auto" w:fill="C6F4F9"/>
          </w:tcPr>
          <w:p>
            <w:pPr>
              <w:spacing w:after="0"/>
              <w:rPr>
                <w:sz w:val="17"/>
                <w:szCs w:val="17"/>
                <w:color w:val="auto"/>
              </w:rPr>
            </w:pPr>
          </w:p>
        </w:tc>
      </w:tr>
      <w:tr>
        <w:trPr>
          <w:trHeight w:val="202"/>
        </w:trPr>
        <w:tc>
          <w:tcPr>
            <w:tcW w:w="6640" w:type="dxa"/>
            <w:vAlign w:val="bottom"/>
          </w:tcPr>
          <w:p>
            <w:pPr>
              <w:spacing w:after="0" w:line="202" w:lineRule="exact"/>
              <w:rPr>
                <w:sz w:val="20"/>
                <w:szCs w:val="20"/>
                <w:color w:val="auto"/>
              </w:rPr>
            </w:pPr>
            <w:r>
              <w:rPr>
                <w:rFonts w:ascii="Arial" w:cs="Arial" w:eastAsia="Arial" w:hAnsi="Arial"/>
                <w:sz w:val="18"/>
                <w:szCs w:val="18"/>
                <w:color w:val="auto"/>
              </w:rPr>
              <w:t>Add: Loss on asset transactions, net</w:t>
            </w:r>
          </w:p>
        </w:tc>
        <w:tc>
          <w:tcPr>
            <w:tcW w:w="120" w:type="dxa"/>
            <w:vAlign w:val="bottom"/>
          </w:tcPr>
          <w:p>
            <w:pPr>
              <w:spacing w:after="0"/>
              <w:rPr>
                <w:sz w:val="17"/>
                <w:szCs w:val="17"/>
                <w:color w:val="auto"/>
              </w:rPr>
            </w:pPr>
          </w:p>
        </w:tc>
        <w:tc>
          <w:tcPr>
            <w:tcW w:w="12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72</w:t>
            </w:r>
          </w:p>
        </w:tc>
        <w:tc>
          <w:tcPr>
            <w:tcW w:w="1980" w:type="dxa"/>
            <w:vAlign w:val="bottom"/>
          </w:tcPr>
          <w:p>
            <w:pPr>
              <w:spacing w:after="0"/>
              <w:rPr>
                <w:sz w:val="17"/>
                <w:szCs w:val="17"/>
                <w:color w:val="auto"/>
              </w:rPr>
            </w:pPr>
          </w:p>
        </w:tc>
      </w:tr>
      <w:tr>
        <w:trPr>
          <w:trHeight w:val="203"/>
        </w:trPr>
        <w:tc>
          <w:tcPr>
            <w:tcW w:w="664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Add: Early pay-off of US Treasury loan</w:t>
            </w:r>
          </w:p>
        </w:tc>
        <w:tc>
          <w:tcPr>
            <w:tcW w:w="120" w:type="dxa"/>
            <w:vAlign w:val="bottom"/>
            <w:shd w:val="clear" w:color="auto" w:fill="C6F4F9"/>
          </w:tcPr>
          <w:p>
            <w:pPr>
              <w:spacing w:after="0"/>
              <w:rPr>
                <w:sz w:val="17"/>
                <w:szCs w:val="17"/>
                <w:color w:val="auto"/>
              </w:rPr>
            </w:pPr>
          </w:p>
        </w:tc>
        <w:tc>
          <w:tcPr>
            <w:tcW w:w="122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842</w:t>
            </w:r>
          </w:p>
        </w:tc>
        <w:tc>
          <w:tcPr>
            <w:tcW w:w="280" w:type="dxa"/>
            <w:vAlign w:val="bottom"/>
            <w:shd w:val="clear" w:color="auto" w:fill="C6F4F9"/>
          </w:tcPr>
          <w:p>
            <w:pPr>
              <w:spacing w:after="0"/>
              <w:rPr>
                <w:sz w:val="17"/>
                <w:szCs w:val="17"/>
                <w:color w:val="auto"/>
              </w:rPr>
            </w:pPr>
          </w:p>
        </w:tc>
        <w:tc>
          <w:tcPr>
            <w:tcW w:w="2980" w:type="dxa"/>
            <w:vAlign w:val="bottom"/>
            <w:gridSpan w:val="2"/>
            <w:shd w:val="clear" w:color="auto" w:fill="C6F4F9"/>
          </w:tcPr>
          <w:p>
            <w:pPr>
              <w:ind w:left="560"/>
              <w:spacing w:after="0" w:line="202" w:lineRule="exact"/>
              <w:rPr>
                <w:sz w:val="20"/>
                <w:szCs w:val="20"/>
                <w:color w:val="auto"/>
              </w:rPr>
            </w:pPr>
            <w:r>
              <w:rPr>
                <w:rFonts w:ascii="Arial" w:cs="Arial" w:eastAsia="Arial" w:hAnsi="Arial"/>
                <w:sz w:val="18"/>
                <w:szCs w:val="18"/>
                <w:color w:val="auto"/>
              </w:rPr>
              <w:t>—</w:t>
            </w:r>
          </w:p>
        </w:tc>
      </w:tr>
      <w:tr>
        <w:trPr>
          <w:trHeight w:val="243"/>
        </w:trPr>
        <w:tc>
          <w:tcPr>
            <w:tcW w:w="6640" w:type="dxa"/>
            <w:vAlign w:val="bottom"/>
          </w:tcPr>
          <w:p>
            <w:pPr>
              <w:spacing w:after="0" w:line="243" w:lineRule="exact"/>
              <w:rPr>
                <w:sz w:val="20"/>
                <w:szCs w:val="20"/>
                <w:color w:val="auto"/>
              </w:rPr>
            </w:pPr>
            <w:r>
              <w:rPr>
                <w:rFonts w:ascii="Arial" w:cs="Arial" w:eastAsia="Arial" w:hAnsi="Arial"/>
                <w:sz w:val="17"/>
                <w:szCs w:val="17"/>
                <w:color w:val="auto"/>
              </w:rPr>
              <w:t xml:space="preserve">Add: Tax receivable agreement expense </w:t>
            </w:r>
            <w:r>
              <w:rPr>
                <w:rFonts w:ascii="Arial" w:cs="Arial" w:eastAsia="Arial" w:hAnsi="Arial"/>
                <w:sz w:val="28"/>
                <w:szCs w:val="28"/>
                <w:color w:val="auto"/>
                <w:vertAlign w:val="superscript"/>
              </w:rPr>
              <w:t>(2)</w:t>
            </w:r>
          </w:p>
        </w:tc>
        <w:tc>
          <w:tcPr>
            <w:tcW w:w="12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264</w:t>
            </w:r>
          </w:p>
        </w:tc>
        <w:tc>
          <w:tcPr>
            <w:tcW w:w="280" w:type="dxa"/>
            <w:vAlign w:val="bottom"/>
          </w:tcPr>
          <w:p>
            <w:pPr>
              <w:spacing w:after="0"/>
              <w:rPr>
                <w:sz w:val="21"/>
                <w:szCs w:val="21"/>
                <w:color w:val="auto"/>
              </w:rPr>
            </w:pPr>
          </w:p>
        </w:tc>
        <w:tc>
          <w:tcPr>
            <w:tcW w:w="2980" w:type="dxa"/>
            <w:vAlign w:val="bottom"/>
            <w:gridSpan w:val="2"/>
          </w:tcPr>
          <w:p>
            <w:pPr>
              <w:ind w:left="56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shd w:val="clear" w:color="auto" w:fill="C6F4F9"/>
          </w:tcPr>
          <w:p>
            <w:pPr>
              <w:spacing w:after="0"/>
              <w:rPr>
                <w:sz w:val="20"/>
                <w:szCs w:val="20"/>
                <w:color w:val="auto"/>
              </w:rPr>
            </w:pPr>
            <w:r>
              <w:rPr>
                <w:rFonts w:ascii="Arial" w:cs="Arial" w:eastAsia="Arial" w:hAnsi="Arial"/>
                <w:sz w:val="18"/>
                <w:szCs w:val="18"/>
                <w:color w:val="auto"/>
              </w:rPr>
              <w:t>Add: Loss on refinancing credit facility</w:t>
            </w:r>
          </w:p>
        </w:tc>
        <w:tc>
          <w:tcPr>
            <w:tcW w:w="120" w:type="dxa"/>
            <w:vAlign w:val="bottom"/>
            <w:shd w:val="clear" w:color="auto" w:fill="C6F4F9"/>
          </w:tcPr>
          <w:p>
            <w:pPr>
              <w:spacing w:after="0"/>
              <w:rPr>
                <w:sz w:val="18"/>
                <w:szCs w:val="18"/>
                <w:color w:val="auto"/>
              </w:rPr>
            </w:pPr>
          </w:p>
        </w:tc>
        <w:tc>
          <w:tcPr>
            <w:tcW w:w="1220" w:type="dxa"/>
            <w:vAlign w:val="bottom"/>
            <w:shd w:val="clear" w:color="auto" w:fill="C6F4F9"/>
          </w:tcPr>
          <w:p>
            <w:pPr>
              <w:jc w:val="right"/>
              <w:ind w:right="130"/>
              <w:spacing w:after="0"/>
              <w:rPr>
                <w:sz w:val="20"/>
                <w:szCs w:val="20"/>
                <w:color w:val="auto"/>
              </w:rPr>
            </w:pPr>
            <w:r>
              <w:rPr>
                <w:rFonts w:ascii="Arial" w:cs="Arial" w:eastAsia="Arial" w:hAnsi="Arial"/>
                <w:sz w:val="18"/>
                <w:szCs w:val="18"/>
                <w:color w:val="auto"/>
              </w:rPr>
              <w:t>382</w:t>
            </w:r>
          </w:p>
        </w:tc>
        <w:tc>
          <w:tcPr>
            <w:tcW w:w="280" w:type="dxa"/>
            <w:vAlign w:val="bottom"/>
            <w:shd w:val="clear" w:color="auto" w:fill="C6F4F9"/>
          </w:tcPr>
          <w:p>
            <w:pPr>
              <w:spacing w:after="0"/>
              <w:rPr>
                <w:sz w:val="18"/>
                <w:szCs w:val="18"/>
                <w:color w:val="auto"/>
              </w:rPr>
            </w:pPr>
          </w:p>
        </w:tc>
        <w:tc>
          <w:tcPr>
            <w:tcW w:w="2980" w:type="dxa"/>
            <w:vAlign w:val="bottom"/>
            <w:gridSpan w:val="2"/>
            <w:shd w:val="clear" w:color="auto" w:fill="C6F4F9"/>
          </w:tcPr>
          <w:p>
            <w:pPr>
              <w:ind w:left="560"/>
              <w:spacing w:after="0"/>
              <w:rPr>
                <w:sz w:val="20"/>
                <w:szCs w:val="20"/>
                <w:color w:val="auto"/>
              </w:rPr>
            </w:pPr>
            <w:r>
              <w:rPr>
                <w:rFonts w:ascii="Arial" w:cs="Arial" w:eastAsia="Arial" w:hAnsi="Arial"/>
                <w:sz w:val="18"/>
                <w:szCs w:val="18"/>
                <w:color w:val="auto"/>
              </w:rPr>
              <w:t>—</w:t>
            </w:r>
          </w:p>
        </w:tc>
      </w:tr>
      <w:tr>
        <w:trPr>
          <w:trHeight w:val="250"/>
        </w:trPr>
        <w:tc>
          <w:tcPr>
            <w:tcW w:w="6640" w:type="dxa"/>
            <w:vAlign w:val="bottom"/>
            <w:tcBorders>
              <w:bottom w:val="single" w:sz="8" w:color="C6F4F9"/>
            </w:tcBorders>
          </w:tcPr>
          <w:p>
            <w:pPr>
              <w:spacing w:after="0" w:line="197" w:lineRule="exact"/>
              <w:rPr>
                <w:sz w:val="20"/>
                <w:szCs w:val="20"/>
                <w:color w:val="auto"/>
              </w:rPr>
            </w:pPr>
            <w:r>
              <w:rPr>
                <w:rFonts w:ascii="Arial" w:cs="Arial" w:eastAsia="Arial" w:hAnsi="Arial"/>
                <w:sz w:val="18"/>
                <w:szCs w:val="18"/>
                <w:color w:val="auto"/>
              </w:rPr>
              <w:t>Adjusted income (loss) before income tax</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(4,691)</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10,137</w:t>
            </w:r>
          </w:p>
        </w:tc>
        <w:tc>
          <w:tcPr>
            <w:tcW w:w="1980" w:type="dxa"/>
            <w:vAlign w:val="bottom"/>
            <w:tcBorders>
              <w:bottom w:val="single" w:sz="8" w:color="C6F4F9"/>
            </w:tcBorders>
          </w:tcPr>
          <w:p>
            <w:pPr>
              <w:spacing w:after="0"/>
              <w:rPr>
                <w:sz w:val="21"/>
                <w:szCs w:val="21"/>
                <w:color w:val="auto"/>
              </w:rPr>
            </w:pPr>
          </w:p>
        </w:tc>
      </w:tr>
      <w:tr>
        <w:trPr>
          <w:trHeight w:val="183"/>
        </w:trPr>
        <w:tc>
          <w:tcPr>
            <w:tcW w:w="6640" w:type="dxa"/>
            <w:vAlign w:val="bottom"/>
            <w:shd w:val="clear" w:color="auto" w:fill="C6F4F9"/>
          </w:tcPr>
          <w:p>
            <w:pPr>
              <w:spacing w:after="0"/>
              <w:rPr>
                <w:sz w:val="15"/>
                <w:szCs w:val="15"/>
                <w:color w:val="auto"/>
              </w:rPr>
            </w:pPr>
          </w:p>
        </w:tc>
        <w:tc>
          <w:tcPr>
            <w:tcW w:w="120" w:type="dxa"/>
            <w:vAlign w:val="bottom"/>
            <w:shd w:val="clear" w:color="auto" w:fill="C6F4F9"/>
          </w:tcPr>
          <w:p>
            <w:pPr>
              <w:spacing w:after="0"/>
              <w:rPr>
                <w:sz w:val="15"/>
                <w:szCs w:val="15"/>
                <w:color w:val="auto"/>
              </w:rPr>
            </w:pPr>
          </w:p>
        </w:tc>
        <w:tc>
          <w:tcPr>
            <w:tcW w:w="1220" w:type="dxa"/>
            <w:vAlign w:val="bottom"/>
            <w:shd w:val="clear" w:color="auto" w:fill="C6F4F9"/>
          </w:tcPr>
          <w:p>
            <w:pPr>
              <w:spacing w:after="0"/>
              <w:rPr>
                <w:sz w:val="15"/>
                <w:szCs w:val="15"/>
                <w:color w:val="auto"/>
              </w:rPr>
            </w:pPr>
          </w:p>
        </w:tc>
        <w:tc>
          <w:tcPr>
            <w:tcW w:w="280" w:type="dxa"/>
            <w:vAlign w:val="bottom"/>
            <w:shd w:val="clear" w:color="auto" w:fill="C6F4F9"/>
          </w:tcPr>
          <w:p>
            <w:pPr>
              <w:spacing w:after="0"/>
              <w:rPr>
                <w:sz w:val="15"/>
                <w:szCs w:val="15"/>
                <w:color w:val="auto"/>
              </w:rPr>
            </w:pPr>
          </w:p>
        </w:tc>
        <w:tc>
          <w:tcPr>
            <w:tcW w:w="1000" w:type="dxa"/>
            <w:vAlign w:val="bottom"/>
            <w:shd w:val="clear" w:color="auto" w:fill="C6F4F9"/>
          </w:tcPr>
          <w:p>
            <w:pPr>
              <w:spacing w:after="0"/>
              <w:rPr>
                <w:sz w:val="15"/>
                <w:szCs w:val="15"/>
                <w:color w:val="auto"/>
              </w:rPr>
            </w:pPr>
          </w:p>
        </w:tc>
        <w:tc>
          <w:tcPr>
            <w:tcW w:w="1980" w:type="dxa"/>
            <w:vAlign w:val="bottom"/>
            <w:shd w:val="clear" w:color="auto" w:fill="C6F4F9"/>
          </w:tcPr>
          <w:p>
            <w:pPr>
              <w:spacing w:after="0"/>
              <w:rPr>
                <w:sz w:val="15"/>
                <w:szCs w:val="15"/>
                <w:color w:val="auto"/>
              </w:rPr>
            </w:pPr>
          </w:p>
        </w:tc>
      </w:tr>
      <w:tr>
        <w:trPr>
          <w:trHeight w:val="217"/>
        </w:trPr>
        <w:tc>
          <w:tcPr>
            <w:tcW w:w="6640" w:type="dxa"/>
            <w:vAlign w:val="bottom"/>
          </w:tcPr>
          <w:p>
            <w:pPr>
              <w:spacing w:after="0"/>
              <w:rPr>
                <w:sz w:val="20"/>
                <w:szCs w:val="20"/>
                <w:color w:val="auto"/>
              </w:rPr>
            </w:pPr>
            <w:r>
              <w:rPr>
                <w:rFonts w:ascii="Arial" w:cs="Arial" w:eastAsia="Arial" w:hAnsi="Arial"/>
                <w:sz w:val="18"/>
                <w:szCs w:val="18"/>
                <w:color w:val="auto"/>
              </w:rPr>
              <w:t>Adjusted Pre-tax margin</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w:t>
            </w:r>
          </w:p>
        </w:tc>
        <w:tc>
          <w:tcPr>
            <w:tcW w:w="19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-2331720</wp:posOffset>
            </wp:positionV>
            <wp:extent cx="1260475" cy="5314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60475" cy="53149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-1663065</wp:posOffset>
            </wp:positionV>
            <wp:extent cx="1260475"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60475" cy="13716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-1397000</wp:posOffset>
            </wp:positionV>
            <wp:extent cx="126047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60475" cy="12890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-1114425</wp:posOffset>
            </wp:positionV>
            <wp:extent cx="1260475"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60475" cy="12890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-857250</wp:posOffset>
            </wp:positionV>
            <wp:extent cx="1260475"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60475" cy="12890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-574040</wp:posOffset>
            </wp:positionV>
            <wp:extent cx="1260475"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60475" cy="13716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-282575</wp:posOffset>
            </wp:positionV>
            <wp:extent cx="1260475"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60475" cy="146050"/>
                    </a:xfrm>
                    <a:prstGeom prst="rect">
                      <a:avLst/>
                    </a:prstGeom>
                    <a:noFill/>
                  </pic:spPr>
                </pic:pic>
              </a:graphicData>
            </a:graphic>
          </wp:anchor>
        </w:drawing>
      </w:r>
    </w:p>
    <w:p>
      <w:pPr>
        <w:spacing w:after="0" w:line="16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 special items table above for more details</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represents the one-time costs to establish the Tax Receivable Agreement with our pre-IPO stockholders</w:t>
      </w:r>
    </w:p>
    <w:p>
      <w:pPr>
        <w:spacing w:after="0" w:line="306" w:lineRule="exact"/>
        <w:rPr>
          <w:sz w:val="20"/>
          <w:szCs w:val="20"/>
          <w:color w:val="auto"/>
        </w:rPr>
      </w:pPr>
    </w:p>
    <w:p>
      <w:pPr>
        <w:jc w:val="right"/>
        <w:spacing w:after="0"/>
        <w:tabs>
          <w:tab w:leader="none" w:pos="2880" w:val="left"/>
        </w:tabs>
        <w:rPr>
          <w:sz w:val="20"/>
          <w:szCs w:val="20"/>
          <w:color w:val="auto"/>
        </w:rPr>
      </w:pPr>
      <w:r>
        <w:rPr>
          <w:rFonts w:ascii="Arial" w:cs="Arial" w:eastAsia="Arial" w:hAnsi="Arial"/>
          <w:sz w:val="18"/>
          <w:szCs w:val="18"/>
          <w:color w:val="auto"/>
        </w:rPr>
        <w:t>Page 12</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5051425</wp:posOffset>
            </wp:positionH>
            <wp:positionV relativeFrom="page">
              <wp:posOffset>509270</wp:posOffset>
            </wp:positionV>
            <wp:extent cx="2254250" cy="9086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22542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240"/>
        <w:spacing w:after="0" w:line="255" w:lineRule="auto"/>
        <w:rPr>
          <w:sz w:val="20"/>
          <w:szCs w:val="20"/>
          <w:color w:val="auto"/>
        </w:rPr>
      </w:pPr>
      <w:r>
        <w:rPr>
          <w:rFonts w:ascii="Arial" w:cs="Arial" w:eastAsia="Arial" w:hAnsi="Arial"/>
          <w:sz w:val="18"/>
          <w:szCs w:val="18"/>
          <w:b w:val="1"/>
          <w:bCs w:val="1"/>
          <w:color w:val="auto"/>
        </w:rPr>
        <w:t>Reconciliation of Adjusted Net Income and Adjusted Earnings per Share to GAAP Net Income Dollars in thousands, except for shares and per share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following table presents the reconciliation of adjusted net income and adjusted earnings per share to GAAP net income.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60" w:type="dxa"/>
            <w:vAlign w:val="bottom"/>
          </w:tcPr>
          <w:p>
            <w:pPr>
              <w:spacing w:after="0"/>
              <w:rPr>
                <w:sz w:val="17"/>
                <w:szCs w:val="17"/>
                <w:color w:val="auto"/>
              </w:rPr>
            </w:pPr>
          </w:p>
        </w:tc>
        <w:tc>
          <w:tcPr>
            <w:tcW w:w="4480" w:type="dxa"/>
            <w:vAlign w:val="bottom"/>
            <w:gridSpan w:val="5"/>
          </w:tcPr>
          <w:p>
            <w:pPr>
              <w:ind w:left="60"/>
              <w:spacing w:after="0"/>
              <w:rPr>
                <w:sz w:val="20"/>
                <w:szCs w:val="20"/>
                <w:color w:val="auto"/>
              </w:rPr>
            </w:pPr>
            <w:r>
              <w:rPr>
                <w:rFonts w:ascii="Arial" w:cs="Arial" w:eastAsia="Arial" w:hAnsi="Arial"/>
                <w:sz w:val="18"/>
                <w:szCs w:val="18"/>
                <w:b w:val="1"/>
                <w:bCs w:val="1"/>
                <w:color w:val="auto"/>
              </w:rPr>
              <w:t>Three Months Ended March</w:t>
            </w:r>
          </w:p>
        </w:tc>
      </w:tr>
      <w:tr>
        <w:trPr>
          <w:trHeight w:val="225"/>
        </w:trPr>
        <w:tc>
          <w:tcPr>
            <w:tcW w:w="6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31,</w:t>
            </w:r>
          </w:p>
        </w:tc>
        <w:tc>
          <w:tcPr>
            <w:tcW w:w="1060" w:type="dxa"/>
            <w:vAlign w:val="bottom"/>
            <w:tcBorders>
              <w:bottom w:val="single" w:sz="8" w:color="auto"/>
            </w:tcBorders>
          </w:tcPr>
          <w:p>
            <w:pPr>
              <w:spacing w:after="0"/>
              <w:rPr>
                <w:sz w:val="19"/>
                <w:szCs w:val="19"/>
                <w:color w:val="auto"/>
              </w:rPr>
            </w:pPr>
          </w:p>
        </w:tc>
        <w:tc>
          <w:tcPr>
            <w:tcW w:w="2020" w:type="dxa"/>
            <w:vAlign w:val="bottom"/>
          </w:tcPr>
          <w:p>
            <w:pPr>
              <w:spacing w:after="0"/>
              <w:rPr>
                <w:sz w:val="19"/>
                <w:szCs w:val="19"/>
                <w:color w:val="auto"/>
              </w:rPr>
            </w:pPr>
          </w:p>
        </w:tc>
      </w:tr>
      <w:tr>
        <w:trPr>
          <w:trHeight w:val="196"/>
        </w:trPr>
        <w:tc>
          <w:tcPr>
            <w:tcW w:w="6760" w:type="dxa"/>
            <w:vAlign w:val="bottom"/>
            <w:tcBorders>
              <w:bottom w:val="single" w:sz="8" w:color="C6F4F9"/>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2020</w:t>
            </w:r>
          </w:p>
        </w:tc>
        <w:tc>
          <w:tcPr>
            <w:tcW w:w="2020" w:type="dxa"/>
            <w:vAlign w:val="bottom"/>
            <w:tcBorders>
              <w:bottom w:val="single" w:sz="8" w:color="C6F4F9"/>
            </w:tcBorders>
          </w:tcPr>
          <w:p>
            <w:pPr>
              <w:spacing w:after="0"/>
              <w:rPr>
                <w:sz w:val="17"/>
                <w:szCs w:val="17"/>
                <w:color w:val="auto"/>
              </w:rPr>
            </w:pPr>
          </w:p>
        </w:tc>
      </w:tr>
      <w:tr>
        <w:trPr>
          <w:trHeight w:val="196"/>
        </w:trPr>
        <w:tc>
          <w:tcPr>
            <w:tcW w:w="6760" w:type="dxa"/>
            <w:vAlign w:val="bottom"/>
            <w:shd w:val="clear" w:color="auto" w:fill="C6F4F9"/>
          </w:tcPr>
          <w:p>
            <w:pPr>
              <w:spacing w:after="0" w:line="196" w:lineRule="exact"/>
              <w:rPr>
                <w:sz w:val="20"/>
                <w:szCs w:val="20"/>
                <w:color w:val="auto"/>
              </w:rPr>
            </w:pPr>
            <w:r>
              <w:rPr>
                <w:rFonts w:ascii="Arial" w:cs="Arial" w:eastAsia="Arial" w:hAnsi="Arial"/>
                <w:sz w:val="18"/>
                <w:szCs w:val="18"/>
                <w:color w:val="auto"/>
              </w:rPr>
              <w:t>Net income</w:t>
            </w:r>
          </w:p>
        </w:tc>
        <w:tc>
          <w:tcPr>
            <w:tcW w:w="160" w:type="dxa"/>
            <w:vAlign w:val="bottom"/>
            <w:shd w:val="clear" w:color="auto" w:fill="C6F4F9"/>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6F4F9"/>
          </w:tcPr>
          <w:p>
            <w:pPr>
              <w:jc w:val="right"/>
              <w:spacing w:after="0" w:line="196" w:lineRule="exact"/>
              <w:rPr>
                <w:sz w:val="20"/>
                <w:szCs w:val="20"/>
                <w:color w:val="auto"/>
              </w:rPr>
            </w:pPr>
            <w:r>
              <w:rPr>
                <w:rFonts w:ascii="Arial" w:cs="Arial" w:eastAsia="Arial" w:hAnsi="Arial"/>
                <w:sz w:val="18"/>
                <w:szCs w:val="18"/>
                <w:color w:val="auto"/>
              </w:rPr>
              <w:t>12,416</w:t>
            </w:r>
          </w:p>
        </w:tc>
        <w:tc>
          <w:tcPr>
            <w:tcW w:w="180" w:type="dxa"/>
            <w:vAlign w:val="bottom"/>
            <w:shd w:val="clear" w:color="auto" w:fill="C6F4F9"/>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6F4F9"/>
          </w:tcPr>
          <w:p>
            <w:pPr>
              <w:jc w:val="right"/>
              <w:ind w:right="10"/>
              <w:spacing w:after="0" w:line="196" w:lineRule="exact"/>
              <w:rPr>
                <w:sz w:val="20"/>
                <w:szCs w:val="20"/>
                <w:color w:val="auto"/>
              </w:rPr>
            </w:pPr>
            <w:r>
              <w:rPr>
                <w:rFonts w:ascii="Arial" w:cs="Arial" w:eastAsia="Arial" w:hAnsi="Arial"/>
                <w:sz w:val="18"/>
                <w:szCs w:val="18"/>
                <w:color w:val="auto"/>
              </w:rPr>
              <w:t>7,251</w:t>
            </w:r>
          </w:p>
        </w:tc>
        <w:tc>
          <w:tcPr>
            <w:tcW w:w="2020" w:type="dxa"/>
            <w:vAlign w:val="bottom"/>
            <w:shd w:val="clear" w:color="auto" w:fill="C6F4F9"/>
          </w:tcPr>
          <w:p>
            <w:pPr>
              <w:spacing w:after="0"/>
              <w:rPr>
                <w:sz w:val="17"/>
                <w:szCs w:val="17"/>
                <w:color w:val="auto"/>
              </w:rPr>
            </w:pPr>
          </w:p>
        </w:tc>
      </w:tr>
      <w:tr>
        <w:trPr>
          <w:trHeight w:val="203"/>
        </w:trPr>
        <w:tc>
          <w:tcPr>
            <w:tcW w:w="6760" w:type="dxa"/>
            <w:vAlign w:val="bottom"/>
          </w:tcPr>
          <w:p>
            <w:pPr>
              <w:spacing w:after="0" w:line="202" w:lineRule="exact"/>
              <w:rPr>
                <w:sz w:val="20"/>
                <w:szCs w:val="20"/>
                <w:color w:val="auto"/>
              </w:rPr>
            </w:pPr>
            <w:r>
              <w:rPr>
                <w:rFonts w:ascii="Arial" w:cs="Arial" w:eastAsia="Arial" w:hAnsi="Arial"/>
                <w:sz w:val="18"/>
                <w:szCs w:val="18"/>
                <w:color w:val="auto"/>
              </w:rPr>
              <w:t>Net income per share – diluted</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0.24</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0.15</w:t>
            </w:r>
          </w:p>
        </w:tc>
        <w:tc>
          <w:tcPr>
            <w:tcW w:w="2020" w:type="dxa"/>
            <w:vAlign w:val="bottom"/>
          </w:tcPr>
          <w:p>
            <w:pPr>
              <w:spacing w:after="0"/>
              <w:rPr>
                <w:sz w:val="17"/>
                <w:szCs w:val="17"/>
                <w:color w:val="auto"/>
              </w:rPr>
            </w:pPr>
          </w:p>
        </w:tc>
      </w:tr>
      <w:tr>
        <w:trPr>
          <w:trHeight w:val="203"/>
        </w:trPr>
        <w:tc>
          <w:tcPr>
            <w:tcW w:w="6760" w:type="dxa"/>
            <w:vAlign w:val="bottom"/>
            <w:shd w:val="clear" w:color="auto" w:fill="C6F4F9"/>
          </w:tcPr>
          <w:p>
            <w:pPr>
              <w:spacing w:after="0"/>
              <w:rPr>
                <w:sz w:val="17"/>
                <w:szCs w:val="17"/>
                <w:color w:val="auto"/>
              </w:rPr>
            </w:pPr>
          </w:p>
        </w:tc>
        <w:tc>
          <w:tcPr>
            <w:tcW w:w="160" w:type="dxa"/>
            <w:vAlign w:val="bottom"/>
            <w:shd w:val="clear" w:color="auto" w:fill="C6F4F9"/>
          </w:tcPr>
          <w:p>
            <w:pPr>
              <w:spacing w:after="0"/>
              <w:rPr>
                <w:sz w:val="17"/>
                <w:szCs w:val="17"/>
                <w:color w:val="auto"/>
              </w:rPr>
            </w:pPr>
          </w:p>
        </w:tc>
        <w:tc>
          <w:tcPr>
            <w:tcW w:w="1060" w:type="dxa"/>
            <w:vAlign w:val="bottom"/>
            <w:shd w:val="clear" w:color="auto" w:fill="C6F4F9"/>
          </w:tcPr>
          <w:p>
            <w:pPr>
              <w:spacing w:after="0"/>
              <w:rPr>
                <w:sz w:val="17"/>
                <w:szCs w:val="17"/>
                <w:color w:val="auto"/>
              </w:rPr>
            </w:pPr>
          </w:p>
        </w:tc>
        <w:tc>
          <w:tcPr>
            <w:tcW w:w="180" w:type="dxa"/>
            <w:vAlign w:val="bottom"/>
            <w:shd w:val="clear" w:color="auto" w:fill="C6F4F9"/>
          </w:tcPr>
          <w:p>
            <w:pPr>
              <w:spacing w:after="0"/>
              <w:rPr>
                <w:sz w:val="17"/>
                <w:szCs w:val="17"/>
                <w:color w:val="auto"/>
              </w:rPr>
            </w:pPr>
          </w:p>
        </w:tc>
        <w:tc>
          <w:tcPr>
            <w:tcW w:w="1060" w:type="dxa"/>
            <w:vAlign w:val="bottom"/>
            <w:shd w:val="clear" w:color="auto" w:fill="C6F4F9"/>
          </w:tcPr>
          <w:p>
            <w:pPr>
              <w:spacing w:after="0"/>
              <w:rPr>
                <w:sz w:val="17"/>
                <w:szCs w:val="17"/>
                <w:color w:val="auto"/>
              </w:rPr>
            </w:pPr>
          </w:p>
        </w:tc>
        <w:tc>
          <w:tcPr>
            <w:tcW w:w="2020" w:type="dxa"/>
            <w:vAlign w:val="bottom"/>
            <w:shd w:val="clear" w:color="auto" w:fill="C6F4F9"/>
          </w:tcPr>
          <w:p>
            <w:pPr>
              <w:spacing w:after="0"/>
              <w:rPr>
                <w:sz w:val="17"/>
                <w:szCs w:val="17"/>
                <w:color w:val="auto"/>
              </w:rPr>
            </w:pPr>
          </w:p>
        </w:tc>
      </w:tr>
      <w:tr>
        <w:trPr>
          <w:trHeight w:val="243"/>
        </w:trPr>
        <w:tc>
          <w:tcPr>
            <w:tcW w:w="6760" w:type="dxa"/>
            <w:vAlign w:val="bottom"/>
          </w:tcPr>
          <w:p>
            <w:pPr>
              <w:spacing w:after="0" w:line="243" w:lineRule="exact"/>
              <w:rPr>
                <w:sz w:val="20"/>
                <w:szCs w:val="20"/>
                <w:color w:val="auto"/>
              </w:rPr>
            </w:pPr>
            <w:r>
              <w:rPr>
                <w:rFonts w:ascii="Arial" w:cs="Arial" w:eastAsia="Arial" w:hAnsi="Arial"/>
                <w:sz w:val="17"/>
                <w:szCs w:val="17"/>
                <w:color w:val="auto"/>
              </w:rPr>
              <w:t xml:space="preserve">Special items, net </w:t>
            </w:r>
            <w:r>
              <w:rPr>
                <w:rFonts w:ascii="Arial" w:cs="Arial" w:eastAsia="Arial" w:hAnsi="Arial"/>
                <w:sz w:val="28"/>
                <w:szCs w:val="28"/>
                <w:color w:val="auto"/>
                <w:vertAlign w:val="superscript"/>
              </w:rPr>
              <w:t>(1)</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(26,871)</w:t>
            </w:r>
          </w:p>
        </w:tc>
        <w:tc>
          <w:tcPr>
            <w:tcW w:w="180" w:type="dxa"/>
            <w:vAlign w:val="bottom"/>
          </w:tcPr>
          <w:p>
            <w:pPr>
              <w:spacing w:after="0"/>
              <w:rPr>
                <w:sz w:val="21"/>
                <w:szCs w:val="21"/>
                <w:color w:val="auto"/>
              </w:rPr>
            </w:pPr>
          </w:p>
        </w:tc>
        <w:tc>
          <w:tcPr>
            <w:tcW w:w="308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03"/>
        </w:trPr>
        <w:tc>
          <w:tcPr>
            <w:tcW w:w="67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Stock compensation expense</w:t>
            </w:r>
          </w:p>
        </w:tc>
        <w:tc>
          <w:tcPr>
            <w:tcW w:w="160" w:type="dxa"/>
            <w:vAlign w:val="bottom"/>
            <w:shd w:val="clear" w:color="auto" w:fill="C6F4F9"/>
          </w:tcPr>
          <w:p>
            <w:pPr>
              <w:spacing w:after="0"/>
              <w:rPr>
                <w:sz w:val="17"/>
                <w:szCs w:val="17"/>
                <w:color w:val="auto"/>
              </w:rPr>
            </w:pPr>
          </w:p>
        </w:tc>
        <w:tc>
          <w:tcPr>
            <w:tcW w:w="106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2,870</w:t>
            </w:r>
          </w:p>
        </w:tc>
        <w:tc>
          <w:tcPr>
            <w:tcW w:w="180" w:type="dxa"/>
            <w:vAlign w:val="bottom"/>
            <w:shd w:val="clear" w:color="auto" w:fill="C6F4F9"/>
          </w:tcPr>
          <w:p>
            <w:pPr>
              <w:spacing w:after="0"/>
              <w:rPr>
                <w:sz w:val="17"/>
                <w:szCs w:val="17"/>
                <w:color w:val="auto"/>
              </w:rPr>
            </w:pPr>
          </w:p>
        </w:tc>
        <w:tc>
          <w:tcPr>
            <w:tcW w:w="10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369</w:t>
            </w:r>
          </w:p>
        </w:tc>
        <w:tc>
          <w:tcPr>
            <w:tcW w:w="2020" w:type="dxa"/>
            <w:vAlign w:val="bottom"/>
            <w:shd w:val="clear" w:color="auto" w:fill="C6F4F9"/>
          </w:tcPr>
          <w:p>
            <w:pPr>
              <w:spacing w:after="0"/>
              <w:rPr>
                <w:sz w:val="17"/>
                <w:szCs w:val="17"/>
                <w:color w:val="auto"/>
              </w:rPr>
            </w:pPr>
          </w:p>
        </w:tc>
      </w:tr>
      <w:tr>
        <w:trPr>
          <w:trHeight w:val="203"/>
        </w:trPr>
        <w:tc>
          <w:tcPr>
            <w:tcW w:w="6760" w:type="dxa"/>
            <w:vAlign w:val="bottom"/>
          </w:tcPr>
          <w:p>
            <w:pPr>
              <w:spacing w:after="0" w:line="202" w:lineRule="exact"/>
              <w:rPr>
                <w:sz w:val="20"/>
                <w:szCs w:val="20"/>
                <w:color w:val="auto"/>
              </w:rPr>
            </w:pPr>
            <w:r>
              <w:rPr>
                <w:rFonts w:ascii="Arial" w:cs="Arial" w:eastAsia="Arial" w:hAnsi="Arial"/>
                <w:sz w:val="18"/>
                <w:szCs w:val="18"/>
                <w:color w:val="auto"/>
              </w:rPr>
              <w:t>Loss on asset transactions, net</w:t>
            </w:r>
          </w:p>
        </w:tc>
        <w:tc>
          <w:tcPr>
            <w:tcW w:w="160" w:type="dxa"/>
            <w:vAlign w:val="bottom"/>
          </w:tcPr>
          <w:p>
            <w:pPr>
              <w:spacing w:after="0"/>
              <w:rPr>
                <w:sz w:val="17"/>
                <w:szCs w:val="17"/>
                <w:color w:val="auto"/>
              </w:rPr>
            </w:pPr>
          </w:p>
        </w:tc>
        <w:tc>
          <w:tcPr>
            <w:tcW w:w="10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72</w:t>
            </w:r>
          </w:p>
        </w:tc>
        <w:tc>
          <w:tcPr>
            <w:tcW w:w="2020" w:type="dxa"/>
            <w:vAlign w:val="bottom"/>
          </w:tcPr>
          <w:p>
            <w:pPr>
              <w:spacing w:after="0"/>
              <w:rPr>
                <w:sz w:val="17"/>
                <w:szCs w:val="17"/>
                <w:color w:val="auto"/>
              </w:rPr>
            </w:pPr>
          </w:p>
        </w:tc>
      </w:tr>
      <w:tr>
        <w:trPr>
          <w:trHeight w:val="203"/>
        </w:trPr>
        <w:tc>
          <w:tcPr>
            <w:tcW w:w="67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Early pay-off of US Treasury loan</w:t>
            </w:r>
          </w:p>
        </w:tc>
        <w:tc>
          <w:tcPr>
            <w:tcW w:w="160" w:type="dxa"/>
            <w:vAlign w:val="bottom"/>
            <w:shd w:val="clear" w:color="auto" w:fill="C6F4F9"/>
          </w:tcPr>
          <w:p>
            <w:pPr>
              <w:spacing w:after="0"/>
              <w:rPr>
                <w:sz w:val="17"/>
                <w:szCs w:val="17"/>
                <w:color w:val="auto"/>
              </w:rPr>
            </w:pPr>
          </w:p>
        </w:tc>
        <w:tc>
          <w:tcPr>
            <w:tcW w:w="106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842</w:t>
            </w:r>
          </w:p>
        </w:tc>
        <w:tc>
          <w:tcPr>
            <w:tcW w:w="180" w:type="dxa"/>
            <w:vAlign w:val="bottom"/>
            <w:shd w:val="clear" w:color="auto" w:fill="C6F4F9"/>
          </w:tcPr>
          <w:p>
            <w:pPr>
              <w:spacing w:after="0"/>
              <w:rPr>
                <w:sz w:val="17"/>
                <w:szCs w:val="17"/>
                <w:color w:val="auto"/>
              </w:rPr>
            </w:pPr>
          </w:p>
        </w:tc>
        <w:tc>
          <w:tcPr>
            <w:tcW w:w="3080" w:type="dxa"/>
            <w:vAlign w:val="bottom"/>
            <w:gridSpan w:val="2"/>
            <w:shd w:val="clear" w:color="auto" w:fill="C6F4F9"/>
          </w:tcPr>
          <w:p>
            <w:pPr>
              <w:ind w:left="680"/>
              <w:spacing w:after="0" w:line="202" w:lineRule="exact"/>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spacing w:after="0" w:line="243" w:lineRule="exact"/>
              <w:rPr>
                <w:sz w:val="20"/>
                <w:szCs w:val="20"/>
                <w:color w:val="auto"/>
              </w:rPr>
            </w:pPr>
            <w:r>
              <w:rPr>
                <w:rFonts w:ascii="Arial" w:cs="Arial" w:eastAsia="Arial" w:hAnsi="Arial"/>
                <w:sz w:val="17"/>
                <w:szCs w:val="17"/>
                <w:color w:val="auto"/>
              </w:rPr>
              <w:t xml:space="preserve">Tax receivable agreement expense </w:t>
            </w:r>
            <w:r>
              <w:rPr>
                <w:rFonts w:ascii="Arial" w:cs="Arial" w:eastAsia="Arial" w:hAnsi="Arial"/>
                <w:sz w:val="28"/>
                <w:szCs w:val="28"/>
                <w:color w:val="auto"/>
                <w:vertAlign w:val="superscript"/>
              </w:rPr>
              <w:t>(2)</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264</w:t>
            </w:r>
          </w:p>
        </w:tc>
        <w:tc>
          <w:tcPr>
            <w:tcW w:w="180" w:type="dxa"/>
            <w:vAlign w:val="bottom"/>
          </w:tcPr>
          <w:p>
            <w:pPr>
              <w:spacing w:after="0"/>
              <w:rPr>
                <w:sz w:val="21"/>
                <w:szCs w:val="21"/>
                <w:color w:val="auto"/>
              </w:rPr>
            </w:pPr>
          </w:p>
        </w:tc>
        <w:tc>
          <w:tcPr>
            <w:tcW w:w="308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03"/>
        </w:trPr>
        <w:tc>
          <w:tcPr>
            <w:tcW w:w="67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Loss on refinancing credit facility</w:t>
            </w:r>
          </w:p>
        </w:tc>
        <w:tc>
          <w:tcPr>
            <w:tcW w:w="160" w:type="dxa"/>
            <w:vAlign w:val="bottom"/>
            <w:shd w:val="clear" w:color="auto" w:fill="C6F4F9"/>
          </w:tcPr>
          <w:p>
            <w:pPr>
              <w:spacing w:after="0"/>
              <w:rPr>
                <w:sz w:val="17"/>
                <w:szCs w:val="17"/>
                <w:color w:val="auto"/>
              </w:rPr>
            </w:pPr>
          </w:p>
        </w:tc>
        <w:tc>
          <w:tcPr>
            <w:tcW w:w="106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382</w:t>
            </w:r>
          </w:p>
        </w:tc>
        <w:tc>
          <w:tcPr>
            <w:tcW w:w="180" w:type="dxa"/>
            <w:vAlign w:val="bottom"/>
            <w:shd w:val="clear" w:color="auto" w:fill="C6F4F9"/>
          </w:tcPr>
          <w:p>
            <w:pPr>
              <w:spacing w:after="0"/>
              <w:rPr>
                <w:sz w:val="17"/>
                <w:szCs w:val="17"/>
                <w:color w:val="auto"/>
              </w:rPr>
            </w:pPr>
          </w:p>
        </w:tc>
        <w:tc>
          <w:tcPr>
            <w:tcW w:w="3080" w:type="dxa"/>
            <w:vAlign w:val="bottom"/>
            <w:gridSpan w:val="2"/>
            <w:shd w:val="clear" w:color="auto" w:fill="C6F4F9"/>
          </w:tcPr>
          <w:p>
            <w:pPr>
              <w:ind w:left="680"/>
              <w:spacing w:after="0" w:line="202" w:lineRule="exact"/>
              <w:rPr>
                <w:sz w:val="20"/>
                <w:szCs w:val="20"/>
                <w:color w:val="auto"/>
              </w:rPr>
            </w:pPr>
            <w:r>
              <w:rPr>
                <w:rFonts w:ascii="Arial" w:cs="Arial" w:eastAsia="Arial" w:hAnsi="Arial"/>
                <w:sz w:val="18"/>
                <w:szCs w:val="18"/>
                <w:color w:val="auto"/>
              </w:rPr>
              <w:t>—</w:t>
            </w:r>
          </w:p>
        </w:tc>
      </w:tr>
      <w:tr>
        <w:trPr>
          <w:trHeight w:val="257"/>
        </w:trPr>
        <w:tc>
          <w:tcPr>
            <w:tcW w:w="6760" w:type="dxa"/>
            <w:vAlign w:val="bottom"/>
            <w:tcBorders>
              <w:bottom w:val="single" w:sz="8" w:color="C6F4F9"/>
            </w:tcBorders>
          </w:tcPr>
          <w:p>
            <w:pPr>
              <w:spacing w:after="0" w:line="256" w:lineRule="exact"/>
              <w:rPr>
                <w:sz w:val="20"/>
                <w:szCs w:val="20"/>
                <w:color w:val="auto"/>
              </w:rPr>
            </w:pPr>
            <w:r>
              <w:rPr>
                <w:rFonts w:ascii="Arial" w:cs="Arial" w:eastAsia="Arial" w:hAnsi="Arial"/>
                <w:sz w:val="18"/>
                <w:szCs w:val="18"/>
                <w:color w:val="auto"/>
              </w:rPr>
              <w:t xml:space="preserve">Income tax effect of adjusting items, net </w:t>
            </w:r>
            <w:r>
              <w:rPr>
                <w:rFonts w:ascii="Arial" w:cs="Arial" w:eastAsia="Arial" w:hAnsi="Arial"/>
                <w:sz w:val="29"/>
                <w:szCs w:val="29"/>
                <w:color w:val="auto"/>
                <w:vertAlign w:val="superscript"/>
              </w:rPr>
              <w:t>(3)</w:t>
            </w: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5,178</w:t>
            </w: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020" w:type="dxa"/>
            <w:vAlign w:val="bottom"/>
            <w:tcBorders>
              <w:bottom w:val="single" w:sz="8" w:color="C6F4F9"/>
            </w:tcBorders>
          </w:tcPr>
          <w:p>
            <w:pPr>
              <w:spacing w:after="0"/>
              <w:rPr>
                <w:sz w:val="22"/>
                <w:szCs w:val="22"/>
                <w:color w:val="auto"/>
              </w:rPr>
            </w:pPr>
          </w:p>
        </w:tc>
      </w:tr>
      <w:tr>
        <w:trPr>
          <w:trHeight w:val="210"/>
        </w:trPr>
        <w:tc>
          <w:tcPr>
            <w:tcW w:w="6760" w:type="dxa"/>
            <w:vAlign w:val="bottom"/>
            <w:tcBorders>
              <w:bottom w:val="single" w:sz="8" w:color="C6F4F9"/>
            </w:tcBorders>
            <w:shd w:val="clear" w:color="auto" w:fill="C6F4F9"/>
          </w:tcPr>
          <w:p>
            <w:pPr>
              <w:spacing w:after="0" w:line="197" w:lineRule="exact"/>
              <w:rPr>
                <w:sz w:val="20"/>
                <w:szCs w:val="20"/>
                <w:color w:val="auto"/>
              </w:rPr>
            </w:pPr>
            <w:r>
              <w:rPr>
                <w:rFonts w:ascii="Arial" w:cs="Arial" w:eastAsia="Arial" w:hAnsi="Arial"/>
                <w:sz w:val="18"/>
                <w:szCs w:val="18"/>
                <w:color w:val="auto"/>
              </w:rPr>
              <w:t>Adjusted net income (loss)</w:t>
            </w:r>
          </w:p>
        </w:tc>
        <w:tc>
          <w:tcPr>
            <w:tcW w:w="160" w:type="dxa"/>
            <w:vAlign w:val="bottom"/>
            <w:tcBorders>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(4,919)</w:t>
            </w:r>
          </w:p>
        </w:tc>
        <w:tc>
          <w:tcPr>
            <w:tcW w:w="180" w:type="dxa"/>
            <w:vAlign w:val="bottom"/>
            <w:tcBorders>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6F4F9"/>
          </w:tcPr>
          <w:p>
            <w:pPr>
              <w:jc w:val="right"/>
              <w:ind w:right="10"/>
              <w:spacing w:after="0"/>
              <w:rPr>
                <w:sz w:val="20"/>
                <w:szCs w:val="20"/>
                <w:color w:val="auto"/>
              </w:rPr>
            </w:pPr>
            <w:r>
              <w:rPr>
                <w:rFonts w:ascii="Arial" w:cs="Arial" w:eastAsia="Arial" w:hAnsi="Arial"/>
                <w:sz w:val="18"/>
                <w:szCs w:val="18"/>
                <w:color w:val="auto"/>
              </w:rPr>
              <w:t>7,591</w:t>
            </w:r>
          </w:p>
        </w:tc>
        <w:tc>
          <w:tcPr>
            <w:tcW w:w="2020" w:type="dxa"/>
            <w:vAlign w:val="bottom"/>
            <w:tcBorders>
              <w:bottom w:val="single" w:sz="8" w:color="C6F4F9"/>
            </w:tcBorders>
            <w:shd w:val="clear" w:color="auto" w:fill="C6F4F9"/>
          </w:tcPr>
          <w:p>
            <w:pPr>
              <w:spacing w:after="0"/>
              <w:rPr>
                <w:sz w:val="18"/>
                <w:szCs w:val="18"/>
                <w:color w:val="auto"/>
              </w:rPr>
            </w:pPr>
          </w:p>
        </w:tc>
      </w:tr>
      <w:tr>
        <w:trPr>
          <w:trHeight w:val="20"/>
        </w:trPr>
        <w:tc>
          <w:tcPr>
            <w:tcW w:w="6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83"/>
        </w:trPr>
        <w:tc>
          <w:tcPr>
            <w:tcW w:w="6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203"/>
        </w:trPr>
        <w:tc>
          <w:tcPr>
            <w:tcW w:w="67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Diluted share count</w:t>
            </w:r>
          </w:p>
        </w:tc>
        <w:tc>
          <w:tcPr>
            <w:tcW w:w="160" w:type="dxa"/>
            <w:vAlign w:val="bottom"/>
            <w:shd w:val="clear" w:color="auto" w:fill="C6F4F9"/>
          </w:tcPr>
          <w:p>
            <w:pPr>
              <w:spacing w:after="0"/>
              <w:rPr>
                <w:sz w:val="17"/>
                <w:szCs w:val="17"/>
                <w:color w:val="auto"/>
              </w:rPr>
            </w:pPr>
          </w:p>
        </w:tc>
        <w:tc>
          <w:tcPr>
            <w:tcW w:w="106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52,508,186</w:t>
            </w:r>
          </w:p>
        </w:tc>
        <w:tc>
          <w:tcPr>
            <w:tcW w:w="180" w:type="dxa"/>
            <w:vAlign w:val="bottom"/>
            <w:shd w:val="clear" w:color="auto" w:fill="C6F4F9"/>
          </w:tcPr>
          <w:p>
            <w:pPr>
              <w:spacing w:after="0"/>
              <w:rPr>
                <w:sz w:val="17"/>
                <w:szCs w:val="17"/>
                <w:color w:val="auto"/>
              </w:rPr>
            </w:pPr>
          </w:p>
        </w:tc>
        <w:tc>
          <w:tcPr>
            <w:tcW w:w="10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48,225,603</w:t>
            </w:r>
          </w:p>
        </w:tc>
        <w:tc>
          <w:tcPr>
            <w:tcW w:w="2020" w:type="dxa"/>
            <w:vAlign w:val="bottom"/>
            <w:shd w:val="clear" w:color="auto" w:fill="C6F4F9"/>
          </w:tcPr>
          <w:p>
            <w:pPr>
              <w:spacing w:after="0"/>
              <w:rPr>
                <w:sz w:val="17"/>
                <w:szCs w:val="17"/>
                <w:color w:val="auto"/>
              </w:rPr>
            </w:pPr>
          </w:p>
        </w:tc>
      </w:tr>
      <w:tr>
        <w:trPr>
          <w:trHeight w:val="217"/>
        </w:trPr>
        <w:tc>
          <w:tcPr>
            <w:tcW w:w="6760" w:type="dxa"/>
            <w:vAlign w:val="bottom"/>
          </w:tcPr>
          <w:p>
            <w:pPr>
              <w:spacing w:after="0"/>
              <w:rPr>
                <w:sz w:val="20"/>
                <w:szCs w:val="20"/>
                <w:color w:val="auto"/>
              </w:rPr>
            </w:pPr>
            <w:r>
              <w:rPr>
                <w:rFonts w:ascii="Arial" w:cs="Arial" w:eastAsia="Arial" w:hAnsi="Arial"/>
                <w:sz w:val="18"/>
                <w:szCs w:val="18"/>
                <w:color w:val="auto"/>
              </w:rPr>
              <w:t>Adjusted net income per share -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0.16</w:t>
            </w:r>
          </w:p>
        </w:tc>
        <w:tc>
          <w:tcPr>
            <w:tcW w:w="20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-2339975</wp:posOffset>
            </wp:positionV>
            <wp:extent cx="1276985" cy="5314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6985" cy="53149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-1680210</wp:posOffset>
            </wp:positionV>
            <wp:extent cx="1276985"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6985" cy="12890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-1397000</wp:posOffset>
            </wp:positionV>
            <wp:extent cx="1276985"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6985" cy="12890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-1139825</wp:posOffset>
            </wp:positionV>
            <wp:extent cx="1276985"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6985" cy="12890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-857250</wp:posOffset>
            </wp:positionV>
            <wp:extent cx="127698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6985" cy="12890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-565785</wp:posOffset>
            </wp:positionV>
            <wp:extent cx="1276985"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6985" cy="15430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-265430</wp:posOffset>
            </wp:positionV>
            <wp:extent cx="1276985"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6985" cy="128905"/>
                    </a:xfrm>
                    <a:prstGeom prst="rect">
                      <a:avLst/>
                    </a:prstGeom>
                    <a:noFill/>
                  </pic:spPr>
                </pic:pic>
              </a:graphicData>
            </a:graphic>
          </wp:anchor>
        </w:drawing>
      </w:r>
    </w:p>
    <w:p>
      <w:pPr>
        <w:spacing w:after="0" w:line="16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 special items table above for more details</w:t>
      </w:r>
    </w:p>
    <w:p>
      <w:pPr>
        <w:ind w:left="660" w:hanging="328"/>
        <w:spacing w:after="0" w:line="23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represents the one-time costs to establish the Tax Receivable Agreement with our pre-IPO stockholders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tax effect of adjusting items, net is calculated at the Company’s statutory rate for the applicable period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Adjusted EBITDAR to GAAP Net Income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following tables present the reconciliation of Net Income (Loss) to Adjusted EBITDAR for the periods presented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60" w:type="dxa"/>
            <w:vAlign w:val="bottom"/>
          </w:tcPr>
          <w:p>
            <w:pPr>
              <w:spacing w:after="0"/>
              <w:rPr>
                <w:sz w:val="18"/>
                <w:szCs w:val="18"/>
                <w:color w:val="auto"/>
              </w:rPr>
            </w:pPr>
          </w:p>
        </w:tc>
        <w:tc>
          <w:tcPr>
            <w:tcW w:w="4480" w:type="dxa"/>
            <w:vAlign w:val="bottom"/>
            <w:gridSpan w:val="5"/>
          </w:tcPr>
          <w:p>
            <w:pPr>
              <w:ind w:left="60"/>
              <w:spacing w:after="0"/>
              <w:rPr>
                <w:sz w:val="20"/>
                <w:szCs w:val="20"/>
                <w:color w:val="auto"/>
              </w:rPr>
            </w:pPr>
            <w:r>
              <w:rPr>
                <w:rFonts w:ascii="Arial" w:cs="Arial" w:eastAsia="Arial" w:hAnsi="Arial"/>
                <w:sz w:val="18"/>
                <w:szCs w:val="18"/>
                <w:b w:val="1"/>
                <w:bCs w:val="1"/>
                <w:color w:val="auto"/>
              </w:rPr>
              <w:t>Three Months Ended March</w:t>
            </w:r>
          </w:p>
        </w:tc>
      </w:tr>
      <w:tr>
        <w:trPr>
          <w:trHeight w:val="225"/>
        </w:trPr>
        <w:tc>
          <w:tcPr>
            <w:tcW w:w="67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31,</w:t>
            </w:r>
          </w:p>
        </w:tc>
        <w:tc>
          <w:tcPr>
            <w:tcW w:w="960" w:type="dxa"/>
            <w:vAlign w:val="bottom"/>
            <w:tcBorders>
              <w:bottom w:val="single" w:sz="8" w:color="auto"/>
            </w:tcBorders>
          </w:tcPr>
          <w:p>
            <w:pPr>
              <w:spacing w:after="0"/>
              <w:rPr>
                <w:sz w:val="19"/>
                <w:szCs w:val="19"/>
                <w:color w:val="auto"/>
              </w:rPr>
            </w:pPr>
          </w:p>
        </w:tc>
        <w:tc>
          <w:tcPr>
            <w:tcW w:w="2020" w:type="dxa"/>
            <w:vAlign w:val="bottom"/>
          </w:tcPr>
          <w:p>
            <w:pPr>
              <w:spacing w:after="0"/>
              <w:rPr>
                <w:sz w:val="19"/>
                <w:szCs w:val="19"/>
                <w:color w:val="auto"/>
              </w:rPr>
            </w:pPr>
          </w:p>
        </w:tc>
      </w:tr>
      <w:tr>
        <w:trPr>
          <w:trHeight w:val="196"/>
        </w:trPr>
        <w:tc>
          <w:tcPr>
            <w:tcW w:w="6760" w:type="dxa"/>
            <w:vAlign w:val="bottom"/>
            <w:tcBorders>
              <w:bottom w:val="single" w:sz="8" w:color="C6F4F9"/>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2020</w:t>
            </w:r>
          </w:p>
        </w:tc>
        <w:tc>
          <w:tcPr>
            <w:tcW w:w="2020" w:type="dxa"/>
            <w:vAlign w:val="bottom"/>
            <w:tcBorders>
              <w:bottom w:val="single" w:sz="8" w:color="C6F4F9"/>
            </w:tcBorders>
          </w:tcPr>
          <w:p>
            <w:pPr>
              <w:spacing w:after="0"/>
              <w:rPr>
                <w:sz w:val="17"/>
                <w:szCs w:val="17"/>
                <w:color w:val="auto"/>
              </w:rPr>
            </w:pPr>
          </w:p>
        </w:tc>
      </w:tr>
      <w:tr>
        <w:trPr>
          <w:trHeight w:val="196"/>
        </w:trPr>
        <w:tc>
          <w:tcPr>
            <w:tcW w:w="6760" w:type="dxa"/>
            <w:vAlign w:val="bottom"/>
            <w:shd w:val="clear" w:color="auto" w:fill="C6F4F9"/>
          </w:tcPr>
          <w:p>
            <w:pPr>
              <w:spacing w:after="0" w:line="196" w:lineRule="exact"/>
              <w:rPr>
                <w:sz w:val="20"/>
                <w:szCs w:val="20"/>
                <w:color w:val="auto"/>
              </w:rPr>
            </w:pPr>
            <w:r>
              <w:rPr>
                <w:rFonts w:ascii="Arial" w:cs="Arial" w:eastAsia="Arial" w:hAnsi="Arial"/>
                <w:sz w:val="18"/>
                <w:szCs w:val="18"/>
                <w:color w:val="auto"/>
              </w:rPr>
              <w:t>Net income</w:t>
            </w:r>
          </w:p>
        </w:tc>
        <w:tc>
          <w:tcPr>
            <w:tcW w:w="260" w:type="dxa"/>
            <w:vAlign w:val="bottom"/>
            <w:shd w:val="clear" w:color="auto" w:fill="C6F4F9"/>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6F4F9"/>
          </w:tcPr>
          <w:p>
            <w:pPr>
              <w:jc w:val="right"/>
              <w:spacing w:after="0" w:line="196" w:lineRule="exact"/>
              <w:rPr>
                <w:sz w:val="20"/>
                <w:szCs w:val="20"/>
                <w:color w:val="auto"/>
              </w:rPr>
            </w:pPr>
            <w:r>
              <w:rPr>
                <w:rFonts w:ascii="Arial" w:cs="Arial" w:eastAsia="Arial" w:hAnsi="Arial"/>
                <w:sz w:val="18"/>
                <w:szCs w:val="18"/>
                <w:color w:val="auto"/>
              </w:rPr>
              <w:t>12,416</w:t>
            </w:r>
          </w:p>
        </w:tc>
        <w:tc>
          <w:tcPr>
            <w:tcW w:w="280" w:type="dxa"/>
            <w:vAlign w:val="bottom"/>
            <w:shd w:val="clear" w:color="auto" w:fill="C6F4F9"/>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6F4F9"/>
          </w:tcPr>
          <w:p>
            <w:pPr>
              <w:jc w:val="right"/>
              <w:ind w:right="10"/>
              <w:spacing w:after="0" w:line="196" w:lineRule="exact"/>
              <w:rPr>
                <w:sz w:val="20"/>
                <w:szCs w:val="20"/>
                <w:color w:val="auto"/>
              </w:rPr>
            </w:pPr>
            <w:r>
              <w:rPr>
                <w:rFonts w:ascii="Arial" w:cs="Arial" w:eastAsia="Arial" w:hAnsi="Arial"/>
                <w:sz w:val="18"/>
                <w:szCs w:val="18"/>
                <w:color w:val="auto"/>
              </w:rPr>
              <w:t>7,251</w:t>
            </w:r>
          </w:p>
        </w:tc>
        <w:tc>
          <w:tcPr>
            <w:tcW w:w="2020" w:type="dxa"/>
            <w:vAlign w:val="bottom"/>
            <w:shd w:val="clear" w:color="auto" w:fill="C6F4F9"/>
          </w:tcPr>
          <w:p>
            <w:pPr>
              <w:spacing w:after="0"/>
              <w:rPr>
                <w:sz w:val="17"/>
                <w:szCs w:val="17"/>
                <w:color w:val="auto"/>
              </w:rPr>
            </w:pPr>
          </w:p>
        </w:tc>
      </w:tr>
      <w:tr>
        <w:trPr>
          <w:trHeight w:val="243"/>
        </w:trPr>
        <w:tc>
          <w:tcPr>
            <w:tcW w:w="6760" w:type="dxa"/>
            <w:vAlign w:val="bottom"/>
          </w:tcPr>
          <w:p>
            <w:pPr>
              <w:spacing w:after="0" w:line="243" w:lineRule="exact"/>
              <w:rPr>
                <w:sz w:val="20"/>
                <w:szCs w:val="20"/>
                <w:color w:val="auto"/>
              </w:rPr>
            </w:pPr>
            <w:r>
              <w:rPr>
                <w:rFonts w:ascii="Arial" w:cs="Arial" w:eastAsia="Arial" w:hAnsi="Arial"/>
                <w:sz w:val="17"/>
                <w:szCs w:val="17"/>
                <w:color w:val="auto"/>
              </w:rPr>
              <w:t xml:space="preserve">Special items, net </w:t>
            </w:r>
            <w:r>
              <w:rPr>
                <w:rFonts w:ascii="Arial" w:cs="Arial" w:eastAsia="Arial" w:hAnsi="Arial"/>
                <w:sz w:val="28"/>
                <w:szCs w:val="28"/>
                <w:color w:val="auto"/>
                <w:vertAlign w:val="superscript"/>
              </w:rPr>
              <w:t>(1)</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(26,871)</w:t>
            </w:r>
          </w:p>
        </w:tc>
        <w:tc>
          <w:tcPr>
            <w:tcW w:w="280" w:type="dxa"/>
            <w:vAlign w:val="bottom"/>
          </w:tcPr>
          <w:p>
            <w:pPr>
              <w:spacing w:after="0"/>
              <w:rPr>
                <w:sz w:val="21"/>
                <w:szCs w:val="21"/>
                <w:color w:val="auto"/>
              </w:rPr>
            </w:pPr>
          </w:p>
        </w:tc>
        <w:tc>
          <w:tcPr>
            <w:tcW w:w="2980" w:type="dxa"/>
            <w:vAlign w:val="bottom"/>
            <w:gridSpan w:val="2"/>
          </w:tcPr>
          <w:p>
            <w:pPr>
              <w:ind w:left="580"/>
              <w:spacing w:after="0"/>
              <w:rPr>
                <w:sz w:val="20"/>
                <w:szCs w:val="20"/>
                <w:color w:val="auto"/>
              </w:rPr>
            </w:pPr>
            <w:r>
              <w:rPr>
                <w:rFonts w:ascii="Arial" w:cs="Arial" w:eastAsia="Arial" w:hAnsi="Arial"/>
                <w:sz w:val="18"/>
                <w:szCs w:val="18"/>
                <w:color w:val="auto"/>
              </w:rPr>
              <w:t>—</w:t>
            </w:r>
          </w:p>
        </w:tc>
      </w:tr>
      <w:tr>
        <w:trPr>
          <w:trHeight w:val="203"/>
        </w:trPr>
        <w:tc>
          <w:tcPr>
            <w:tcW w:w="67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Loss on asset transactions, net</w:t>
            </w:r>
          </w:p>
        </w:tc>
        <w:tc>
          <w:tcPr>
            <w:tcW w:w="260" w:type="dxa"/>
            <w:vAlign w:val="bottom"/>
            <w:shd w:val="clear" w:color="auto" w:fill="C6F4F9"/>
          </w:tcPr>
          <w:p>
            <w:pPr>
              <w:spacing w:after="0"/>
              <w:rPr>
                <w:sz w:val="17"/>
                <w:szCs w:val="17"/>
                <w:color w:val="auto"/>
              </w:rPr>
            </w:pPr>
          </w:p>
        </w:tc>
        <w:tc>
          <w:tcPr>
            <w:tcW w:w="960" w:type="dxa"/>
            <w:vAlign w:val="bottom"/>
            <w:shd w:val="clear" w:color="auto" w:fill="C6F4F9"/>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6F4F9"/>
          </w:tcPr>
          <w:p>
            <w:pPr>
              <w:spacing w:after="0"/>
              <w:rPr>
                <w:sz w:val="17"/>
                <w:szCs w:val="17"/>
                <w:color w:val="auto"/>
              </w:rPr>
            </w:pPr>
          </w:p>
        </w:tc>
        <w:tc>
          <w:tcPr>
            <w:tcW w:w="9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72</w:t>
            </w:r>
          </w:p>
        </w:tc>
        <w:tc>
          <w:tcPr>
            <w:tcW w:w="2020" w:type="dxa"/>
            <w:vAlign w:val="bottom"/>
            <w:shd w:val="clear" w:color="auto" w:fill="C6F4F9"/>
          </w:tcPr>
          <w:p>
            <w:pPr>
              <w:spacing w:after="0"/>
              <w:rPr>
                <w:sz w:val="17"/>
                <w:szCs w:val="17"/>
                <w:color w:val="auto"/>
              </w:rPr>
            </w:pPr>
          </w:p>
        </w:tc>
      </w:tr>
      <w:tr>
        <w:trPr>
          <w:trHeight w:val="203"/>
        </w:trPr>
        <w:tc>
          <w:tcPr>
            <w:tcW w:w="676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7,121</w:t>
            </w:r>
          </w:p>
        </w:tc>
        <w:tc>
          <w:tcPr>
            <w:tcW w:w="28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5,616</w:t>
            </w:r>
          </w:p>
        </w:tc>
        <w:tc>
          <w:tcPr>
            <w:tcW w:w="2020" w:type="dxa"/>
            <w:vAlign w:val="bottom"/>
          </w:tcPr>
          <w:p>
            <w:pPr>
              <w:spacing w:after="0"/>
              <w:rPr>
                <w:sz w:val="17"/>
                <w:szCs w:val="17"/>
                <w:color w:val="auto"/>
              </w:rPr>
            </w:pPr>
          </w:p>
        </w:tc>
      </w:tr>
      <w:tr>
        <w:trPr>
          <w:trHeight w:val="203"/>
        </w:trPr>
        <w:tc>
          <w:tcPr>
            <w:tcW w:w="67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Stock compensation expense</w:t>
            </w:r>
          </w:p>
        </w:tc>
        <w:tc>
          <w:tcPr>
            <w:tcW w:w="260" w:type="dxa"/>
            <w:vAlign w:val="bottom"/>
            <w:shd w:val="clear" w:color="auto" w:fill="C6F4F9"/>
          </w:tcPr>
          <w:p>
            <w:pPr>
              <w:spacing w:after="0"/>
              <w:rPr>
                <w:sz w:val="17"/>
                <w:szCs w:val="17"/>
                <w:color w:val="auto"/>
              </w:rPr>
            </w:pPr>
          </w:p>
        </w:tc>
        <w:tc>
          <w:tcPr>
            <w:tcW w:w="96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2,870</w:t>
            </w:r>
          </w:p>
        </w:tc>
        <w:tc>
          <w:tcPr>
            <w:tcW w:w="280" w:type="dxa"/>
            <w:vAlign w:val="bottom"/>
            <w:shd w:val="clear" w:color="auto" w:fill="C6F4F9"/>
          </w:tcPr>
          <w:p>
            <w:pPr>
              <w:spacing w:after="0"/>
              <w:rPr>
                <w:sz w:val="17"/>
                <w:szCs w:val="17"/>
                <w:color w:val="auto"/>
              </w:rPr>
            </w:pPr>
          </w:p>
        </w:tc>
        <w:tc>
          <w:tcPr>
            <w:tcW w:w="9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369</w:t>
            </w:r>
          </w:p>
        </w:tc>
        <w:tc>
          <w:tcPr>
            <w:tcW w:w="2020" w:type="dxa"/>
            <w:vAlign w:val="bottom"/>
            <w:shd w:val="clear" w:color="auto" w:fill="C6F4F9"/>
          </w:tcPr>
          <w:p>
            <w:pPr>
              <w:spacing w:after="0"/>
              <w:rPr>
                <w:sz w:val="17"/>
                <w:szCs w:val="17"/>
                <w:color w:val="auto"/>
              </w:rPr>
            </w:pPr>
          </w:p>
        </w:tc>
      </w:tr>
      <w:tr>
        <w:trPr>
          <w:trHeight w:val="243"/>
        </w:trPr>
        <w:tc>
          <w:tcPr>
            <w:tcW w:w="6760" w:type="dxa"/>
            <w:vAlign w:val="bottom"/>
          </w:tcPr>
          <w:p>
            <w:pPr>
              <w:spacing w:after="0" w:line="243" w:lineRule="exact"/>
              <w:rPr>
                <w:sz w:val="20"/>
                <w:szCs w:val="20"/>
                <w:color w:val="auto"/>
              </w:rPr>
            </w:pPr>
            <w:r>
              <w:rPr>
                <w:rFonts w:ascii="Arial" w:cs="Arial" w:eastAsia="Arial" w:hAnsi="Arial"/>
                <w:sz w:val="17"/>
                <w:szCs w:val="17"/>
                <w:color w:val="auto"/>
              </w:rPr>
              <w:t>Tax receivable agreement expense</w:t>
            </w:r>
            <w:r>
              <w:rPr>
                <w:rFonts w:ascii="Arial" w:cs="Arial" w:eastAsia="Arial" w:hAnsi="Arial"/>
                <w:sz w:val="28"/>
                <w:szCs w:val="28"/>
                <w:color w:val="auto"/>
                <w:vertAlign w:val="superscript"/>
              </w:rPr>
              <w:t>(2)</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264</w:t>
            </w:r>
          </w:p>
        </w:tc>
        <w:tc>
          <w:tcPr>
            <w:tcW w:w="280" w:type="dxa"/>
            <w:vAlign w:val="bottom"/>
          </w:tcPr>
          <w:p>
            <w:pPr>
              <w:spacing w:after="0"/>
              <w:rPr>
                <w:sz w:val="21"/>
                <w:szCs w:val="21"/>
                <w:color w:val="auto"/>
              </w:rPr>
            </w:pPr>
          </w:p>
        </w:tc>
        <w:tc>
          <w:tcPr>
            <w:tcW w:w="2980" w:type="dxa"/>
            <w:vAlign w:val="bottom"/>
            <w:gridSpan w:val="2"/>
          </w:tcPr>
          <w:p>
            <w:pPr>
              <w:ind w:left="580"/>
              <w:spacing w:after="0"/>
              <w:rPr>
                <w:sz w:val="20"/>
                <w:szCs w:val="20"/>
                <w:color w:val="auto"/>
              </w:rPr>
            </w:pPr>
            <w:r>
              <w:rPr>
                <w:rFonts w:ascii="Arial" w:cs="Arial" w:eastAsia="Arial" w:hAnsi="Arial"/>
                <w:sz w:val="18"/>
                <w:szCs w:val="18"/>
                <w:color w:val="auto"/>
              </w:rPr>
              <w:t>—</w:t>
            </w:r>
          </w:p>
        </w:tc>
      </w:tr>
      <w:tr>
        <w:trPr>
          <w:trHeight w:val="203"/>
        </w:trPr>
        <w:tc>
          <w:tcPr>
            <w:tcW w:w="67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Interest income</w:t>
            </w:r>
          </w:p>
        </w:tc>
        <w:tc>
          <w:tcPr>
            <w:tcW w:w="260" w:type="dxa"/>
            <w:vAlign w:val="bottom"/>
            <w:shd w:val="clear" w:color="auto" w:fill="C6F4F9"/>
          </w:tcPr>
          <w:p>
            <w:pPr>
              <w:spacing w:after="0"/>
              <w:rPr>
                <w:sz w:val="17"/>
                <w:szCs w:val="17"/>
                <w:color w:val="auto"/>
              </w:rPr>
            </w:pPr>
          </w:p>
        </w:tc>
        <w:tc>
          <w:tcPr>
            <w:tcW w:w="96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(15)</w:t>
            </w:r>
          </w:p>
        </w:tc>
        <w:tc>
          <w:tcPr>
            <w:tcW w:w="280" w:type="dxa"/>
            <w:vAlign w:val="bottom"/>
            <w:shd w:val="clear" w:color="auto" w:fill="C6F4F9"/>
          </w:tcPr>
          <w:p>
            <w:pPr>
              <w:spacing w:after="0"/>
              <w:rPr>
                <w:sz w:val="17"/>
                <w:szCs w:val="17"/>
                <w:color w:val="auto"/>
              </w:rPr>
            </w:pPr>
          </w:p>
        </w:tc>
        <w:tc>
          <w:tcPr>
            <w:tcW w:w="96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(251)</w:t>
            </w:r>
          </w:p>
        </w:tc>
        <w:tc>
          <w:tcPr>
            <w:tcW w:w="2020" w:type="dxa"/>
            <w:vAlign w:val="bottom"/>
            <w:shd w:val="clear" w:color="auto" w:fill="C6F4F9"/>
          </w:tcPr>
          <w:p>
            <w:pPr>
              <w:spacing w:after="0"/>
              <w:rPr>
                <w:sz w:val="17"/>
                <w:szCs w:val="17"/>
                <w:color w:val="auto"/>
              </w:rPr>
            </w:pPr>
          </w:p>
        </w:tc>
      </w:tr>
      <w:tr>
        <w:trPr>
          <w:trHeight w:val="203"/>
        </w:trPr>
        <w:tc>
          <w:tcPr>
            <w:tcW w:w="6760" w:type="dxa"/>
            <w:vAlign w:val="bottom"/>
          </w:tcPr>
          <w:p>
            <w:pPr>
              <w:spacing w:after="0" w:line="202" w:lineRule="exact"/>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5,406</w:t>
            </w:r>
          </w:p>
        </w:tc>
        <w:tc>
          <w:tcPr>
            <w:tcW w:w="28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2,445</w:t>
            </w:r>
          </w:p>
        </w:tc>
        <w:tc>
          <w:tcPr>
            <w:tcW w:w="2020" w:type="dxa"/>
            <w:vAlign w:val="bottom"/>
          </w:tcPr>
          <w:p>
            <w:pPr>
              <w:spacing w:after="0"/>
              <w:rPr>
                <w:sz w:val="17"/>
                <w:szCs w:val="17"/>
                <w:color w:val="auto"/>
              </w:rPr>
            </w:pPr>
          </w:p>
        </w:tc>
      </w:tr>
      <w:tr>
        <w:trPr>
          <w:trHeight w:val="203"/>
        </w:trPr>
        <w:tc>
          <w:tcPr>
            <w:tcW w:w="67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6F4F9"/>
          </w:tcPr>
          <w:p>
            <w:pPr>
              <w:spacing w:after="0"/>
              <w:rPr>
                <w:sz w:val="17"/>
                <w:szCs w:val="17"/>
                <w:color w:val="auto"/>
              </w:rPr>
            </w:pPr>
          </w:p>
        </w:tc>
        <w:tc>
          <w:tcPr>
            <w:tcW w:w="96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12,615</w:t>
            </w:r>
          </w:p>
        </w:tc>
        <w:tc>
          <w:tcPr>
            <w:tcW w:w="280" w:type="dxa"/>
            <w:vAlign w:val="bottom"/>
            <w:shd w:val="clear" w:color="auto" w:fill="C6F4F9"/>
          </w:tcPr>
          <w:p>
            <w:pPr>
              <w:spacing w:after="0"/>
              <w:rPr>
                <w:sz w:val="17"/>
                <w:szCs w:val="17"/>
                <w:color w:val="auto"/>
              </w:rPr>
            </w:pPr>
          </w:p>
        </w:tc>
        <w:tc>
          <w:tcPr>
            <w:tcW w:w="9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10,527</w:t>
            </w:r>
          </w:p>
        </w:tc>
        <w:tc>
          <w:tcPr>
            <w:tcW w:w="2020" w:type="dxa"/>
            <w:vAlign w:val="bottom"/>
            <w:shd w:val="clear" w:color="auto" w:fill="C6F4F9"/>
          </w:tcPr>
          <w:p>
            <w:pPr>
              <w:spacing w:after="0"/>
              <w:rPr>
                <w:sz w:val="17"/>
                <w:szCs w:val="17"/>
                <w:color w:val="auto"/>
              </w:rPr>
            </w:pPr>
          </w:p>
        </w:tc>
      </w:tr>
      <w:tr>
        <w:trPr>
          <w:trHeight w:val="216"/>
        </w:trPr>
        <w:tc>
          <w:tcPr>
            <w:tcW w:w="6760" w:type="dxa"/>
            <w:vAlign w:val="bottom"/>
            <w:tcBorders>
              <w:bottom w:val="single" w:sz="8" w:color="C6F4F9"/>
            </w:tcBorders>
          </w:tcPr>
          <w:p>
            <w:pPr>
              <w:spacing w:after="0"/>
              <w:rPr>
                <w:sz w:val="20"/>
                <w:szCs w:val="20"/>
                <w:color w:val="auto"/>
              </w:rPr>
            </w:pPr>
            <w:r>
              <w:rPr>
                <w:rFonts w:ascii="Arial" w:cs="Arial" w:eastAsia="Arial" w:hAnsi="Arial"/>
                <w:sz w:val="18"/>
                <w:szCs w:val="18"/>
                <w:color w:val="auto"/>
              </w:rPr>
              <w:t>Aircraft rent</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5,599</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11,032</w:t>
            </w:r>
          </w:p>
        </w:tc>
        <w:tc>
          <w:tcPr>
            <w:tcW w:w="2020" w:type="dxa"/>
            <w:vAlign w:val="bottom"/>
            <w:tcBorders>
              <w:bottom w:val="single" w:sz="8" w:color="C6F4F9"/>
            </w:tcBorders>
          </w:tcPr>
          <w:p>
            <w:pPr>
              <w:spacing w:after="0"/>
              <w:rPr>
                <w:sz w:val="18"/>
                <w:szCs w:val="18"/>
                <w:color w:val="auto"/>
              </w:rPr>
            </w:pPr>
          </w:p>
        </w:tc>
      </w:tr>
      <w:tr>
        <w:trPr>
          <w:trHeight w:val="210"/>
        </w:trPr>
        <w:tc>
          <w:tcPr>
            <w:tcW w:w="6760" w:type="dxa"/>
            <w:vAlign w:val="bottom"/>
            <w:tcBorders>
              <w:bottom w:val="single" w:sz="8" w:color="C6F4F9"/>
            </w:tcBorders>
            <w:shd w:val="clear" w:color="auto" w:fill="C6F4F9"/>
          </w:tcPr>
          <w:p>
            <w:pPr>
              <w:spacing w:after="0"/>
              <w:rPr>
                <w:sz w:val="20"/>
                <w:szCs w:val="20"/>
                <w:color w:val="auto"/>
              </w:rPr>
            </w:pPr>
            <w:r>
              <w:rPr>
                <w:rFonts w:ascii="Arial" w:cs="Arial" w:eastAsia="Arial" w:hAnsi="Arial"/>
                <w:sz w:val="18"/>
                <w:szCs w:val="18"/>
                <w:b w:val="1"/>
                <w:bCs w:val="1"/>
                <w:color w:val="auto"/>
              </w:rPr>
              <w:t>Adjusted EBITDAR</w:t>
            </w:r>
          </w:p>
        </w:tc>
        <w:tc>
          <w:tcPr>
            <w:tcW w:w="260" w:type="dxa"/>
            <w:vAlign w:val="bottom"/>
            <w:tcBorders>
              <w:bottom w:val="single" w:sz="8" w:color="auto"/>
            </w:tcBorders>
            <w:shd w:val="clear" w:color="auto" w:fill="C6F4F9"/>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6F4F9"/>
          </w:tcPr>
          <w:p>
            <w:pPr>
              <w:jc w:val="right"/>
              <w:spacing w:after="0"/>
              <w:rPr>
                <w:sz w:val="20"/>
                <w:szCs w:val="20"/>
                <w:color w:val="auto"/>
              </w:rPr>
            </w:pPr>
            <w:r>
              <w:rPr>
                <w:rFonts w:ascii="Arial" w:cs="Arial" w:eastAsia="Arial" w:hAnsi="Arial"/>
                <w:sz w:val="18"/>
                <w:szCs w:val="18"/>
                <w:b w:val="1"/>
                <w:bCs w:val="1"/>
                <w:color w:val="auto"/>
              </w:rPr>
              <w:t>19,405</w:t>
            </w:r>
          </w:p>
        </w:tc>
        <w:tc>
          <w:tcPr>
            <w:tcW w:w="280" w:type="dxa"/>
            <w:vAlign w:val="bottom"/>
            <w:tcBorders>
              <w:bottom w:val="single" w:sz="8" w:color="auto"/>
            </w:tcBorders>
            <w:shd w:val="clear" w:color="auto" w:fill="C6F4F9"/>
          </w:tcPr>
          <w:p>
            <w:pPr>
              <w:jc w:val="right"/>
              <w:ind w:right="5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6F4F9"/>
          </w:tcPr>
          <w:p>
            <w:pPr>
              <w:jc w:val="right"/>
              <w:ind w:right="10"/>
              <w:spacing w:after="0"/>
              <w:rPr>
                <w:sz w:val="20"/>
                <w:szCs w:val="20"/>
                <w:color w:val="auto"/>
              </w:rPr>
            </w:pPr>
            <w:r>
              <w:rPr>
                <w:rFonts w:ascii="Arial" w:cs="Arial" w:eastAsia="Arial" w:hAnsi="Arial"/>
                <w:sz w:val="18"/>
                <w:szCs w:val="18"/>
                <w:b w:val="1"/>
                <w:bCs w:val="1"/>
                <w:color w:val="auto"/>
              </w:rPr>
              <w:t>37,061</w:t>
            </w:r>
          </w:p>
        </w:tc>
        <w:tc>
          <w:tcPr>
            <w:tcW w:w="2020" w:type="dxa"/>
            <w:vAlign w:val="bottom"/>
            <w:tcBorders>
              <w:bottom w:val="single" w:sz="8" w:color="C6F4F9"/>
            </w:tcBorders>
            <w:shd w:val="clear" w:color="auto" w:fill="C6F4F9"/>
          </w:tcPr>
          <w:p>
            <w:pPr>
              <w:spacing w:after="0"/>
              <w:rPr>
                <w:sz w:val="18"/>
                <w:szCs w:val="18"/>
                <w:color w:val="auto"/>
              </w:rPr>
            </w:pPr>
          </w:p>
        </w:tc>
      </w:tr>
      <w:tr>
        <w:trPr>
          <w:trHeight w:val="20"/>
        </w:trPr>
        <w:tc>
          <w:tcPr>
            <w:tcW w:w="6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-1919605</wp:posOffset>
            </wp:positionV>
            <wp:extent cx="1276985" cy="5314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6985" cy="53149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-1233805</wp:posOffset>
            </wp:positionV>
            <wp:extent cx="1276985" cy="1289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6985" cy="12890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-976630</wp:posOffset>
            </wp:positionV>
            <wp:extent cx="1276985"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6985" cy="12890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-694055</wp:posOffset>
            </wp:positionV>
            <wp:extent cx="1276985" cy="1289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6985" cy="12890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-436880</wp:posOffset>
            </wp:positionV>
            <wp:extent cx="1276985" cy="12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6985" cy="12890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-170815</wp:posOffset>
            </wp:positionV>
            <wp:extent cx="1276985"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6985" cy="154305"/>
                    </a:xfrm>
                    <a:prstGeom prst="rect">
                      <a:avLst/>
                    </a:prstGeom>
                    <a:noFill/>
                  </pic:spPr>
                </pic:pic>
              </a:graphicData>
            </a:graphic>
          </wp:anchor>
        </w:drawing>
      </w:r>
    </w:p>
    <w:p>
      <w:pPr>
        <w:spacing w:after="0" w:line="17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 special items table above for more details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represents the one-time costs to establish the Tax Receivable Agreement with our pre-IPO stockholders</w:t>
      </w:r>
    </w:p>
    <w:p>
      <w:pPr>
        <w:spacing w:after="0" w:line="306" w:lineRule="exact"/>
        <w:rPr>
          <w:sz w:val="20"/>
          <w:szCs w:val="20"/>
          <w:color w:val="auto"/>
        </w:rPr>
      </w:pPr>
    </w:p>
    <w:p>
      <w:pPr>
        <w:jc w:val="right"/>
        <w:spacing w:after="0"/>
        <w:tabs>
          <w:tab w:leader="none" w:pos="2880" w:val="left"/>
        </w:tabs>
        <w:rPr>
          <w:sz w:val="20"/>
          <w:szCs w:val="20"/>
          <w:color w:val="auto"/>
        </w:rPr>
      </w:pPr>
      <w:r>
        <w:rPr>
          <w:rFonts w:ascii="Arial" w:cs="Arial" w:eastAsia="Arial" w:hAnsi="Arial"/>
          <w:sz w:val="18"/>
          <w:szCs w:val="18"/>
          <w:color w:val="auto"/>
        </w:rPr>
        <w:t>Page 13</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5051425</wp:posOffset>
            </wp:positionH>
            <wp:positionV relativeFrom="page">
              <wp:posOffset>509270</wp:posOffset>
            </wp:positionV>
            <wp:extent cx="2254250" cy="9086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22542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Adjusted CASM is a non-GAAP measure derived from CASM by excluding fuel costs, costs related to our cargo operations (starting in 2020 when we launched our cargo operations), certain commissions and other costs of selling our vacations product from this measure as these costs are unrelated to our airline operations and improve comparability to our peers. Adjusted CASM is an important measure used by management and by our board of directors in assessing quarterly and annual cost performance. Adjusted CASM is also a measure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 Adjusted CASM excludes fuel costs. By excluding volatile fuel expenses that are outside of our control from our unit metrics, we believe that we have better visibility into the results of operations and our non-fuel cost initiatives.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company-specific cost drivers, such as labor rates, aircraft costs and maintenance costs, and productivity, which are more controllable by management. Adjusted CASM also excludes special items and other adjustments, as defined in the relevant reporting period, that are not representative of the ongoing costs necessary to our airline operations and may improve comparability between periods. We also exclude stock compensation expense when computing Adjusted CASM. The Company’s compensation strategy includes the use of stock-based compensation to attract and retain employees and executives and is principally aimed at aligning their interests with those of our stockholders and at long-term employee retention, rather than to motivate or reward operational performance for any particular period. Thus, stock-based compensation expense varies for reasons that are generally unrelated to operational decisions and performance in any particular period. As derivations of Adjusted CASM are not determined in accordance with GAAP, such measures are susceptible to varying calculations and not all companies calculate the measures in the same manner. As a result, derivations of Adjusted CASM as presented may not be directly comparable to similarly titled measures presented by other companies. Adjusted CASM should not be considered in isolation or as a replacement for CASM. For the foregoing reasons, Adjusted CASM has significant limitations which affect its use as an indicator of our profitability. Accordingly, you are cautioned not to place undue reliance on this information.</w:t>
      </w:r>
    </w:p>
    <w:p>
      <w:pPr>
        <w:sectPr>
          <w:pgSz w:w="11900" w:h="16838" w:orient="portrait"/>
          <w:cols w:equalWidth="0" w:num="1">
            <w:col w:w="11240"/>
          </w:cols>
          <w:pgMar w:left="320" w:top="1440" w:right="339" w:bottom="1440" w:gutter="0" w:footer="0" w:header="0"/>
        </w:sectPr>
      </w:pP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Adjusted CASM to CASM</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reconciliation of CASM to Adjusted CASM.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CASM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282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8"/>
          <w:szCs w:val="18"/>
          <w:color w:val="auto"/>
        </w:rPr>
        <w:t>Less:</w:t>
      </w:r>
    </w:p>
    <w:p>
      <w:pPr>
        <w:spacing w:after="0" w:line="235" w:lineRule="auto"/>
        <w:rPr>
          <w:sz w:val="20"/>
          <w:szCs w:val="20"/>
          <w:color w:val="auto"/>
        </w:rPr>
      </w:pPr>
      <w:r>
        <w:rPr>
          <w:rFonts w:ascii="Arial" w:cs="Arial" w:eastAsia="Arial" w:hAnsi="Arial"/>
          <w:sz w:val="18"/>
          <w:szCs w:val="18"/>
          <w:color w:val="auto"/>
        </w:rPr>
        <w:t>Aircraft fuel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28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Stock compensation expense</w:t>
      </w:r>
    </w:p>
    <w:p>
      <w:pPr>
        <w:spacing w:after="0" w:line="181" w:lineRule="auto"/>
        <w:rPr>
          <w:sz w:val="20"/>
          <w:szCs w:val="20"/>
          <w:color w:val="auto"/>
        </w:rPr>
      </w:pPr>
      <w:r>
        <w:rPr>
          <w:rFonts w:ascii="Arial" w:cs="Arial" w:eastAsia="Arial" w:hAnsi="Arial"/>
          <w:sz w:val="17"/>
          <w:szCs w:val="17"/>
          <w:color w:val="auto"/>
        </w:rPr>
        <w:t xml:space="preserve">Special items,net </w:t>
      </w:r>
      <w:r>
        <w:rPr>
          <w:rFonts w:ascii="Arial" w:cs="Arial" w:eastAsia="Arial" w:hAnsi="Arial"/>
          <w:sz w:val="28"/>
          <w:szCs w:val="2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1" w:lineRule="auto"/>
        <w:rPr>
          <w:sz w:val="20"/>
          <w:szCs w:val="20"/>
          <w:color w:val="auto"/>
        </w:rPr>
      </w:pPr>
      <w:r>
        <w:rPr>
          <w:rFonts w:ascii="Arial" w:cs="Arial" w:eastAsia="Arial" w:hAnsi="Arial"/>
          <w:sz w:val="17"/>
          <w:szCs w:val="17"/>
          <w:color w:val="auto"/>
        </w:rPr>
        <w:t>Tax receivable agreement expense</w:t>
      </w:r>
      <w:r>
        <w:rPr>
          <w:rFonts w:ascii="Arial" w:cs="Arial" w:eastAsia="Arial" w:hAnsi="Arial"/>
          <w:sz w:val="28"/>
          <w:szCs w:val="28"/>
          <w:color w:val="auto"/>
          <w:vertAlign w:val="superscript"/>
        </w:rPr>
        <w:t>(2)</w:t>
      </w:r>
    </w:p>
    <w:p>
      <w:pPr>
        <w:spacing w:after="0" w:line="1" w:lineRule="exact"/>
        <w:rPr>
          <w:sz w:val="20"/>
          <w:szCs w:val="20"/>
          <w:color w:val="auto"/>
        </w:rPr>
      </w:pPr>
    </w:p>
    <w:p>
      <w:pPr>
        <w:ind w:right="2400"/>
        <w:spacing w:after="0" w:line="242" w:lineRule="auto"/>
        <w:rPr>
          <w:sz w:val="20"/>
          <w:szCs w:val="20"/>
          <w:color w:val="auto"/>
        </w:rPr>
      </w:pPr>
      <w:r>
        <w:rPr>
          <w:rFonts w:ascii="Arial" w:cs="Arial" w:eastAsia="Arial" w:hAnsi="Arial"/>
          <w:sz w:val="18"/>
          <w:szCs w:val="18"/>
          <w:color w:val="auto"/>
        </w:rPr>
        <w:t>Cargo expenses, not already adjusted above Sun Country Vacations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289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Adjusted CASM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Available seat miles (ASMs)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289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Three Months Ended March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2021</w:t>
            </w:r>
          </w:p>
        </w:tc>
        <w:tc>
          <w:tcPr>
            <w:tcW w:w="10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2020</w:t>
            </w:r>
          </w:p>
        </w:tc>
        <w:tc>
          <w:tcPr>
            <w:tcW w:w="1000" w:type="dxa"/>
            <w:vAlign w:val="bottom"/>
            <w:tcBorders>
              <w:top w:val="single" w:sz="8" w:color="auto"/>
              <w:bottom w:val="single" w:sz="8" w:color="auto"/>
            </w:tcBorders>
          </w:tcPr>
          <w:p>
            <w:pPr>
              <w:spacing w:after="0"/>
              <w:rPr>
                <w:sz w:val="17"/>
                <w:szCs w:val="17"/>
                <w:color w:val="auto"/>
              </w:rPr>
            </w:pPr>
          </w:p>
        </w:tc>
      </w:tr>
      <w:tr>
        <w:trPr>
          <w:trHeight w:val="173"/>
        </w:trPr>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0" w:type="dxa"/>
            <w:vAlign w:val="bottom"/>
          </w:tcPr>
          <w:p>
            <w:pPr>
              <w:jc w:val="right"/>
              <w:ind w:right="130"/>
              <w:spacing w:after="0" w:line="173" w:lineRule="exact"/>
              <w:rPr>
                <w:sz w:val="20"/>
                <w:szCs w:val="20"/>
                <w:color w:val="auto"/>
              </w:rPr>
            </w:pPr>
            <w:r>
              <w:rPr>
                <w:rFonts w:ascii="Arial" w:cs="Arial" w:eastAsia="Arial" w:hAnsi="Arial"/>
                <w:sz w:val="18"/>
                <w:szCs w:val="18"/>
                <w:b w:val="1"/>
                <w:bCs w:val="1"/>
                <w:color w:val="auto"/>
              </w:rPr>
              <w:t>Per ASM</w:t>
            </w: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0" w:type="dxa"/>
            <w:vAlign w:val="bottom"/>
          </w:tcPr>
          <w:p>
            <w:pPr>
              <w:jc w:val="center"/>
              <w:ind w:right="130"/>
              <w:spacing w:after="0" w:line="173" w:lineRule="exact"/>
              <w:rPr>
                <w:sz w:val="20"/>
                <w:szCs w:val="20"/>
                <w:color w:val="auto"/>
              </w:rPr>
            </w:pPr>
            <w:r>
              <w:rPr>
                <w:rFonts w:ascii="Arial" w:cs="Arial" w:eastAsia="Arial" w:hAnsi="Arial"/>
                <w:sz w:val="18"/>
                <w:szCs w:val="18"/>
                <w:b w:val="1"/>
                <w:bCs w:val="1"/>
                <w:color w:val="auto"/>
                <w:w w:val="99"/>
              </w:rPr>
              <w:t>Per ASM</w:t>
            </w:r>
          </w:p>
        </w:tc>
      </w:tr>
      <w:tr>
        <w:trPr>
          <w:trHeight w:val="225"/>
        </w:trPr>
        <w:tc>
          <w:tcPr>
            <w:tcW w:w="148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In thousands</w:t>
            </w:r>
          </w:p>
        </w:tc>
        <w:tc>
          <w:tcPr>
            <w:tcW w:w="1000" w:type="dxa"/>
            <w:vAlign w:val="bottom"/>
          </w:tcPr>
          <w:p>
            <w:pPr>
              <w:jc w:val="right"/>
              <w:ind w:right="210"/>
              <w:spacing w:after="0"/>
              <w:rPr>
                <w:sz w:val="20"/>
                <w:szCs w:val="20"/>
                <w:color w:val="auto"/>
              </w:rPr>
            </w:pPr>
            <w:r>
              <w:rPr>
                <w:rFonts w:ascii="Arial" w:cs="Arial" w:eastAsia="Arial" w:hAnsi="Arial"/>
                <w:sz w:val="18"/>
                <w:szCs w:val="18"/>
                <w:b w:val="1"/>
                <w:bCs w:val="1"/>
                <w:color w:val="auto"/>
              </w:rPr>
              <w:t>(cents)</w:t>
            </w:r>
          </w:p>
        </w:tc>
        <w:tc>
          <w:tcPr>
            <w:tcW w:w="146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In thousands</w:t>
            </w:r>
          </w:p>
        </w:tc>
        <w:tc>
          <w:tcPr>
            <w:tcW w:w="100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(cents)</w:t>
            </w:r>
          </w:p>
        </w:tc>
      </w:tr>
      <w:tr>
        <w:trPr>
          <w:trHeight w:val="217"/>
        </w:trPr>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102,678</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7.46</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165,100</w:t>
            </w:r>
          </w:p>
        </w:tc>
        <w:tc>
          <w:tcPr>
            <w:tcW w:w="1000" w:type="dxa"/>
            <w:vAlign w:val="bottom"/>
          </w:tcPr>
          <w:p>
            <w:pPr>
              <w:jc w:val="center"/>
              <w:ind w:left="350"/>
              <w:spacing w:after="0"/>
              <w:rPr>
                <w:sz w:val="20"/>
                <w:szCs w:val="20"/>
                <w:color w:val="auto"/>
              </w:rPr>
            </w:pPr>
            <w:r>
              <w:rPr>
                <w:rFonts w:ascii="Arial" w:cs="Arial" w:eastAsia="Arial" w:hAnsi="Arial"/>
                <w:sz w:val="18"/>
                <w:szCs w:val="18"/>
                <w:color w:val="auto"/>
              </w:rPr>
              <w:t>9.40</w:t>
            </w:r>
          </w:p>
        </w:tc>
      </w:tr>
      <w:tr>
        <w:trPr>
          <w:trHeight w:val="391"/>
        </w:trPr>
        <w:tc>
          <w:tcPr>
            <w:tcW w:w="220" w:type="dxa"/>
            <w:vAlign w:val="bottom"/>
          </w:tcPr>
          <w:p>
            <w:pPr>
              <w:spacing w:after="0"/>
              <w:rPr>
                <w:sz w:val="24"/>
                <w:szCs w:val="24"/>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24,274</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1.76</w:t>
            </w:r>
          </w:p>
        </w:tc>
        <w:tc>
          <w:tcPr>
            <w:tcW w:w="240" w:type="dxa"/>
            <w:vAlign w:val="bottom"/>
          </w:tcPr>
          <w:p>
            <w:pPr>
              <w:spacing w:after="0"/>
              <w:rPr>
                <w:sz w:val="24"/>
                <w:szCs w:val="24"/>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55,561</w:t>
            </w:r>
          </w:p>
        </w:tc>
        <w:tc>
          <w:tcPr>
            <w:tcW w:w="1000" w:type="dxa"/>
            <w:vAlign w:val="bottom"/>
          </w:tcPr>
          <w:p>
            <w:pPr>
              <w:jc w:val="center"/>
              <w:ind w:left="350"/>
              <w:spacing w:after="0"/>
              <w:rPr>
                <w:sz w:val="20"/>
                <w:szCs w:val="20"/>
                <w:color w:val="auto"/>
              </w:rPr>
            </w:pPr>
            <w:r>
              <w:rPr>
                <w:rFonts w:ascii="Arial" w:cs="Arial" w:eastAsia="Arial" w:hAnsi="Arial"/>
                <w:sz w:val="18"/>
                <w:szCs w:val="18"/>
                <w:color w:val="auto"/>
              </w:rPr>
              <w:t>3.17</w:t>
            </w:r>
          </w:p>
        </w:tc>
      </w:tr>
      <w:tr>
        <w:trPr>
          <w:trHeight w:val="217"/>
        </w:trPr>
        <w:tc>
          <w:tcPr>
            <w:tcW w:w="22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2,870</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0.21</w:t>
            </w:r>
          </w:p>
        </w:tc>
        <w:tc>
          <w:tcPr>
            <w:tcW w:w="240" w:type="dxa"/>
            <w:vAlign w:val="bottom"/>
          </w:tcPr>
          <w:p>
            <w:pPr>
              <w:spacing w:after="0"/>
              <w:rPr>
                <w:sz w:val="18"/>
                <w:szCs w:val="18"/>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369</w:t>
            </w:r>
          </w:p>
        </w:tc>
        <w:tc>
          <w:tcPr>
            <w:tcW w:w="1000" w:type="dxa"/>
            <w:vAlign w:val="bottom"/>
          </w:tcPr>
          <w:p>
            <w:pPr>
              <w:jc w:val="center"/>
              <w:ind w:left="350"/>
              <w:spacing w:after="0"/>
              <w:rPr>
                <w:sz w:val="20"/>
                <w:szCs w:val="20"/>
                <w:color w:val="auto"/>
              </w:rPr>
            </w:pPr>
            <w:r>
              <w:rPr>
                <w:rFonts w:ascii="Arial" w:cs="Arial" w:eastAsia="Arial" w:hAnsi="Arial"/>
                <w:sz w:val="18"/>
                <w:szCs w:val="18"/>
                <w:color w:val="auto"/>
              </w:rPr>
              <w:t>0.02</w:t>
            </w:r>
          </w:p>
        </w:tc>
      </w:tr>
      <w:tr>
        <w:trPr>
          <w:trHeight w:val="243"/>
        </w:trPr>
        <w:tc>
          <w:tcPr>
            <w:tcW w:w="220" w:type="dxa"/>
            <w:vAlign w:val="bottom"/>
          </w:tcPr>
          <w:p>
            <w:pPr>
              <w:spacing w:after="0"/>
              <w:rPr>
                <w:sz w:val="21"/>
                <w:szCs w:val="21"/>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(26,871)</w:t>
            </w:r>
          </w:p>
        </w:tc>
        <w:tc>
          <w:tcPr>
            <w:tcW w:w="1000" w:type="dxa"/>
            <w:vAlign w:val="bottom"/>
          </w:tcPr>
          <w:p>
            <w:pPr>
              <w:jc w:val="right"/>
              <w:spacing w:after="0"/>
              <w:rPr>
                <w:sz w:val="20"/>
                <w:szCs w:val="20"/>
                <w:color w:val="auto"/>
              </w:rPr>
            </w:pPr>
            <w:r>
              <w:rPr>
                <w:rFonts w:ascii="Arial" w:cs="Arial" w:eastAsia="Arial" w:hAnsi="Arial"/>
                <w:sz w:val="18"/>
                <w:szCs w:val="18"/>
                <w:color w:val="auto"/>
              </w:rPr>
              <w:t>(1.95)</w:t>
            </w:r>
          </w:p>
        </w:tc>
        <w:tc>
          <w:tcPr>
            <w:tcW w:w="240" w:type="dxa"/>
            <w:vAlign w:val="bottom"/>
          </w:tcPr>
          <w:p>
            <w:pPr>
              <w:spacing w:after="0"/>
              <w:rPr>
                <w:sz w:val="21"/>
                <w:szCs w:val="21"/>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Pr>
          <w:p>
            <w:pPr>
              <w:jc w:val="center"/>
              <w:ind w:left="330"/>
              <w:spacing w:after="0"/>
              <w:rPr>
                <w:sz w:val="20"/>
                <w:szCs w:val="20"/>
                <w:color w:val="auto"/>
              </w:rPr>
            </w:pPr>
            <w:r>
              <w:rPr>
                <w:rFonts w:ascii="Arial" w:cs="Arial" w:eastAsia="Arial" w:hAnsi="Arial"/>
                <w:sz w:val="18"/>
                <w:szCs w:val="18"/>
                <w:color w:val="auto"/>
                <w:w w:val="99"/>
              </w:rPr>
              <w:t>—</w:t>
            </w:r>
          </w:p>
        </w:tc>
      </w:tr>
      <w:tr>
        <w:trPr>
          <w:trHeight w:val="229"/>
        </w:trPr>
        <w:tc>
          <w:tcPr>
            <w:tcW w:w="220" w:type="dxa"/>
            <w:vAlign w:val="bottom"/>
          </w:tcPr>
          <w:p>
            <w:pPr>
              <w:spacing w:after="0"/>
              <w:rPr>
                <w:sz w:val="19"/>
                <w:szCs w:val="19"/>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264</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240" w:type="dxa"/>
            <w:vAlign w:val="bottom"/>
          </w:tcPr>
          <w:p>
            <w:pPr>
              <w:spacing w:after="0"/>
              <w:rPr>
                <w:sz w:val="19"/>
                <w:szCs w:val="19"/>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Pr>
          <w:p>
            <w:pPr>
              <w:jc w:val="center"/>
              <w:ind w:left="330"/>
              <w:spacing w:after="0"/>
              <w:rPr>
                <w:sz w:val="20"/>
                <w:szCs w:val="20"/>
                <w:color w:val="auto"/>
              </w:rPr>
            </w:pPr>
            <w:r>
              <w:rPr>
                <w:rFonts w:ascii="Arial" w:cs="Arial" w:eastAsia="Arial" w:hAnsi="Arial"/>
                <w:sz w:val="18"/>
                <w:szCs w:val="18"/>
                <w:color w:val="auto"/>
                <w:w w:val="99"/>
              </w:rPr>
              <w:t>—</w:t>
            </w:r>
          </w:p>
        </w:tc>
      </w:tr>
      <w:tr>
        <w:trPr>
          <w:trHeight w:val="216"/>
        </w:trPr>
        <w:tc>
          <w:tcPr>
            <w:tcW w:w="22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17,195</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240" w:type="dxa"/>
            <w:vAlign w:val="bottom"/>
          </w:tcPr>
          <w:p>
            <w:pPr>
              <w:spacing w:after="0"/>
              <w:rPr>
                <w:sz w:val="18"/>
                <w:szCs w:val="18"/>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Pr>
          <w:p>
            <w:pPr>
              <w:jc w:val="center"/>
              <w:ind w:left="330"/>
              <w:spacing w:after="0"/>
              <w:rPr>
                <w:sz w:val="20"/>
                <w:szCs w:val="20"/>
                <w:color w:val="auto"/>
              </w:rPr>
            </w:pPr>
            <w:r>
              <w:rPr>
                <w:rFonts w:ascii="Arial" w:cs="Arial" w:eastAsia="Arial" w:hAnsi="Arial"/>
                <w:sz w:val="18"/>
                <w:szCs w:val="18"/>
                <w:color w:val="auto"/>
                <w:w w:val="99"/>
              </w:rPr>
              <w:t>—</w:t>
            </w:r>
          </w:p>
        </w:tc>
      </w:tr>
      <w:tr>
        <w:trPr>
          <w:trHeight w:val="203"/>
        </w:trPr>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rPr>
              <w:t>214</w:t>
            </w:r>
          </w:p>
        </w:tc>
        <w:tc>
          <w:tcPr>
            <w:tcW w:w="10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0.02</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188</w:t>
            </w:r>
          </w:p>
        </w:tc>
        <w:tc>
          <w:tcPr>
            <w:tcW w:w="1000" w:type="dxa"/>
            <w:vAlign w:val="bottom"/>
            <w:tcBorders>
              <w:bottom w:val="single" w:sz="8" w:color="auto"/>
            </w:tcBorders>
          </w:tcPr>
          <w:p>
            <w:pPr>
              <w:jc w:val="center"/>
              <w:ind w:left="350"/>
              <w:spacing w:after="0" w:line="203" w:lineRule="exact"/>
              <w:rPr>
                <w:sz w:val="20"/>
                <w:szCs w:val="20"/>
                <w:color w:val="auto"/>
              </w:rPr>
            </w:pPr>
            <w:r>
              <w:rPr>
                <w:rFonts w:ascii="Arial" w:cs="Arial" w:eastAsia="Arial" w:hAnsi="Arial"/>
                <w:sz w:val="18"/>
                <w:szCs w:val="18"/>
                <w:color w:val="auto"/>
              </w:rPr>
              <w:t>0.01</w:t>
            </w:r>
          </w:p>
        </w:tc>
      </w:tr>
      <w:tr>
        <w:trPr>
          <w:trHeight w:val="210"/>
        </w:trPr>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84,732</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6.15</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108,982</w:t>
            </w:r>
          </w:p>
        </w:tc>
        <w:tc>
          <w:tcPr>
            <w:tcW w:w="10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color w:val="auto"/>
              </w:rPr>
              <w:t>6.20</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399"/>
        </w:trPr>
        <w:tc>
          <w:tcPr>
            <w:tcW w:w="220" w:type="dxa"/>
            <w:vAlign w:val="bottom"/>
          </w:tcPr>
          <w:p>
            <w:pPr>
              <w:spacing w:after="0"/>
              <w:rPr>
                <w:sz w:val="24"/>
                <w:szCs w:val="24"/>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1,376,796</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1,757,067</w:t>
            </w:r>
          </w:p>
        </w:tc>
        <w:tc>
          <w:tcPr>
            <w:tcW w:w="1000" w:type="dxa"/>
            <w:vAlign w:val="bottom"/>
          </w:tcPr>
          <w:p>
            <w:pPr>
              <w:spacing w:after="0"/>
              <w:rPr>
                <w:sz w:val="24"/>
                <w:szCs w:val="24"/>
                <w:color w:val="auto"/>
              </w:rPr>
            </w:pPr>
          </w:p>
        </w:tc>
      </w:tr>
    </w:tbl>
    <w:p>
      <w:pPr>
        <w:spacing w:after="0" w:line="184" w:lineRule="exact"/>
        <w:rPr>
          <w:sz w:val="20"/>
          <w:szCs w:val="20"/>
          <w:color w:val="auto"/>
        </w:rPr>
      </w:pPr>
    </w:p>
    <w:p>
      <w:pPr>
        <w:sectPr>
          <w:pgSz w:w="11900" w:h="16838" w:orient="portrait"/>
          <w:cols w:equalWidth="0" w:num="2">
            <w:col w:w="5980" w:space="320"/>
            <w:col w:w="4940"/>
          </w:cols>
          <w:pgMar w:left="320" w:top="1440" w:right="339" w:bottom="1440" w:gutter="0" w:footer="0" w:header="0"/>
          <w:type w:val="continuous"/>
        </w:sect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 special items table above for more details</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represents the one-time costs to establish the Tax Receivable Agreement with our pre-IPO stockholders</w:t>
      </w:r>
    </w:p>
    <w:p>
      <w:pPr>
        <w:spacing w:after="0" w:line="200" w:lineRule="exact"/>
        <w:rPr>
          <w:sz w:val="20"/>
          <w:szCs w:val="20"/>
          <w:color w:val="auto"/>
        </w:rPr>
      </w:pPr>
    </w:p>
    <w:p>
      <w:pPr>
        <w:spacing w:after="0" w:line="390" w:lineRule="exact"/>
        <w:rPr>
          <w:sz w:val="20"/>
          <w:szCs w:val="20"/>
          <w:color w:val="auto"/>
        </w:rPr>
      </w:pPr>
    </w:p>
    <w:p>
      <w:pPr>
        <w:jc w:val="right"/>
        <w:spacing w:after="0"/>
        <w:tabs>
          <w:tab w:leader="none" w:pos="2880" w:val="left"/>
        </w:tabs>
        <w:rPr>
          <w:sz w:val="20"/>
          <w:szCs w:val="20"/>
          <w:color w:val="auto"/>
        </w:rPr>
      </w:pPr>
      <w:r>
        <w:rPr>
          <w:rFonts w:ascii="Arial" w:cs="Arial" w:eastAsia="Arial" w:hAnsi="Arial"/>
          <w:sz w:val="18"/>
          <w:szCs w:val="18"/>
          <w:color w:val="auto"/>
        </w:rPr>
        <w:t>Page 14</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2021-05-05T15:48:03Z</dcterms:created>
  <dcterms:modified xsi:type="dcterms:W3CDTF">2021-05-05T15:48:03Z</dcterms:modified>
</cp:coreProperties>
</file>