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2578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257800"/>
                    </a:xfrm>
                    <a:prstGeom prst="rect">
                      <a:avLst/>
                    </a:prstGeom>
                    <a:noFill/>
                  </pic:spPr>
                </pic:pic>
              </a:graphicData>
            </a:graphic>
          </wp:anchor>
        </w:drawing>
      </w:r>
    </w:p>
    <w:p>
      <w:pPr>
        <w:spacing w:after="0" w:line="1235"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Gyurci John</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SUN COUNTRY AIRLINES HOLDINGS, INC.</w:t>
      </w:r>
    </w:p>
    <w:p>
      <w:pPr>
        <w:spacing w:after="0" w:line="7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2005 CARGO RD.</w:t>
      </w:r>
    </w:p>
    <w:p>
      <w:pPr>
        <w:spacing w:after="0" w:line="28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MINNEAPOLIS MN</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55450</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4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Sun Country Airlines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SNCY</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84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60" w:type="dxa"/>
            <w:vAlign w:val="bottom"/>
            <w:tcBorders>
              <w:bottom w:val="single" w:sz="8" w:color="0000EE"/>
            </w:tcBorders>
          </w:tcPr>
          <w:p>
            <w:pPr>
              <w:spacing w:after="0"/>
              <w:rPr>
                <w:sz w:val="3"/>
                <w:szCs w:val="3"/>
                <w:color w:val="auto"/>
              </w:rPr>
            </w:pPr>
          </w:p>
        </w:tc>
        <w:tc>
          <w:tcPr>
            <w:tcW w:w="780" w:type="dxa"/>
            <w:vAlign w:val="bottom"/>
          </w:tcPr>
          <w:p>
            <w:pPr>
              <w:spacing w:after="0"/>
              <w:rPr>
                <w:sz w:val="3"/>
                <w:szCs w:val="3"/>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28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4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0" w:type="dxa"/>
            <w:vAlign w:val="bottom"/>
            <w:gridSpan w:val="2"/>
            <w:vMerge w:val="continue"/>
          </w:tcPr>
          <w:p>
            <w:pPr>
              <w:spacing w:after="0"/>
              <w:rPr>
                <w:sz w:val="12"/>
                <w:szCs w:val="12"/>
                <w:color w:val="auto"/>
              </w:rPr>
            </w:pPr>
          </w:p>
        </w:tc>
        <w:tc>
          <w:tcPr>
            <w:tcW w:w="2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86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1840" w:type="dxa"/>
            <w:vAlign w:val="bottom"/>
          </w:tcPr>
          <w:p>
            <w:pPr>
              <w:ind w:left="58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1"/>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3280" w:type="dxa"/>
            <w:vAlign w:val="bottom"/>
            <w:gridSpan w:val="2"/>
          </w:tcPr>
          <w:p>
            <w:pPr>
              <w:ind w:left="580"/>
              <w:spacing w:after="0" w:line="181" w:lineRule="exact"/>
              <w:rPr>
                <w:sz w:val="20"/>
                <w:szCs w:val="20"/>
                <w:color w:val="auto"/>
              </w:rPr>
            </w:pPr>
            <w:r>
              <w:rPr>
                <w:rFonts w:ascii="Times New Roman" w:cs="Times New Roman" w:eastAsia="Times New Roman" w:hAnsi="Times New Roman"/>
                <w:sz w:val="17"/>
                <w:szCs w:val="17"/>
                <w:color w:val="0000FF"/>
              </w:rPr>
              <w:t>Chief Acct. Off. &amp; VP, Finance</w:t>
            </w:r>
          </w:p>
        </w:tc>
        <w:tc>
          <w:tcPr>
            <w:tcW w:w="0" w:type="dxa"/>
            <w:vAlign w:val="bottom"/>
          </w:tcPr>
          <w:p>
            <w:pPr>
              <w:spacing w:after="0"/>
              <w:rPr>
                <w:sz w:val="1"/>
                <w:szCs w:val="1"/>
                <w:color w:val="auto"/>
              </w:rPr>
            </w:pPr>
          </w:p>
        </w:tc>
      </w:tr>
      <w:tr>
        <w:trPr>
          <w:trHeight w:val="217"/>
        </w:trPr>
        <w:tc>
          <w:tcPr>
            <w:tcW w:w="30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12/12/2024</w:t>
            </w:r>
          </w:p>
        </w:tc>
        <w:tc>
          <w:tcPr>
            <w:tcW w:w="7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86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328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00" w:type="dxa"/>
            <w:vAlign w:val="bottom"/>
          </w:tcPr>
          <w:p>
            <w:pPr>
              <w:spacing w:after="0"/>
              <w:rPr>
                <w:sz w:val="13"/>
                <w:szCs w:val="13"/>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4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1"/>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3000" w:type="dxa"/>
            <w:vAlign w:val="bottom"/>
            <w:tcBorders>
              <w:bottom w:val="single" w:sz="8" w:color="2C2C2C"/>
            </w:tcBorders>
            <w:gridSpan w:val="4"/>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7"/>
                <w:szCs w:val="17"/>
                <w:color w:val="0000FF"/>
              </w:rPr>
              <w:t>12/12/2024</w:t>
            </w: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40,000</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Pr>
          <w:p>
            <w:pPr>
              <w:jc w:val="center"/>
              <w:ind w:right="33"/>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5.3</w:t>
            </w:r>
          </w:p>
        </w:tc>
        <w:tc>
          <w:tcPr>
            <w:tcW w:w="180" w:type="dxa"/>
            <w:vAlign w:val="bottom"/>
          </w:tcPr>
          <w:p>
            <w:pPr>
              <w:spacing w:after="0"/>
              <w:rPr>
                <w:sz w:val="22"/>
                <w:szCs w:val="22"/>
                <w:color w:val="auto"/>
              </w:rPr>
            </w:pPr>
          </w:p>
        </w:tc>
        <w:tc>
          <w:tcPr>
            <w:tcW w:w="118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0000FF"/>
              </w:rPr>
              <w:t>52,999</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3000" w:type="dxa"/>
            <w:vAlign w:val="bottom"/>
            <w:tcBorders>
              <w:bottom w:val="single" w:sz="8" w:color="2C2C2C"/>
            </w:tcBorders>
            <w:gridSpan w:val="4"/>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30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080" w:type="dxa"/>
            <w:vAlign w:val="bottom"/>
            <w:tcBorders>
              <w:bottom w:val="single" w:sz="8" w:color="2C2C2C"/>
            </w:tcBorders>
            <w:gridSpan w:val="2"/>
          </w:tcPr>
          <w:p>
            <w:pPr>
              <w:jc w:val="right"/>
              <w:ind w:right="81"/>
              <w:spacing w:after="0"/>
              <w:rPr>
                <w:sz w:val="20"/>
                <w:szCs w:val="20"/>
                <w:color w:val="auto"/>
              </w:rPr>
            </w:pPr>
            <w:r>
              <w:rPr>
                <w:rFonts w:ascii="Times New Roman" w:cs="Times New Roman" w:eastAsia="Times New Roman" w:hAnsi="Times New Roman"/>
                <w:sz w:val="17"/>
                <w:szCs w:val="17"/>
                <w:color w:val="0000FF"/>
              </w:rPr>
              <w:t>12/12/2024</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40,000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15.6088</w:t>
            </w:r>
            <w:r>
              <w:rPr>
                <w:rFonts w:ascii="Times New Roman" w:cs="Times New Roman" w:eastAsia="Times New Roman" w:hAnsi="Times New Roman"/>
                <w:sz w:val="21"/>
                <w:szCs w:val="21"/>
                <w:color w:val="008000"/>
                <w:w w:val="91"/>
                <w:vertAlign w:val="superscript"/>
              </w:rPr>
              <w:t>(2)</w:t>
            </w: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12,999</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1"/>
          </w:tcPr>
          <w:p>
            <w:pPr>
              <w:jc w:val="center"/>
              <w:ind w:right="97"/>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960" w:type="dxa"/>
            <w:vAlign w:val="bottom"/>
            <w:gridSpan w:val="8"/>
          </w:tcPr>
          <w:p>
            <w:pPr>
              <w:jc w:val="center"/>
              <w:ind w:left="29"/>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5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8"/>
              </w:rPr>
              <w:t>Expiration</w:t>
            </w:r>
          </w:p>
        </w:tc>
        <w:tc>
          <w:tcPr>
            <w:tcW w:w="560" w:type="dxa"/>
            <w:vAlign w:val="bottom"/>
          </w:tcPr>
          <w:p>
            <w:pPr>
              <w:spacing w:after="0"/>
              <w:rPr>
                <w:sz w:val="11"/>
                <w:szCs w:val="11"/>
                <w:color w:val="auto"/>
              </w:rPr>
            </w:pP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(3)</w:t>
            </w:r>
          </w:p>
        </w:tc>
        <w:tc>
          <w:tcPr>
            <w:tcW w:w="760" w:type="dxa"/>
            <w:vAlign w:val="bottom"/>
          </w:tcPr>
          <w:p>
            <w:pPr>
              <w:spacing w:after="0"/>
              <w:rPr>
                <w:sz w:val="12"/>
                <w:szCs w:val="12"/>
                <w:color w:val="auto"/>
              </w:rPr>
            </w:pP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40,000</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8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5.3</w:t>
            </w:r>
          </w:p>
        </w:tc>
        <w:tc>
          <w:tcPr>
            <w:tcW w:w="1040" w:type="dxa"/>
            <w:vAlign w:val="bottom"/>
          </w:tcPr>
          <w:p>
            <w:pPr>
              <w:jc w:val="right"/>
              <w:ind w:right="140"/>
              <w:spacing w:after="0" w:line="129" w:lineRule="exact"/>
              <w:rPr>
                <w:sz w:val="20"/>
                <w:szCs w:val="20"/>
                <w:color w:val="auto"/>
              </w:rPr>
            </w:pPr>
            <w:r>
              <w:rPr>
                <w:rFonts w:ascii="Times New Roman" w:cs="Times New Roman" w:eastAsia="Times New Roman" w:hAnsi="Times New Roman"/>
                <w:sz w:val="13"/>
                <w:szCs w:val="13"/>
                <w:color w:val="0000FF"/>
              </w:rPr>
              <w:t>12/12/2024</w:t>
            </w: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ind w:left="14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400" w:type="dxa"/>
            <w:vAlign w:val="bottom"/>
          </w:tcPr>
          <w:p>
            <w:pPr>
              <w:spacing w:after="0"/>
              <w:rPr>
                <w:sz w:val="11"/>
                <w:szCs w:val="11"/>
                <w:color w:val="auto"/>
              </w:rPr>
            </w:pPr>
          </w:p>
        </w:tc>
        <w:tc>
          <w:tcPr>
            <w:tcW w:w="70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40,000</w:t>
            </w:r>
          </w:p>
        </w:tc>
        <w:tc>
          <w:tcPr>
            <w:tcW w:w="800" w:type="dxa"/>
            <w:vAlign w:val="bottom"/>
            <w:vMerge w:val="continue"/>
          </w:tcPr>
          <w:p>
            <w:pPr>
              <w:spacing w:after="0"/>
              <w:rPr>
                <w:sz w:val="11"/>
                <w:szCs w:val="11"/>
                <w:color w:val="auto"/>
              </w:rPr>
            </w:pPr>
          </w:p>
        </w:tc>
        <w:tc>
          <w:tcPr>
            <w:tcW w:w="760" w:type="dxa"/>
            <w:vAlign w:val="bottom"/>
          </w:tcPr>
          <w:p>
            <w:pPr>
              <w:jc w:val="center"/>
              <w:spacing w:after="0" w:line="129" w:lineRule="exact"/>
              <w:rPr>
                <w:sz w:val="20"/>
                <w:szCs w:val="20"/>
                <w:color w:val="auto"/>
              </w:rPr>
            </w:pPr>
            <w:r>
              <w:rPr>
                <w:rFonts w:ascii="Times New Roman" w:cs="Times New Roman" w:eastAsia="Times New Roman" w:hAnsi="Times New Roman"/>
                <w:sz w:val="13"/>
                <w:szCs w:val="13"/>
                <w:color w:val="0000FF"/>
              </w:rPr>
              <w:t>11/21/2028</w:t>
            </w:r>
          </w:p>
        </w:tc>
        <w:tc>
          <w:tcPr>
            <w:tcW w:w="5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ind w:left="10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tcPr>
          <w:p>
            <w:pPr>
              <w:ind w:left="240"/>
              <w:spacing w:after="0" w:line="129" w:lineRule="exact"/>
              <w:rPr>
                <w:sz w:val="20"/>
                <w:szCs w:val="20"/>
                <w:color w:val="auto"/>
              </w:rPr>
            </w:pPr>
            <w:r>
              <w:rPr>
                <w:rFonts w:ascii="Times New Roman" w:cs="Times New Roman" w:eastAsia="Times New Roman" w:hAnsi="Times New Roman"/>
                <w:sz w:val="13"/>
                <w:szCs w:val="13"/>
                <w:color w:val="0000FF"/>
              </w:rPr>
              <w:t>89,558</w:t>
            </w:r>
          </w:p>
        </w:tc>
        <w:tc>
          <w:tcPr>
            <w:tcW w:w="26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pursuant to a Rule 10b5-1 trading plan. The 10b5-1 trading plan was adopted on September 10, 2024.</w:t>
      </w:r>
    </w:p>
    <w:p>
      <w:pPr>
        <w:spacing w:after="0" w:line="43" w:lineRule="exact"/>
        <w:rPr>
          <w:rFonts w:ascii="Times New Roman" w:cs="Times New Roman" w:eastAsia="Times New Roman" w:hAnsi="Times New Roman"/>
          <w:sz w:val="13"/>
          <w:szCs w:val="13"/>
          <w:color w:val="008000"/>
        </w:rPr>
      </w:pPr>
    </w:p>
    <w:p>
      <w:pPr>
        <w:ind w:left="40" w:right="24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$15.25 to $15.84, inclusive. The reporting person undertakes to provide to Sun Country Airlines Holdings, Inc. ("Sun Country"), any security holder of Sun Country, or the staff of the Securities and Exchange Commission, upon request, full information regarding the number of shares sold at each separate price within the ranges set forth in footnote (2) to this Form 4.</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Grants may have a graded vesting schedule. Date Exercisable will vary for each vesting tranche.</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Rose Neale, as attorney-in-</w:t>
            </w:r>
          </w:p>
        </w:tc>
        <w:tc>
          <w:tcPr>
            <w:tcW w:w="18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12/16/2024</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 for John Gyurci</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40" w:type="dxa"/>
            <w:vAlign w:val="bottom"/>
            <w:shd w:val="clear" w:color="auto" w:fill="000000"/>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50688" TargetMode="External"/><Relationship Id="rId14"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2024-12-16T17:14:59Z</dcterms:created>
  <dcterms:modified xsi:type="dcterms:W3CDTF">2024-12-16T17:14:59Z</dcterms:modified>
</cp:coreProperties>
</file>