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May 19,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Sun Country Airlines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312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4512</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82-4092570</w:t>
            </w:r>
          </w:p>
        </w:tc>
      </w:tr>
      <w:tr>
        <w:trPr>
          <w:trHeight w:val="216"/>
        </w:trPr>
        <w:tc>
          <w:tcPr>
            <w:tcW w:w="312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(State or Other Jurisdiction of</w:t>
            </w:r>
          </w:p>
        </w:tc>
        <w:tc>
          <w:tcPr>
            <w:tcW w:w="38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(Primary Standard Industrial</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312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Incorporation or Organization)</w:t>
            </w:r>
          </w:p>
        </w:tc>
        <w:tc>
          <w:tcPr>
            <w:tcW w:w="38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Classification Code Number)</w:t>
            </w:r>
          </w:p>
        </w:tc>
        <w:tc>
          <w:tcPr>
            <w:tcW w:w="2640" w:type="dxa"/>
            <w:vAlign w:val="bottom"/>
          </w:tcPr>
          <w:p>
            <w:pPr>
              <w:jc w:val="center"/>
              <w:ind w:left="770"/>
              <w:spacing w:after="0"/>
              <w:rPr>
                <w:sz w:val="20"/>
                <w:szCs w:val="20"/>
                <w:color w:val="auto"/>
              </w:rPr>
            </w:pPr>
            <w:r>
              <w:rPr>
                <w:rFonts w:ascii="Arial" w:cs="Arial" w:eastAsia="Arial" w:hAnsi="Arial"/>
                <w:sz w:val="18"/>
                <w:szCs w:val="18"/>
                <w:b w:val="1"/>
                <w:bCs w:val="1"/>
                <w:color w:val="auto"/>
                <w:w w:val="93"/>
              </w:rPr>
              <w:t>Identification Number)</w:t>
            </w:r>
          </w:p>
        </w:tc>
      </w:tr>
      <w:tr>
        <w:trPr>
          <w:trHeight w:val="216"/>
        </w:trPr>
        <w:tc>
          <w:tcPr>
            <w:tcW w:w="3120" w:type="dxa"/>
            <w:vAlign w:val="bottom"/>
          </w:tcPr>
          <w:p>
            <w:pPr>
              <w:spacing w:after="0"/>
              <w:rPr>
                <w:sz w:val="18"/>
                <w:szCs w:val="18"/>
                <w:color w:val="auto"/>
              </w:rPr>
            </w:pPr>
          </w:p>
        </w:tc>
        <w:tc>
          <w:tcPr>
            <w:tcW w:w="3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2005 Cargo Road</w:t>
            </w:r>
          </w:p>
        </w:tc>
        <w:tc>
          <w:tcPr>
            <w:tcW w:w="26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8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Minneapolis, MN 55450</w:t>
            </w:r>
          </w:p>
        </w:tc>
        <w:tc>
          <w:tcPr>
            <w:tcW w:w="264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38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(651) 681-3900</w:t>
            </w:r>
          </w:p>
        </w:tc>
        <w:tc>
          <w:tcPr>
            <w:tcW w:w="264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Levenhagen,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2005 Cargo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MN 55450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020" w:type="dxa"/>
            <w:vAlign w:val="bottom"/>
          </w:tcPr>
          <w:p>
            <w:pPr>
              <w:ind w:left="78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446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Brian M. Janson, Esq.</w:t>
            </w:r>
          </w:p>
        </w:tc>
        <w:tc>
          <w:tcPr>
            <w:tcW w:w="6020" w:type="dxa"/>
            <w:vAlign w:val="bottom"/>
          </w:tcPr>
          <w:p>
            <w:pPr>
              <w:jc w:val="center"/>
              <w:ind w:left="3710"/>
              <w:spacing w:after="0"/>
              <w:rPr>
                <w:sz w:val="20"/>
                <w:szCs w:val="20"/>
                <w:color w:val="auto"/>
              </w:rPr>
            </w:pPr>
            <w:r>
              <w:rPr>
                <w:rFonts w:ascii="Arial" w:cs="Arial" w:eastAsia="Arial" w:hAnsi="Arial"/>
                <w:sz w:val="18"/>
                <w:szCs w:val="18"/>
                <w:b w:val="1"/>
                <w:bCs w:val="1"/>
                <w:color w:val="auto"/>
                <w:w w:val="92"/>
              </w:rPr>
              <w:t>Michael Kaplan, Esq.</w:t>
            </w:r>
          </w:p>
        </w:tc>
      </w:tr>
      <w:tr>
        <w:trPr>
          <w:trHeight w:val="216"/>
        </w:trPr>
        <w:tc>
          <w:tcPr>
            <w:tcW w:w="4460" w:type="dxa"/>
            <w:vAlign w:val="bottom"/>
          </w:tcPr>
          <w:p>
            <w:pPr>
              <w:jc w:val="center"/>
              <w:ind w:right="690"/>
              <w:spacing w:after="0"/>
              <w:rPr>
                <w:sz w:val="20"/>
                <w:szCs w:val="20"/>
                <w:color w:val="auto"/>
              </w:rPr>
            </w:pPr>
            <w:r>
              <w:rPr>
                <w:rFonts w:ascii="Arial" w:cs="Arial" w:eastAsia="Arial" w:hAnsi="Arial"/>
                <w:sz w:val="18"/>
                <w:szCs w:val="18"/>
                <w:b w:val="1"/>
                <w:bCs w:val="1"/>
                <w:color w:val="auto"/>
                <w:w w:val="94"/>
              </w:rPr>
              <w:t>Paul, Weiss, Rifkind, Wharton &amp; Garrison LLP</w:t>
            </w:r>
          </w:p>
        </w:tc>
        <w:tc>
          <w:tcPr>
            <w:tcW w:w="6020" w:type="dxa"/>
            <w:vAlign w:val="bottom"/>
          </w:tcPr>
          <w:p>
            <w:pPr>
              <w:jc w:val="center"/>
              <w:ind w:left="3670"/>
              <w:spacing w:after="0"/>
              <w:rPr>
                <w:sz w:val="20"/>
                <w:szCs w:val="20"/>
                <w:color w:val="auto"/>
              </w:rPr>
            </w:pPr>
            <w:r>
              <w:rPr>
                <w:rFonts w:ascii="Arial" w:cs="Arial" w:eastAsia="Arial" w:hAnsi="Arial"/>
                <w:sz w:val="18"/>
                <w:szCs w:val="18"/>
                <w:b w:val="1"/>
                <w:bCs w:val="1"/>
                <w:color w:val="auto"/>
                <w:w w:val="89"/>
              </w:rPr>
              <w:t>Derek Dostal, Esq.</w:t>
            </w:r>
          </w:p>
        </w:tc>
      </w:tr>
      <w:tr>
        <w:trPr>
          <w:trHeight w:val="216"/>
        </w:trPr>
        <w:tc>
          <w:tcPr>
            <w:tcW w:w="4460" w:type="dxa"/>
            <w:vAlign w:val="bottom"/>
          </w:tcPr>
          <w:p>
            <w:pPr>
              <w:jc w:val="center"/>
              <w:ind w:right="670"/>
              <w:spacing w:after="0"/>
              <w:rPr>
                <w:sz w:val="20"/>
                <w:szCs w:val="20"/>
                <w:color w:val="auto"/>
              </w:rPr>
            </w:pPr>
            <w:r>
              <w:rPr>
                <w:rFonts w:ascii="Arial" w:cs="Arial" w:eastAsia="Arial" w:hAnsi="Arial"/>
                <w:sz w:val="18"/>
                <w:szCs w:val="18"/>
                <w:b w:val="1"/>
                <w:bCs w:val="1"/>
                <w:color w:val="auto"/>
                <w:w w:val="88"/>
              </w:rPr>
              <w:t>1285 Avenue of the Americas</w:t>
            </w:r>
          </w:p>
        </w:tc>
        <w:tc>
          <w:tcPr>
            <w:tcW w:w="6020" w:type="dxa"/>
            <w:vAlign w:val="bottom"/>
          </w:tcPr>
          <w:p>
            <w:pPr>
              <w:jc w:val="center"/>
              <w:ind w:left="3710"/>
              <w:spacing w:after="0"/>
              <w:rPr>
                <w:sz w:val="20"/>
                <w:szCs w:val="20"/>
                <w:color w:val="auto"/>
              </w:rPr>
            </w:pPr>
            <w:r>
              <w:rPr>
                <w:rFonts w:ascii="Arial" w:cs="Arial" w:eastAsia="Arial" w:hAnsi="Arial"/>
                <w:sz w:val="18"/>
                <w:szCs w:val="18"/>
                <w:b w:val="1"/>
                <w:bCs w:val="1"/>
                <w:color w:val="auto"/>
                <w:w w:val="95"/>
              </w:rPr>
              <w:t>Davis Polk &amp; Wardwell LLP</w:t>
            </w:r>
          </w:p>
        </w:tc>
      </w:tr>
      <w:tr>
        <w:trPr>
          <w:trHeight w:val="216"/>
        </w:trPr>
        <w:tc>
          <w:tcPr>
            <w:tcW w:w="446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New York, New York 10019-6064</w:t>
            </w:r>
          </w:p>
        </w:tc>
        <w:tc>
          <w:tcPr>
            <w:tcW w:w="6020" w:type="dxa"/>
            <w:vAlign w:val="bottom"/>
          </w:tcPr>
          <w:p>
            <w:pPr>
              <w:jc w:val="center"/>
              <w:ind w:left="3710"/>
              <w:spacing w:after="0"/>
              <w:rPr>
                <w:sz w:val="20"/>
                <w:szCs w:val="20"/>
                <w:color w:val="auto"/>
              </w:rPr>
            </w:pPr>
            <w:r>
              <w:rPr>
                <w:rFonts w:ascii="Arial" w:cs="Arial" w:eastAsia="Arial" w:hAnsi="Arial"/>
                <w:sz w:val="18"/>
                <w:szCs w:val="18"/>
                <w:b w:val="1"/>
                <w:bCs w:val="1"/>
                <w:color w:val="auto"/>
                <w:w w:val="88"/>
              </w:rPr>
              <w:t>450 Lexington Avenue</w:t>
            </w:r>
          </w:p>
        </w:tc>
      </w:tr>
      <w:tr>
        <w:trPr>
          <w:trHeight w:val="216"/>
        </w:trPr>
        <w:tc>
          <w:tcPr>
            <w:tcW w:w="4460" w:type="dxa"/>
            <w:vAlign w:val="bottom"/>
          </w:tcPr>
          <w:p>
            <w:pPr>
              <w:jc w:val="center"/>
              <w:ind w:right="690"/>
              <w:spacing w:after="0"/>
              <w:rPr>
                <w:sz w:val="20"/>
                <w:szCs w:val="20"/>
                <w:color w:val="auto"/>
              </w:rPr>
            </w:pPr>
            <w:r>
              <w:rPr>
                <w:rFonts w:ascii="Arial" w:cs="Arial" w:eastAsia="Arial" w:hAnsi="Arial"/>
                <w:sz w:val="18"/>
                <w:szCs w:val="18"/>
                <w:b w:val="1"/>
                <w:bCs w:val="1"/>
                <w:color w:val="auto"/>
                <w:w w:val="90"/>
              </w:rPr>
              <w:t>(212) 373-3000</w:t>
            </w:r>
          </w:p>
        </w:tc>
        <w:tc>
          <w:tcPr>
            <w:tcW w:w="6020" w:type="dxa"/>
            <w:vAlign w:val="bottom"/>
          </w:tcPr>
          <w:p>
            <w:pPr>
              <w:jc w:val="center"/>
              <w:ind w:left="3710"/>
              <w:spacing w:after="0"/>
              <w:rPr>
                <w:sz w:val="20"/>
                <w:szCs w:val="20"/>
                <w:color w:val="auto"/>
              </w:rPr>
            </w:pPr>
            <w:r>
              <w:rPr>
                <w:rFonts w:ascii="Arial" w:cs="Arial" w:eastAsia="Arial" w:hAnsi="Arial"/>
                <w:sz w:val="18"/>
                <w:szCs w:val="18"/>
                <w:b w:val="1"/>
                <w:bCs w:val="1"/>
                <w:color w:val="auto"/>
                <w:w w:val="91"/>
              </w:rPr>
              <w:t>New York, New York 10017</w:t>
            </w:r>
          </w:p>
        </w:tc>
      </w:tr>
      <w:tr>
        <w:trPr>
          <w:trHeight w:val="234"/>
        </w:trPr>
        <w:tc>
          <w:tcPr>
            <w:tcW w:w="4460" w:type="dxa"/>
            <w:vAlign w:val="bottom"/>
          </w:tcPr>
          <w:p>
            <w:pPr>
              <w:spacing w:after="0"/>
              <w:rPr>
                <w:sz w:val="20"/>
                <w:szCs w:val="20"/>
                <w:color w:val="auto"/>
              </w:rPr>
            </w:pPr>
          </w:p>
        </w:tc>
        <w:tc>
          <w:tcPr>
            <w:tcW w:w="6020" w:type="dxa"/>
            <w:vAlign w:val="bottom"/>
          </w:tcPr>
          <w:p>
            <w:pPr>
              <w:jc w:val="center"/>
              <w:ind w:left="3710"/>
              <w:spacing w:after="0"/>
              <w:rPr>
                <w:sz w:val="20"/>
                <w:szCs w:val="20"/>
                <w:color w:val="auto"/>
              </w:rPr>
            </w:pPr>
            <w:r>
              <w:rPr>
                <w:rFonts w:ascii="Arial" w:cs="Arial" w:eastAsia="Arial" w:hAnsi="Arial"/>
                <w:sz w:val="18"/>
                <w:szCs w:val="18"/>
                <w:b w:val="1"/>
                <w:bCs w:val="1"/>
                <w:color w:val="auto"/>
                <w:w w:val="92"/>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340"/>
        <w:spacing w:after="0"/>
        <w:rPr>
          <w:sz w:val="20"/>
          <w:szCs w:val="20"/>
          <w:color w:val="auto"/>
        </w:rPr>
      </w:pPr>
      <w:r>
        <w:rPr>
          <w:rFonts w:ascii="Arial" w:cs="Arial" w:eastAsia="Arial" w:hAnsi="Arial"/>
          <w:sz w:val="17"/>
          <w:szCs w:val="17"/>
          <w:color w:val="auto"/>
        </w:rPr>
        <w:t>Approximate date of commencement of proposed sale to the public: As soon as practicable after this Registration Statement becomes effective.</w:t>
      </w:r>
    </w:p>
    <w:p>
      <w:pPr>
        <w:spacing w:after="0" w:line="237"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00" w:firstLine="324"/>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þ 333-256201</w:t>
      </w:r>
    </w:p>
    <w:p>
      <w:pPr>
        <w:spacing w:after="0" w:line="146"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18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80" w:type="dxa"/>
            <w:vAlign w:val="bottom"/>
          </w:tcPr>
          <w:p>
            <w:pPr>
              <w:ind w:left="218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83" w:orient="portrait"/>
          <w:cols w:equalWidth="0" w:num="1">
            <w:col w:w="11240"/>
          </w:cols>
          <w:pgMar w:left="320" w:top="233"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CALCULATION OF REGISTRATION FEE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4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70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Amount to be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r>
      <w:tr>
        <w:trPr>
          <w:trHeight w:val="234"/>
        </w:trPr>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Registered(1)(2)</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Fee(3)</w:t>
            </w:r>
          </w:p>
        </w:tc>
      </w:tr>
      <w:tr>
        <w:trPr>
          <w:trHeight w:val="217"/>
        </w:trPr>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$0.01 per share</w:t>
            </w:r>
          </w:p>
        </w:tc>
        <w:tc>
          <w:tcPr>
            <w:tcW w:w="170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1,437,500</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$34.50</w:t>
            </w:r>
          </w:p>
        </w:tc>
        <w:tc>
          <w:tcPr>
            <w:tcW w:w="202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$49,593,750</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$5,411</w:t>
            </w:r>
          </w:p>
        </w:tc>
      </w:tr>
    </w:tbl>
    <w:p>
      <w:pPr>
        <w:spacing w:after="0" w:line="202" w:lineRule="exact"/>
        <w:rPr>
          <w:sz w:val="20"/>
          <w:szCs w:val="20"/>
          <w:color w:val="auto"/>
        </w:rPr>
      </w:pPr>
    </w:p>
    <w:p>
      <w:pPr>
        <w:ind w:right="640" w:firstLine="8"/>
        <w:spacing w:after="0" w:line="258"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shares of common stock being registered in this Registration Statement are in addition to the 6,900,000 shares of common stock registered pursuant to the registrant's Registration Statement on Form S-1 (Registration No. 333-256201).</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187,500 shares of common stock which may be purchased by the underwriters to cover over-allotments, if any.</w:t>
      </w:r>
    </w:p>
    <w:p>
      <w:pPr>
        <w:spacing w:after="0" w:line="9" w:lineRule="exact"/>
        <w:rPr>
          <w:rFonts w:ascii="Arial" w:cs="Arial" w:eastAsia="Arial" w:hAnsi="Arial"/>
          <w:sz w:val="18"/>
          <w:szCs w:val="18"/>
          <w:color w:val="auto"/>
        </w:rPr>
      </w:pPr>
    </w:p>
    <w:p>
      <w:pPr>
        <w:ind w:right="60" w:firstLine="8"/>
        <w:spacing w:after="0" w:line="253"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is calculated in accordance with Rule 457(a) under the Securities Act of 1933, as amended, based on the proposed maximum aggregate offering price. The registrant previously paid a filing fee of $28,110 for the Registration Statement on Form S-1 (File No. 333-256201), which was declared effective on May 19, 2021. In accordance with Rule 462(b) under the Securities Act of 1933, as amended, an additional amount of securities having a proposed maximum aggregate offering price of $49,593,750 are hereby registered, which includes the additional shares that the underwriters have the option to purchase.</w:t>
      </w:r>
    </w:p>
    <w:p>
      <w:pPr>
        <w:spacing w:after="0" w:line="187"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This Registration Statement is being filed pursuant to Rule 462(b) (“Rule 462(b)”) and General Instruction V of Form S-1, both as promulgated under the Securities Act of 1933, as amended. Pursuant to Rule 462(b), the contents of the Registration Statement on Form S−1 (Registration No. 333-256201) of Sun Country Airlines Holdings, Inc. (the “Registrant”), including the exhibits thereto, which was declared effective by the Securities and Exchange Commission (the “Commission”) on May 19, 2021, are incorporated by reference into this Registration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Registrant hereby certifies that it (i) has instructed its bank to transmit to the Commission the filing fee set forth on the cover page of this Registration Statement by a wire transfer of such amount to the Commission’s account at U.S. Bank, N.A. in St. Louis, Missouri as soon as practicable (but no later than the close of business on May 20, 2021), (ii) will not revoke such instructions, (iii) has sufficient funds in the relevant account to cover the amount of such filing fee, and (iv) will confirm receipt of such instructions by its bank during the bank’s regular business hours no later than May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exhibits filed with or incorporated by reference in Registration Statement No. 333-256201 are incorporated by reference into, and shall be deemed to be a part of, this registration statement, except for the following, which are filed 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340" w:type="dxa"/>
            <w:vAlign w:val="bottom"/>
          </w:tcPr>
          <w:p>
            <w:pPr>
              <w:spacing w:after="0"/>
              <w:rPr>
                <w:sz w:val="20"/>
                <w:szCs w:val="20"/>
                <w:color w:val="auto"/>
              </w:rPr>
            </w:pPr>
          </w:p>
        </w:tc>
        <w:tc>
          <w:tcPr>
            <w:tcW w:w="7660" w:type="dxa"/>
            <w:vAlign w:val="bottom"/>
            <w:gridSpan w:val="5"/>
          </w:tcPr>
          <w:p>
            <w:pPr>
              <w:ind w:left="1760"/>
              <w:spacing w:after="0"/>
              <w:rPr>
                <w:sz w:val="20"/>
                <w:szCs w:val="20"/>
                <w:color w:val="auto"/>
              </w:rPr>
            </w:pPr>
            <w:r>
              <w:rPr>
                <w:rFonts w:ascii="Arial" w:cs="Arial" w:eastAsia="Arial" w:hAnsi="Arial"/>
                <w:sz w:val="18"/>
                <w:szCs w:val="18"/>
                <w:b w:val="1"/>
                <w:bCs w:val="1"/>
                <w:color w:val="auto"/>
              </w:rPr>
              <w:t>Description of Exhibit</w:t>
            </w:r>
          </w:p>
        </w:tc>
      </w:tr>
      <w:tr>
        <w:trPr>
          <w:trHeight w:val="385"/>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920" w:type="dxa"/>
            <w:vAlign w:val="bottom"/>
            <w:tcBorders>
              <w:top w:val="single" w:sz="8" w:color="auto"/>
              <w:bottom w:val="single" w:sz="8" w:color="0000EE"/>
            </w:tcBorders>
            <w:gridSpan w:val="4"/>
          </w:tcPr>
          <w:p>
            <w:pPr>
              <w:ind w:left="20"/>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Opinion of Paul, Weiss, Rifkind, Wharton &amp; Garrison LLP as to the legality of the securities being registered.</w:t>
              </w:r>
            </w:hyperlink>
          </w:p>
        </w:tc>
        <w:tc>
          <w:tcPr>
            <w:tcW w:w="2080" w:type="dxa"/>
            <w:vAlign w:val="bottom"/>
            <w:tcBorders>
              <w:top w:val="single" w:sz="8" w:color="auto"/>
            </w:tcBorders>
            <w:gridSpan w:val="2"/>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Consent of KPMG LLP, independent registered public accounting firm.</w:t>
              </w:r>
            </w:hyperlink>
          </w:p>
        </w:tc>
        <w:tc>
          <w:tcPr>
            <w:tcW w:w="4840" w:type="dxa"/>
            <w:vAlign w:val="bottom"/>
            <w:gridSpan w:val="4"/>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tcBorders>
              <w:bottom w:val="single" w:sz="8" w:color="0000EE"/>
            </w:tcBorders>
            <w:gridSpan w:val="3"/>
          </w:tcPr>
          <w:p>
            <w:pPr>
              <w:ind w:left="20"/>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Consent of Paul, Weiss, Rifkind, Wharton &amp; Garrison LLP (included in Exhibit 5.1).</w:t>
              </w:r>
            </w:hyperlink>
          </w:p>
        </w:tc>
        <w:tc>
          <w:tcPr>
            <w:tcW w:w="3880" w:type="dxa"/>
            <w:vAlign w:val="bottom"/>
            <w:gridSpan w:val="3"/>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19">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color w:val="0000EE"/>
                <w:w w:val="99"/>
              </w:rPr>
            </w:pPr>
            <w:hyperlink r:id="rId19">
              <w:r>
                <w:rPr>
                  <w:rFonts w:ascii="Arial" w:cs="Arial" w:eastAsia="Arial" w:hAnsi="Arial"/>
                  <w:sz w:val="18"/>
                  <w:szCs w:val="18"/>
                  <w:color w:val="0000EE"/>
                  <w:w w:val="99"/>
                </w:rPr>
                <w:t>Power of Attorney (incorporated by reference to the Registration Statement on Form S-1 of Sun Country Airlines Holdings, Inc.</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Borders>
              <w:top w:val="single" w:sz="8" w:color="0000EE"/>
            </w:tcBorders>
            <w:gridSpan w:val="5"/>
          </w:tcPr>
          <w:p>
            <w:pPr>
              <w:ind w:left="20"/>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(Registration No. 333-256201)).</w:t>
              </w:r>
            </w:hyperlink>
          </w:p>
        </w:tc>
        <w:tc>
          <w:tcPr>
            <w:tcW w:w="760" w:type="dxa"/>
            <w:vAlign w:val="bottom"/>
          </w:tcPr>
          <w:p>
            <w:pPr>
              <w:spacing w:after="0"/>
              <w:rPr>
                <w:sz w:val="17"/>
                <w:szCs w:val="17"/>
                <w:color w:val="auto"/>
              </w:rPr>
            </w:pPr>
          </w:p>
        </w:tc>
      </w:tr>
      <w:tr>
        <w:trPr>
          <w:trHeight w:val="69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duly caused this registration statement to be signed on its behalf by the undersigned, thereunto duly authorized, in the City of Minneapolis, State of Minnesota, on May 19, 2021.</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Jude Bricker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on May 19, 2021, by the following persons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center"/>
              <w:ind w:right="1570"/>
              <w:spacing w:after="0"/>
              <w:rPr>
                <w:sz w:val="20"/>
                <w:szCs w:val="20"/>
                <w:color w:val="auto"/>
              </w:rPr>
            </w:pPr>
            <w:r>
              <w:rPr>
                <w:rFonts w:ascii="Arial" w:cs="Arial" w:eastAsia="Arial" w:hAnsi="Arial"/>
                <w:sz w:val="18"/>
                <w:szCs w:val="18"/>
                <w:b w:val="1"/>
                <w:bCs w:val="1"/>
                <w:color w:val="auto"/>
                <w:w w:val="97"/>
              </w:rPr>
              <w:t>Title</w:t>
            </w:r>
          </w:p>
        </w:tc>
        <w:tc>
          <w:tcPr>
            <w:tcW w:w="3360" w:type="dxa"/>
            <w:vAlign w:val="bottom"/>
          </w:tcPr>
          <w:p>
            <w:pPr>
              <w:spacing w:after="0"/>
              <w:rPr>
                <w:sz w:val="20"/>
                <w:szCs w:val="20"/>
                <w:color w:val="auto"/>
              </w:rPr>
            </w:pPr>
          </w:p>
        </w:tc>
      </w:tr>
      <w:tr>
        <w:trPr>
          <w:trHeight w:val="425"/>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Jude Bricker</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4"/>
              </w:rPr>
              <w:t>Chief Executive Officer; 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Jude Bricker</w:t>
            </w:r>
          </w:p>
        </w:tc>
        <w:tc>
          <w:tcPr>
            <w:tcW w:w="120" w:type="dxa"/>
            <w:vAlign w:val="bottom"/>
          </w:tcPr>
          <w:p>
            <w:pPr>
              <w:spacing w:after="0"/>
              <w:rPr>
                <w:sz w:val="19"/>
                <w:szCs w:val="19"/>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3360" w:type="dxa"/>
            <w:vAlign w:val="bottom"/>
          </w:tcPr>
          <w:p>
            <w:pPr>
              <w:spacing w:after="0"/>
              <w:rPr>
                <w:sz w:val="19"/>
                <w:szCs w:val="19"/>
                <w:color w:val="auto"/>
              </w:rPr>
            </w:pPr>
          </w:p>
        </w:tc>
      </w:tr>
      <w:tr>
        <w:trPr>
          <w:trHeight w:val="418"/>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Dave Davis</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2"/>
              </w:rPr>
              <w:t>President and Chief Financial Officer; 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Dave Davis</w:t>
            </w:r>
          </w:p>
        </w:tc>
        <w:tc>
          <w:tcPr>
            <w:tcW w:w="120" w:type="dxa"/>
            <w:vAlign w:val="bottom"/>
          </w:tcPr>
          <w:p>
            <w:pPr>
              <w:spacing w:after="0"/>
              <w:rPr>
                <w:sz w:val="19"/>
                <w:szCs w:val="19"/>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3360" w:type="dxa"/>
            <w:vAlign w:val="bottom"/>
          </w:tcPr>
          <w:p>
            <w:pPr>
              <w:spacing w:after="0"/>
              <w:rPr>
                <w:sz w:val="19"/>
                <w:szCs w:val="19"/>
                <w:color w:val="auto"/>
              </w:rPr>
            </w:pPr>
          </w:p>
        </w:tc>
      </w:tr>
      <w:tr>
        <w:trPr>
          <w:trHeight w:val="418"/>
        </w:trPr>
        <w:tc>
          <w:tcPr>
            <w:tcW w:w="38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Partick Kearney</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8"/>
        </w:trPr>
        <w:tc>
          <w:tcPr>
            <w:tcW w:w="38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Thomas C. Kennedy</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8"/>
        </w:trPr>
        <w:tc>
          <w:tcPr>
            <w:tcW w:w="38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Antoine Munfakh</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8"/>
        </w:trPr>
        <w:tc>
          <w:tcPr>
            <w:tcW w:w="38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Kerry Philipovitch</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8"/>
        </w:trPr>
        <w:tc>
          <w:tcPr>
            <w:tcW w:w="38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David Siegel</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8"/>
        </w:trPr>
        <w:tc>
          <w:tcPr>
            <w:tcW w:w="38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940" w:type="dxa"/>
            <w:vAlign w:val="bottom"/>
            <w:gridSpan w:val="2"/>
          </w:tcPr>
          <w:p>
            <w:pPr>
              <w:jc w:val="center"/>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Juan Carlos Zuazua</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8"/>
        </w:trPr>
        <w:tc>
          <w:tcPr>
            <w:tcW w:w="3820" w:type="dxa"/>
            <w:vAlign w:val="bottom"/>
            <w:gridSpan w:val="2"/>
          </w:tcPr>
          <w:p>
            <w:pPr>
              <w:spacing w:after="0"/>
              <w:rPr>
                <w:sz w:val="20"/>
                <w:szCs w:val="20"/>
                <w:color w:val="auto"/>
              </w:rPr>
            </w:pPr>
            <w:r>
              <w:rPr>
                <w:rFonts w:ascii="Arial" w:cs="Arial" w:eastAsia="Arial" w:hAnsi="Arial"/>
                <w:sz w:val="18"/>
                <w:szCs w:val="18"/>
                <w:color w:val="auto"/>
              </w:rPr>
              <w:t>*By: /s/ Dave Davis</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Dave Davis</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675"/>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560" w:type="dxa"/>
            <w:vAlign w:val="bottom"/>
            <w:gridSpan w:val="5"/>
          </w:tcPr>
          <w:p>
            <w:pPr>
              <w:ind w:left="1040"/>
              <w:spacing w:after="0"/>
              <w:rPr>
                <w:sz w:val="20"/>
                <w:szCs w:val="20"/>
                <w:color w:val="auto"/>
              </w:rPr>
            </w:pPr>
            <w:r>
              <w:rPr>
                <w:rFonts w:ascii="Arial" w:cs="Arial" w:eastAsia="Arial" w:hAnsi="Arial"/>
                <w:sz w:val="18"/>
                <w:szCs w:val="18"/>
                <w:b w:val="1"/>
                <w:bCs w:val="1"/>
                <w:color w:val="auto"/>
              </w:rPr>
              <w:t>INDEX TO EXHIBITS</w:t>
            </w:r>
          </w:p>
        </w:tc>
      </w:tr>
      <w:tr>
        <w:trPr>
          <w:trHeight w:val="439"/>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2320" w:type="dxa"/>
            <w:vAlign w:val="bottom"/>
          </w:tcPr>
          <w:p>
            <w:pPr>
              <w:spacing w:after="0"/>
              <w:rPr>
                <w:sz w:val="24"/>
                <w:szCs w:val="24"/>
                <w:color w:val="auto"/>
              </w:rPr>
            </w:pPr>
          </w:p>
        </w:tc>
        <w:tc>
          <w:tcPr>
            <w:tcW w:w="7560" w:type="dxa"/>
            <w:vAlign w:val="bottom"/>
            <w:gridSpan w:val="5"/>
          </w:tcPr>
          <w:p>
            <w:pPr>
              <w:ind w:left="1760"/>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240" w:type="dxa"/>
            <w:vAlign w:val="bottom"/>
            <w:tcBorders>
              <w:top w:val="single" w:sz="8" w:color="auto"/>
            </w:tcBorders>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tcBorders>
              <w:top w:val="single" w:sz="8" w:color="auto"/>
            </w:tcBorders>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Opinion of Paul, Weiss, Rifkind, Wharton &amp; Garrison LLP as to the legality of the securities being registered.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Consent of KPMG LLP, independent registered public accounting firm.</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Paul, Weiss, Rifkind, Wharton &amp; Garrison LLP (included in Exhibit 5.1).</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19">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40" w:type="dxa"/>
            <w:vAlign w:val="bottom"/>
            <w:tcBorders>
              <w:bottom w:val="single" w:sz="8" w:color="0000EE"/>
            </w:tcBorders>
            <w:gridSpan w:val="5"/>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Power of Attorney (incorporated by reference to the Registration Statement on Form S-1 of Sun Country Airlines Holdings, Inc.</w:t>
              </w:r>
            </w:hyperlink>
          </w:p>
        </w:tc>
        <w:tc>
          <w:tcPr>
            <w:tcW w:w="6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(Registration No. 333-256201)).</w:t>
              </w:r>
            </w:hyperlink>
          </w:p>
        </w:tc>
      </w:tr>
      <w:tr>
        <w:trPr>
          <w:trHeight w:val="69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2005 Cargo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55450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 Country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(incorporating Registration Statement on Form S-1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Registration No. </w:t>
      </w:r>
      <w:r>
        <w:rPr>
          <w:rFonts w:ascii="Arial" w:cs="Arial" w:eastAsia="Arial" w:hAnsi="Arial"/>
          <w:sz w:val="18"/>
          <w:szCs w:val="18"/>
          <w:u w:val="single" w:color="auto"/>
          <w:color w:val="auto"/>
        </w:rPr>
        <w:t>333-256201</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acted as counsel to Sun Country Airlines Holdings, Inc., a Delaware corporation (the “Company”), in connection with the Registration Statement on Form S-1 (the “Registration Statement”), of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and the related registration statement (Registration No. 333-256201) relate to the registration under the Act of up to 8,337,500 shares (the “Shares”) of the Company’s common stock, par value $0.01 per share (the “Common Stock”), that may be offered by certain stockholders of the Company (including shares that may be sold by certain stockholders of the Company upon exercise of the underwriters’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Sun Country Airlines Holdings,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furnishing of this opinion, we have examined the Registration Statement.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registration of the Shares, certified by the Company and (ii) such other certificates, agreements and documents that we deemed relevant and necessary as a basis for the opinion expressed below. We have also relied upon certificates of public officials and the officers of the Company.</w:t>
      </w:r>
    </w:p>
    <w:p>
      <w:pPr>
        <w:spacing w:after="0" w:line="188"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7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Based upon the above, and subject to the stated assumptions, exceptions and qualifications, we are of the opinion that the Shares have been duly authorized by all necessary corporate action on the part of the Company and are validly issued, fully paid and non-assessable.</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Sun Country Airlines Holdings, Inc.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Sun Country Airlines Holdings, Inc.</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incorporated by reference in the Registration Statement. In giving this consent, we do not thereby admit that we come within the category of persons whose consent is required by the Act or the Rules.</w:t>
      </w:r>
    </w:p>
    <w:p>
      <w:pPr>
        <w:spacing w:after="0" w:line="18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Weiss, Rifkind, Wharton &amp; Garrison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WEISS, RIFKIND, WHARTON &amp; GARRISON LLP</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consent to the use of our report dated February 23, 2021, except as to the third and fourth paragraphs of Note 20, which are as of March 8, 2021, with respect to the consolidated financial statements of Sun Country Airlines Holdings, Inc. incorporated herein by reference and to the reference to our firm under the heading “Experts” in the prospectus. Our report contains an explanatory paragraph that states that the Company has changed its method of accounting for revenue recognition and leases as of January 1, 2019 due to the adoption of Accounting Standards Update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and Accounting Standards Update 2016-02,</w:t>
      </w:r>
      <w:r>
        <w:rPr>
          <w:rFonts w:ascii="Arial" w:cs="Arial" w:eastAsia="Arial" w:hAnsi="Arial"/>
          <w:sz w:val="18"/>
          <w:szCs w:val="18"/>
          <w:i w:val="1"/>
          <w:iCs w:val="1"/>
          <w:color w:val="auto"/>
        </w:rPr>
        <w:t xml:space="preserve">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9" Type="http://schemas.openxmlformats.org/officeDocument/2006/relationships/hyperlink" Target="https://www.sec.gov/Archives/edgar/data/1743907/000110465921068007/tm2113248-4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2021-05-19T17:03:22Z</dcterms:created>
  <dcterms:modified xsi:type="dcterms:W3CDTF">2021-05-19T17:03:22Z</dcterms:modified>
</cp:coreProperties>
</file>