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Snow Colton Matthew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SUN COUNTRY AIRLINES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2005 CARGO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Sun Country Airlines Holdings, Inc.</w:t>
              </w:r>
            </w:hyperlink>
            <w:r>
              <w:rPr/>
              <w:t xml:space="preserve"> [ </w:t>
            </w:r>
            <w:r>
              <w:rPr>
                <w:rFonts w:ascii="Times;serif" w:hAnsi="Times;serif"/>
                <w:color w:val="0000FF"/>
                <w:sz w:val="24"/>
                <w:shd w:fill="FFFFFF" w:val="clear"/>
              </w:rPr>
              <w:t>SNCY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Chief Commercial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01/12/2026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759</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17.606</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33,927</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Rose Neale, as attorney-in-fact for Colton Snow</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8878" TargetMode="External"/><Relationship Id="rId5" Type="http://schemas.openxmlformats.org/officeDocument/2006/relationships/hyperlink" Target="http://www.sec.gov/cgi-bin/browse-edgar?action=getcompany&amp;CIK=00017439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3428</Characters>
  <CharactersWithSpaces>4000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