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7, 2024</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7, 2024, Sun Country Airlines Holdings, Inc. issued a press release announcing its financial results for the fiscal quarter ended March 31, 2024.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7, 2024</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806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160" w:type="dxa"/>
            <w:vAlign w:val="bottom"/>
          </w:tcPr>
          <w:p>
            <w:pPr>
              <w:spacing w:after="0"/>
              <w:rPr>
                <w:sz w:val="24"/>
                <w:szCs w:val="24"/>
                <w:color w:val="auto"/>
              </w:rPr>
            </w:pPr>
          </w:p>
        </w:tc>
        <w:tc>
          <w:tcPr>
            <w:tcW w:w="80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 Country Airlines Reports First Quarter 2024 Results</w:t>
      </w:r>
    </w:p>
    <w:p>
      <w:pPr>
        <w:jc w:val="center"/>
        <w:spacing w:after="0" w:line="205" w:lineRule="auto"/>
        <w:rPr>
          <w:sz w:val="20"/>
          <w:szCs w:val="20"/>
          <w:color w:val="auto"/>
        </w:rPr>
      </w:pPr>
      <w:r>
        <w:rPr>
          <w:rFonts w:ascii="Arial" w:cs="Arial" w:eastAsia="Arial" w:hAnsi="Arial"/>
          <w:sz w:val="18"/>
          <w:szCs w:val="18"/>
          <w:color w:val="auto"/>
        </w:rPr>
        <w:t>Revenue of $311 million, highest first quarter on record</w:t>
      </w:r>
      <w:r>
        <w:rPr>
          <w:rFonts w:ascii="Arial" w:cs="Arial" w:eastAsia="Arial" w:hAnsi="Arial"/>
          <w:sz w:val="23"/>
          <w:szCs w:val="23"/>
          <w:color w:val="auto"/>
          <w:vertAlign w:val="superscript"/>
        </w:rPr>
        <w:t>(1)</w:t>
      </w:r>
    </w:p>
    <w:p>
      <w:pPr>
        <w:jc w:val="center"/>
        <w:spacing w:after="0"/>
        <w:rPr>
          <w:sz w:val="20"/>
          <w:szCs w:val="20"/>
          <w:color w:val="auto"/>
        </w:rPr>
      </w:pPr>
      <w:r>
        <w:rPr>
          <w:rFonts w:ascii="Arial" w:cs="Arial" w:eastAsia="Arial" w:hAnsi="Arial"/>
          <w:sz w:val="18"/>
          <w:szCs w:val="18"/>
          <w:color w:val="auto"/>
        </w:rPr>
        <w:t>GAAP diluted EPS of $0.64 and operating income of $55 million</w:t>
      </w:r>
    </w:p>
    <w:p>
      <w:pPr>
        <w:jc w:val="center"/>
        <w:spacing w:after="0"/>
        <w:rPr>
          <w:sz w:val="20"/>
          <w:szCs w:val="20"/>
          <w:color w:val="auto"/>
        </w:rPr>
      </w:pPr>
      <w:r>
        <w:rPr>
          <w:rFonts w:ascii="Arial" w:cs="Arial" w:eastAsia="Arial" w:hAnsi="Arial"/>
          <w:sz w:val="18"/>
          <w:szCs w:val="18"/>
          <w:color w:val="auto"/>
        </w:rPr>
        <w:t>Adj. diluted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$0.66 and adjusted operating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$57 million</w:t>
      </w:r>
      <w:r>
        <w:rPr>
          <w:rFonts w:ascii="Arial" w:cs="Arial" w:eastAsia="Arial" w:hAnsi="Arial"/>
          <w:sz w:val="23"/>
          <w:szCs w:val="23"/>
          <w:color w:val="auto"/>
          <w:vertAlign w:val="subscript"/>
        </w:rPr>
        <w:t>,</w:t>
      </w:r>
    </w:p>
    <w:p>
      <w:pPr>
        <w:spacing w:after="0" w:line="16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MINNEAPOLIS. May 7, 2024. Sun Country Airlines Holdings, Inc. (“Sun Country Airlines,” “Sun Country,” the “Company”) (</w:t>
      </w:r>
      <w:r>
        <w:rPr>
          <w:rFonts w:ascii="Arial" w:cs="Arial" w:eastAsia="Arial" w:hAnsi="Arial"/>
          <w:sz w:val="18"/>
          <w:szCs w:val="18"/>
          <w:color w:val="0563C1"/>
        </w:rPr>
        <w:t>NASDAQ: SNCY</w:t>
      </w:r>
      <w:r>
        <w:rPr>
          <w:rFonts w:ascii="Arial" w:cs="Arial" w:eastAsia="Arial" w:hAnsi="Arial"/>
          <w:sz w:val="18"/>
          <w:szCs w:val="18"/>
          <w:color w:val="auto"/>
        </w:rPr>
        <w:t>) today reported financial results for its first quarter ended March 31, 2024.</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0A0A0A"/>
        </w:rPr>
        <w:t xml:space="preserve">“Sun Country’s diversified business model produced another strong first quarter with margins that we expect to finish at the top of the industry,” said Jude Bricker, Chief Executive Officer of Sun Country. “Total revenue was up </w:t>
      </w:r>
      <w:r>
        <w:rPr>
          <w:rFonts w:ascii="Arial" w:cs="Arial" w:eastAsia="Arial" w:hAnsi="Arial"/>
          <w:sz w:val="17"/>
          <w:szCs w:val="17"/>
          <w:color w:val="000000"/>
        </w:rPr>
        <w:t>5.9%</w:t>
      </w:r>
      <w:r>
        <w:rPr>
          <w:rFonts w:ascii="Arial" w:cs="Arial" w:eastAsia="Arial" w:hAnsi="Arial"/>
          <w:sz w:val="17"/>
          <w:szCs w:val="17"/>
          <w:color w:val="0A0A0A"/>
        </w:rPr>
        <w:t xml:space="preserve"> versus the first quarter of 2023, reaching a record quarterly high of </w:t>
      </w:r>
      <w:r>
        <w:rPr>
          <w:rFonts w:ascii="Arial" w:cs="Arial" w:eastAsia="Arial" w:hAnsi="Arial"/>
          <w:sz w:val="17"/>
          <w:szCs w:val="17"/>
          <w:color w:val="000000"/>
        </w:rPr>
        <w:t>$311 million</w:t>
      </w:r>
      <w:r>
        <w:rPr>
          <w:rFonts w:ascii="Arial" w:cs="Arial" w:eastAsia="Arial" w:hAnsi="Arial"/>
          <w:sz w:val="22"/>
          <w:szCs w:val="22"/>
          <w:color w:val="000000"/>
          <w:vertAlign w:val="superscript"/>
        </w:rPr>
        <w:t>(1)</w:t>
      </w:r>
      <w:r>
        <w:rPr>
          <w:rFonts w:ascii="Arial" w:cs="Arial" w:eastAsia="Arial" w:hAnsi="Arial"/>
          <w:sz w:val="17"/>
          <w:szCs w:val="17"/>
          <w:color w:val="0A0A0A"/>
        </w:rPr>
        <w:t xml:space="preserve"> </w:t>
      </w:r>
      <w:r>
        <w:rPr>
          <w:rFonts w:ascii="Arial" w:cs="Arial" w:eastAsia="Arial" w:hAnsi="Arial"/>
          <w:sz w:val="17"/>
          <w:szCs w:val="17"/>
          <w:color w:val="000000"/>
        </w:rPr>
        <w:t>while costs remained in check.</w:t>
      </w:r>
      <w:r>
        <w:rPr>
          <w:rFonts w:ascii="Arial" w:cs="Arial" w:eastAsia="Arial" w:hAnsi="Arial"/>
          <w:sz w:val="17"/>
          <w:szCs w:val="17"/>
          <w:color w:val="0A0A0A"/>
        </w:rPr>
        <w:t xml:space="preserve"> We continue to grow in all areas of our business, with total block hours growing by nearly </w:t>
      </w:r>
      <w:r>
        <w:rPr>
          <w:rFonts w:ascii="Arial" w:cs="Arial" w:eastAsia="Arial" w:hAnsi="Arial"/>
          <w:sz w:val="17"/>
          <w:szCs w:val="17"/>
          <w:color w:val="000000"/>
        </w:rPr>
        <w:t>10%</w:t>
      </w:r>
      <w:r>
        <w:rPr>
          <w:rFonts w:ascii="Arial" w:cs="Arial" w:eastAsia="Arial" w:hAnsi="Arial"/>
          <w:sz w:val="17"/>
          <w:szCs w:val="17"/>
          <w:color w:val="0A0A0A"/>
        </w:rPr>
        <w:t xml:space="preserve"> and scheduled passenger service ASMs growing by over </w:t>
      </w:r>
      <w:r>
        <w:rPr>
          <w:rFonts w:ascii="Arial" w:cs="Arial" w:eastAsia="Arial" w:hAnsi="Arial"/>
          <w:sz w:val="17"/>
          <w:szCs w:val="17"/>
          <w:color w:val="000000"/>
        </w:rPr>
        <w:t>16%</w:t>
      </w:r>
      <w:r>
        <w:rPr>
          <w:rFonts w:ascii="Arial" w:cs="Arial" w:eastAsia="Arial" w:hAnsi="Arial"/>
          <w:sz w:val="17"/>
          <w:szCs w:val="17"/>
          <w:color w:val="0A0A0A"/>
        </w:rPr>
        <w:t>. Total passenger revenue per ASM (TRASM) declined</w:t>
      </w:r>
    </w:p>
    <w:p>
      <w:pPr>
        <w:spacing w:after="0" w:line="3"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0A0A0A"/>
        </w:rPr>
        <w:t xml:space="preserve">by </w:t>
      </w:r>
      <w:r>
        <w:rPr>
          <w:rFonts w:ascii="Arial" w:cs="Arial" w:eastAsia="Arial" w:hAnsi="Arial"/>
          <w:sz w:val="17"/>
          <w:szCs w:val="17"/>
          <w:color w:val="000000"/>
        </w:rPr>
        <w:t>9.6%</w:t>
      </w:r>
      <w:r>
        <w:rPr>
          <w:rFonts w:ascii="Arial" w:cs="Arial" w:eastAsia="Arial" w:hAnsi="Arial"/>
          <w:sz w:val="17"/>
          <w:szCs w:val="17"/>
          <w:color w:val="0A0A0A"/>
        </w:rPr>
        <w:t>, driven by both our growth as well as significant capacity additions by other airlines in some of our markets. Our strong results would not have been possible without our dedicated employees who delivered the number one completion factor in the industry during the quarter.”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First Quarter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00" w:type="dxa"/>
            <w:vAlign w:val="bottom"/>
            <w:gridSpan w:val="3"/>
          </w:tcPr>
          <w:p>
            <w:pPr>
              <w:jc w:val="right"/>
              <w:ind w:right="813"/>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Pr>
          <w:p>
            <w:pPr>
              <w:spacing w:after="0"/>
              <w:rPr>
                <w:sz w:val="17"/>
                <w:szCs w:val="17"/>
                <w:color w:val="auto"/>
              </w:rPr>
            </w:pPr>
          </w:p>
        </w:tc>
      </w:tr>
      <w:tr>
        <w:trPr>
          <w:trHeight w:val="204"/>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311.5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294.1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5.9</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55.2</w:t>
            </w:r>
          </w:p>
        </w:tc>
        <w:tc>
          <w:tcPr>
            <w:tcW w:w="440" w:type="dxa"/>
            <w:vAlign w:val="bottom"/>
          </w:tcPr>
          <w:p>
            <w:pPr>
              <w:spacing w:after="0"/>
              <w:rPr>
                <w:sz w:val="19"/>
                <w:szCs w:val="19"/>
                <w:color w:val="auto"/>
              </w:rPr>
            </w:pP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55.8</w:t>
            </w:r>
          </w:p>
        </w:tc>
        <w:tc>
          <w:tcPr>
            <w:tcW w:w="1500" w:type="dxa"/>
            <w:vAlign w:val="bottom"/>
          </w:tcPr>
          <w:p>
            <w:pPr>
              <w:jc w:val="right"/>
              <w:spacing w:after="0"/>
              <w:rPr>
                <w:sz w:val="20"/>
                <w:szCs w:val="20"/>
                <w:color w:val="auto"/>
              </w:rPr>
            </w:pPr>
            <w:r>
              <w:rPr>
                <w:rFonts w:ascii="Arial" w:cs="Arial" w:eastAsia="Arial" w:hAnsi="Arial"/>
                <w:sz w:val="18"/>
                <w:szCs w:val="18"/>
                <w:color w:val="0A0A0A"/>
              </w:rPr>
              <w:t>(1.1)</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46.6</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49.7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(6.3)</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35.3</w:t>
            </w:r>
          </w:p>
        </w:tc>
        <w:tc>
          <w:tcPr>
            <w:tcW w:w="440" w:type="dxa"/>
            <w:vAlign w:val="bottom"/>
          </w:tcPr>
          <w:p>
            <w:pPr>
              <w:spacing w:after="0"/>
              <w:rPr>
                <w:sz w:val="19"/>
                <w:szCs w:val="19"/>
                <w:color w:val="auto"/>
              </w:rPr>
            </w:pP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38.3</w:t>
            </w:r>
          </w:p>
        </w:tc>
        <w:tc>
          <w:tcPr>
            <w:tcW w:w="1500" w:type="dxa"/>
            <w:vAlign w:val="bottom"/>
          </w:tcPr>
          <w:p>
            <w:pPr>
              <w:jc w:val="right"/>
              <w:spacing w:after="0"/>
              <w:rPr>
                <w:sz w:val="20"/>
                <w:szCs w:val="20"/>
                <w:color w:val="auto"/>
              </w:rPr>
            </w:pPr>
            <w:r>
              <w:rPr>
                <w:rFonts w:ascii="Arial" w:cs="Arial" w:eastAsia="Arial" w:hAnsi="Arial"/>
                <w:sz w:val="18"/>
                <w:szCs w:val="18"/>
                <w:color w:val="0A0A0A"/>
              </w:rPr>
              <w:t>(7.9)</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0.64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0.64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w:t>
            </w:r>
          </w:p>
        </w:tc>
      </w:tr>
      <w:tr>
        <w:trPr>
          <w:trHeight w:val="430"/>
        </w:trPr>
        <w:tc>
          <w:tcPr>
            <w:tcW w:w="4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00" w:type="dxa"/>
            <w:vAlign w:val="bottom"/>
            <w:gridSpan w:val="3"/>
          </w:tcPr>
          <w:p>
            <w:pPr>
              <w:jc w:val="right"/>
              <w:ind w:right="813"/>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Pr>
          <w:p>
            <w:pPr>
              <w:spacing w:after="0"/>
              <w:rPr>
                <w:sz w:val="24"/>
                <w:szCs w:val="24"/>
                <w:color w:val="auto"/>
              </w:rPr>
            </w:pPr>
          </w:p>
        </w:tc>
      </w:tr>
      <w:tr>
        <w:trPr>
          <w:trHeight w:val="20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65"/>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58.5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(3.0)</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6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48.1</w:t>
            </w:r>
          </w:p>
        </w:tc>
        <w:tc>
          <w:tcPr>
            <w:tcW w:w="440" w:type="dxa"/>
            <w:vAlign w:val="bottom"/>
          </w:tcPr>
          <w:p>
            <w:pPr>
              <w:spacing w:after="0"/>
              <w:rPr>
                <w:sz w:val="23"/>
                <w:szCs w:val="23"/>
                <w:color w:val="auto"/>
              </w:rPr>
            </w:pP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52.5</w:t>
            </w:r>
          </w:p>
        </w:tc>
        <w:tc>
          <w:tcPr>
            <w:tcW w:w="1500" w:type="dxa"/>
            <w:vAlign w:val="bottom"/>
          </w:tcPr>
          <w:p>
            <w:pPr>
              <w:jc w:val="right"/>
              <w:spacing w:after="0"/>
              <w:rPr>
                <w:sz w:val="20"/>
                <w:szCs w:val="20"/>
                <w:color w:val="auto"/>
              </w:rPr>
            </w:pPr>
            <w:r>
              <w:rPr>
                <w:rFonts w:ascii="Arial" w:cs="Arial" w:eastAsia="Arial" w:hAnsi="Arial"/>
                <w:sz w:val="18"/>
                <w:szCs w:val="18"/>
                <w:color w:val="0A0A0A"/>
              </w:rPr>
              <w:t>(8.5)</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6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36.5</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40.4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(9.8)</w:t>
            </w:r>
          </w:p>
        </w:tc>
      </w:tr>
      <w:tr>
        <w:trPr>
          <w:trHeight w:val="316"/>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0.66</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0.68</w:t>
            </w:r>
          </w:p>
        </w:tc>
        <w:tc>
          <w:tcPr>
            <w:tcW w:w="1500" w:type="dxa"/>
            <w:vAlign w:val="bottom"/>
          </w:tcPr>
          <w:p>
            <w:pPr>
              <w:jc w:val="right"/>
              <w:spacing w:after="0"/>
              <w:rPr>
                <w:sz w:val="20"/>
                <w:szCs w:val="20"/>
                <w:color w:val="auto"/>
              </w:rPr>
            </w:pPr>
            <w:r>
              <w:rPr>
                <w:rFonts w:ascii="Arial" w:cs="Arial" w:eastAsia="Arial" w:hAnsi="Arial"/>
                <w:sz w:val="18"/>
                <w:szCs w:val="18"/>
                <w:color w:val="0A0A0A"/>
              </w:rPr>
              <w:t>(2.9)</w:t>
            </w:r>
          </w:p>
        </w:tc>
      </w:tr>
    </w:tbl>
    <w:p>
      <w:pPr>
        <w:spacing w:after="0" w:line="367"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0A0A0A"/>
        </w:rPr>
        <w:t>For the quarter ended March 31, 2024, Sun Country reported net income of $35 million and income before income tax of $47 million, on $311 million of revenue. Adjusted income before income tax</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for the quarter was $48 million. GAAP operating income during the quarter was $55 million, while adjusted operating income</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was $57 million, operating margin was 17.7% and adjusted operating margin</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was 18.2%</w:t>
      </w:r>
      <w:r>
        <w:rPr>
          <w:rFonts w:ascii="Arial" w:cs="Arial" w:eastAsia="Arial" w:hAnsi="Arial"/>
          <w:sz w:val="22"/>
          <w:szCs w:val="22"/>
          <w:color w:val="0A0A0A"/>
          <w:vertAlign w:val="subscript"/>
        </w:rPr>
        <w:t>.</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0A0A0A"/>
        </w:rPr>
        <w:t xml:space="preserve">“We had another good first quarter which is historically our strongest,” said Dave Davis, President and Chief Financial Officer. “Our performance was particularly strong in two areas. First, our growth was not constrained by staffing issues, leading to a nearly </w:t>
      </w:r>
      <w:r>
        <w:rPr>
          <w:rFonts w:ascii="Arial" w:cs="Arial" w:eastAsia="Arial" w:hAnsi="Arial"/>
          <w:sz w:val="17"/>
          <w:szCs w:val="17"/>
          <w:color w:val="000000"/>
        </w:rPr>
        <w:t>10%</w:t>
      </w:r>
      <w:r>
        <w:rPr>
          <w:rFonts w:ascii="Arial" w:cs="Arial" w:eastAsia="Arial" w:hAnsi="Arial"/>
          <w:sz w:val="17"/>
          <w:szCs w:val="17"/>
          <w:color w:val="0A0A0A"/>
        </w:rPr>
        <w:t xml:space="preserve"> improvement in aircraft utilization. Second, we continued to demonstrate strong cost control with a year over year decline in adjusted CASM</w:t>
      </w:r>
      <w:r>
        <w:rPr>
          <w:rFonts w:ascii="Arial" w:cs="Arial" w:eastAsia="Arial" w:hAnsi="Arial"/>
          <w:sz w:val="22"/>
          <w:szCs w:val="22"/>
          <w:color w:val="0A0A0A"/>
          <w:vertAlign w:val="superscript"/>
        </w:rPr>
        <w:t>(3)</w:t>
      </w:r>
      <w:r>
        <w:rPr>
          <w:rFonts w:ascii="Arial" w:cs="Arial" w:eastAsia="Arial" w:hAnsi="Arial"/>
          <w:sz w:val="17"/>
          <w:szCs w:val="17"/>
          <w:color w:val="0A0A0A"/>
        </w:rPr>
        <w:t>, continuing a trend started in the fourth quarter of last year. This improvement came despite a planned investment in increased maintenance expenses. Our balance sheet remains healthy. During the quarter, we repurchased $11.5 million worth of SNCY shares through</w:t>
      </w:r>
    </w:p>
    <w:p>
      <w:pPr>
        <w:spacing w:after="0" w:line="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0A0A0A"/>
        </w:rPr>
        <w:t xml:space="preserve">our existing share repurchase program. First quarter capex was </w:t>
      </w:r>
      <w:r>
        <w:rPr>
          <w:rFonts w:ascii="Arial" w:cs="Arial" w:eastAsia="Arial" w:hAnsi="Arial"/>
          <w:sz w:val="18"/>
          <w:szCs w:val="18"/>
          <w:color w:val="000000"/>
        </w:rPr>
        <w:t>$29.7</w:t>
      </w:r>
      <w:r>
        <w:rPr>
          <w:rFonts w:ascii="Arial" w:cs="Arial" w:eastAsia="Arial" w:hAnsi="Arial"/>
          <w:sz w:val="18"/>
          <w:szCs w:val="18"/>
          <w:color w:val="0A0A0A"/>
        </w:rPr>
        <w:t xml:space="preserve"> million and we have acquired all of the aircraft we need to support our expected growth through at least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3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0A0A0A"/>
        </w:rPr>
      </w:pPr>
      <w:r>
        <w:rPr>
          <w:rFonts w:ascii="Arial" w:cs="Arial" w:eastAsia="Arial" w:hAnsi="Arial"/>
          <w:sz w:val="18"/>
          <w:szCs w:val="18"/>
          <w:color w:val="0A0A0A"/>
        </w:rPr>
        <w:t>Extended the selling schedule through December 2024. The company will operate 122 routes serving 108 airports.</w:t>
      </w:r>
    </w:p>
    <w:p>
      <w:pPr>
        <w:spacing w:after="0" w:line="31" w:lineRule="exact"/>
        <w:rPr>
          <w:rFonts w:ascii="Arial" w:cs="Arial" w:eastAsia="Arial" w:hAnsi="Arial"/>
          <w:sz w:val="18"/>
          <w:szCs w:val="18"/>
          <w:i w:val="1"/>
          <w:iCs w:val="1"/>
          <w:color w:val="0A0A0A"/>
        </w:rPr>
      </w:pPr>
    </w:p>
    <w:p>
      <w:pPr>
        <w:ind w:left="660" w:right="220" w:hanging="328"/>
        <w:spacing w:after="0" w:line="23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The company acquired three aircraft in the first quarter of this year. One aircraft was purchased for cash and another was taken on finance lease. These aircraft are expected to enter revenue service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660"/>
        <w:spacing w:after="0"/>
        <w:rPr>
          <w:sz w:val="20"/>
          <w:szCs w:val="20"/>
          <w:color w:val="auto"/>
        </w:rPr>
      </w:pPr>
      <w:r>
        <w:rPr>
          <w:rFonts w:ascii="Arial" w:cs="Arial" w:eastAsia="Arial" w:hAnsi="Arial"/>
          <w:sz w:val="17"/>
          <w:szCs w:val="17"/>
          <w:color w:val="auto"/>
        </w:rPr>
        <w:t>the second quarter. The third aircraft was purchased early in the quarter and is the seventh aircraft that is on lease to another airline.</w:t>
      </w:r>
    </w:p>
    <w:p>
      <w:pPr>
        <w:spacing w:after="0" w:line="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0A0A0A"/>
        </w:rPr>
        <w:t>The company repurchased 755,000 shares at an average price of $15.22 during the first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0A0A0A"/>
        </w:rPr>
        <w:t xml:space="preserve">System block hours flown during the first quarter of 2024 grew by 9.6% year-over-year due to a </w:t>
      </w:r>
      <w:r>
        <w:rPr>
          <w:rFonts w:ascii="Arial" w:cs="Arial" w:eastAsia="Arial" w:hAnsi="Arial"/>
          <w:sz w:val="18"/>
          <w:szCs w:val="18"/>
          <w:color w:val="000000"/>
        </w:rPr>
        <w:t>16.2%</w:t>
      </w:r>
      <w:r>
        <w:rPr>
          <w:rFonts w:ascii="Arial" w:cs="Arial" w:eastAsia="Arial" w:hAnsi="Arial"/>
          <w:sz w:val="18"/>
          <w:szCs w:val="18"/>
          <w:color w:val="0A0A0A"/>
        </w:rPr>
        <w:t xml:space="preserve"> increase in scheduled service block hours. Both cargo block hours and charter block hours declined in the first quarter by 1.1% and 3.0% respectively year-over-year. Cargo block hours were influenced by scheduled maintenance in the quarter while charter block hours were optimized to minimize non-productive ferry flights.</w:t>
      </w:r>
    </w:p>
    <w:p>
      <w:pPr>
        <w:spacing w:after="0" w:line="17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0A0A0A"/>
        </w:rPr>
        <w:t>Charter block hours under long-term contracts comprised 75% of the total charter flying performed in the first quarter of 2024. As the Company continues to normalize its aircraft utilization, it is pursuing more ad-hoc charter flying.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0A0A0A"/>
        </w:rPr>
        <w:t xml:space="preserve">For the first quarter of 2024, the Company reported total revenue of $311 million, which was 5.9% more than the first quarter of 2023. </w:t>
      </w:r>
      <w:r>
        <w:rPr>
          <w:rFonts w:ascii="Arial" w:cs="Arial" w:eastAsia="Arial" w:hAnsi="Arial"/>
          <w:sz w:val="18"/>
          <w:szCs w:val="18"/>
          <w:color w:val="000000"/>
        </w:rPr>
        <w:t>The</w:t>
      </w:r>
      <w:r>
        <w:rPr>
          <w:rFonts w:ascii="Arial" w:cs="Arial" w:eastAsia="Arial" w:hAnsi="Arial"/>
          <w:sz w:val="18"/>
          <w:szCs w:val="18"/>
          <w:color w:val="0A0A0A"/>
        </w:rPr>
        <w:t xml:space="preserve"> </w:t>
      </w:r>
      <w:r>
        <w:rPr>
          <w:rFonts w:ascii="Arial" w:cs="Arial" w:eastAsia="Arial" w:hAnsi="Arial"/>
          <w:sz w:val="18"/>
          <w:szCs w:val="18"/>
          <w:color w:val="000000"/>
        </w:rPr>
        <w:t>Company’s scheduled service TRASM</w:t>
      </w:r>
      <w:r>
        <w:rPr>
          <w:rFonts w:ascii="Arial" w:cs="Arial" w:eastAsia="Arial" w:hAnsi="Arial"/>
          <w:sz w:val="23"/>
          <w:szCs w:val="23"/>
          <w:color w:val="000000"/>
          <w:vertAlign w:val="superscript"/>
        </w:rPr>
        <w:t>(4)</w:t>
      </w:r>
      <w:r>
        <w:rPr>
          <w:rFonts w:ascii="Arial" w:cs="Arial" w:eastAsia="Arial" w:hAnsi="Arial"/>
          <w:sz w:val="18"/>
          <w:szCs w:val="18"/>
          <w:color w:val="000000"/>
        </w:rPr>
        <w:t xml:space="preserve"> of 12.20 cents in the </w:t>
      </w:r>
      <w:r>
        <w:rPr>
          <w:rFonts w:ascii="Arial" w:cs="Arial" w:eastAsia="Arial" w:hAnsi="Arial"/>
          <w:sz w:val="18"/>
          <w:szCs w:val="18"/>
          <w:color w:val="0A0A0A"/>
        </w:rPr>
        <w:t>first</w:t>
      </w:r>
      <w:r>
        <w:rPr>
          <w:rFonts w:ascii="Arial" w:cs="Arial" w:eastAsia="Arial" w:hAnsi="Arial"/>
          <w:sz w:val="18"/>
          <w:szCs w:val="18"/>
          <w:color w:val="000000"/>
        </w:rPr>
        <w:t xml:space="preserve"> quarter of 2024 decreased 11.7% year-over-year, while scheduled service ASMs increased 16.4%. The first quarter 2024 total fare per scheduled passenger of $196 was lower than </w:t>
      </w:r>
      <w:r>
        <w:rPr>
          <w:rFonts w:ascii="Arial" w:cs="Arial" w:eastAsia="Arial" w:hAnsi="Arial"/>
          <w:sz w:val="18"/>
          <w:szCs w:val="18"/>
          <w:color w:val="0A0A0A"/>
        </w:rPr>
        <w:t>first</w:t>
      </w:r>
      <w:r>
        <w:rPr>
          <w:rFonts w:ascii="Arial" w:cs="Arial" w:eastAsia="Arial" w:hAnsi="Arial"/>
          <w:sz w:val="18"/>
          <w:szCs w:val="18"/>
          <w:color w:val="000000"/>
        </w:rPr>
        <w:t xml:space="preserve"> quarter 2023 by 11.3% as scheduled service revenue passengers grew 16.0%. In the first quarter of 2024, the Company’s charter service revenue was $47 million, an increase of 2.4% year-over-year. On a rate basis, </w:t>
      </w:r>
      <w:r>
        <w:rPr>
          <w:rFonts w:ascii="Arial" w:cs="Arial" w:eastAsia="Arial" w:hAnsi="Arial"/>
          <w:sz w:val="18"/>
          <w:szCs w:val="18"/>
          <w:color w:val="0A0A0A"/>
        </w:rPr>
        <w:t>first</w:t>
      </w:r>
      <w:r>
        <w:rPr>
          <w:rFonts w:ascii="Arial" w:cs="Arial" w:eastAsia="Arial" w:hAnsi="Arial"/>
          <w:sz w:val="18"/>
          <w:szCs w:val="18"/>
          <w:color w:val="000000"/>
        </w:rPr>
        <w:t xml:space="preserve"> quarter 2024 charter revenue per block hour was 5.6% higher than the rate in the </w:t>
      </w:r>
      <w:r>
        <w:rPr>
          <w:rFonts w:ascii="Arial" w:cs="Arial" w:eastAsia="Arial" w:hAnsi="Arial"/>
          <w:sz w:val="18"/>
          <w:szCs w:val="18"/>
          <w:color w:val="0A0A0A"/>
        </w:rPr>
        <w:t>first</w:t>
      </w:r>
      <w:r>
        <w:rPr>
          <w:rFonts w:ascii="Arial" w:cs="Arial" w:eastAsia="Arial" w:hAnsi="Arial"/>
          <w:sz w:val="18"/>
          <w:szCs w:val="18"/>
          <w:color w:val="000000"/>
        </w:rPr>
        <w:t xml:space="preserve"> quarter of 2023. This rate increase includes the impact of lower fuel prices which, reduced the fuel reimbursement amount that we received from our charter customers by 20% year-over-year.</w:t>
      </w:r>
    </w:p>
    <w:p>
      <w:pPr>
        <w:spacing w:after="0" w:line="19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the first quarter of 2024, cargo revenue was $ 24 million, a 2.5% increase versus the first quarter of 2023. The variance was primarily driven by the annual rate escalation which went into effect in mid-December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52"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0A0A0A"/>
        </w:rPr>
        <w:t xml:space="preserve">For the first quarter of 2024, total GAAP operating expenses increased 7.5% year-over-year, primarily due to a 29.0% increase in maintenance expense from aircraft heavy maintenance and a 34.6% in landing fees and airport rent as the COVID assistance used by airports to keep rates lower expired. Fuel expense decreased by 2.7% compared to first quarter 2023. This combination drove first quarter CASM to decline </w:t>
      </w:r>
      <w:r>
        <w:rPr>
          <w:rFonts w:ascii="Arial" w:cs="Arial" w:eastAsia="Arial" w:hAnsi="Arial"/>
          <w:sz w:val="18"/>
          <w:szCs w:val="18"/>
          <w:color w:val="000000"/>
        </w:rPr>
        <w:t>5.4%</w:t>
      </w:r>
      <w:r>
        <w:rPr>
          <w:rFonts w:ascii="Arial" w:cs="Arial" w:eastAsia="Arial" w:hAnsi="Arial"/>
          <w:sz w:val="18"/>
          <w:szCs w:val="18"/>
          <w:color w:val="0A0A0A"/>
        </w:rPr>
        <w:t xml:space="preserve"> and adjusted CASM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to decrease 0.1% versus last year.</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180"/>
          </w:cols>
          <w:pgMar w:left="320" w:top="105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$179 million on March 31, 2024, while the Company’s net debt</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$565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1"/>
        </w:trPr>
        <w:tc>
          <w:tcPr>
            <w:tcW w:w="662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3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r>
      <w:tr>
        <w:trPr>
          <w:trHeight w:val="2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March 31, 2024, the Company had 44 aircraft in its passenger service fleet, operated 12 freighter aircraft in its cargo operation and had seven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Second Quarter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Q2 2024</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Q2 2023</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$255 to $265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 to 1%</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$2.93</w:t>
            </w:r>
          </w:p>
        </w:tc>
        <w:tc>
          <w:tcPr>
            <w:tcW w:w="2340" w:type="dxa"/>
            <w:vAlign w:val="bottom"/>
          </w:tcPr>
          <w:p>
            <w:pPr>
              <w:jc w:val="center"/>
              <w:spacing w:after="0"/>
              <w:rPr>
                <w:sz w:val="20"/>
                <w:szCs w:val="20"/>
                <w:color w:val="auto"/>
              </w:rPr>
            </w:pPr>
            <w:r>
              <w:rPr>
                <w:rFonts w:ascii="Arial" w:cs="Arial" w:eastAsia="Arial" w:hAnsi="Arial"/>
                <w:sz w:val="18"/>
                <w:szCs w:val="18"/>
                <w:color w:val="0A0A0A"/>
                <w:w w:val="99"/>
              </w:rPr>
              <w:t>8%</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4% to 7%</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9"/>
              </w:rPr>
              <w:t>(11pp) to (8pp)</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37 to 38</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8% to 11%</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0A0A0A"/>
        </w:rPr>
        <w:t xml:space="preserve">Sun Country Airlines will host a conference call to discuss its first quarter 2024 results at 8:30 a.m. Eastern Time on Tuesday, May 7, 2024.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services, with flights throughout the United States and to destinations in Mexico, Central America, Canada, and the Caribbean.</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8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A0A0A"/>
        </w:rPr>
        <w:t>End Notes</w:t>
      </w:r>
    </w:p>
    <w:p>
      <w:pPr>
        <w:spacing w:after="0" w:line="5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1 -</w:t>
        <w:tab/>
        <w:t>Records begin in January 2017</w:t>
      </w:r>
    </w:p>
    <w:p>
      <w:pPr>
        <w:spacing w:after="0" w:line="50" w:lineRule="exact"/>
        <w:rPr>
          <w:sz w:val="20"/>
          <w:szCs w:val="20"/>
          <w:color w:val="auto"/>
        </w:rPr>
      </w:pPr>
    </w:p>
    <w:p>
      <w:pPr>
        <w:jc w:val="both"/>
        <w:ind w:left="480" w:hanging="458"/>
        <w:spacing w:after="0" w:line="266" w:lineRule="auto"/>
        <w:tabs>
          <w:tab w:leader="none" w:pos="460" w:val="left"/>
        </w:tabs>
        <w:rPr>
          <w:sz w:val="20"/>
          <w:szCs w:val="20"/>
          <w:color w:val="auto"/>
        </w:rPr>
      </w:pPr>
      <w:r>
        <w:rPr>
          <w:rFonts w:ascii="Arial" w:cs="Arial" w:eastAsia="Arial" w:hAnsi="Arial"/>
          <w:sz w:val="18"/>
          <w:szCs w:val="18"/>
          <w:color w:val="auto"/>
        </w:rPr>
        <w:t>2 -</w:t>
      </w:r>
      <w:r>
        <w:rPr>
          <w:rFonts w:ascii="Arial" w:cs="Arial" w:eastAsia="Arial" w:hAnsi="Arial"/>
          <w:sz w:val="18"/>
          <w:szCs w:val="18"/>
          <w:color w:val="0A0A0A"/>
        </w:rPr>
        <w:tab/>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jc w:val="both"/>
        <w:ind w:left="480" w:hanging="458"/>
        <w:spacing w:after="0" w:line="247" w:lineRule="auto"/>
        <w:tabs>
          <w:tab w:leader="none" w:pos="460" w:val="left"/>
        </w:tabs>
        <w:rPr>
          <w:sz w:val="20"/>
          <w:szCs w:val="20"/>
          <w:color w:val="auto"/>
        </w:rPr>
      </w:pPr>
      <w:r>
        <w:rPr>
          <w:rFonts w:ascii="Arial" w:cs="Arial" w:eastAsia="Arial" w:hAnsi="Arial"/>
          <w:sz w:val="18"/>
          <w:szCs w:val="18"/>
          <w:color w:val="auto"/>
        </w:rPr>
        <w:t>3 -</w:t>
        <w:tab/>
        <w:t>Adjusted CASM is a non-GAAP measure derived from CASM by excluding fuel costs, non-cash management stock compensation expense, costs arising from its cargo operations, depreciation and amortization recognized on certain assets that generate lease income, certain commissions, and other costs of selling its vacations product from this measure. See table titled “Reconciliation of CASM to Adjusted CASM”</w:t>
      </w:r>
    </w:p>
    <w:p>
      <w:pPr>
        <w:sectPr>
          <w:pgSz w:w="11900" w:h="16838" w:orient="portrait"/>
          <w:cols w:equalWidth="0" w:num="1">
            <w:col w:w="11120"/>
          </w:cols>
          <w:pgMar w:left="320" w:top="1066" w:right="45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Scheduled Service TRASM includes Schedule Service revenue, Ancillary revenue, and ASM generating revenue classified within Other Revenue on the Consolidated Statement of Operations / Scheduled Service ASMs. Other Revenue includes rental revenue of approximately $9.3 million associated with certain assets that generate lease income in the three months ended March 31, 2024, which is not included. Lease income was immaterial for the three months ended March 31, 2023.</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40"/>
            <w:col w:w="10640"/>
          </w:cols>
          <w:pgMar w:left="320" w:top="1066" w:right="4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20"/>
          </w:cols>
          <w:pgMar w:left="320" w:top="1066"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2"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066"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420"/>
              <w:spacing w:after="0"/>
              <w:rPr>
                <w:sz w:val="20"/>
                <w:szCs w:val="20"/>
                <w:color w:val="auto"/>
              </w:rPr>
            </w:pPr>
            <w:r>
              <w:rPr>
                <w:rFonts w:ascii="Arial" w:cs="Arial" w:eastAsia="Arial" w:hAnsi="Arial"/>
                <w:sz w:val="14"/>
                <w:szCs w:val="14"/>
                <w:b w:val="1"/>
                <w:bCs w:val="1"/>
                <w:color w:val="0A0A0A"/>
              </w:rPr>
              <w:t>Three Months Ended March 31,</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141,194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152,657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(7.5)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46,187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68,425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25.9</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267,269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23,948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23,361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12,871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3,485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269.3</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294,115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5.9</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72,290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(2.7)</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82,238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75,430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1,480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13,039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9,929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19,460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22.3</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9,170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10,945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26,589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238,332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7.5</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55,783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2,741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(8,630)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(212)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(6,101)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11,354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38,328</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0.68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0.64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53,034,538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56,630,656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55,397,685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59,535,045</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336"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key operating statistics and metrics for the three months ended March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0" w:type="dxa"/>
            <w:vAlign w:val="bottom"/>
            <w:gridSpan w:val="3"/>
          </w:tcPr>
          <w:p>
            <w:pPr>
              <w:jc w:val="right"/>
              <w:ind w:right="991"/>
              <w:spacing w:after="0"/>
              <w:rPr>
                <w:sz w:val="20"/>
                <w:szCs w:val="20"/>
                <w:color w:val="auto"/>
              </w:rPr>
            </w:pPr>
            <w:r>
              <w:rPr>
                <w:rFonts w:ascii="Arial" w:cs="Arial" w:eastAsia="Arial" w:hAnsi="Arial"/>
                <w:sz w:val="14"/>
                <w:szCs w:val="14"/>
                <w:b w:val="1"/>
                <w:bCs w:val="1"/>
                <w:color w:val="0A0A0A"/>
              </w:rPr>
              <w:t>Three Months Ended March 31,</w:t>
            </w:r>
          </w:p>
        </w:tc>
        <w:tc>
          <w:tcPr>
            <w:tcW w:w="1640" w:type="dxa"/>
            <w:vAlign w:val="bottom"/>
          </w:tcPr>
          <w:p>
            <w:pPr>
              <w:spacing w:after="0"/>
              <w:rPr>
                <w:sz w:val="17"/>
                <w:szCs w:val="17"/>
                <w:color w:val="auto"/>
              </w:rPr>
            </w:pPr>
          </w:p>
        </w:tc>
      </w:tr>
      <w:tr>
        <w:trPr>
          <w:trHeight w:val="204"/>
        </w:trPr>
        <w:tc>
          <w:tcPr>
            <w:tcW w:w="4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2023</w:t>
            </w:r>
          </w:p>
        </w:tc>
        <w:tc>
          <w:tcPr>
            <w:tcW w:w="16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1,654,851</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1,432,131</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15.6</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1,892,891</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1,625,728</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87.4%</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88.1%</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(0.7)</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1,157,511</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998,238</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7,169</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6,177</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16.1</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25,496</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21,941</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r>
      <w:tr>
        <w:trPr>
          <w:trHeight w:val="229"/>
        </w:trPr>
        <w:tc>
          <w:tcPr>
            <w:tcW w:w="470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12.20</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13.81</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(11.7)</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152.93</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74.43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68.55</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8.6</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221.48</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20,050</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17,383</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15.3</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2,369</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4,900</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5,054</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(3.0)</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299,058</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301,913</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3,434</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3,526</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3,027</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7,688</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7,776</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41.3</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4.8</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Leased aircraft – end of period</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133.3</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2,211,886</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1,945,001</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12,539</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11,672</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7.4</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35,083</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7.3</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9.6</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1,225</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r>
      <w:tr>
        <w:trPr>
          <w:trHeight w:val="247"/>
        </w:trPr>
        <w:tc>
          <w:tcPr>
            <w:tcW w:w="470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12.58</w:t>
            </w:r>
          </w:p>
        </w:tc>
        <w:tc>
          <w:tcPr>
            <w:tcW w:w="500" w:type="dxa"/>
            <w:vAlign w:val="bottom"/>
          </w:tcPr>
          <w:p>
            <w:pPr>
              <w:spacing w:after="0"/>
              <w:rPr>
                <w:sz w:val="21"/>
                <w:szCs w:val="21"/>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13.92</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(9.6)</w:t>
            </w:r>
          </w:p>
        </w:tc>
      </w:tr>
      <w:tr>
        <w:trPr>
          <w:trHeight w:val="2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12.25</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29"/>
        </w:trPr>
        <w:tc>
          <w:tcPr>
            <w:tcW w:w="470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7.09</w:t>
            </w:r>
          </w:p>
        </w:tc>
        <w:tc>
          <w:tcPr>
            <w:tcW w:w="500" w:type="dxa"/>
            <w:vAlign w:val="bottom"/>
          </w:tcPr>
          <w:p>
            <w:pPr>
              <w:spacing w:after="0"/>
              <w:rPr>
                <w:sz w:val="19"/>
                <w:szCs w:val="19"/>
                <w:color w:val="auto"/>
              </w:rPr>
            </w:pP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7.10</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23,676</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21,073</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71"/>
              <w:spacing w:after="0"/>
              <w:rPr>
                <w:sz w:val="20"/>
                <w:szCs w:val="20"/>
                <w:color w:val="auto"/>
              </w:rPr>
            </w:pPr>
            <w:r>
              <w:rPr>
                <w:rFonts w:ascii="Arial" w:cs="Arial" w:eastAsia="Arial" w:hAnsi="Arial"/>
                <w:sz w:val="18"/>
                <w:szCs w:val="18"/>
                <w:color w:val="auto"/>
              </w:rPr>
              <w:t>3.45</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(12.8)</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2,634</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22" w:right="359" w:bottom="1440" w:gutter="0" w:footer="0" w:header="0"/>
        </w:sectPr>
      </w:pPr>
    </w:p>
    <w:bookmarkStart w:id="10" w:name="page11"/>
    <w:bookmarkEnd w:id="10"/>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2023</w:t>
            </w: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969.0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524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1,623.6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24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418.6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3"/>
        </w:trPr>
        <w:tc>
          <w:tcPr>
            <w:tcW w:w="524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24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20"/>
          </w:cols>
          <w:pgMar w:left="320" w:top="133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SUMMARY CASH FLOW</w:t>
      </w:r>
    </w:p>
    <w:p>
      <w:pPr>
        <w:spacing w:after="0"/>
        <w:rPr>
          <w:sz w:val="20"/>
          <w:szCs w:val="20"/>
          <w:color w:val="auto"/>
        </w:rPr>
      </w:pPr>
      <w:r>
        <w:rPr>
          <w:rFonts w:ascii="Arial" w:cs="Arial" w:eastAsia="Arial" w:hAnsi="Arial"/>
          <w:sz w:val="18"/>
          <w:szCs w:val="18"/>
          <w:b w:val="1"/>
          <w:bCs w:val="1"/>
          <w:color w:val="auto"/>
        </w:rPr>
        <w:t>(Dollars in millions)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6"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Three Months Ended March 31,</w:t>
      </w:r>
    </w:p>
    <w:p>
      <w:pPr>
        <w:spacing w:after="0" w:line="42" w:lineRule="exact"/>
        <w:rPr>
          <w:sz w:val="20"/>
          <w:szCs w:val="20"/>
          <w:color w:val="auto"/>
        </w:rPr>
      </w:pPr>
    </w:p>
    <w:p>
      <w:pPr>
        <w:jc w:val="both"/>
        <w:ind w:left="6120"/>
        <w:spacing w:after="0"/>
        <w:tabs>
          <w:tab w:leader="none" w:pos="8080" w:val="left"/>
          <w:tab w:leader="none" w:pos="99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151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00"/>
          </w:cols>
          <w:pgMar w:left="340" w:top="1376" w:right="35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80" w:type="dxa"/>
            <w:vAlign w:val="bottom"/>
          </w:tcPr>
          <w:p>
            <w:pPr>
              <w:ind w:left="60"/>
              <w:spacing w:after="0"/>
              <w:rPr>
                <w:sz w:val="20"/>
                <w:szCs w:val="20"/>
                <w:color w:val="auto"/>
              </w:rPr>
            </w:pPr>
            <w:r>
              <w:rPr>
                <w:rFonts w:ascii="Arial" w:cs="Arial" w:eastAsia="Arial" w:hAnsi="Arial"/>
                <w:sz w:val="18"/>
                <w:szCs w:val="18"/>
                <w:b w:val="1"/>
                <w:bCs w:val="1"/>
                <w:color w:val="0A0A0A"/>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280" w:type="dxa"/>
            <w:vAlign w:val="bottom"/>
          </w:tcPr>
          <w:p>
            <w:pPr>
              <w:ind w:left="60"/>
              <w:spacing w:after="0"/>
              <w:rPr>
                <w:sz w:val="20"/>
                <w:szCs w:val="20"/>
                <w:color w:val="auto"/>
              </w:rPr>
            </w:pPr>
            <w:r>
              <w:rPr>
                <w:rFonts w:ascii="Arial" w:cs="Arial" w:eastAsia="Arial" w:hAnsi="Arial"/>
                <w:sz w:val="18"/>
                <w:szCs w:val="18"/>
                <w:color w:val="0A0A0A"/>
              </w:rPr>
              <w:t>Purchases of Property &amp; Equipment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Other,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rPr>
                <w:sz w:val="20"/>
                <w:szCs w:val="20"/>
                <w:color w:val="auto"/>
              </w:rPr>
            </w:pPr>
            <w:r>
              <w:rPr>
                <w:rFonts w:ascii="Arial" w:cs="Arial" w:eastAsia="Arial" w:hAnsi="Arial"/>
                <w:sz w:val="18"/>
                <w:szCs w:val="18"/>
                <w:b w:val="1"/>
                <w:bCs w:val="1"/>
                <w:color w:val="0A0A0A"/>
              </w:rPr>
              <w:t>Net Cash Used in Investing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80" w:type="dxa"/>
            <w:vAlign w:val="bottom"/>
          </w:tcPr>
          <w:p>
            <w:pPr>
              <w:ind w:left="60"/>
              <w:spacing w:after="0"/>
              <w:rPr>
                <w:sz w:val="20"/>
                <w:szCs w:val="20"/>
                <w:color w:val="auto"/>
              </w:rPr>
            </w:pPr>
            <w:r>
              <w:rPr>
                <w:rFonts w:ascii="Arial" w:cs="Arial" w:eastAsia="Arial" w:hAnsi="Arial"/>
                <w:sz w:val="18"/>
                <w:szCs w:val="18"/>
                <w:color w:val="0A0A0A"/>
              </w:rPr>
              <w:t>Common Stock Repurchases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Proceeds from Borrowing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60"/>
              <w:spacing w:after="0"/>
              <w:rPr>
                <w:sz w:val="20"/>
                <w:szCs w:val="20"/>
                <w:color w:val="auto"/>
              </w:rPr>
            </w:pPr>
            <w:r>
              <w:rPr>
                <w:rFonts w:ascii="Arial" w:cs="Arial" w:eastAsia="Arial" w:hAnsi="Arial"/>
                <w:sz w:val="18"/>
                <w:szCs w:val="18"/>
                <w:color w:val="0A0A0A"/>
              </w:rPr>
              <w:t>Repayment of Finance Lease Obligations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Repayment of Borrowings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Other,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80" w:type="dxa"/>
            <w:vAlign w:val="bottom"/>
          </w:tcPr>
          <w:p>
            <w:pPr>
              <w:spacing w:after="0"/>
              <w:rPr>
                <w:sz w:val="20"/>
                <w:szCs w:val="20"/>
                <w:color w:val="auto"/>
              </w:rPr>
            </w:pPr>
            <w:r>
              <w:rPr>
                <w:rFonts w:ascii="Arial" w:cs="Arial" w:eastAsia="Arial" w:hAnsi="Arial"/>
                <w:sz w:val="18"/>
                <w:szCs w:val="18"/>
                <w:b w:val="1"/>
                <w:bCs w:val="1"/>
                <w:color w:val="0A0A0A"/>
              </w:rPr>
              <w:t>Net Cash Provided by (Used in) Financing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80" w:type="dxa"/>
            <w:vAlign w:val="bottom"/>
          </w:tcPr>
          <w:p>
            <w:pPr>
              <w:ind w:left="80"/>
              <w:spacing w:after="0"/>
              <w:rPr>
                <w:sz w:val="20"/>
                <w:szCs w:val="20"/>
                <w:color w:val="auto"/>
              </w:rPr>
            </w:pPr>
            <w:r>
              <w:rPr>
                <w:rFonts w:ascii="Arial" w:cs="Arial" w:eastAsia="Arial" w:hAnsi="Arial"/>
                <w:sz w:val="18"/>
                <w:szCs w:val="18"/>
                <w:color w:val="0A0A0A"/>
              </w:rPr>
              <w:t>Net Decrease in Cash, Cash Equivalents and Restricted Cash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8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160"/>
              <w:spacing w:after="0"/>
              <w:rPr>
                <w:sz w:val="20"/>
                <w:szCs w:val="20"/>
                <w:color w:val="auto"/>
              </w:rPr>
            </w:pPr>
            <w:r>
              <w:rPr>
                <w:rFonts w:ascii="Arial" w:cs="Arial" w:eastAsia="Arial" w:hAnsi="Arial"/>
                <w:sz w:val="18"/>
                <w:szCs w:val="18"/>
                <w:color w:val="0A0A0A"/>
              </w:rPr>
              <w:t>Period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8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280" w:type="dxa"/>
            <w:vAlign w:val="bottom"/>
            <w:vMerge w:val="restart"/>
          </w:tcPr>
          <w:p>
            <w:pPr>
              <w:ind w:left="160"/>
              <w:spacing w:after="0"/>
              <w:rPr>
                <w:sz w:val="20"/>
                <w:szCs w:val="20"/>
                <w:color w:val="auto"/>
              </w:rPr>
            </w:pPr>
            <w:r>
              <w:rPr>
                <w:rFonts w:ascii="Arial" w:cs="Arial" w:eastAsia="Arial" w:hAnsi="Arial"/>
                <w:sz w:val="18"/>
                <w:szCs w:val="18"/>
                <w:color w:val="0A0A0A"/>
              </w:rPr>
              <w:t>End of the Period</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-2345690</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-1728470</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-1437005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-1145540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-528320</wp:posOffset>
            </wp:positionV>
            <wp:extent cx="711517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-845185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-2054225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474"/>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(29.7)</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35"/>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(20.3)</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474"/>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(11.5)</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(13.8)</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5"/>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(34.5)</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483"/>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(24.1)</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324"/>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63.7</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90"/>
        </w:trPr>
        <w:tc>
          <w:tcPr>
            <w:tcW w:w="6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5"/>
        </w:trPr>
        <w:tc>
          <w:tcPr>
            <w:tcW w:w="660" w:type="dxa"/>
            <w:vAlign w:val="bottom"/>
          </w:tcPr>
          <w:p>
            <w:pPr>
              <w:jc w:val="right"/>
              <w:ind w:right="110"/>
              <w:spacing w:after="0"/>
              <w:rPr>
                <w:sz w:val="20"/>
                <w:szCs w:val="20"/>
                <w:color w:val="auto"/>
              </w:rPr>
            </w:pPr>
            <w:r>
              <w:rPr>
                <w:rFonts w:ascii="Arial" w:cs="Arial" w:eastAsia="Arial" w:hAnsi="Arial"/>
                <w:sz w:val="18"/>
                <w:szCs w:val="18"/>
                <w:color w:val="auto"/>
              </w:rPr>
              <w:t>39.6</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77"/>
        </w:trPr>
        <w:tc>
          <w:tcPr>
            <w:tcW w:w="6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-33655</wp:posOffset>
            </wp:positionV>
            <wp:extent cx="11830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-8255</wp:posOffset>
            </wp:positionV>
            <wp:extent cx="1183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-282575</wp:posOffset>
            </wp:positionV>
            <wp:extent cx="11830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-1019810</wp:posOffset>
            </wp:positionV>
            <wp:extent cx="1183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-1919605</wp:posOffset>
            </wp:positionV>
            <wp:extent cx="1183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-2536825</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20"/>
          </w:cols>
          <w:pgMar w:left="340" w:top="13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00"/>
          </w:cols>
          <w:pgMar w:left="340" w:top="1376"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357" w:lineRule="exact"/>
        <w:rPr>
          <w:sz w:val="20"/>
          <w:szCs w:val="20"/>
          <w:color w:val="auto"/>
        </w:rPr>
      </w:pPr>
    </w:p>
    <w:p>
      <w:pPr>
        <w:ind w:left="20" w:right="452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5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7"/>
                <w:szCs w:val="17"/>
                <w:color w:val="auto"/>
              </w:rPr>
            </w:pPr>
          </w:p>
        </w:tc>
      </w:tr>
      <w:tr>
        <w:trPr>
          <w:trHeight w:val="203"/>
        </w:trPr>
        <w:tc>
          <w:tcPr>
            <w:tcW w:w="69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55.8</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300" w:type="dxa"/>
            <w:vAlign w:val="bottom"/>
            <w:tcBorders>
              <w:bottom w:val="single" w:sz="8" w:color="auto"/>
            </w:tcBorders>
          </w:tcPr>
          <w:p>
            <w:pPr>
              <w:jc w:val="right"/>
              <w:ind w:right="109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9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40"/>
          </w:cols>
          <w:pgMar w:left="320" w:top="1282" w:right="339" w:bottom="1440" w:gutter="0" w:footer="0" w:header="0"/>
        </w:sectPr>
      </w:pPr>
    </w:p>
    <w:bookmarkStart w:id="13" w:name="page14"/>
    <w:bookmarkEnd w:id="13"/>
    <w:p>
      <w:pPr>
        <w:ind w:left="20" w:right="348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5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7"/>
                <w:szCs w:val="17"/>
                <w:color w:val="auto"/>
              </w:rPr>
            </w:pPr>
          </w:p>
        </w:tc>
      </w:tr>
      <w:tr>
        <w:trPr>
          <w:trHeight w:val="204"/>
        </w:trPr>
        <w:tc>
          <w:tcPr>
            <w:tcW w:w="6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11.4</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14.9 %</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16.9 %</w:t>
            </w:r>
          </w:p>
        </w:tc>
      </w:tr>
      <w:tr>
        <w:trPr>
          <w:trHeight w:val="270"/>
        </w:trPr>
        <w:tc>
          <w:tcPr>
            <w:tcW w:w="69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3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340" w:type="dxa"/>
            <w:vAlign w:val="bottom"/>
            <w:tcBorders>
              <w:top w:val="single" w:sz="8" w:color="auto"/>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bl>
    <w:p>
      <w:pPr>
        <w:spacing w:after="0" w:line="91" w:lineRule="exact"/>
        <w:rPr>
          <w:sz w:val="20"/>
          <w:szCs w:val="20"/>
          <w:color w:val="auto"/>
        </w:rPr>
      </w:pPr>
    </w:p>
    <w:p>
      <w:pPr>
        <w:ind w:left="440" w:hanging="414"/>
        <w:spacing w:after="0"/>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38" w:lineRule="exact"/>
        <w:rPr>
          <w:rFonts w:ascii="Arial" w:cs="Arial" w:eastAsia="Arial" w:hAnsi="Arial"/>
          <w:sz w:val="29"/>
          <w:szCs w:val="29"/>
          <w:color w:val="auto"/>
          <w:vertAlign w:val="superscript"/>
        </w:rPr>
      </w:pPr>
    </w:p>
    <w:p>
      <w:pPr>
        <w:ind w:left="5360"/>
        <w:spacing w:after="0"/>
        <w:rPr>
          <w:rFonts w:ascii="Arial" w:cs="Arial" w:eastAsia="Arial" w:hAnsi="Arial"/>
          <w:sz w:val="29"/>
          <w:szCs w:val="29"/>
          <w:color w:val="auto"/>
          <w:vertAlign w:val="superscript"/>
        </w:rPr>
      </w:pPr>
      <w:r>
        <w:rPr>
          <w:rFonts w:ascii="Arial" w:cs="Arial" w:eastAsia="Arial" w:hAnsi="Arial"/>
          <w:sz w:val="14"/>
          <w:szCs w:val="14"/>
          <w:color w:val="auto"/>
        </w:rPr>
        <w:t>Page 11</w:t>
      </w:r>
    </w:p>
    <w:p>
      <w:pPr>
        <w:sectPr>
          <w:pgSz w:w="11900" w:h="16838" w:orient="portrait"/>
          <w:cols w:equalWidth="0" w:num="1">
            <w:col w:w="11220"/>
          </w:cols>
          <w:pgMar w:left="320" w:top="1417" w:right="359" w:bottom="1440" w:gutter="0" w:footer="0" w:header="0"/>
        </w:sectPr>
      </w:pPr>
    </w:p>
    <w:bookmarkStart w:id="14" w:name="page15"/>
    <w:bookmarkEnd w:id="14"/>
    <w:p>
      <w:pPr>
        <w:spacing w:after="0" w:line="200" w:lineRule="exact"/>
        <w:rPr>
          <w:sz w:val="20"/>
          <w:szCs w:val="20"/>
          <w:color w:val="auto"/>
        </w:rPr>
      </w:pPr>
    </w:p>
    <w:p>
      <w:pPr>
        <w:spacing w:after="0" w:line="263" w:lineRule="exact"/>
        <w:rPr>
          <w:sz w:val="20"/>
          <w:szCs w:val="20"/>
          <w:color w:val="auto"/>
        </w:rPr>
      </w:pPr>
    </w:p>
    <w:p>
      <w:pPr>
        <w:ind w:left="20" w:right="1140"/>
        <w:spacing w:after="0" w:line="378" w:lineRule="auto"/>
        <w:rPr>
          <w:sz w:val="20"/>
          <w:szCs w:val="20"/>
          <w:color w:val="auto"/>
        </w:rPr>
      </w:pPr>
      <w:r>
        <w:rPr>
          <w:rFonts w:ascii="Arial" w:cs="Arial" w:eastAsia="Arial" w:hAnsi="Arial"/>
          <w:sz w:val="17"/>
          <w:szCs w:val="17"/>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93"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Dollars</w:t>
            </w: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Per Share -</w:t>
            </w:r>
          </w:p>
        </w:tc>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Dollars</w:t>
            </w:r>
          </w:p>
        </w:tc>
        <w:tc>
          <w:tcPr>
            <w:tcW w:w="200" w:type="dxa"/>
            <w:vAlign w:val="bottom"/>
          </w:tcPr>
          <w:p>
            <w:pPr>
              <w:spacing w:after="0"/>
              <w:rPr>
                <w:sz w:val="12"/>
                <w:szCs w:val="12"/>
                <w:color w:val="auto"/>
              </w:rPr>
            </w:pPr>
          </w:p>
        </w:tc>
        <w:tc>
          <w:tcPr>
            <w:tcW w:w="110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6"/>
              </w:rPr>
              <w:t>0.64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left="515"/>
              <w:spacing w:after="0"/>
              <w:rPr>
                <w:sz w:val="20"/>
                <w:szCs w:val="20"/>
                <w:color w:val="auto"/>
              </w:rPr>
            </w:pPr>
            <w:r>
              <w:rPr>
                <w:rFonts w:ascii="Arial" w:cs="Arial" w:eastAsia="Arial" w:hAnsi="Arial"/>
                <w:sz w:val="18"/>
                <w:szCs w:val="18"/>
                <w:color w:val="auto"/>
                <w:w w:val="96"/>
              </w:rPr>
              <w:t>0.05</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left="515"/>
              <w:spacing w:after="0"/>
              <w:rPr>
                <w:sz w:val="20"/>
                <w:szCs w:val="20"/>
                <w:color w:val="auto"/>
              </w:rPr>
            </w:pPr>
            <w:r>
              <w:rPr>
                <w:rFonts w:ascii="Arial" w:cs="Arial" w:eastAsia="Arial" w:hAnsi="Arial"/>
                <w:sz w:val="18"/>
                <w:szCs w:val="18"/>
                <w:color w:val="auto"/>
                <w:w w:val="96"/>
              </w:rPr>
              <w:t>0.01</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6"/>
              </w:rPr>
              <w:t>0.68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6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A0A0A"/>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A0A0A"/>
              </w:rPr>
              <w:t>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93"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The tax effect of adjusting items, net is calculated at the Company’s statutory rate for the application period</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to adjusted EBITDA for the periods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5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7"/>
                <w:szCs w:val="17"/>
                <w:color w:val="auto"/>
              </w:rPr>
            </w:pPr>
          </w:p>
        </w:tc>
      </w:tr>
      <w:tr>
        <w:trPr>
          <w:trHeight w:val="203"/>
        </w:trPr>
        <w:tc>
          <w:tcPr>
            <w:tcW w:w="6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r>
      <w:tr>
        <w:trPr>
          <w:trHeight w:val="224"/>
        </w:trPr>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340" w:type="dxa"/>
            <w:vAlign w:val="bottom"/>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r>
      <w:tr>
        <w:trPr>
          <w:trHeight w:val="230"/>
        </w:trPr>
        <w:tc>
          <w:tcPr>
            <w:tcW w:w="698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9"/>
                <w:szCs w:val="19"/>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30"/>
        </w:trPr>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r>
      <w:tr>
        <w:trPr>
          <w:trHeight w:val="229"/>
        </w:trPr>
        <w:tc>
          <w:tcPr>
            <w:tcW w:w="698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70"/>
        </w:trPr>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698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13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30"/>
        </w:trPr>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r>
      <w:tr>
        <w:trPr>
          <w:trHeight w:val="230"/>
        </w:trPr>
        <w:tc>
          <w:tcPr>
            <w:tcW w:w="6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19.5</w:t>
            </w:r>
          </w:p>
        </w:tc>
      </w:tr>
      <w:tr>
        <w:trPr>
          <w:trHeight w:val="248"/>
        </w:trPr>
        <w:tc>
          <w:tcPr>
            <w:tcW w:w="6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r>
    </w:tbl>
    <w:p>
      <w:pPr>
        <w:spacing w:after="0" w:line="91" w:lineRule="exact"/>
        <w:rPr>
          <w:sz w:val="20"/>
          <w:szCs w:val="20"/>
          <w:color w:val="auto"/>
        </w:rPr>
      </w:pPr>
    </w:p>
    <w:p>
      <w:pPr>
        <w:ind w:left="440" w:hanging="414"/>
        <w:spacing w:after="0"/>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341" w:lineRule="exact"/>
        <w:rPr>
          <w:rFonts w:ascii="Arial" w:cs="Arial" w:eastAsia="Arial" w:hAnsi="Arial"/>
          <w:sz w:val="29"/>
          <w:szCs w:val="29"/>
          <w:color w:val="auto"/>
          <w:vertAlign w:val="superscript"/>
        </w:rPr>
      </w:pPr>
    </w:p>
    <w:p>
      <w:pPr>
        <w:ind w:left="5360"/>
        <w:spacing w:after="0"/>
        <w:rPr>
          <w:rFonts w:ascii="Arial" w:cs="Arial" w:eastAsia="Arial" w:hAnsi="Arial"/>
          <w:sz w:val="29"/>
          <w:szCs w:val="29"/>
          <w:color w:val="auto"/>
          <w:vertAlign w:val="superscript"/>
        </w:rPr>
      </w:pPr>
      <w:r>
        <w:rPr>
          <w:rFonts w:ascii="Arial" w:cs="Arial" w:eastAsia="Arial" w:hAnsi="Arial"/>
          <w:sz w:val="14"/>
          <w:szCs w:val="14"/>
          <w:color w:val="auto"/>
        </w:rPr>
        <w:t>Page 12</w:t>
      </w:r>
    </w:p>
    <w:p>
      <w:pPr>
        <w:sectPr>
          <w:pgSz w:w="11900" w:h="16838" w:orient="portrait"/>
          <w:cols w:equalWidth="0" w:num="1">
            <w:col w:w="11220"/>
          </w:cols>
          <w:pgMar w:left="320" w:top="144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and depreciation recognized on our aircraft and flight equipment held for operating lease as these operations do not create ASMs. We have entered into a series of transactions where we act as an aircraft lessor. As of March 31, 2024, we leased or subleased seven aircraft. Depreciation expense on these aircraft materially began during the three months ended June 30, 2023. 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282"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8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Leased Aircraft, Depreciation and Amortization Expense</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3"/>
            <w:vMerge w:val="continue"/>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80" w:hanging="554"/>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ind w:left="5360"/>
        <w:spacing w:after="0"/>
        <w:rPr>
          <w:rFonts w:ascii="Arial" w:cs="Arial" w:eastAsia="Arial" w:hAnsi="Arial"/>
          <w:sz w:val="14"/>
          <w:szCs w:val="14"/>
          <w:color w:val="auto"/>
        </w:rPr>
      </w:pPr>
      <w:r>
        <w:rPr>
          <w:rFonts w:ascii="Arial" w:cs="Arial" w:eastAsia="Arial" w:hAnsi="Arial"/>
          <w:sz w:val="14"/>
          <w:szCs w:val="14"/>
          <w:color w:val="auto"/>
        </w:rPr>
        <w:t>Page 14</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2024-05-07T05:09:36Z</dcterms:created>
  <dcterms:modified xsi:type="dcterms:W3CDTF">2024-05-07T05:09:36Z</dcterms:modified>
</cp:coreProperties>
</file>