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10/01/2024</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10/01/2024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7"/>
              <w:spacing w:after="0"/>
              <w:rPr>
                <w:sz w:val="20"/>
                <w:szCs w:val="20"/>
                <w:color w:val="auto"/>
              </w:rPr>
            </w:pPr>
            <w:r>
              <w:rPr>
                <w:rFonts w:ascii="Times New Roman" w:cs="Times New Roman" w:eastAsia="Times New Roman" w:hAnsi="Times New Roman"/>
                <w:sz w:val="34"/>
                <w:szCs w:val="34"/>
                <w:color w:val="0000FF"/>
                <w:vertAlign w:val="subscript"/>
              </w:rPr>
              <w:t>406</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10.9021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24,662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0000FF"/>
              </w:rPr>
              <w:t>881</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23,781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is effected pursuant to a Rule 10b5-1 trading plan. The 10b5-1 trading plan was adopted on March 4,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4"/>
          <w:szCs w:val="34"/>
          <w:color w:val="0000FF"/>
          <w:vertAlign w:val="subscript"/>
        </w:rPr>
        <w:t>10/03/2024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48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2024-10-03T16:16:18Z</dcterms:created>
  <dcterms:modified xsi:type="dcterms:W3CDTF">2024-10-03T16:16:18Z</dcterms:modified>
</cp:coreProperties>
</file>