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706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706360"/>
                    </a:xfrm>
                    <a:prstGeom prst="rect">
                      <a:avLst/>
                    </a:prstGeom>
                    <a:noFill/>
                  </pic:spPr>
                </pic:pic>
              </a:graphicData>
            </a:graphic>
          </wp:anchor>
        </w:drawing>
      </w:r>
    </w:p>
    <w:p>
      <w:pPr>
        <w:spacing w:after="0" w:line="1235" w:lineRule="exact"/>
        <w:rPr>
          <w:sz w:val="24"/>
          <w:szCs w:val="24"/>
          <w:color w:val="auto"/>
        </w:rPr>
      </w:pPr>
    </w:p>
    <w:p>
      <w:pPr>
        <w:sectPr>
          <w:pgSz w:w="11900" w:h="16879"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DAVID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0"/>
        <w:spacing w:after="0" w:line="343"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SNCY</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840" w:type="dxa"/>
            <w:vAlign w:val="bottom"/>
          </w:tcPr>
          <w:p>
            <w:pPr>
              <w:ind w:left="580"/>
              <w:spacing w:after="0" w:line="14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tcPr>
          <w:p>
            <w:pPr>
              <w:ind w:left="1060"/>
              <w:spacing w:after="0" w:line="194" w:lineRule="exact"/>
              <w:rPr>
                <w:sz w:val="20"/>
                <w:szCs w:val="20"/>
                <w:color w:val="auto"/>
              </w:rPr>
            </w:pPr>
            <w:r>
              <w:rPr>
                <w:rFonts w:ascii="Times New Roman" w:cs="Times New Roman" w:eastAsia="Times New Roman" w:hAnsi="Times New Roman"/>
                <w:sz w:val="17"/>
                <w:szCs w:val="17"/>
                <w:color w:val="0000FF"/>
              </w:rPr>
              <w:t>President &amp; CFO</w:t>
            </w:r>
          </w:p>
        </w:tc>
        <w:tc>
          <w:tcPr>
            <w:tcW w:w="0" w:type="dxa"/>
            <w:vAlign w:val="bottom"/>
          </w:tcPr>
          <w:p>
            <w:pPr>
              <w:spacing w:after="0"/>
              <w:rPr>
                <w:sz w:val="1"/>
                <w:szCs w:val="1"/>
                <w:color w:val="auto"/>
              </w:rPr>
            </w:pPr>
          </w:p>
        </w:tc>
      </w:tr>
      <w:tr>
        <w:trPr>
          <w:trHeight w:val="217"/>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01/23/2025</w:t>
            </w: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79"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01/23/2025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23,867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56,127</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01/23/2025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2,678</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58,805</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01/23/2025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26,545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16.9142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32,260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01/24/2025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32,540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64,800</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01/24/2025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2,996</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67,796</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01/24/2025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35,536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16.9238</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32,260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60" w:type="dxa"/>
            <w:vAlign w:val="bottom"/>
            <w:gridSpan w:val="8"/>
          </w:tcPr>
          <w:p>
            <w:pPr>
              <w:jc w:val="center"/>
              <w:ind w:left="2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1"/>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23,867</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01/23/2025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jc w:val="center"/>
              <w:ind w:left="240"/>
              <w:spacing w:after="0" w:line="129" w:lineRule="exact"/>
              <w:rPr>
                <w:sz w:val="20"/>
                <w:szCs w:val="20"/>
                <w:color w:val="auto"/>
              </w:rPr>
            </w:pPr>
            <w:r>
              <w:rPr>
                <w:rFonts w:ascii="Times New Roman" w:cs="Times New Roman" w:eastAsia="Times New Roman" w:hAnsi="Times New Roman"/>
                <w:sz w:val="13"/>
                <w:szCs w:val="13"/>
                <w:color w:val="0000FF"/>
              </w:rPr>
              <w:t>23,867</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04/17/2029</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ind w:right="173"/>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448,322</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2,678</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01/23/2025</w:t>
            </w: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5"/>
                <w:szCs w:val="5"/>
                <w:color w:val="auto"/>
              </w:rPr>
            </w:pPr>
          </w:p>
        </w:tc>
        <w:tc>
          <w:tcPr>
            <w:tcW w:w="700" w:type="dxa"/>
            <w:vAlign w:val="bottom"/>
            <w:vMerge w:val="restart"/>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rPr>
              <w:t>2,678</w:t>
            </w:r>
          </w:p>
        </w:tc>
        <w:tc>
          <w:tcPr>
            <w:tcW w:w="800" w:type="dxa"/>
            <w:vAlign w:val="bottom"/>
            <w:vMerge w:val="continue"/>
          </w:tcPr>
          <w:p>
            <w:pPr>
              <w:spacing w:after="0"/>
              <w:rPr>
                <w:sz w:val="5"/>
                <w:szCs w:val="5"/>
                <w:color w:val="auto"/>
              </w:rPr>
            </w:pPr>
          </w:p>
        </w:tc>
        <w:tc>
          <w:tcPr>
            <w:tcW w:w="7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04/17/2029</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jc w:val="center"/>
              <w:ind w:right="173"/>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445,644</w:t>
            </w:r>
          </w:p>
        </w:tc>
        <w:tc>
          <w:tcPr>
            <w:tcW w:w="26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32,540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01/24/2025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jc w:val="center"/>
              <w:ind w:left="240"/>
              <w:spacing w:after="0" w:line="129" w:lineRule="exact"/>
              <w:rPr>
                <w:sz w:val="20"/>
                <w:szCs w:val="20"/>
                <w:color w:val="auto"/>
              </w:rPr>
            </w:pPr>
            <w:r>
              <w:rPr>
                <w:rFonts w:ascii="Times New Roman" w:cs="Times New Roman" w:eastAsia="Times New Roman" w:hAnsi="Times New Roman"/>
                <w:sz w:val="13"/>
                <w:szCs w:val="13"/>
                <w:color w:val="0000FF"/>
              </w:rPr>
              <w:t>32,540</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04/17/2029</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ind w:right="173"/>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413,104</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2,996</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01/24/2025</w:t>
            </w: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5"/>
                <w:szCs w:val="5"/>
                <w:color w:val="auto"/>
              </w:rPr>
            </w:pPr>
          </w:p>
        </w:tc>
        <w:tc>
          <w:tcPr>
            <w:tcW w:w="700" w:type="dxa"/>
            <w:vAlign w:val="bottom"/>
            <w:vMerge w:val="restart"/>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rPr>
              <w:t>2,996</w:t>
            </w:r>
          </w:p>
        </w:tc>
        <w:tc>
          <w:tcPr>
            <w:tcW w:w="800" w:type="dxa"/>
            <w:vAlign w:val="bottom"/>
            <w:vMerge w:val="continue"/>
          </w:tcPr>
          <w:p>
            <w:pPr>
              <w:spacing w:after="0"/>
              <w:rPr>
                <w:sz w:val="5"/>
                <w:szCs w:val="5"/>
                <w:color w:val="auto"/>
              </w:rPr>
            </w:pPr>
          </w:p>
        </w:tc>
        <w:tc>
          <w:tcPr>
            <w:tcW w:w="7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04/17/2029</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jc w:val="center"/>
              <w:ind w:right="173"/>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410,108</w:t>
            </w:r>
          </w:p>
        </w:tc>
        <w:tc>
          <w:tcPr>
            <w:tcW w:w="26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The 10b5-1 trading plan was adopted on September 4, 2024.</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$16.90 to $17.00,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40" w:right="3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$16.90 to $17.00,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ectPr>
          <w:pgSz w:w="11900" w:h="16879"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 xml:space="preserve">/s/ Rose Neale, attorney-in-fact  </w:t>
      </w:r>
      <w:r>
        <w:rPr>
          <w:rFonts w:ascii="Times New Roman" w:cs="Times New Roman" w:eastAsia="Times New Roman" w:hAnsi="Times New Roman"/>
          <w:sz w:val="33"/>
          <w:szCs w:val="33"/>
          <w:color w:val="0000FF"/>
          <w:vertAlign w:val="subscript"/>
        </w:rPr>
        <w:t>01/27/2025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-27305</wp:posOffset>
            </wp:positionV>
            <wp:extent cx="1329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for David 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33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3375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7174"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2025-01-27T15:48:00Z</dcterms:created>
  <dcterms:modified xsi:type="dcterms:W3CDTF">2025-01-27T15:48:00Z</dcterms:modified>
</cp:coreProperties>
</file>