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BARCLAYS PLC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60" w:type="dxa"/>
            <w:vAlign w:val="bottom"/>
            <w:tcBorders>
              <w:top w:val="single" w:sz="8" w:color="0000EE"/>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11/05/2024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Sun Country Airlines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SNCY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10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0"/>
        </w:trPr>
        <w:tc>
          <w:tcPr>
            <w:tcW w:w="20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9"/>
              </w:rPr>
              <w:t>1 CHURCHILL PLACE</w:t>
            </w:r>
          </w:p>
        </w:tc>
        <w:tc>
          <w:tcPr>
            <w:tcW w:w="1080" w:type="dxa"/>
            <w:vAlign w:val="bottom"/>
          </w:tcPr>
          <w:p>
            <w:pPr>
              <w:spacing w:after="0"/>
              <w:rPr>
                <w:sz w:val="24"/>
                <w:szCs w:val="24"/>
                <w:color w:val="auto"/>
              </w:rPr>
            </w:pPr>
          </w:p>
        </w:tc>
      </w:tr>
      <w:tr>
        <w:trPr>
          <w:trHeight w:val="300"/>
        </w:trPr>
        <w:tc>
          <w:tcPr>
            <w:tcW w:w="20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CANARY WHARF</w:t>
            </w:r>
          </w:p>
        </w:tc>
        <w:tc>
          <w:tcPr>
            <w:tcW w:w="1080" w:type="dxa"/>
            <w:vAlign w:val="bottom"/>
          </w:tcPr>
          <w:p>
            <w:pPr>
              <w:spacing w:after="0"/>
              <w:rPr>
                <w:sz w:val="24"/>
                <w:szCs w:val="24"/>
                <w:color w:val="auto"/>
              </w:rPr>
            </w:pPr>
          </w:p>
        </w:tc>
      </w:tr>
      <w:tr>
        <w:trPr>
          <w:trHeight w:val="177"/>
        </w:trPr>
        <w:tc>
          <w:tcPr>
            <w:tcW w:w="9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LONDON</w:t>
            </w:r>
          </w:p>
        </w:tc>
        <w:tc>
          <w:tcPr>
            <w:tcW w:w="10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X0</w:t>
            </w:r>
          </w:p>
        </w:tc>
        <w:tc>
          <w:tcPr>
            <w:tcW w:w="1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E14 5HP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1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700" w:type="dxa"/>
            <w:vAlign w:val="bottom"/>
          </w:tcPr>
          <w:p>
            <w:pPr>
              <w:ind w:left="7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700" w:type="dxa"/>
            <w:vAlign w:val="bottom"/>
          </w:tcPr>
          <w:p>
            <w:pPr>
              <w:ind w:left="7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700" w:type="dxa"/>
            <w:vAlign w:val="bottom"/>
          </w:tcPr>
          <w:p>
            <w:pPr>
              <w:ind w:left="7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4"/>
        </w:trPr>
        <w:tc>
          <w:tcPr>
            <w:tcW w:w="20" w:type="dxa"/>
            <w:vAlign w:val="bottom"/>
          </w:tcPr>
          <w:p>
            <w:pPr>
              <w:spacing w:after="0"/>
              <w:rPr>
                <w:sz w:val="3"/>
                <w:szCs w:val="3"/>
                <w:color w:val="auto"/>
              </w:rPr>
            </w:pPr>
          </w:p>
        </w:tc>
        <w:tc>
          <w:tcPr>
            <w:tcW w:w="4120" w:type="dxa"/>
            <w:vAlign w:val="bottom"/>
            <w:tcBorders>
              <w:bottom w:val="single" w:sz="8" w:color="2C2C2C"/>
            </w:tcBorders>
          </w:tcPr>
          <w:p>
            <w:pPr>
              <w:spacing w:after="0"/>
              <w:rPr>
                <w:sz w:val="3"/>
                <w:szCs w:val="3"/>
                <w:color w:val="auto"/>
              </w:rPr>
            </w:pPr>
          </w:p>
        </w:tc>
        <w:tc>
          <w:tcPr>
            <w:tcW w:w="27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298"/>
        </w:trPr>
        <w:tc>
          <w:tcPr>
            <w:tcW w:w="20" w:type="dxa"/>
            <w:vAlign w:val="bottom"/>
          </w:tcPr>
          <w:p>
            <w:pPr>
              <w:spacing w:after="0"/>
              <w:rPr>
                <w:sz w:val="24"/>
                <w:szCs w:val="24"/>
                <w:color w:val="auto"/>
              </w:rPr>
            </w:pPr>
          </w:p>
        </w:tc>
        <w:tc>
          <w:tcPr>
            <w:tcW w:w="41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2700" w:type="dxa"/>
            <w:vAlign w:val="bottom"/>
          </w:tcPr>
          <w:p>
            <w:pPr>
              <w:jc w:val="center"/>
              <w:ind w:left="654"/>
              <w:spacing w:after="0"/>
              <w:rPr>
                <w:sz w:val="20"/>
                <w:szCs w:val="20"/>
                <w:color w:val="auto"/>
              </w:rPr>
            </w:pPr>
            <w:r>
              <w:rPr>
                <w:rFonts w:ascii="Times New Roman" w:cs="Times New Roman" w:eastAsia="Times New Roman" w:hAnsi="Times New Roman"/>
                <w:sz w:val="20"/>
                <w:szCs w:val="20"/>
                <w:color w:val="0000FF"/>
                <w:w w:val="98"/>
              </w:rPr>
              <w:t>320,874</w:t>
            </w:r>
          </w:p>
        </w:tc>
        <w:tc>
          <w:tcPr>
            <w:tcW w:w="122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Barclays Bank PLC</w:t>
            </w:r>
          </w:p>
        </w:tc>
        <w:tc>
          <w:tcPr>
            <w:tcW w:w="20" w:type="dxa"/>
            <w:vAlign w:val="bottom"/>
          </w:tcPr>
          <w:p>
            <w:pPr>
              <w:spacing w:after="0"/>
              <w:rPr>
                <w:sz w:val="24"/>
                <w:szCs w:val="24"/>
                <w:color w:val="auto"/>
              </w:rPr>
            </w:pPr>
          </w:p>
        </w:tc>
      </w:tr>
      <w:tr>
        <w:trPr>
          <w:trHeight w:val="72"/>
        </w:trPr>
        <w:tc>
          <w:tcPr>
            <w:tcW w:w="20" w:type="dxa"/>
            <w:vAlign w:val="bottom"/>
          </w:tcPr>
          <w:p>
            <w:pPr>
              <w:spacing w:after="0"/>
              <w:rPr>
                <w:sz w:val="6"/>
                <w:szCs w:val="6"/>
                <w:color w:val="auto"/>
              </w:rPr>
            </w:pPr>
          </w:p>
        </w:tc>
        <w:tc>
          <w:tcPr>
            <w:tcW w:w="4120" w:type="dxa"/>
            <w:vAlign w:val="bottom"/>
            <w:tcBorders>
              <w:bottom w:val="single" w:sz="8" w:color="2C2C2C"/>
            </w:tcBorders>
          </w:tcPr>
          <w:p>
            <w:pPr>
              <w:spacing w:after="0"/>
              <w:rPr>
                <w:sz w:val="6"/>
                <w:szCs w:val="6"/>
                <w:color w:val="auto"/>
              </w:rPr>
            </w:pPr>
          </w:p>
        </w:tc>
        <w:tc>
          <w:tcPr>
            <w:tcW w:w="27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41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2700" w:type="dxa"/>
            <w:vAlign w:val="bottom"/>
          </w:tcPr>
          <w:p>
            <w:pPr>
              <w:jc w:val="center"/>
              <w:ind w:left="674"/>
              <w:spacing w:after="0"/>
              <w:rPr>
                <w:sz w:val="20"/>
                <w:szCs w:val="20"/>
                <w:color w:val="auto"/>
              </w:rPr>
            </w:pPr>
            <w:r>
              <w:rPr>
                <w:rFonts w:ascii="Times New Roman" w:cs="Times New Roman" w:eastAsia="Times New Roman" w:hAnsi="Times New Roman"/>
                <w:sz w:val="20"/>
                <w:szCs w:val="20"/>
                <w:color w:val="0000FF"/>
                <w:w w:val="97"/>
              </w:rPr>
              <w:t>5,196,782</w:t>
            </w:r>
          </w:p>
        </w:tc>
        <w:tc>
          <w:tcPr>
            <w:tcW w:w="122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Barclays Capital Inc</w:t>
            </w:r>
          </w:p>
        </w:tc>
        <w:tc>
          <w:tcPr>
            <w:tcW w:w="20" w:type="dxa"/>
            <w:vAlign w:val="bottom"/>
          </w:tcPr>
          <w:p>
            <w:pPr>
              <w:spacing w:after="0"/>
              <w:rPr>
                <w:sz w:val="24"/>
                <w:szCs w:val="24"/>
                <w:color w:val="auto"/>
              </w:rPr>
            </w:pPr>
          </w:p>
        </w:tc>
      </w:tr>
      <w:tr>
        <w:trPr>
          <w:trHeight w:val="72"/>
        </w:trPr>
        <w:tc>
          <w:tcPr>
            <w:tcW w:w="20" w:type="dxa"/>
            <w:vAlign w:val="bottom"/>
          </w:tcPr>
          <w:p>
            <w:pPr>
              <w:spacing w:after="0"/>
              <w:rPr>
                <w:sz w:val="6"/>
                <w:szCs w:val="6"/>
                <w:color w:val="auto"/>
              </w:rPr>
            </w:pPr>
          </w:p>
        </w:tc>
        <w:tc>
          <w:tcPr>
            <w:tcW w:w="4120" w:type="dxa"/>
            <w:vAlign w:val="bottom"/>
            <w:tcBorders>
              <w:bottom w:val="single" w:sz="8" w:color="2C2C2C"/>
            </w:tcBorders>
          </w:tcPr>
          <w:p>
            <w:pPr>
              <w:spacing w:after="0"/>
              <w:rPr>
                <w:sz w:val="6"/>
                <w:szCs w:val="6"/>
                <w:color w:val="auto"/>
              </w:rPr>
            </w:pPr>
          </w:p>
        </w:tc>
        <w:tc>
          <w:tcPr>
            <w:tcW w:w="27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41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2700" w:type="dxa"/>
            <w:vAlign w:val="bottom"/>
          </w:tcPr>
          <w:p>
            <w:pPr>
              <w:jc w:val="center"/>
              <w:ind w:left="654"/>
              <w:spacing w:after="0"/>
              <w:rPr>
                <w:sz w:val="20"/>
                <w:szCs w:val="20"/>
                <w:color w:val="auto"/>
              </w:rPr>
            </w:pPr>
            <w:r>
              <w:rPr>
                <w:rFonts w:ascii="Times New Roman" w:cs="Times New Roman" w:eastAsia="Times New Roman" w:hAnsi="Times New Roman"/>
                <w:sz w:val="20"/>
                <w:szCs w:val="20"/>
                <w:color w:val="0000FF"/>
                <w:w w:val="94"/>
              </w:rPr>
              <w:t>29,380</w:t>
            </w:r>
          </w:p>
        </w:tc>
        <w:tc>
          <w:tcPr>
            <w:tcW w:w="122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Barclays Capital Securities Ltd</w:t>
            </w:r>
          </w:p>
        </w:tc>
        <w:tc>
          <w:tcPr>
            <w:tcW w:w="20" w:type="dxa"/>
            <w:vAlign w:val="bottom"/>
          </w:tcPr>
          <w:p>
            <w:pPr>
              <w:spacing w:after="0"/>
              <w:rPr>
                <w:sz w:val="24"/>
                <w:szCs w:val="24"/>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4120" w:type="dxa"/>
            <w:vAlign w:val="bottom"/>
            <w:tcBorders>
              <w:top w:val="single" w:sz="8" w:color="808080"/>
            </w:tcBorders>
            <w:shd w:val="clear" w:color="auto" w:fill="2C2C2C"/>
          </w:tcPr>
          <w:p>
            <w:pPr>
              <w:spacing w:after="0" w:line="20" w:lineRule="exact"/>
              <w:rPr>
                <w:sz w:val="1"/>
                <w:szCs w:val="1"/>
                <w:color w:val="auto"/>
              </w:rPr>
            </w:pPr>
          </w:p>
        </w:tc>
        <w:tc>
          <w:tcPr>
            <w:tcW w:w="27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jc w:val="center"/>
        <w:ind w:left="40" w:right="80" w:firstLine="5"/>
        <w:spacing w:after="0" w:line="258" w:lineRule="auto"/>
        <w:tabs>
          <w:tab w:leader="none" w:pos="244"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Beneficially owned Class A ordinary shares par value $0.01 per share. (b) Name of Person Filing: (1) Barclays PLC (2) Barclays Bank PLC (controlled by Barclays PLC) (3) Barclays Capital Inc. (controlled by Barclays PLC) (4) Barclays Capital Securities Ltd. (controlled by Barclays PLC) (c) Address of Principal Business Office or, if non, Residence:</w:t>
      </w:r>
    </w:p>
    <w:p>
      <w:pPr>
        <w:ind w:left="40" w:right="80"/>
        <w:spacing w:after="0" w:line="238" w:lineRule="auto"/>
        <w:rPr>
          <w:rFonts w:ascii="Times New Roman" w:cs="Times New Roman" w:eastAsia="Times New Roman" w:hAnsi="Times New Roman"/>
          <w:sz w:val="14"/>
          <w:szCs w:val="14"/>
          <w:color w:val="008000"/>
        </w:rPr>
      </w:pPr>
      <w:r>
        <w:rPr>
          <w:rFonts w:ascii="Times New Roman" w:cs="Times New Roman" w:eastAsia="Times New Roman" w:hAnsi="Times New Roman"/>
          <w:sz w:val="15"/>
          <w:szCs w:val="15"/>
          <w:color w:val="008000"/>
        </w:rPr>
        <w:t>(1) Barclays PLC 1 Churchill Place London, E14 5HP, England (2) Barclays Bank PLC 1 Churchill Place London, E14 5HP, England (3) Barclays Capital Inc. 745 Seventh Avenue New York, New York 10019 United States (4) Barclays Capital Securities Ltd. 1 Churchill Place London, E14 5HP, England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Suejean Mott</w:t>
            </w:r>
          </w:p>
        </w:tc>
        <w:tc>
          <w:tcPr>
            <w:tcW w:w="114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4"/>
              </w:rPr>
              <w:t>11/08/2024</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0312069"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2024-11-08T09:39:24Z</dcterms:created>
  <dcterms:modified xsi:type="dcterms:W3CDTF">2024-11-08T09:39:24Z</dcterms:modified>
</cp:coreProperties>
</file>