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0001851327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SCA Horus Holdings, LLC</w:t>
      </w:r>
    </w:p>
    <w:p>
      <w:pPr>
        <w:spacing w:after="0" w:line="44" w:lineRule="exact"/>
        <w:rPr>
          <w:sz w:val="24"/>
          <w:szCs w:val="24"/>
          <w:color w:val="auto"/>
        </w:rPr>
      </w:pPr>
    </w:p>
    <w:p>
      <w:pPr>
        <w:sectPr>
          <w:pgSz w:w="11900" w:h="16838" w:orient="portrait"/>
          <w:cols w:equalWidth="0" w:num="2">
            <w:col w:w="6220" w:space="720"/>
            <w:col w:w="43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Barclays Capital Inc.</w:t>
      </w:r>
    </w:p>
    <w:p>
      <w:pPr>
        <w:ind w:left="40"/>
        <w:spacing w:after="0"/>
        <w:tabs>
          <w:tab w:leader="none" w:pos="2500" w:val="left"/>
        </w:tabs>
        <w:rPr>
          <w:sz w:val="20"/>
          <w:szCs w:val="20"/>
          <w:color w:val="auto"/>
        </w:rPr>
      </w:pPr>
      <w:r>
        <w:rPr>
          <w:rFonts w:ascii="Arial" w:cs="Arial" w:eastAsia="Arial" w:hAnsi="Arial"/>
          <w:sz w:val="22"/>
          <w:szCs w:val="22"/>
          <w:color w:val="auto"/>
        </w:rPr>
        <w:t>Common stock</w:t>
      </w:r>
      <w:r>
        <w:rPr>
          <w:sz w:val="20"/>
          <w:szCs w:val="20"/>
          <w:color w:val="auto"/>
        </w:rPr>
        <w:tab/>
      </w:r>
      <w:r>
        <w:rPr>
          <w:rFonts w:ascii="Arial" w:cs="Arial" w:eastAsia="Arial" w:hAnsi="Arial"/>
          <w:sz w:val="19"/>
          <w:szCs w:val="19"/>
          <w:color w:val="auto"/>
        </w:rPr>
        <w:t>745 7th Avenue</w:t>
      </w:r>
    </w:p>
    <w:p>
      <w:pPr>
        <w:ind w:left="2520"/>
        <w:spacing w:after="0"/>
        <w:rPr>
          <w:sz w:val="20"/>
          <w:szCs w:val="20"/>
          <w:color w:val="auto"/>
        </w:rPr>
      </w:pPr>
      <w:r>
        <w:rPr>
          <w:rFonts w:ascii="Arial" w:cs="Arial" w:eastAsia="Arial" w:hAnsi="Arial"/>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60" w:type="dxa"/>
            <w:vAlign w:val="bottom"/>
            <w:gridSpan w:val="3"/>
          </w:tcPr>
          <w:p>
            <w:pPr>
              <w:jc w:val="center"/>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296"/>
              <w:spacing w:after="0"/>
              <w:rPr>
                <w:sz w:val="20"/>
                <w:szCs w:val="20"/>
                <w:color w:val="auto"/>
              </w:rPr>
            </w:pPr>
            <w:r>
              <w:rPr>
                <w:rFonts w:ascii="Arial" w:cs="Arial" w:eastAsia="Arial" w:hAnsi="Arial"/>
                <w:sz w:val="22"/>
                <w:szCs w:val="22"/>
                <w:color w:val="auto"/>
                <w:w w:val="86"/>
              </w:rPr>
              <w:t>3440000</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72721600.00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439" w:lineRule="exact"/>
        <w:rPr>
          <w:sz w:val="24"/>
          <w:szCs w:val="24"/>
          <w:color w:val="auto"/>
        </w:rPr>
      </w:pPr>
    </w:p>
    <w:p>
      <w:pPr>
        <w:sectPr>
          <w:pgSz w:w="11900" w:h="16838" w:orient="portrait"/>
          <w:cols w:equalWidth="0" w:num="2">
            <w:col w:w="4640" w:space="22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28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8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28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80"/>
        <w:spacing w:after="0"/>
        <w:tabs>
          <w:tab w:leader="none" w:pos="132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40" w:space="500"/>
            <w:col w:w="3900" w:space="260"/>
            <w:col w:w="26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74"/>
        </w:trPr>
        <w:tc>
          <w:tcPr>
            <w:tcW w:w="3960" w:type="dxa"/>
            <w:vAlign w:val="bottom"/>
            <w:vMerge w:val="restart"/>
          </w:tcPr>
          <w:p>
            <w:pPr>
              <w:ind w:left="2520"/>
              <w:spacing w:after="0"/>
              <w:rPr>
                <w:sz w:val="20"/>
                <w:szCs w:val="20"/>
                <w:color w:val="auto"/>
              </w:rPr>
            </w:pPr>
            <w:r>
              <w:rPr>
                <w:rFonts w:ascii="Arial" w:cs="Arial" w:eastAsia="Arial" w:hAnsi="Arial"/>
                <w:sz w:val="22"/>
                <w:szCs w:val="22"/>
                <w:color w:val="auto"/>
              </w:rPr>
              <w:t>Formation of</w:t>
            </w:r>
          </w:p>
        </w:tc>
        <w:tc>
          <w:tcPr>
            <w:tcW w:w="2360" w:type="dxa"/>
            <w:vAlign w:val="bottom"/>
          </w:tcPr>
          <w:p>
            <w:pPr>
              <w:ind w:left="280"/>
              <w:spacing w:after="0"/>
              <w:rPr>
                <w:sz w:val="20"/>
                <w:szCs w:val="20"/>
                <w:color w:val="auto"/>
              </w:rPr>
            </w:pPr>
            <w:r>
              <w:rPr>
                <w:rFonts w:ascii="Arial" w:cs="Arial" w:eastAsia="Arial" w:hAnsi="Arial"/>
                <w:sz w:val="22"/>
                <w:szCs w:val="22"/>
                <w:color w:val="auto"/>
              </w:rPr>
              <w:t>Sun Country</w:t>
            </w:r>
          </w:p>
        </w:tc>
        <w:tc>
          <w:tcPr>
            <w:tcW w:w="1940" w:type="dxa"/>
            <w:vAlign w:val="bottom"/>
          </w:tcPr>
          <w:p>
            <w:pPr>
              <w:spacing w:after="0"/>
              <w:rPr>
                <w:sz w:val="23"/>
                <w:szCs w:val="23"/>
                <w:color w:val="auto"/>
              </w:rPr>
            </w:pPr>
          </w:p>
        </w:tc>
        <w:tc>
          <w:tcPr>
            <w:tcW w:w="2400" w:type="dxa"/>
            <w:vAlign w:val="bottom"/>
            <w:vMerge w:val="restart"/>
          </w:tcPr>
          <w:p>
            <w:pPr>
              <w:ind w:left="1260"/>
              <w:spacing w:after="0"/>
              <w:rPr>
                <w:sz w:val="20"/>
                <w:szCs w:val="20"/>
                <w:color w:val="auto"/>
              </w:rPr>
            </w:pPr>
            <w:r>
              <w:rPr>
                <w:rFonts w:ascii="Arial" w:cs="Arial" w:eastAsia="Arial" w:hAnsi="Arial"/>
                <w:sz w:val="22"/>
                <w:szCs w:val="22"/>
                <w:color w:val="auto"/>
                <w:w w:val="90"/>
              </w:rPr>
              <w:t>Formation of</w:t>
            </w:r>
          </w:p>
        </w:tc>
        <w:tc>
          <w:tcPr>
            <w:tcW w:w="0" w:type="dxa"/>
            <w:vAlign w:val="bottom"/>
          </w:tcPr>
          <w:p>
            <w:pPr>
              <w:spacing w:after="0"/>
              <w:rPr>
                <w:sz w:val="1"/>
                <w:szCs w:val="1"/>
                <w:color w:val="auto"/>
              </w:rPr>
            </w:pPr>
          </w:p>
        </w:tc>
      </w:tr>
      <w:tr>
        <w:trPr>
          <w:trHeight w:val="58"/>
        </w:trPr>
        <w:tc>
          <w:tcPr>
            <w:tcW w:w="3960" w:type="dxa"/>
            <w:vAlign w:val="bottom"/>
            <w:vMerge w:val="continue"/>
          </w:tcPr>
          <w:p>
            <w:pPr>
              <w:spacing w:after="0"/>
              <w:rPr>
                <w:sz w:val="5"/>
                <w:szCs w:val="5"/>
                <w:color w:val="auto"/>
              </w:rPr>
            </w:pPr>
          </w:p>
        </w:tc>
        <w:tc>
          <w:tcPr>
            <w:tcW w:w="23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960" w:type="dxa"/>
            <w:vAlign w:val="bottom"/>
          </w:tcPr>
          <w:p>
            <w:pPr>
              <w:spacing w:after="0" w:line="243" w:lineRule="exact"/>
              <w:rPr>
                <w:sz w:val="20"/>
                <w:szCs w:val="20"/>
                <w:color w:val="auto"/>
              </w:rPr>
            </w:pPr>
            <w:r>
              <w:rPr>
                <w:rFonts w:ascii="Arial" w:cs="Arial" w:eastAsia="Arial" w:hAnsi="Arial"/>
                <w:sz w:val="16"/>
                <w:szCs w:val="16"/>
                <w:color w:val="auto"/>
              </w:rPr>
              <w:t xml:space="preserve">Common stock  04/11/2018 </w:t>
            </w:r>
            <w:r>
              <w:rPr>
                <w:rFonts w:ascii="Arial" w:cs="Arial" w:eastAsia="Arial" w:hAnsi="Arial"/>
                <w:sz w:val="28"/>
                <w:szCs w:val="28"/>
                <w:color w:val="auto"/>
                <w:vertAlign w:val="subscript"/>
              </w:rPr>
              <w:t>issuer</w:t>
            </w:r>
          </w:p>
        </w:tc>
        <w:tc>
          <w:tcPr>
            <w:tcW w:w="2360" w:type="dxa"/>
            <w:vAlign w:val="bottom"/>
          </w:tcPr>
          <w:p>
            <w:pPr>
              <w:ind w:left="280"/>
              <w:spacing w:after="0" w:line="243" w:lineRule="exact"/>
              <w:rPr>
                <w:sz w:val="20"/>
                <w:szCs w:val="20"/>
                <w:color w:val="auto"/>
              </w:rPr>
            </w:pPr>
            <w:r>
              <w:rPr>
                <w:rFonts w:ascii="Arial" w:cs="Arial" w:eastAsia="Arial" w:hAnsi="Arial"/>
                <w:sz w:val="22"/>
                <w:szCs w:val="22"/>
                <w:color w:val="auto"/>
              </w:rPr>
              <w:t>Airlines</w:t>
            </w:r>
          </w:p>
        </w:tc>
        <w:tc>
          <w:tcPr>
            <w:tcW w:w="194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45332640</w:t>
            </w:r>
          </w:p>
        </w:tc>
        <w:tc>
          <w:tcPr>
            <w:tcW w:w="2400" w:type="dxa"/>
            <w:vAlign w:val="bottom"/>
          </w:tcPr>
          <w:p>
            <w:pPr>
              <w:ind w:left="220"/>
              <w:spacing w:after="0" w:line="243" w:lineRule="exact"/>
              <w:rPr>
                <w:sz w:val="20"/>
                <w:szCs w:val="20"/>
                <w:color w:val="auto"/>
              </w:rPr>
            </w:pPr>
            <w:r>
              <w:rPr>
                <w:rFonts w:ascii="Arial" w:cs="Arial" w:eastAsia="Arial" w:hAnsi="Arial"/>
                <w:sz w:val="16"/>
                <w:szCs w:val="16"/>
                <w:color w:val="auto"/>
              </w:rPr>
              <w:t xml:space="preserve">04/11/2018 </w:t>
            </w:r>
            <w:r>
              <w:rPr>
                <w:rFonts w:ascii="Arial" w:cs="Arial" w:eastAsia="Arial" w:hAnsi="Arial"/>
                <w:sz w:val="28"/>
                <w:szCs w:val="28"/>
                <w:color w:val="auto"/>
                <w:vertAlign w:val="subscript"/>
              </w:rPr>
              <w:t>issuer</w:t>
            </w:r>
          </w:p>
        </w:tc>
        <w:tc>
          <w:tcPr>
            <w:tcW w:w="0" w:type="dxa"/>
            <w:vAlign w:val="bottom"/>
          </w:tcPr>
          <w:p>
            <w:pPr>
              <w:spacing w:after="0"/>
              <w:rPr>
                <w:sz w:val="1"/>
                <w:szCs w:val="1"/>
                <w:color w:val="auto"/>
              </w:rPr>
            </w:pPr>
          </w:p>
        </w:tc>
      </w:tr>
      <w:tr>
        <w:trPr>
          <w:trHeight w:val="274"/>
        </w:trPr>
        <w:tc>
          <w:tcPr>
            <w:tcW w:w="3960" w:type="dxa"/>
            <w:vAlign w:val="bottom"/>
          </w:tcPr>
          <w:p>
            <w:pPr>
              <w:spacing w:after="0"/>
              <w:rPr>
                <w:sz w:val="23"/>
                <w:szCs w:val="23"/>
                <w:color w:val="auto"/>
              </w:rPr>
            </w:pPr>
          </w:p>
        </w:tc>
        <w:tc>
          <w:tcPr>
            <w:tcW w:w="2360" w:type="dxa"/>
            <w:vAlign w:val="bottom"/>
          </w:tcPr>
          <w:p>
            <w:pPr>
              <w:ind w:left="280"/>
              <w:spacing w:after="0"/>
              <w:rPr>
                <w:sz w:val="20"/>
                <w:szCs w:val="20"/>
                <w:color w:val="auto"/>
              </w:rPr>
            </w:pPr>
            <w:r>
              <w:rPr>
                <w:rFonts w:ascii="Arial" w:cs="Arial" w:eastAsia="Arial" w:hAnsi="Arial"/>
                <w:sz w:val="22"/>
                <w:szCs w:val="22"/>
                <w:color w:val="auto"/>
              </w:rPr>
              <w:t>Holdings, Inc.</w:t>
            </w:r>
          </w:p>
        </w:tc>
        <w:tc>
          <w:tcPr>
            <w:tcW w:w="19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-353695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020" w:type="dxa"/>
            <w:vAlign w:val="bottom"/>
          </w:tcPr>
          <w:p>
            <w:pPr>
              <w:spacing w:after="0"/>
              <w:rPr>
                <w:sz w:val="20"/>
                <w:szCs w:val="20"/>
                <w:color w:val="auto"/>
              </w:rPr>
            </w:pPr>
            <w:r>
              <w:rPr>
                <w:rFonts w:ascii="Arial" w:cs="Arial" w:eastAsia="Arial" w:hAnsi="Arial"/>
                <w:sz w:val="22"/>
                <w:szCs w:val="22"/>
                <w:color w:val="auto"/>
              </w:rPr>
              <w:t>Remarks</w:t>
            </w:r>
          </w:p>
        </w:tc>
        <w:tc>
          <w:tcPr>
            <w:tcW w:w="1680" w:type="dxa"/>
            <w:vAlign w:val="bottom"/>
          </w:tcPr>
          <w:p>
            <w:pPr>
              <w:spacing w:after="0"/>
              <w:rPr>
                <w:sz w:val="23"/>
                <w:szCs w:val="23"/>
                <w:color w:val="auto"/>
              </w:rPr>
            </w:pPr>
          </w:p>
        </w:tc>
      </w:tr>
      <w:tr>
        <w:trPr>
          <w:trHeight w:val="297"/>
        </w:trPr>
        <w:tc>
          <w:tcPr>
            <w:tcW w:w="2020" w:type="dxa"/>
            <w:vAlign w:val="bottom"/>
          </w:tcPr>
          <w:p>
            <w:pPr>
              <w:spacing w:after="0"/>
              <w:rPr>
                <w:sz w:val="20"/>
                <w:szCs w:val="20"/>
                <w:color w:val="auto"/>
              </w:rPr>
            </w:pPr>
            <w:r>
              <w:rPr>
                <w:rFonts w:ascii="Arial" w:cs="Arial" w:eastAsia="Arial" w:hAnsi="Arial"/>
                <w:sz w:val="22"/>
                <w:szCs w:val="22"/>
                <w:color w:val="auto"/>
              </w:rPr>
              <w:t>Date of Notice</w:t>
            </w:r>
          </w:p>
        </w:tc>
        <w:tc>
          <w:tcPr>
            <w:tcW w:w="1680" w:type="dxa"/>
            <w:vAlign w:val="bottom"/>
          </w:tcPr>
          <w:p>
            <w:pPr>
              <w:jc w:val="right"/>
              <w:spacing w:after="0"/>
              <w:rPr>
                <w:sz w:val="20"/>
                <w:szCs w:val="20"/>
                <w:color w:val="auto"/>
              </w:rPr>
            </w:pPr>
            <w:r>
              <w:rPr>
                <w:rFonts w:ascii="Arial" w:cs="Arial" w:eastAsia="Arial" w:hAnsi="Arial"/>
                <w:sz w:val="22"/>
                <w:szCs w:val="22"/>
                <w:color w:val="auto"/>
              </w:rPr>
              <w:t>06/13/2023</w:t>
            </w:r>
          </w:p>
        </w:tc>
      </w:tr>
      <w:tr>
        <w:trPr>
          <w:trHeight w:val="297"/>
        </w:trPr>
        <w:tc>
          <w:tcPr>
            <w:tcW w:w="2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7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James Elworth, Vice President and Assistant Secretary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2023-06-13T18:53:40Z</dcterms:created>
  <dcterms:modified xsi:type="dcterms:W3CDTF">2023-06-13T18:53:40Z</dcterms:modified>
</cp:coreProperties>
</file>