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237490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jc w:val="center"/>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04" w:lineRule="exact"/>
        <w:rPr>
          <w:sz w:val="24"/>
          <w:szCs w:val="24"/>
          <w:color w:val="auto"/>
        </w:rPr>
      </w:pPr>
    </w:p>
    <w:p>
      <w:pPr>
        <w:ind w:left="3260" w:right="300" w:hanging="3250"/>
        <w:spacing w:after="0" w:line="340" w:lineRule="auto"/>
        <w:tabs>
          <w:tab w:leader="none" w:pos="77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2021</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3660" w:right="280" w:hanging="3650"/>
        <w:spacing w:after="0" w:line="340" w:lineRule="auto"/>
        <w:tabs>
          <w:tab w:leader="none" w:pos="78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1838960</wp:posOffset>
            </wp:positionH>
            <wp:positionV relativeFrom="paragraph">
              <wp:posOffset>13970</wp:posOffset>
            </wp:positionV>
            <wp:extent cx="2828925"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5420" w:type="dxa"/>
            <w:vAlign w:val="bottom"/>
          </w:tcPr>
          <w:p>
            <w:pPr>
              <w:jc w:val="center"/>
              <w:ind w:right="690"/>
              <w:spacing w:after="0"/>
              <w:rPr>
                <w:sz w:val="20"/>
                <w:szCs w:val="20"/>
                <w:color w:val="auto"/>
              </w:rPr>
            </w:pPr>
            <w:r>
              <w:rPr>
                <w:rFonts w:ascii="Arial" w:cs="Arial" w:eastAsia="Arial" w:hAnsi="Arial"/>
                <w:sz w:val="18"/>
                <w:szCs w:val="18"/>
                <w:color w:val="auto"/>
                <w:w w:val="99"/>
              </w:rPr>
              <w:t>Delaware</w:t>
            </w:r>
          </w:p>
        </w:tc>
        <w:tc>
          <w:tcPr>
            <w:tcW w:w="3560" w:type="dxa"/>
            <w:vAlign w:val="bottom"/>
          </w:tcPr>
          <w:p>
            <w:pPr>
              <w:jc w:val="right"/>
              <w:ind w:right="810"/>
              <w:spacing w:after="0"/>
              <w:rPr>
                <w:sz w:val="20"/>
                <w:szCs w:val="20"/>
                <w:color w:val="auto"/>
              </w:rPr>
            </w:pPr>
            <w:r>
              <w:rPr>
                <w:rFonts w:ascii="Arial" w:cs="Arial" w:eastAsia="Arial" w:hAnsi="Arial"/>
                <w:sz w:val="18"/>
                <w:szCs w:val="18"/>
                <w:color w:val="auto"/>
              </w:rPr>
              <w:t>82-4092570</w:t>
            </w:r>
          </w:p>
        </w:tc>
      </w:tr>
      <w:tr>
        <w:trPr>
          <w:trHeight w:val="217"/>
        </w:trPr>
        <w:tc>
          <w:tcPr>
            <w:tcW w:w="5420" w:type="dxa"/>
            <w:vAlign w:val="bottom"/>
          </w:tcPr>
          <w:p>
            <w:pPr>
              <w:jc w:val="center"/>
              <w:ind w:right="69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560" w:type="dxa"/>
            <w:vAlign w:val="bottom"/>
          </w:tcPr>
          <w:p>
            <w:pPr>
              <w:jc w:val="center"/>
              <w:ind w:left="710"/>
              <w:spacing w:after="0"/>
              <w:rPr>
                <w:sz w:val="20"/>
                <w:szCs w:val="20"/>
                <w:color w:val="auto"/>
              </w:rPr>
            </w:pPr>
            <w:r>
              <w:rPr>
                <w:rFonts w:ascii="Arial" w:cs="Arial" w:eastAsia="Arial" w:hAnsi="Arial"/>
                <w:sz w:val="18"/>
                <w:szCs w:val="18"/>
                <w:color w:val="auto"/>
                <w:w w:val="99"/>
              </w:rPr>
              <w:t>(I.R.S. Employer Identification No.)</w:t>
            </w:r>
          </w:p>
        </w:tc>
      </w:tr>
      <w:tr>
        <w:trPr>
          <w:trHeight w:val="391"/>
        </w:trPr>
        <w:tc>
          <w:tcPr>
            <w:tcW w:w="5420" w:type="dxa"/>
            <w:vAlign w:val="bottom"/>
          </w:tcPr>
          <w:p>
            <w:pPr>
              <w:jc w:val="center"/>
              <w:ind w:right="670"/>
              <w:spacing w:after="0"/>
              <w:rPr>
                <w:sz w:val="20"/>
                <w:szCs w:val="20"/>
                <w:color w:val="auto"/>
              </w:rPr>
            </w:pPr>
            <w:r>
              <w:rPr>
                <w:rFonts w:ascii="Arial" w:cs="Arial" w:eastAsia="Arial" w:hAnsi="Arial"/>
                <w:sz w:val="18"/>
                <w:szCs w:val="18"/>
                <w:color w:val="auto"/>
                <w:w w:val="99"/>
              </w:rPr>
              <w:t>2005 Cargo Road</w:t>
            </w:r>
          </w:p>
        </w:tc>
        <w:tc>
          <w:tcPr>
            <w:tcW w:w="3560" w:type="dxa"/>
            <w:vAlign w:val="bottom"/>
          </w:tcPr>
          <w:p>
            <w:pPr>
              <w:spacing w:after="0"/>
              <w:rPr>
                <w:sz w:val="24"/>
                <w:szCs w:val="24"/>
                <w:color w:val="auto"/>
              </w:rPr>
            </w:pPr>
          </w:p>
        </w:tc>
      </w:tr>
      <w:tr>
        <w:trPr>
          <w:trHeight w:val="203"/>
        </w:trPr>
        <w:tc>
          <w:tcPr>
            <w:tcW w:w="5420" w:type="dxa"/>
            <w:vAlign w:val="bottom"/>
          </w:tcPr>
          <w:p>
            <w:pPr>
              <w:jc w:val="center"/>
              <w:ind w:right="670"/>
              <w:spacing w:after="0" w:line="202" w:lineRule="exact"/>
              <w:rPr>
                <w:sz w:val="20"/>
                <w:szCs w:val="20"/>
                <w:color w:val="auto"/>
              </w:rPr>
            </w:pPr>
            <w:r>
              <w:rPr>
                <w:rFonts w:ascii="Arial" w:cs="Arial" w:eastAsia="Arial" w:hAnsi="Arial"/>
                <w:sz w:val="18"/>
                <w:szCs w:val="18"/>
                <w:color w:val="auto"/>
              </w:rPr>
              <w:t>Minneapolis, Minnesota</w:t>
            </w:r>
          </w:p>
        </w:tc>
        <w:tc>
          <w:tcPr>
            <w:tcW w:w="3560" w:type="dxa"/>
            <w:vAlign w:val="bottom"/>
          </w:tcPr>
          <w:p>
            <w:pPr>
              <w:jc w:val="right"/>
              <w:ind w:right="1050"/>
              <w:spacing w:after="0" w:line="202" w:lineRule="exact"/>
              <w:rPr>
                <w:sz w:val="20"/>
                <w:szCs w:val="20"/>
                <w:color w:val="auto"/>
              </w:rPr>
            </w:pPr>
            <w:r>
              <w:rPr>
                <w:rFonts w:ascii="Arial" w:cs="Arial" w:eastAsia="Arial" w:hAnsi="Arial"/>
                <w:sz w:val="18"/>
                <w:szCs w:val="18"/>
                <w:color w:val="auto"/>
              </w:rPr>
              <w:t>55450</w:t>
            </w:r>
          </w:p>
        </w:tc>
      </w:tr>
      <w:tr>
        <w:trPr>
          <w:trHeight w:val="217"/>
        </w:trPr>
        <w:tc>
          <w:tcPr>
            <w:tcW w:w="5420" w:type="dxa"/>
            <w:vAlign w:val="bottom"/>
          </w:tcPr>
          <w:p>
            <w:pPr>
              <w:jc w:val="center"/>
              <w:ind w:right="690"/>
              <w:spacing w:after="0"/>
              <w:rPr>
                <w:sz w:val="20"/>
                <w:szCs w:val="20"/>
                <w:color w:val="auto"/>
              </w:rPr>
            </w:pPr>
            <w:r>
              <w:rPr>
                <w:rFonts w:ascii="Arial" w:cs="Arial" w:eastAsia="Arial" w:hAnsi="Arial"/>
                <w:sz w:val="18"/>
                <w:szCs w:val="18"/>
                <w:color w:val="auto"/>
                <w:w w:val="99"/>
              </w:rPr>
              <w:t>(Address of principal executive offices)</w:t>
            </w:r>
          </w:p>
        </w:tc>
        <w:tc>
          <w:tcPr>
            <w:tcW w:w="3560" w:type="dxa"/>
            <w:vAlign w:val="bottom"/>
          </w:tcPr>
          <w:p>
            <w:pPr>
              <w:jc w:val="center"/>
              <w:ind w:left="710"/>
              <w:spacing w:after="0"/>
              <w:rPr>
                <w:sz w:val="20"/>
                <w:szCs w:val="20"/>
                <w:color w:val="auto"/>
              </w:rPr>
            </w:pPr>
            <w:r>
              <w:rPr>
                <w:rFonts w:ascii="Arial" w:cs="Arial" w:eastAsia="Arial" w:hAnsi="Arial"/>
                <w:sz w:val="18"/>
                <w:szCs w:val="18"/>
                <w:color w:val="auto"/>
                <w:w w:val="98"/>
              </w:rPr>
              <w:t>(Zip Code)</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(651) 681-3900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Title of each class</w:t>
            </w:r>
          </w:p>
        </w:tc>
        <w:tc>
          <w:tcPr>
            <w:tcW w:w="23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Trading Symbol</w:t>
            </w: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10"/>
        </w:trPr>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3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SNCY</w:t>
            </w:r>
          </w:p>
        </w:tc>
        <w:tc>
          <w:tcPr>
            <w:tcW w:w="340" w:type="dxa"/>
            <w:vAlign w:val="bottom"/>
          </w:tcPr>
          <w:p>
            <w:pPr>
              <w:spacing w:after="0"/>
              <w:rPr>
                <w:sz w:val="18"/>
                <w:szCs w:val="18"/>
                <w:color w:val="auto"/>
              </w:rPr>
            </w:pPr>
          </w:p>
        </w:tc>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66" w:lineRule="exact"/>
        <w:rPr>
          <w:sz w:val="24"/>
          <w:szCs w:val="24"/>
          <w:color w:val="auto"/>
        </w:rPr>
      </w:pPr>
    </w:p>
    <w:p>
      <w:pPr>
        <w:ind w:left="20" w:right="200" w:firstLine="324"/>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left="20" w:right="20" w:firstLine="324"/>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5"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left="20" w:right="260" w:firstLine="324"/>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79" w:right="839" w:bottom="1440" w:gutter="0" w:footer="0" w:header="0"/>
        </w:sectPr>
      </w:pPr>
    </w:p>
    <w:p>
      <w:pPr>
        <w:spacing w:after="0" w:line="122" w:lineRule="exact"/>
        <w:rPr>
          <w:sz w:val="24"/>
          <w:szCs w:val="24"/>
          <w:color w:val="auto"/>
        </w:rPr>
      </w:pPr>
    </w:p>
    <w:p>
      <w:pPr>
        <w:ind w:left="128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right"/>
        <w:spacing w:after="0" w:line="261" w:lineRule="auto"/>
        <w:rPr>
          <w:sz w:val="20"/>
          <w:szCs w:val="20"/>
          <w:color w:val="auto"/>
        </w:rPr>
      </w:pPr>
      <w:r>
        <w:rPr>
          <w:rFonts w:ascii="Arial" w:cs="Arial" w:eastAsia="Arial" w:hAnsi="Arial"/>
          <w:sz w:val="18"/>
          <w:szCs w:val="18"/>
          <w:color w:val="auto"/>
        </w:rPr>
        <w:t>Accelerated filer Smaller reporting company</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both"/>
        <w:ind w:firstLine="480"/>
        <w:spacing w:after="0" w:line="291" w:lineRule="auto"/>
        <w:rPr>
          <w:sz w:val="20"/>
          <w:szCs w:val="20"/>
          <w:color w:val="auto"/>
        </w:rPr>
      </w:pPr>
      <w:r>
        <w:rPr>
          <w:rFonts w:ascii="Arial" w:cs="Arial" w:eastAsia="Arial" w:hAnsi="Arial"/>
          <w:sz w:val="17"/>
          <w:szCs w:val="17"/>
          <w:color w:val="auto"/>
        </w:rPr>
        <w:t>Non-accelerated filer Emerging growth company</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1" w:lineRule="exact"/>
        <w:rPr>
          <w:sz w:val="24"/>
          <w:szCs w:val="24"/>
          <w:color w:val="auto"/>
        </w:rPr>
      </w:pPr>
    </w:p>
    <w:p>
      <w:pPr>
        <w:sectPr>
          <w:pgSz w:w="11900" w:h="16838" w:orient="portrait"/>
          <w:cols w:equalWidth="0" w:num="6">
            <w:col w:w="3060" w:space="200"/>
            <w:col w:w="160" w:space="640"/>
            <w:col w:w="2160" w:space="200"/>
            <w:col w:w="600" w:space="720"/>
            <w:col w:w="2140" w:space="200"/>
            <w:col w:w="160"/>
          </w:cols>
          <w:pgMar w:left="820" w:top="679" w:right="839" w:bottom="1440" w:gutter="0" w:footer="0" w:header="0"/>
          <w:type w:val="continuous"/>
        </w:sectPr>
      </w:pPr>
    </w:p>
    <w:p>
      <w:pPr>
        <w:ind w:left="20" w:right="40" w:firstLine="324"/>
        <w:spacing w:after="0" w:line="21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0"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outstanding by each class of common stock, as of March 31, 2021: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par value – 57,153,467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597535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48895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92075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79"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Page</w:t>
            </w:r>
          </w:p>
        </w:tc>
      </w:tr>
      <w:tr>
        <w:trPr>
          <w:trHeight w:val="372"/>
        </w:trPr>
        <w:tc>
          <w:tcPr>
            <w:tcW w:w="834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60" w:type="dxa"/>
            <w:vAlign w:val="bottom"/>
          </w:tcPr>
          <w:p>
            <w:pPr>
              <w:spacing w:after="0"/>
              <w:rPr>
                <w:sz w:val="24"/>
                <w:szCs w:val="24"/>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4"/>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4"/>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4"/>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4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Stockholders’ Equity</w:t>
              </w:r>
            </w:hyperlink>
          </w:p>
        </w:tc>
        <w:tc>
          <w:tcPr>
            <w:tcW w:w="2960" w:type="dxa"/>
            <w:vAlign w:val="bottom"/>
            <w:gridSpan w:val="4"/>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4"/>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7</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5"/>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3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385"/>
        </w:trPr>
        <w:tc>
          <w:tcPr>
            <w:tcW w:w="540" w:type="dxa"/>
            <w:vAlign w:val="bottom"/>
            <w:gridSpan w:val="2"/>
          </w:tcPr>
          <w:p>
            <w:pPr>
              <w:spacing w:after="0"/>
              <w:rPr>
                <w:sz w:val="24"/>
                <w:szCs w:val="24"/>
                <w:color w:val="auto"/>
              </w:rPr>
            </w:pPr>
          </w:p>
        </w:tc>
        <w:tc>
          <w:tcPr>
            <w:tcW w:w="240" w:type="dxa"/>
            <w:vAlign w:val="bottom"/>
            <w:tcBorders>
              <w:top w:val="single" w:sz="8" w:color="0000EE"/>
            </w:tcBorders>
            <w:gridSpan w:val="2"/>
          </w:tcPr>
          <w:p>
            <w:pPr>
              <w:spacing w:after="0"/>
              <w:rPr>
                <w:sz w:val="24"/>
                <w:szCs w:val="24"/>
                <w:color w:val="auto"/>
              </w:rPr>
            </w:pPr>
          </w:p>
        </w:tc>
        <w:tc>
          <w:tcPr>
            <w:tcW w:w="120" w:type="dxa"/>
            <w:vAlign w:val="bottom"/>
            <w:tcBorders>
              <w:top w:val="single" w:sz="8" w:color="0000EE"/>
              <w:bottom w:val="single" w:sz="8" w:color="0000EE"/>
            </w:tcBorders>
            <w:gridSpan w:val="2"/>
          </w:tcPr>
          <w:p>
            <w:pPr>
              <w:jc w:val="right"/>
              <w:ind w:right="2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7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Company Background</w:t>
              </w:r>
            </w:hyperlink>
          </w:p>
        </w:tc>
        <w:tc>
          <w:tcPr>
            <w:tcW w:w="2360" w:type="dxa"/>
            <w:vAlign w:val="bottom"/>
            <w:tcBorders>
              <w:top w:val="single" w:sz="8" w:color="0000EE"/>
            </w:tcBorders>
            <w:gridSpan w:val="9"/>
          </w:tcPr>
          <w:p>
            <w:pPr>
              <w:spacing w:after="0"/>
              <w:rPr>
                <w:sz w:val="24"/>
                <w:szCs w:val="24"/>
                <w:color w:val="auto"/>
              </w:rPr>
            </w:pPr>
          </w:p>
        </w:tc>
        <w:tc>
          <w:tcPr>
            <w:tcW w:w="306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183"/>
        </w:trPr>
        <w:tc>
          <w:tcPr>
            <w:tcW w:w="780" w:type="dxa"/>
            <w:vAlign w:val="bottom"/>
            <w:gridSpan w:val="4"/>
          </w:tcPr>
          <w:p>
            <w:pPr>
              <w:spacing w:after="0"/>
              <w:rPr>
                <w:sz w:val="15"/>
                <w:szCs w:val="15"/>
                <w:color w:val="auto"/>
              </w:rPr>
            </w:pPr>
          </w:p>
        </w:tc>
        <w:tc>
          <w:tcPr>
            <w:tcW w:w="120" w:type="dxa"/>
            <w:vAlign w:val="bottom"/>
            <w:gridSpan w:val="2"/>
          </w:tcPr>
          <w:p>
            <w:pPr>
              <w:jc w:val="right"/>
              <w:ind w:right="20"/>
              <w:spacing w:after="0" w:line="18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2</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0" w:type="dxa"/>
            <w:vAlign w:val="bottom"/>
            <w:gridSpan w:val="2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Basis of Presentation</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9</w:t>
            </w:r>
          </w:p>
        </w:tc>
      </w:tr>
      <w:tr>
        <w:trPr>
          <w:trHeight w:val="20"/>
        </w:trPr>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80" w:type="dxa"/>
            <w:vAlign w:val="bottom"/>
            <w:gridSpan w:val="4"/>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8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3</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Borders>
              <w:bottom w:val="single" w:sz="8" w:color="0000EE"/>
            </w:tcBorders>
            <w:gridSpan w:val="19"/>
          </w:tcPr>
          <w:p>
            <w:pPr>
              <w:spacing w:after="0" w:line="182" w:lineRule="exact"/>
              <w:rPr>
                <w:rFonts w:ascii="Arial" w:cs="Arial" w:eastAsia="Arial" w:hAnsi="Arial"/>
                <w:sz w:val="18"/>
                <w:szCs w:val="18"/>
                <w:color w:val="0000EE"/>
                <w:w w:val="98"/>
              </w:rPr>
            </w:pPr>
            <w:hyperlink w:anchor="page10">
              <w:r>
                <w:rPr>
                  <w:rFonts w:ascii="Arial" w:cs="Arial" w:eastAsia="Arial" w:hAnsi="Arial"/>
                  <w:sz w:val="18"/>
                  <w:szCs w:val="18"/>
                  <w:color w:val="0000EE"/>
                  <w:w w:val="98"/>
                </w:rPr>
                <w:t>Impact of the COVID-19 Pandemic</w:t>
              </w:r>
            </w:hyperlink>
          </w:p>
        </w:tc>
        <w:tc>
          <w:tcPr>
            <w:tcW w:w="4440" w:type="dxa"/>
            <w:vAlign w:val="bottom"/>
            <w:gridSpan w:val="9"/>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10</w:t>
            </w:r>
          </w:p>
        </w:tc>
      </w:tr>
      <w:tr>
        <w:trPr>
          <w:trHeight w:val="183"/>
        </w:trPr>
        <w:tc>
          <w:tcPr>
            <w:tcW w:w="780" w:type="dxa"/>
            <w:vAlign w:val="bottom"/>
            <w:gridSpan w:val="4"/>
          </w:tcPr>
          <w:p>
            <w:pPr>
              <w:spacing w:after="0"/>
              <w:rPr>
                <w:sz w:val="15"/>
                <w:szCs w:val="15"/>
                <w:color w:val="auto"/>
              </w:rPr>
            </w:pPr>
          </w:p>
        </w:tc>
        <w:tc>
          <w:tcPr>
            <w:tcW w:w="120" w:type="dxa"/>
            <w:vAlign w:val="bottom"/>
            <w:gridSpan w:val="2"/>
          </w:tcPr>
          <w:p>
            <w:pPr>
              <w:jc w:val="right"/>
              <w:ind w:right="20"/>
              <w:spacing w:after="0" w:line="18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4</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0" w:type="dxa"/>
            <w:vAlign w:val="bottom"/>
            <w:gridSpan w:val="28"/>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Revenue</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12</w:t>
            </w:r>
          </w:p>
        </w:tc>
      </w:tr>
      <w:tr>
        <w:trPr>
          <w:trHeight w:val="20"/>
        </w:trPr>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80" w:type="dxa"/>
            <w:vAlign w:val="bottom"/>
            <w:gridSpan w:val="4"/>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8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5</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Earnings per Share</w:t>
              </w:r>
            </w:hyperlink>
          </w:p>
        </w:tc>
        <w:tc>
          <w:tcPr>
            <w:tcW w:w="5660" w:type="dxa"/>
            <w:vAlign w:val="bottom"/>
            <w:gridSpan w:val="1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14</w:t>
            </w:r>
          </w:p>
        </w:tc>
      </w:tr>
      <w:tr>
        <w:trPr>
          <w:trHeight w:val="183"/>
        </w:trPr>
        <w:tc>
          <w:tcPr>
            <w:tcW w:w="780" w:type="dxa"/>
            <w:vAlign w:val="bottom"/>
            <w:gridSpan w:val="4"/>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8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6</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Aircraft</w:t>
              </w:r>
            </w:hyperlink>
          </w:p>
        </w:tc>
        <w:tc>
          <w:tcPr>
            <w:tcW w:w="6600" w:type="dxa"/>
            <w:vAlign w:val="bottom"/>
            <w:gridSpan w:val="26"/>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15</w:t>
            </w:r>
          </w:p>
        </w:tc>
      </w:tr>
      <w:tr>
        <w:trPr>
          <w:trHeight w:val="183"/>
        </w:trPr>
        <w:tc>
          <w:tcPr>
            <w:tcW w:w="780" w:type="dxa"/>
            <w:vAlign w:val="bottom"/>
            <w:gridSpan w:val="4"/>
          </w:tcPr>
          <w:p>
            <w:pPr>
              <w:spacing w:after="0"/>
              <w:rPr>
                <w:sz w:val="15"/>
                <w:szCs w:val="15"/>
                <w:color w:val="auto"/>
              </w:rPr>
            </w:pPr>
          </w:p>
        </w:tc>
        <w:tc>
          <w:tcPr>
            <w:tcW w:w="120" w:type="dxa"/>
            <w:vAlign w:val="bottom"/>
            <w:gridSpan w:val="2"/>
          </w:tcPr>
          <w:p>
            <w:pPr>
              <w:jc w:val="right"/>
              <w:ind w:right="20"/>
              <w:spacing w:after="0" w:line="18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7</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0" w:type="dxa"/>
            <w:vAlign w:val="bottom"/>
            <w:gridSpan w:val="28"/>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Debt</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17</w:t>
            </w:r>
          </w:p>
        </w:tc>
      </w:tr>
      <w:tr>
        <w:trPr>
          <w:trHeight w:val="20"/>
        </w:trPr>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80" w:type="dxa"/>
            <w:vAlign w:val="bottom"/>
            <w:gridSpan w:val="4"/>
          </w:tcPr>
          <w:p>
            <w:pPr>
              <w:spacing w:after="0"/>
              <w:rPr>
                <w:sz w:val="15"/>
                <w:szCs w:val="15"/>
                <w:color w:val="auto"/>
              </w:rPr>
            </w:pPr>
          </w:p>
        </w:tc>
        <w:tc>
          <w:tcPr>
            <w:tcW w:w="120" w:type="dxa"/>
            <w:vAlign w:val="bottom"/>
            <w:gridSpan w:val="2"/>
          </w:tcPr>
          <w:p>
            <w:pPr>
              <w:jc w:val="right"/>
              <w:ind w:right="20"/>
              <w:spacing w:after="0" w:line="18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8</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0" w:type="dxa"/>
            <w:vAlign w:val="bottom"/>
            <w:gridSpan w:val="28"/>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Fuel Derivatives and Risk Management</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19</w:t>
            </w:r>
          </w:p>
        </w:tc>
      </w:tr>
      <w:tr>
        <w:trPr>
          <w:trHeight w:val="183"/>
        </w:trPr>
        <w:tc>
          <w:tcPr>
            <w:tcW w:w="780" w:type="dxa"/>
            <w:vAlign w:val="bottom"/>
            <w:gridSpan w:val="4"/>
          </w:tcPr>
          <w:p>
            <w:pPr>
              <w:spacing w:after="0"/>
              <w:rPr>
                <w:sz w:val="15"/>
                <w:szCs w:val="15"/>
                <w:color w:val="auto"/>
              </w:rPr>
            </w:pPr>
          </w:p>
        </w:tc>
        <w:tc>
          <w:tcPr>
            <w:tcW w:w="120" w:type="dxa"/>
            <w:vAlign w:val="bottom"/>
            <w:tcBorders>
              <w:top w:val="single" w:sz="8" w:color="0000EE"/>
              <w:bottom w:val="single" w:sz="8" w:color="0000EE"/>
            </w:tcBorders>
            <w:gridSpan w:val="2"/>
          </w:tcPr>
          <w:p>
            <w:pPr>
              <w:jc w:val="right"/>
              <w:ind w:right="20"/>
              <w:spacing w:after="0" w:line="18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9</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Fair Value Measurements</w:t>
              </w:r>
            </w:hyperlink>
          </w:p>
        </w:tc>
        <w:tc>
          <w:tcPr>
            <w:tcW w:w="1080" w:type="dxa"/>
            <w:vAlign w:val="bottom"/>
            <w:tcBorders>
              <w:top w:val="single" w:sz="8" w:color="0000EE"/>
            </w:tcBorders>
            <w:gridSpan w:val="4"/>
          </w:tcPr>
          <w:p>
            <w:pPr>
              <w:spacing w:after="0"/>
              <w:rPr>
                <w:sz w:val="15"/>
                <w:szCs w:val="15"/>
                <w:color w:val="auto"/>
              </w:rPr>
            </w:pPr>
          </w:p>
        </w:tc>
        <w:tc>
          <w:tcPr>
            <w:tcW w:w="4080" w:type="dxa"/>
            <w:vAlign w:val="bottom"/>
            <w:gridSpan w:val="8"/>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20</w:t>
            </w:r>
          </w:p>
        </w:tc>
      </w:tr>
      <w:tr>
        <w:trPr>
          <w:trHeight w:val="183"/>
        </w:trPr>
        <w:tc>
          <w:tcPr>
            <w:tcW w:w="680" w:type="dxa"/>
            <w:vAlign w:val="bottom"/>
            <w:gridSpan w:val="3"/>
          </w:tcPr>
          <w:p>
            <w:pPr>
              <w:spacing w:after="0"/>
              <w:rPr>
                <w:sz w:val="15"/>
                <w:szCs w:val="15"/>
                <w:color w:val="auto"/>
              </w:rPr>
            </w:pPr>
          </w:p>
        </w:tc>
        <w:tc>
          <w:tcPr>
            <w:tcW w:w="220" w:type="dxa"/>
            <w:vAlign w:val="bottom"/>
            <w:tcBorders>
              <w:bottom w:val="single" w:sz="8" w:color="0000EE"/>
            </w:tcBorders>
            <w:gridSpan w:val="3"/>
          </w:tcPr>
          <w:p>
            <w:pPr>
              <w:jc w:val="right"/>
              <w:ind w:right="20"/>
              <w:spacing w:after="0" w:line="18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10</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Income Taxes</w:t>
              </w:r>
            </w:hyperlink>
          </w:p>
        </w:tc>
        <w:tc>
          <w:tcPr>
            <w:tcW w:w="6080" w:type="dxa"/>
            <w:vAlign w:val="bottom"/>
            <w:gridSpan w:val="21"/>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21</w:t>
            </w:r>
          </w:p>
        </w:tc>
      </w:tr>
      <w:tr>
        <w:trPr>
          <w:trHeight w:val="183"/>
        </w:trPr>
        <w:tc>
          <w:tcPr>
            <w:tcW w:w="680" w:type="dxa"/>
            <w:vAlign w:val="bottom"/>
            <w:gridSpan w:val="3"/>
          </w:tcPr>
          <w:p>
            <w:pPr>
              <w:spacing w:after="0"/>
              <w:rPr>
                <w:sz w:val="15"/>
                <w:szCs w:val="15"/>
                <w:color w:val="auto"/>
              </w:rPr>
            </w:pPr>
          </w:p>
        </w:tc>
        <w:tc>
          <w:tcPr>
            <w:tcW w:w="220" w:type="dxa"/>
            <w:vAlign w:val="bottom"/>
            <w:tcBorders>
              <w:bottom w:val="single" w:sz="8" w:color="0000EE"/>
            </w:tcBorders>
            <w:gridSpan w:val="3"/>
          </w:tcPr>
          <w:p>
            <w:pPr>
              <w:jc w:val="right"/>
              <w:ind w:right="20"/>
              <w:spacing w:after="0" w:line="18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11</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Special Items, net</w:t>
              </w:r>
            </w:hyperlink>
          </w:p>
        </w:tc>
        <w:tc>
          <w:tcPr>
            <w:tcW w:w="5780" w:type="dxa"/>
            <w:vAlign w:val="bottom"/>
            <w:gridSpan w:val="19"/>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22</w:t>
            </w:r>
          </w:p>
        </w:tc>
      </w:tr>
      <w:tr>
        <w:trPr>
          <w:trHeight w:val="183"/>
        </w:trPr>
        <w:tc>
          <w:tcPr>
            <w:tcW w:w="680" w:type="dxa"/>
            <w:vAlign w:val="bottom"/>
            <w:gridSpan w:val="3"/>
          </w:tcPr>
          <w:p>
            <w:pPr>
              <w:spacing w:after="0"/>
              <w:rPr>
                <w:sz w:val="15"/>
                <w:szCs w:val="15"/>
                <w:color w:val="auto"/>
              </w:rPr>
            </w:pPr>
          </w:p>
        </w:tc>
        <w:tc>
          <w:tcPr>
            <w:tcW w:w="220" w:type="dxa"/>
            <w:vAlign w:val="bottom"/>
            <w:tcBorders>
              <w:bottom w:val="single" w:sz="8" w:color="0000EE"/>
            </w:tcBorders>
            <w:gridSpan w:val="3"/>
          </w:tcPr>
          <w:p>
            <w:pPr>
              <w:jc w:val="right"/>
              <w:ind w:right="20"/>
              <w:spacing w:after="0" w:line="18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12</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Borders>
              <w:bottom w:val="single" w:sz="8" w:color="0000EE"/>
            </w:tcBorders>
            <w:gridSpan w:val="18"/>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Commitments and Contingencies</w:t>
              </w:r>
            </w:hyperlink>
          </w:p>
        </w:tc>
        <w:tc>
          <w:tcPr>
            <w:tcW w:w="4500" w:type="dxa"/>
            <w:vAlign w:val="bottom"/>
            <w:gridSpan w:val="10"/>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22</w:t>
            </w:r>
          </w:p>
        </w:tc>
      </w:tr>
      <w:tr>
        <w:trPr>
          <w:trHeight w:val="183"/>
        </w:trPr>
        <w:tc>
          <w:tcPr>
            <w:tcW w:w="680" w:type="dxa"/>
            <w:vAlign w:val="bottom"/>
            <w:gridSpan w:val="3"/>
          </w:tcPr>
          <w:p>
            <w:pPr>
              <w:spacing w:after="0"/>
              <w:rPr>
                <w:sz w:val="15"/>
                <w:szCs w:val="15"/>
                <w:color w:val="auto"/>
              </w:rPr>
            </w:pPr>
          </w:p>
        </w:tc>
        <w:tc>
          <w:tcPr>
            <w:tcW w:w="220" w:type="dxa"/>
            <w:vAlign w:val="bottom"/>
            <w:tcBorders>
              <w:bottom w:val="single" w:sz="8" w:color="0000EE"/>
            </w:tcBorders>
            <w:gridSpan w:val="3"/>
          </w:tcPr>
          <w:p>
            <w:pPr>
              <w:jc w:val="right"/>
              <w:ind w:right="20"/>
              <w:spacing w:after="0" w:line="18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13</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Operating Segments</w:t>
              </w:r>
            </w:hyperlink>
          </w:p>
        </w:tc>
        <w:tc>
          <w:tcPr>
            <w:tcW w:w="5540" w:type="dxa"/>
            <w:vAlign w:val="bottom"/>
            <w:gridSpan w:val="15"/>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22</w:t>
            </w:r>
          </w:p>
        </w:tc>
      </w:tr>
      <w:tr>
        <w:trPr>
          <w:trHeight w:val="183"/>
        </w:trPr>
        <w:tc>
          <w:tcPr>
            <w:tcW w:w="680" w:type="dxa"/>
            <w:vAlign w:val="bottom"/>
            <w:gridSpan w:val="3"/>
          </w:tcPr>
          <w:p>
            <w:pPr>
              <w:spacing w:after="0"/>
              <w:rPr>
                <w:sz w:val="15"/>
                <w:szCs w:val="15"/>
                <w:color w:val="auto"/>
              </w:rPr>
            </w:pPr>
          </w:p>
        </w:tc>
        <w:tc>
          <w:tcPr>
            <w:tcW w:w="220" w:type="dxa"/>
            <w:vAlign w:val="bottom"/>
            <w:tcBorders>
              <w:bottom w:val="single" w:sz="8" w:color="0000EE"/>
            </w:tcBorders>
            <w:gridSpan w:val="3"/>
          </w:tcPr>
          <w:p>
            <w:pPr>
              <w:jc w:val="right"/>
              <w:ind w:right="20"/>
              <w:spacing w:after="0" w:line="18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14</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w:anchor="page23">
              <w:r>
                <w:rPr>
                  <w:rFonts w:ascii="Arial" w:cs="Arial" w:eastAsia="Arial" w:hAnsi="Arial"/>
                  <w:sz w:val="18"/>
                  <w:szCs w:val="18"/>
                  <w:color w:val="0000EE"/>
                  <w:w w:val="98"/>
                </w:rPr>
                <w:t>Subsequent Events</w:t>
              </w:r>
            </w:hyperlink>
          </w:p>
        </w:tc>
        <w:tc>
          <w:tcPr>
            <w:tcW w:w="5640" w:type="dxa"/>
            <w:vAlign w:val="bottom"/>
            <w:gridSpan w:val="16"/>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23</w:t>
            </w:r>
          </w:p>
        </w:tc>
      </w:tr>
      <w:tr>
        <w:trPr>
          <w:trHeight w:val="385"/>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60" w:type="dxa"/>
            <w:vAlign w:val="bottom"/>
            <w:tcBorders>
              <w:bottom w:val="single" w:sz="8" w:color="0000EE"/>
            </w:tcBorders>
            <w:gridSpan w:val="33"/>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Item 2. Management’s Discussion and Analysis of Financial Condition and Results of Operations</w:t>
              </w:r>
            </w:hyperlink>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24</w:t>
            </w: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4"/>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Item 3. Quantitative and Qualitative Disclosures About Market Risk</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44</w:t>
            </w: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8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Item 4. Controls and Procedures</w:t>
              </w:r>
            </w:hyperlink>
          </w:p>
        </w:tc>
        <w:tc>
          <w:tcPr>
            <w:tcW w:w="2520" w:type="dxa"/>
            <w:vAlign w:val="bottom"/>
            <w:gridSpan w:val="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44</w:t>
            </w:r>
          </w:p>
        </w:tc>
      </w:tr>
      <w:tr>
        <w:trPr>
          <w:trHeight w:val="20"/>
        </w:trPr>
        <w:tc>
          <w:tcPr>
            <w:tcW w:w="540" w:type="dxa"/>
            <w:vAlign w:val="bottom"/>
            <w:tcBorders>
              <w:right w:val="single" w:sz="8" w:color="0000EE"/>
            </w:tcBorders>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8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5"/>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5"/>
        </w:trPr>
        <w:tc>
          <w:tcPr>
            <w:tcW w:w="198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Part II. Other Information</w:t>
              </w:r>
            </w:hyperlink>
          </w:p>
        </w:tc>
        <w:tc>
          <w:tcPr>
            <w:tcW w:w="6360" w:type="dxa"/>
            <w:vAlign w:val="bottom"/>
            <w:gridSpan w:val="24"/>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4"/>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Item 1. Legal Proceedings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44</w:t>
            </w: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Item 1A. Risk Factors</w:t>
              </w:r>
            </w:hyperlink>
          </w:p>
        </w:tc>
        <w:tc>
          <w:tcPr>
            <w:tcW w:w="360" w:type="dxa"/>
            <w:vAlign w:val="bottom"/>
            <w:tcBorders>
              <w:top w:val="single" w:sz="8" w:color="0000EE"/>
            </w:tcBorders>
            <w:gridSpan w:val="4"/>
          </w:tcPr>
          <w:p>
            <w:pPr>
              <w:spacing w:after="0"/>
              <w:rPr>
                <w:sz w:val="15"/>
                <w:szCs w:val="15"/>
                <w:color w:val="auto"/>
              </w:rPr>
            </w:pPr>
          </w:p>
        </w:tc>
        <w:tc>
          <w:tcPr>
            <w:tcW w:w="5740" w:type="dxa"/>
            <w:vAlign w:val="bottom"/>
            <w:gridSpan w:val="18"/>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45</w:t>
            </w: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4"/>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Item 2. Unregistered Sales of Equity Securities and Use of Proceeds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45</w:t>
            </w: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2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Item 3. Defaults Upon Senior Securities</w:t>
              </w:r>
            </w:hyperlink>
          </w:p>
        </w:tc>
        <w:tc>
          <w:tcPr>
            <w:tcW w:w="2380" w:type="dxa"/>
            <w:vAlign w:val="bottom"/>
            <w:gridSpan w:val="2"/>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45</w:t>
            </w: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Item 4. Mine Safety Disclosures</w:t>
              </w:r>
            </w:hyperlink>
          </w:p>
        </w:tc>
        <w:tc>
          <w:tcPr>
            <w:tcW w:w="4680" w:type="dxa"/>
            <w:vAlign w:val="bottom"/>
            <w:gridSpan w:val="11"/>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46</w:t>
            </w: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Item 5. Other Information</w:t>
              </w:r>
            </w:hyperlink>
          </w:p>
        </w:tc>
        <w:tc>
          <w:tcPr>
            <w:tcW w:w="580" w:type="dxa"/>
            <w:vAlign w:val="bottom"/>
            <w:tcBorders>
              <w:top w:val="single" w:sz="8" w:color="0000EE"/>
            </w:tcBorders>
            <w:gridSpan w:val="7"/>
          </w:tcPr>
          <w:p>
            <w:pPr>
              <w:spacing w:after="0"/>
              <w:rPr>
                <w:sz w:val="15"/>
                <w:szCs w:val="15"/>
                <w:color w:val="auto"/>
              </w:rPr>
            </w:pPr>
          </w:p>
        </w:tc>
        <w:tc>
          <w:tcPr>
            <w:tcW w:w="5240" w:type="dxa"/>
            <w:vAlign w:val="bottom"/>
            <w:gridSpan w:val="1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46</w:t>
            </w:r>
          </w:p>
        </w:tc>
      </w:tr>
      <w:tr>
        <w:trPr>
          <w:trHeight w:val="18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4"/>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Item 6. Exhibits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46</w:t>
            </w:r>
          </w:p>
        </w:tc>
      </w:tr>
      <w:tr>
        <w:trPr>
          <w:trHeight w:val="20"/>
        </w:trPr>
        <w:tc>
          <w:tcPr>
            <w:tcW w:w="540" w:type="dxa"/>
            <w:vAlign w:val="bottom"/>
            <w:tcBorders>
              <w:right w:val="single" w:sz="8" w:color="0000EE"/>
            </w:tcBorders>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5"/>
        </w:trPr>
        <w:tc>
          <w:tcPr>
            <w:tcW w:w="8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Signatures</w:t>
              </w:r>
            </w:hyperlink>
          </w:p>
        </w:tc>
        <w:tc>
          <w:tcPr>
            <w:tcW w:w="2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420"/>
        <w:spacing w:after="0"/>
        <w:tabs>
          <w:tab w:leader="none" w:pos="7620" w:val="left"/>
        </w:tabs>
        <w:rPr>
          <w:sz w:val="20"/>
          <w:szCs w:val="20"/>
          <w:color w:val="auto"/>
        </w:rPr>
      </w:pPr>
      <w:r>
        <w:rPr>
          <w:rFonts w:ascii="Arial" w:cs="Arial" w:eastAsia="Arial" w:hAnsi="Arial"/>
          <w:sz w:val="14"/>
          <w:szCs w:val="14"/>
          <w:b w:val="1"/>
          <w:bCs w:val="1"/>
          <w:color w:val="auto"/>
        </w:rPr>
        <w:t>March 31, 2021</w:t>
        <w:tab/>
        <w:t>December 31, 2020</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Current Assets: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Cash and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269,599</w:t>
            </w:r>
          </w:p>
        </w:tc>
        <w:tc>
          <w:tcPr>
            <w:tcW w:w="1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62,028</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8,335</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5,777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5,624</w:t>
            </w:r>
          </w:p>
        </w:tc>
      </w:tr>
      <w:tr>
        <w:trPr>
          <w:trHeight w:val="202"/>
        </w:trPr>
        <w:tc>
          <w:tcPr>
            <w:tcW w:w="6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Accounts Receivable, net of an allowance for credit losses of $293 and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$224, respectively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25,897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28,690</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Short-term Lessor Maintenance Deposits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1,723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3,101</w:t>
            </w:r>
          </w:p>
        </w:tc>
      </w:tr>
      <w:tr>
        <w:trPr>
          <w:trHeight w:val="202"/>
        </w:trPr>
        <w:tc>
          <w:tcPr>
            <w:tcW w:w="6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Inventory, net of a reserve for obsolescence of $1,089 and $996,</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5,457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5,407</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11,678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8,002</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Derivative Assets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804</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5,553</w:t>
            </w:r>
          </w:p>
        </w:tc>
      </w:tr>
      <w:tr>
        <w:trPr>
          <w:trHeight w:val="196"/>
        </w:trPr>
        <w:tc>
          <w:tcPr>
            <w:tcW w:w="63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328,159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126,740</w:t>
            </w: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Property &amp; Equipment, net: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Aircraft and Flight Equipment</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384,950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331,685</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Leasehold Improvements and Ground Equipment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13,856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13,526</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Computer Hardware and Software</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7,949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7,845</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Finance Lease Assets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117,833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117,833</w:t>
            </w:r>
          </w:p>
        </w:tc>
      </w:tr>
      <w:tr>
        <w:trPr>
          <w:trHeight w:val="203"/>
        </w:trPr>
        <w:tc>
          <w:tcPr>
            <w:tcW w:w="63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Rotable Parts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8,808</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8,691</w:t>
            </w:r>
          </w:p>
        </w:tc>
      </w:tr>
      <w:tr>
        <w:trPr>
          <w:trHeight w:val="196"/>
        </w:trPr>
        <w:tc>
          <w:tcPr>
            <w:tcW w:w="63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&amp; Equipment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533,396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479,580</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Accumulated Depreciation &amp; Amortization</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(76,467)</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(65,065)</w:t>
            </w:r>
          </w:p>
        </w:tc>
      </w:tr>
      <w:tr>
        <w:trPr>
          <w:trHeight w:val="196"/>
        </w:trPr>
        <w:tc>
          <w:tcPr>
            <w:tcW w:w="632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Property &amp; Equipment, net</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456,929</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414,515</w:t>
            </w: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Other Assets: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222,223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222,223</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92,110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93,110</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80,587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121,269</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Aircraft Lease Deposits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10,253</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Long-term Lessor Maintenance Deposits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18,855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22,584</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30,810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36,216</w:t>
            </w:r>
          </w:p>
        </w:tc>
      </w:tr>
      <w:tr>
        <w:trPr>
          <w:trHeight w:val="202"/>
        </w:trPr>
        <w:tc>
          <w:tcPr>
            <w:tcW w:w="63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6,502</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6,357</w:t>
            </w:r>
          </w:p>
        </w:tc>
      </w:tr>
      <w:tr>
        <w:trPr>
          <w:trHeight w:val="196"/>
        </w:trPr>
        <w:tc>
          <w:tcPr>
            <w:tcW w:w="63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459,114</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512,012</w:t>
            </w:r>
          </w:p>
        </w:tc>
      </w:tr>
      <w:tr>
        <w:trPr>
          <w:trHeight w:val="196"/>
        </w:trPr>
        <w:tc>
          <w:tcPr>
            <w:tcW w:w="632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1,244,202</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1,053,267</w:t>
            </w: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420"/>
        <w:spacing w:after="0"/>
        <w:tabs>
          <w:tab w:leader="none" w:pos="7620" w:val="left"/>
        </w:tabs>
        <w:rPr>
          <w:sz w:val="20"/>
          <w:szCs w:val="20"/>
          <w:color w:val="auto"/>
        </w:rPr>
      </w:pPr>
      <w:r>
        <w:rPr>
          <w:rFonts w:ascii="Arial" w:cs="Arial" w:eastAsia="Arial" w:hAnsi="Arial"/>
          <w:sz w:val="14"/>
          <w:szCs w:val="14"/>
          <w:b w:val="1"/>
          <w:bCs w:val="1"/>
          <w:color w:val="auto"/>
        </w:rPr>
        <w:t>March 31, 2021</w:t>
        <w:tab/>
        <w:t>December 31, 2020</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34,171</w:t>
            </w:r>
          </w:p>
        </w:tc>
        <w:tc>
          <w:tcPr>
            <w:tcW w:w="1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34,035</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Salaries, Wages, and Benefits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16,870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16,368</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Accrued Transportation Taxes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10,402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5,883</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Air Traffic Liabilities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94,733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101,075</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Over-market Liabilities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9,281</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Finance Lease Obligations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9,995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11,460</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Loyalty Program Liabilities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7,016</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 Obligations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20,672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34,492</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29,232</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26,118</w:t>
            </w:r>
          </w:p>
        </w:tc>
      </w:tr>
      <w:tr>
        <w:trPr>
          <w:trHeight w:val="203"/>
        </w:trPr>
        <w:tc>
          <w:tcPr>
            <w:tcW w:w="63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8,963</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6,841</w:t>
            </w:r>
          </w:p>
        </w:tc>
      </w:tr>
      <w:tr>
        <w:trPr>
          <w:trHeight w:val="196"/>
        </w:trPr>
        <w:tc>
          <w:tcPr>
            <w:tcW w:w="63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237,640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253,743</w:t>
            </w: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Long-term Liabilities: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Over-market Liabilities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16,113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28,128</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93,293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95,710</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Loyalty Program Liabilities</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13,659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15,053</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77,840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112,707</w:t>
            </w: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274,109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256,345</w:t>
            </w: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Tax Receivable Agreement Liability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115,200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6,388</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7,764</w:t>
            </w:r>
          </w:p>
        </w:tc>
      </w:tr>
      <w:tr>
        <w:trPr>
          <w:trHeight w:val="196"/>
        </w:trPr>
        <w:tc>
          <w:tcPr>
            <w:tcW w:w="63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596,602</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515,707</w:t>
            </w:r>
          </w:p>
        </w:tc>
      </w:tr>
      <w:tr>
        <w:trPr>
          <w:trHeight w:val="196"/>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834,242</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769,450</w:t>
            </w: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r>
      <w:tr>
        <w:trPr>
          <w:trHeight w:val="202"/>
        </w:trPr>
        <w:tc>
          <w:tcPr>
            <w:tcW w:w="6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with $0.01 par value, 995,000,000 shares authorized,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57,153,467 and 46,839,659 issued at March 31, 2021 and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December 31, 2020, respectively.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Loans to Stockholders</w:t>
            </w:r>
          </w:p>
        </w:tc>
        <w:tc>
          <w:tcPr>
            <w:tcW w:w="1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473,848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248,525</w:t>
            </w: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Retained Earnings / (Deficit)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(64,460)</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38,324</w:t>
            </w:r>
          </w:p>
        </w:tc>
      </w:tr>
      <w:tr>
        <w:trPr>
          <w:trHeight w:val="196"/>
        </w:trPr>
        <w:tc>
          <w:tcPr>
            <w:tcW w:w="63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409,960</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283,817</w:t>
            </w:r>
          </w:p>
        </w:tc>
      </w:tr>
      <w:tr>
        <w:trPr>
          <w:trHeight w:val="196"/>
        </w:trPr>
        <w:tc>
          <w:tcPr>
            <w:tcW w:w="632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1,244,202</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1,053,267</w:t>
            </w: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579"/>
        <w:spacing w:after="0" w:line="253" w:lineRule="auto"/>
        <w:rPr>
          <w:sz w:val="20"/>
          <w:szCs w:val="20"/>
          <w:color w:val="auto"/>
        </w:rPr>
      </w:pPr>
      <w:r>
        <w:rPr>
          <w:rFonts w:ascii="Arial" w:cs="Arial" w:eastAsia="Arial" w:hAnsi="Arial"/>
          <w:sz w:val="18"/>
          <w:szCs w:val="18"/>
          <w:b w:val="1"/>
          <w:bCs w:val="1"/>
          <w:color w:val="auto"/>
        </w:rPr>
        <w:t>CONDENSED CONSOLIDATED STATEMENTS OF OPERATIONS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Revenues: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line="202" w:lineRule="exact"/>
              <w:rPr>
                <w:sz w:val="20"/>
                <w:szCs w:val="20"/>
                <w:color w:val="auto"/>
              </w:rPr>
            </w:pPr>
            <w:r>
              <w:rPr>
                <w:rFonts w:ascii="Arial" w:cs="Arial" w:eastAsia="Arial" w:hAnsi="Arial"/>
                <w:sz w:val="18"/>
                <w:szCs w:val="18"/>
                <w:color w:val="auto"/>
              </w:rPr>
              <w:t>Passenger</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104,195</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178,486</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Cargo</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Revenue</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127,611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180,330</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line="202" w:lineRule="exact"/>
              <w:rPr>
                <w:sz w:val="20"/>
                <w:szCs w:val="20"/>
                <w:color w:val="auto"/>
              </w:rPr>
            </w:pPr>
            <w:r>
              <w:rPr>
                <w:rFonts w:ascii="Arial" w:cs="Arial" w:eastAsia="Arial" w:hAnsi="Arial"/>
                <w:sz w:val="18"/>
                <w:szCs w:val="18"/>
                <w:color w:val="auto"/>
              </w:rPr>
              <w:t>Aircraft Fuel</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24,274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55,561</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Salaries, Wages, and Benefits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38,091</w:t>
            </w: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line="202" w:lineRule="exact"/>
              <w:rPr>
                <w:sz w:val="20"/>
                <w:szCs w:val="20"/>
                <w:color w:val="auto"/>
              </w:rPr>
            </w:pPr>
            <w:r>
              <w:rPr>
                <w:rFonts w:ascii="Arial" w:cs="Arial" w:eastAsia="Arial" w:hAnsi="Arial"/>
                <w:sz w:val="18"/>
                <w:szCs w:val="18"/>
                <w:color w:val="auto"/>
              </w:rPr>
              <w:t>Aircraft Rent</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5,599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11,032</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Maintenance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02"/>
        </w:trPr>
        <w:tc>
          <w:tcPr>
            <w:tcW w:w="6500" w:type="dxa"/>
            <w:vAlign w:val="bottom"/>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10,527</w:t>
            </w: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line="202" w:lineRule="exact"/>
              <w:rPr>
                <w:sz w:val="20"/>
                <w:szCs w:val="20"/>
                <w:color w:val="auto"/>
              </w:rPr>
            </w:pPr>
            <w:r>
              <w:rPr>
                <w:rFonts w:ascii="Arial" w:cs="Arial" w:eastAsia="Arial" w:hAnsi="Arial"/>
                <w:sz w:val="18"/>
                <w:szCs w:val="18"/>
                <w:color w:val="auto"/>
              </w:rPr>
              <w:t>Ground Handling</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5,230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Landing Fees and Airport Rent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11,114</w:t>
            </w: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line="202" w:lineRule="exact"/>
              <w:rPr>
                <w:sz w:val="20"/>
                <w:szCs w:val="20"/>
                <w:color w:val="auto"/>
              </w:rPr>
            </w:pPr>
            <w:r>
              <w:rPr>
                <w:rFonts w:ascii="Arial" w:cs="Arial" w:eastAsia="Arial" w:hAnsi="Arial"/>
                <w:sz w:val="18"/>
                <w:szCs w:val="18"/>
                <w:color w:val="auto"/>
              </w:rPr>
              <w:t>Special Items, net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(26,871)</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Operating, net</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14,651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14,433</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102,678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165,100</w:t>
            </w: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24,933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15,230</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Non-operating Income (Expense):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(7,121)</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line="202" w:lineRule="exact"/>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(7,111)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before Income Tax</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17,822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9,696</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12,416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per share to common stockholders: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5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83"/>
        </w:trPr>
        <w:tc>
          <w:tcPr>
            <w:tcW w:w="6500" w:type="dxa"/>
            <w:vAlign w:val="bottom"/>
            <w:tcBorders>
              <w:bottom w:val="single" w:sz="8" w:color="CCEEFF"/>
            </w:tcBorders>
            <w:shd w:val="clear" w:color="auto" w:fill="CCEEFF"/>
          </w:tcPr>
          <w:p>
            <w:pPr>
              <w:ind w:left="120"/>
              <w:spacing w:after="0" w:line="183"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0.24</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20"/>
              <w:spacing w:after="0"/>
              <w:rPr>
                <w:sz w:val="20"/>
                <w:szCs w:val="20"/>
                <w:color w:val="auto"/>
              </w:rPr>
            </w:pPr>
            <w:r>
              <w:rPr>
                <w:rFonts w:ascii="Arial" w:cs="Arial" w:eastAsia="Arial" w:hAnsi="Arial"/>
                <w:sz w:val="18"/>
                <w:szCs w:val="18"/>
                <w:color w:val="auto"/>
              </w:rPr>
              <w:t>Shares used for computation:</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48,496,077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46,805,951</w:t>
            </w:r>
          </w:p>
        </w:tc>
        <w:tc>
          <w:tcPr>
            <w:tcW w:w="0" w:type="dxa"/>
            <w:vAlign w:val="bottom"/>
          </w:tcPr>
          <w:p>
            <w:pPr>
              <w:spacing w:after="0"/>
              <w:rPr>
                <w:sz w:val="1"/>
                <w:szCs w:val="1"/>
                <w:color w:val="auto"/>
              </w:rPr>
            </w:pPr>
          </w:p>
        </w:tc>
      </w:tr>
      <w:tr>
        <w:trPr>
          <w:trHeight w:val="217"/>
        </w:trPr>
        <w:tc>
          <w:tcPr>
            <w:tcW w:w="65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52,508,186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48,225,603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 March 31, 2020</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5"/>
          </w:tcPr>
          <w:p>
            <w:pPr>
              <w:ind w:left="260"/>
              <w:spacing w:after="0" w:line="155" w:lineRule="exact"/>
              <w:rPr>
                <w:sz w:val="20"/>
                <w:szCs w:val="20"/>
                <w:color w:val="auto"/>
              </w:rPr>
            </w:pPr>
            <w:r>
              <w:rPr>
                <w:rFonts w:ascii="Arial" w:cs="Arial" w:eastAsia="Arial" w:hAnsi="Arial"/>
                <w:sz w:val="14"/>
                <w:szCs w:val="14"/>
                <w:b w:val="1"/>
                <w:bCs w:val="1"/>
                <w:color w:val="auto"/>
              </w:rPr>
              <w:t>Common Stock</w:t>
            </w: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Loans to</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Additional</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Retained</w:t>
            </w: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r>
      <w:tr>
        <w:trPr>
          <w:trHeight w:val="156"/>
        </w:trPr>
        <w:tc>
          <w:tcPr>
            <w:tcW w:w="2140" w:type="dxa"/>
            <w:vAlign w:val="bottom"/>
          </w:tcPr>
          <w:p>
            <w:pPr>
              <w:spacing w:after="0"/>
              <w:rPr>
                <w:sz w:val="13"/>
                <w:szCs w:val="13"/>
                <w:color w:val="auto"/>
              </w:rPr>
            </w:pPr>
          </w:p>
        </w:tc>
        <w:tc>
          <w:tcPr>
            <w:tcW w:w="8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3"/>
                <w:szCs w:val="13"/>
                <w:color w:val="auto"/>
              </w:rPr>
            </w:pPr>
          </w:p>
        </w:tc>
        <w:tc>
          <w:tcPr>
            <w:tcW w:w="8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9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Stockholders</w:t>
            </w:r>
          </w:p>
        </w:tc>
        <w:tc>
          <w:tcPr>
            <w:tcW w:w="160" w:type="dxa"/>
            <w:vAlign w:val="bottom"/>
          </w:tcPr>
          <w:p>
            <w:pPr>
              <w:spacing w:after="0"/>
              <w:rPr>
                <w:sz w:val="13"/>
                <w:szCs w:val="13"/>
                <w:color w:val="auto"/>
              </w:rPr>
            </w:pPr>
          </w:p>
        </w:tc>
        <w:tc>
          <w:tcPr>
            <w:tcW w:w="1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Paid-In Capital</w:t>
            </w:r>
          </w:p>
        </w:tc>
        <w:tc>
          <w:tcPr>
            <w:tcW w:w="100" w:type="dxa"/>
            <w:vAlign w:val="bottom"/>
          </w:tcPr>
          <w:p>
            <w:pPr>
              <w:spacing w:after="0"/>
              <w:rPr>
                <w:sz w:val="13"/>
                <w:szCs w:val="13"/>
                <w:color w:val="auto"/>
              </w:rPr>
            </w:pPr>
          </w:p>
        </w:tc>
        <w:tc>
          <w:tcPr>
            <w:tcW w:w="9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60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21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December 31, 2019</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40,005,885</w:t>
            </w:r>
          </w:p>
        </w:tc>
        <w:tc>
          <w:tcPr>
            <w:tcW w:w="1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6,800,065</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(3,500)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244,928</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42,228</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283,724</w:t>
            </w:r>
          </w:p>
        </w:tc>
      </w:tr>
      <w:tr>
        <w:trPr>
          <w:trHeight w:val="156"/>
        </w:trPr>
        <w:tc>
          <w:tcPr>
            <w:tcW w:w="2140" w:type="dxa"/>
            <w:vAlign w:val="bottom"/>
          </w:tcPr>
          <w:p>
            <w:pPr>
              <w:ind w:left="20"/>
              <w:spacing w:after="0" w:line="155" w:lineRule="exact"/>
              <w:rPr>
                <w:sz w:val="20"/>
                <w:szCs w:val="20"/>
                <w:color w:val="auto"/>
              </w:rPr>
            </w:pPr>
            <w:r>
              <w:rPr>
                <w:rFonts w:ascii="Arial" w:cs="Arial" w:eastAsia="Arial" w:hAnsi="Arial"/>
                <w:sz w:val="14"/>
                <w:szCs w:val="14"/>
                <w:color w:val="auto"/>
              </w:rPr>
              <w:t>Exercise of Apollo Warrants</w:t>
            </w:r>
          </w:p>
        </w:tc>
        <w:tc>
          <w:tcPr>
            <w:tcW w:w="10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(40,005,885)</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40,005,885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(379)</w:t>
            </w:r>
          </w:p>
        </w:tc>
        <w:tc>
          <w:tcPr>
            <w:tcW w:w="100" w:type="dxa"/>
            <w:vAlign w:val="bottom"/>
          </w:tcPr>
          <w:p>
            <w:pPr>
              <w:spacing w:after="0"/>
              <w:rPr>
                <w:sz w:val="13"/>
                <w:szCs w:val="13"/>
                <w:color w:val="auto"/>
              </w:rPr>
            </w:pP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21</w:t>
            </w: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7,251</w:t>
            </w:r>
          </w:p>
        </w:tc>
      </w:tr>
      <w:tr>
        <w:trPr>
          <w:trHeight w:val="162"/>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r>
      <w:tr>
        <w:trPr>
          <w:trHeight w:val="155"/>
        </w:trPr>
        <w:tc>
          <w:tcPr>
            <w:tcW w:w="21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March 31, 2020</w:t>
            </w:r>
          </w:p>
        </w:tc>
        <w:tc>
          <w:tcPr>
            <w:tcW w:w="102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46,805,950</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244,918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49,479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291,365</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 March 31, 2021</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4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5"/>
          </w:tcPr>
          <w:p>
            <w:pPr>
              <w:jc w:val="right"/>
              <w:ind w:right="400"/>
              <w:spacing w:after="0" w:line="155" w:lineRule="exact"/>
              <w:rPr>
                <w:sz w:val="20"/>
                <w:szCs w:val="20"/>
                <w:color w:val="auto"/>
              </w:rPr>
            </w:pPr>
            <w:r>
              <w:rPr>
                <w:rFonts w:ascii="Arial" w:cs="Arial" w:eastAsia="Arial" w:hAnsi="Arial"/>
                <w:sz w:val="14"/>
                <w:szCs w:val="14"/>
                <w:b w:val="1"/>
                <w:bCs w:val="1"/>
                <w:color w:val="auto"/>
              </w:rPr>
              <w:t>Common Stock</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Loans to</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Additional</w:t>
            </w:r>
          </w:p>
        </w:tc>
        <w:tc>
          <w:tcPr>
            <w:tcW w:w="920" w:type="dxa"/>
            <w:vAlign w:val="bottom"/>
            <w:tcBorders>
              <w:top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rPr>
              <w:t>Retained</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3"/>
                <w:szCs w:val="13"/>
                <w:color w:val="auto"/>
              </w:rPr>
            </w:pPr>
          </w:p>
        </w:tc>
        <w:tc>
          <w:tcPr>
            <w:tcW w:w="82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3"/>
                <w:szCs w:val="13"/>
                <w:color w:val="auto"/>
              </w:rPr>
            </w:pPr>
          </w:p>
        </w:tc>
        <w:tc>
          <w:tcPr>
            <w:tcW w:w="10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Stockholders</w:t>
            </w:r>
          </w:p>
        </w:tc>
        <w:tc>
          <w:tcPr>
            <w:tcW w:w="11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Paid-In Capital</w:t>
            </w:r>
          </w:p>
        </w:tc>
        <w:tc>
          <w:tcPr>
            <w:tcW w:w="92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66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4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December 31, 2020</w:t>
            </w: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40" w:type="dxa"/>
            <w:vAlign w:val="bottom"/>
            <w:vMerge w:val="continue"/>
            <w:shd w:val="clear" w:color="auto" w:fill="CCEEFF"/>
          </w:tcPr>
          <w:p>
            <w:pPr>
              <w:spacing w:after="0"/>
              <w:rPr>
                <w:sz w:val="13"/>
                <w:szCs w:val="13"/>
                <w:color w:val="auto"/>
              </w:rPr>
            </w:pPr>
          </w:p>
        </w:tc>
        <w:tc>
          <w:tcPr>
            <w:tcW w:w="64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46,839,659</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248,525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38,324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283,817</w:t>
            </w:r>
          </w:p>
        </w:tc>
        <w:tc>
          <w:tcPr>
            <w:tcW w:w="0" w:type="dxa"/>
            <w:vAlign w:val="bottom"/>
          </w:tcPr>
          <w:p>
            <w:pPr>
              <w:spacing w:after="0"/>
              <w:rPr>
                <w:sz w:val="1"/>
                <w:szCs w:val="1"/>
                <w:color w:val="auto"/>
              </w:rPr>
            </w:pPr>
          </w:p>
        </w:tc>
      </w:tr>
      <w:tr>
        <w:trPr>
          <w:trHeight w:val="147"/>
        </w:trPr>
        <w:tc>
          <w:tcPr>
            <w:tcW w:w="2440" w:type="dxa"/>
            <w:vAlign w:val="bottom"/>
          </w:tcPr>
          <w:p>
            <w:pPr>
              <w:ind w:left="20"/>
              <w:spacing w:after="0" w:line="147" w:lineRule="exact"/>
              <w:rPr>
                <w:sz w:val="20"/>
                <w:szCs w:val="20"/>
                <w:color w:val="auto"/>
              </w:rPr>
            </w:pPr>
            <w:r>
              <w:rPr>
                <w:rFonts w:ascii="Arial" w:cs="Arial" w:eastAsia="Arial" w:hAnsi="Arial"/>
                <w:sz w:val="14"/>
                <w:szCs w:val="14"/>
                <w:color w:val="auto"/>
              </w:rPr>
              <w:t>Shares Surrendered by</w:t>
            </w: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40" w:type="dxa"/>
            <w:vAlign w:val="bottom"/>
          </w:tcPr>
          <w:p>
            <w:pPr>
              <w:ind w:left="20"/>
              <w:spacing w:after="0" w:line="157" w:lineRule="exact"/>
              <w:rPr>
                <w:sz w:val="20"/>
                <w:szCs w:val="20"/>
                <w:color w:val="auto"/>
              </w:rPr>
            </w:pPr>
            <w:r>
              <w:rPr>
                <w:rFonts w:ascii="Arial" w:cs="Arial" w:eastAsia="Arial" w:hAnsi="Arial"/>
                <w:sz w:val="14"/>
                <w:szCs w:val="14"/>
                <w:color w:val="auto"/>
              </w:rPr>
              <w:t>Stockholders</w:t>
            </w:r>
          </w:p>
        </w:tc>
        <w:tc>
          <w:tcPr>
            <w:tcW w:w="80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(140,737)</w:t>
            </w:r>
          </w:p>
        </w:tc>
        <w:tc>
          <w:tcPr>
            <w:tcW w:w="180" w:type="dxa"/>
            <w:vAlign w:val="bottom"/>
          </w:tcPr>
          <w:p>
            <w:pPr>
              <w:spacing w:after="0"/>
              <w:rPr>
                <w:sz w:val="13"/>
                <w:szCs w:val="13"/>
                <w:color w:val="auto"/>
              </w:rPr>
            </w:pPr>
          </w:p>
        </w:tc>
        <w:tc>
          <w:tcPr>
            <w:tcW w:w="5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3,500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(3,499)</w:t>
            </w:r>
          </w:p>
        </w:tc>
        <w:tc>
          <w:tcPr>
            <w:tcW w:w="12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Initial Public Offering</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10,454,545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224,552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224,657</w:t>
            </w:r>
          </w:p>
        </w:tc>
        <w:tc>
          <w:tcPr>
            <w:tcW w:w="0" w:type="dxa"/>
            <w:vAlign w:val="bottom"/>
          </w:tcPr>
          <w:p>
            <w:pPr>
              <w:spacing w:after="0"/>
              <w:rPr>
                <w:sz w:val="1"/>
                <w:szCs w:val="1"/>
                <w:color w:val="auto"/>
              </w:rPr>
            </w:pPr>
          </w:p>
        </w:tc>
      </w:tr>
      <w:tr>
        <w:trPr>
          <w:trHeight w:val="162"/>
        </w:trPr>
        <w:tc>
          <w:tcPr>
            <w:tcW w:w="2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12,416</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Receivable Agreement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(115,200)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(115,200)</w:t>
            </w:r>
          </w:p>
        </w:tc>
        <w:tc>
          <w:tcPr>
            <w:tcW w:w="0" w:type="dxa"/>
            <w:vAlign w:val="bottom"/>
          </w:tcPr>
          <w:p>
            <w:pPr>
              <w:spacing w:after="0"/>
              <w:rPr>
                <w:sz w:val="1"/>
                <w:szCs w:val="1"/>
                <w:color w:val="auto"/>
              </w:rPr>
            </w:pPr>
          </w:p>
        </w:tc>
      </w:tr>
      <w:tr>
        <w:trPr>
          <w:trHeight w:val="162"/>
        </w:trPr>
        <w:tc>
          <w:tcPr>
            <w:tcW w:w="2440" w:type="dxa"/>
            <w:vAlign w:val="bottom"/>
          </w:tcPr>
          <w:p>
            <w:pPr>
              <w:ind w:left="20"/>
              <w:spacing w:after="0"/>
              <w:rPr>
                <w:sz w:val="20"/>
                <w:szCs w:val="20"/>
                <w:color w:val="auto"/>
              </w:rPr>
            </w:pPr>
            <w:r>
              <w:rPr>
                <w:rFonts w:ascii="Arial" w:cs="Arial" w:eastAsia="Arial" w:hAnsi="Arial"/>
                <w:sz w:val="14"/>
                <w:szCs w:val="14"/>
                <w:color w:val="auto"/>
              </w:rPr>
              <w:t>Amazon Warrants</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0" w:type="dxa"/>
            <w:vAlign w:val="bottom"/>
          </w:tcPr>
          <w:p>
            <w:pPr>
              <w:spacing w:after="0"/>
              <w:rPr>
                <w:sz w:val="1"/>
                <w:szCs w:val="1"/>
                <w:color w:val="auto"/>
              </w:rPr>
            </w:pPr>
          </w:p>
        </w:tc>
      </w:tr>
      <w:tr>
        <w:trPr>
          <w:trHeight w:val="155"/>
        </w:trPr>
        <w:tc>
          <w:tcPr>
            <w:tcW w:w="2440" w:type="dxa"/>
            <w:vAlign w:val="bottom"/>
          </w:tcPr>
          <w:p>
            <w:pPr>
              <w:ind w:left="20"/>
              <w:spacing w:after="0" w:line="155" w:lineRule="exact"/>
              <w:rPr>
                <w:sz w:val="20"/>
                <w:szCs w:val="20"/>
                <w:color w:val="auto"/>
              </w:rPr>
            </w:pPr>
            <w:r>
              <w:rPr>
                <w:rFonts w:ascii="Arial" w:cs="Arial" w:eastAsia="Arial" w:hAnsi="Arial"/>
                <w:sz w:val="14"/>
                <w:szCs w:val="14"/>
                <w:color w:val="auto"/>
              </w:rPr>
              <w:t>March 31, 2021</w:t>
            </w:r>
          </w:p>
        </w:tc>
        <w:tc>
          <w:tcPr>
            <w:tcW w:w="80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57,153,467</w:t>
            </w:r>
          </w:p>
        </w:tc>
        <w:tc>
          <w:tcPr>
            <w:tcW w:w="16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572</w:t>
            </w:r>
          </w:p>
        </w:tc>
        <w:tc>
          <w:tcPr>
            <w:tcW w:w="160" w:type="dxa"/>
            <w:vAlign w:val="bottom"/>
          </w:tcPr>
          <w:p>
            <w:pPr>
              <w:spacing w:after="0"/>
              <w:rPr>
                <w:sz w:val="13"/>
                <w:szCs w:val="13"/>
                <w:color w:val="auto"/>
              </w:rPr>
            </w:pPr>
          </w:p>
        </w:tc>
        <w:tc>
          <w:tcPr>
            <w:tcW w:w="14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473,848</w:t>
            </w:r>
          </w:p>
        </w:tc>
        <w:tc>
          <w:tcPr>
            <w:tcW w:w="1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(64,460)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409,960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6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6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28"/>
        </w:trPr>
        <w:tc>
          <w:tcPr>
            <w:tcW w:w="66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37"/>
              <w:spacing w:after="0" w:line="129"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12,416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7,251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Adjustments to reconcile Net Income to Cash from Operating Activities: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12,615</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Reduction in Operating Lease Right-of-use Assets</w:t>
            </w: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5,401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6,951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Non-Cash Loss on Asset Transactions, net</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(8,729)</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Unrealized Loss (Gain) on Fuel Derivatives</w:t>
            </w:r>
          </w:p>
        </w:tc>
        <w:tc>
          <w:tcPr>
            <w:tcW w:w="6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(2,386)</w:t>
            </w: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21,752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Amortization of Over-market Liabilities</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(2,004)</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Deferred Income Taxes</w:t>
            </w: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5,406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2,471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Amazon Warrants Vested</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 Expense</w:t>
            </w: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2,870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369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Amortization of Debt Issuance Costs</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Changes in Operating Assets and Liabilities:</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Accounts Receivable</w:t>
            </w: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2,358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5,322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Inventory</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(173)</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Prepaid Expenses</w:t>
            </w:r>
          </w:p>
        </w:tc>
        <w:tc>
          <w:tcPr>
            <w:tcW w:w="6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(3,676)</w:t>
            </w: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(403)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Lessor Maintenance Deposits</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(2,219)</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Aircraft Lease Deposits</w:t>
            </w: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2,226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Assets</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626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7,107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Transportation Taxes</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4,519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Air Traffic Liabilities</w:t>
            </w:r>
          </w:p>
        </w:tc>
        <w:tc>
          <w:tcPr>
            <w:tcW w:w="6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(6,343)</w:t>
            </w: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(21,903)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Loyalty Program Liabilities</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(1,295)</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Reduction in Operating Lease Obligations</w:t>
            </w:r>
          </w:p>
        </w:tc>
        <w:tc>
          <w:tcPr>
            <w:tcW w:w="6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(10,722)</w:t>
            </w: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(7,803)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Liabilities</w:t>
            </w: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1,820</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600" w:type="dxa"/>
            <w:vAlign w:val="bottom"/>
            <w:tcBorders>
              <w:bottom w:val="single" w:sz="8" w:color="CCEEFF"/>
            </w:tcBorders>
          </w:tcPr>
          <w:p>
            <w:pPr>
              <w:ind w:left="220"/>
              <w:spacing w:after="0" w:line="129" w:lineRule="exact"/>
              <w:rPr>
                <w:sz w:val="20"/>
                <w:szCs w:val="20"/>
                <w:color w:val="auto"/>
              </w:rPr>
            </w:pPr>
            <w:r>
              <w:rPr>
                <w:rFonts w:ascii="Arial" w:cs="Arial" w:eastAsia="Arial" w:hAnsi="Arial"/>
                <w:sz w:val="13"/>
                <w:szCs w:val="13"/>
                <w:b w:val="1"/>
                <w:bCs w:val="1"/>
                <w:color w:val="auto"/>
              </w:rPr>
              <w:t>Net Cash Provided by Operating Activities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15,839</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13,858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Cash Flows from Investing Activities: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Purchases of Property &amp; Equipment</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(54,399)</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(75,250)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Purchase of Investments</w:t>
            </w:r>
          </w:p>
        </w:tc>
        <w:tc>
          <w:tcPr>
            <w:tcW w:w="6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(337)</w:t>
            </w: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Proceeds from the Sale of Investments</w:t>
            </w: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184</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00" w:type="dxa"/>
            <w:vAlign w:val="bottom"/>
            <w:tcBorders>
              <w:bottom w:val="single" w:sz="8" w:color="CCEEFF"/>
            </w:tcBorders>
          </w:tcPr>
          <w:p>
            <w:pPr>
              <w:ind w:left="220"/>
              <w:spacing w:after="0" w:line="129" w:lineRule="exact"/>
              <w:rPr>
                <w:sz w:val="20"/>
                <w:szCs w:val="20"/>
                <w:color w:val="auto"/>
              </w:rPr>
            </w:pPr>
            <w:r>
              <w:rPr>
                <w:rFonts w:ascii="Arial" w:cs="Arial" w:eastAsia="Arial" w:hAnsi="Arial"/>
                <w:sz w:val="13"/>
                <w:szCs w:val="13"/>
                <w:b w:val="1"/>
                <w:bCs w:val="1"/>
                <w:color w:val="auto"/>
              </w:rPr>
              <w:t>Net Cash Used in Investing Activities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(54,552)</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(75,048)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Cash Flows from Financing Activities: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Received from Stock Offering</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235,894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Costs of Stock Offering</w:t>
            </w:r>
          </w:p>
        </w:tc>
        <w:tc>
          <w:tcPr>
            <w:tcW w:w="6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(7,226)</w:t>
            </w: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Proceeds Received from Exercise of Apollo Warrants</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Proceeds from Borrowings</w:t>
            </w: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68,000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108,777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Repayment of Finance Lease Obligations</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(3,911)</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Repayment of Borrowings</w:t>
            </w:r>
          </w:p>
        </w:tc>
        <w:tc>
          <w:tcPr>
            <w:tcW w:w="6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(46,068)</w:t>
            </w: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(47,255)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Debt Issuance Costs</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(2,721)</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600" w:type="dxa"/>
            <w:vAlign w:val="bottom"/>
            <w:tcBorders>
              <w:bottom w:val="single" w:sz="8" w:color="CCEEFF"/>
            </w:tcBorders>
          </w:tcPr>
          <w:p>
            <w:pPr>
              <w:ind w:left="220"/>
              <w:spacing w:after="0" w:line="129" w:lineRule="exact"/>
              <w:rPr>
                <w:sz w:val="20"/>
                <w:szCs w:val="20"/>
                <w:color w:val="auto"/>
              </w:rPr>
            </w:pPr>
            <w:r>
              <w:rPr>
                <w:rFonts w:ascii="Arial" w:cs="Arial" w:eastAsia="Arial" w:hAnsi="Arial"/>
                <w:sz w:val="13"/>
                <w:szCs w:val="13"/>
                <w:b w:val="1"/>
                <w:bCs w:val="1"/>
                <w:color w:val="auto"/>
              </w:rPr>
              <w:t>Net Cash Provided by Financing Activities</w:t>
            </w:r>
          </w:p>
        </w:tc>
        <w:tc>
          <w:tcPr>
            <w:tcW w:w="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243,968</w:t>
            </w:r>
          </w:p>
        </w:tc>
        <w:tc>
          <w:tcPr>
            <w:tcW w:w="1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54,855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Net Increase / (Decrease) in Cash, Cash Equivalents and Restricted Cash</w:t>
            </w: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205,255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(6,335)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70,363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64,478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Cash, Cash Equivalents and Restricted Cash--End of the Period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275,618</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Supplemental information:</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Payments for Interest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2,728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Cash Payments (Receipts) for Income Taxes, net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Non-cash transactions:</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Lease Deposits Applied Against the Purchase of Aircraft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2,766</w:t>
            </w:r>
          </w:p>
        </w:tc>
        <w:tc>
          <w:tcPr>
            <w:tcW w:w="18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Purchases of Property &amp; Equipment in 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20"/>
              <w:spacing w:after="0" w:line="135" w:lineRule="exact"/>
              <w:rPr>
                <w:sz w:val="20"/>
                <w:szCs w:val="20"/>
                <w:color w:val="auto"/>
              </w:rPr>
            </w:pPr>
            <w:r>
              <w:rPr>
                <w:rFonts w:ascii="Arial" w:cs="Arial" w:eastAsia="Arial" w:hAnsi="Arial"/>
                <w:sz w:val="13"/>
                <w:szCs w:val="13"/>
                <w:color w:val="auto"/>
              </w:rPr>
              <w:t>Costs of Stock Offering in Accounts Payable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1,829</w:t>
            </w:r>
          </w:p>
        </w:tc>
        <w:tc>
          <w:tcPr>
            <w:tcW w:w="18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40" w:type="dxa"/>
            <w:vAlign w:val="bottom"/>
            <w:gridSpan w:val="3"/>
            <w:shd w:val="clear" w:color="auto" w:fill="CCEEFF"/>
          </w:tcPr>
          <w:p>
            <w:pPr>
              <w:spacing w:after="0"/>
              <w:rPr>
                <w:sz w:val="11"/>
                <w:szCs w:val="11"/>
                <w:color w:val="auto"/>
              </w:rPr>
            </w:pPr>
          </w:p>
        </w:tc>
        <w:tc>
          <w:tcPr>
            <w:tcW w:w="1260" w:type="dxa"/>
            <w:vAlign w:val="bottom"/>
            <w:gridSpan w:val="3"/>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900" w:type="dxa"/>
            <w:vAlign w:val="bottom"/>
            <w:gridSpan w:val="6"/>
          </w:tcPr>
          <w:p>
            <w:pPr>
              <w:ind w:left="20"/>
              <w:spacing w:after="0" w:line="135" w:lineRule="exact"/>
              <w:rPr>
                <w:sz w:val="20"/>
                <w:szCs w:val="20"/>
                <w:color w:val="auto"/>
              </w:rPr>
            </w:pPr>
            <w:r>
              <w:rPr>
                <w:rFonts w:ascii="Arial" w:cs="Arial" w:eastAsia="Arial" w:hAnsi="Arial"/>
                <w:sz w:val="13"/>
                <w:szCs w:val="13"/>
                <w:color w:val="auto"/>
              </w:rPr>
              <w:t>The following provides a reconciliation of Cash, Cash Equivalents and Restricted Cash to the amounts reported on the Consolidated Balance Sheets:</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March 31, 2021</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w w:val="97"/>
              </w:rPr>
              <w:t>March 31, 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600" w:type="dxa"/>
            <w:vAlign w:val="bottom"/>
          </w:tcPr>
          <w:p>
            <w:pPr>
              <w:ind w:left="20"/>
              <w:spacing w:after="0" w:line="129" w:lineRule="exact"/>
              <w:rPr>
                <w:sz w:val="20"/>
                <w:szCs w:val="20"/>
                <w:color w:val="auto"/>
              </w:rPr>
            </w:pPr>
            <w:r>
              <w:rPr>
                <w:rFonts w:ascii="Arial" w:cs="Arial" w:eastAsia="Arial" w:hAnsi="Arial"/>
                <w:sz w:val="13"/>
                <w:szCs w:val="13"/>
                <w:color w:val="auto"/>
              </w:rPr>
              <w:t>Cash and Equivalents</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269,599</w:t>
            </w:r>
          </w:p>
        </w:tc>
        <w:tc>
          <w:tcPr>
            <w:tcW w:w="180" w:type="dxa"/>
            <w:vAlign w:val="bottom"/>
          </w:tcPr>
          <w:p>
            <w:pPr>
              <w:spacing w:after="0"/>
              <w:rPr>
                <w:sz w:val="11"/>
                <w:szCs w:val="11"/>
                <w:color w:val="auto"/>
              </w:rPr>
            </w:pPr>
          </w:p>
        </w:tc>
        <w:tc>
          <w:tcPr>
            <w:tcW w:w="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53,112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6,019</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00" w:type="dxa"/>
            <w:vAlign w:val="bottom"/>
          </w:tcPr>
          <w:p>
            <w:pPr>
              <w:ind w:left="120"/>
              <w:spacing w:after="0" w:line="129" w:lineRule="exact"/>
              <w:rPr>
                <w:sz w:val="20"/>
                <w:szCs w:val="20"/>
                <w:color w:val="auto"/>
              </w:rPr>
            </w:pPr>
            <w:r>
              <w:rPr>
                <w:rFonts w:ascii="Arial" w:cs="Arial" w:eastAsia="Arial" w:hAnsi="Arial"/>
                <w:sz w:val="13"/>
                <w:szCs w:val="13"/>
                <w:color w:val="auto"/>
              </w:rPr>
              <w:t>Total Cash, Cash Equivalents and Restricted Cash</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275,618</w:t>
            </w:r>
          </w:p>
        </w:tc>
        <w:tc>
          <w:tcPr>
            <w:tcW w:w="1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58,143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78"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Sun Country Airlines Holdings, Inc. is the parent company of Sun Country, Inc., which is a certificated air carrier providing scheduled passenger service, cargo customers, charter air transportation and related services. Services are provided to the general public, Amazon,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8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 Split</w:t>
      </w:r>
    </w:p>
    <w:p>
      <w:pPr>
        <w:spacing w:after="0" w:line="233" w:lineRule="exact"/>
        <w:rPr>
          <w:rFonts w:ascii="Arial" w:cs="Arial" w:eastAsia="Arial" w:hAnsi="Arial"/>
          <w:sz w:val="18"/>
          <w:szCs w:val="18"/>
          <w:b w:val="1"/>
          <w:bCs w:val="1"/>
          <w:color w:val="auto"/>
        </w:rPr>
      </w:pPr>
    </w:p>
    <w:p>
      <w:pPr>
        <w:jc w:val="both"/>
        <w:ind w:left="380" w:right="59"/>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In March 2021, the Company effected an approximately 18.8886 for 1 stock split of its common stock (the “Stock Split”), with exercise prices for outstanding warrants and options adjusted accordingly by dividing such prices by the Stock Split ratio. The par value of the common stock was not adjusted as a result of the Stock Split. As a result of the Stock Split, the Company issued an additional 44,226,587 shares of common stock. All references to common stock, warrants to purchase common stock, stock options, per share amounts and related information contained in the accompanying Condensed Consolidated Financial Statements and applicable disclosures have been retroactively adjusted to reflect the effect of the Stock Split for all periods.</w:t>
      </w:r>
    </w:p>
    <w:p>
      <w:pPr>
        <w:spacing w:after="0" w:line="18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 of Common Stock and Concurrent Private Placements</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$224,657 after deducting underwriting discounts and commissions, and other offering expenses.</w:t>
      </w:r>
    </w:p>
    <w:p>
      <w:pPr>
        <w:spacing w:after="0" w:line="204"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Concurrently with the closing of the initial public offering, SCA Horus Holdings, LLC, an affiliate of investment funds managed by affiliates of Apollo Global Management (the “Apollo Stockholder”), also completed a concurrent private placement in which the Apollo Stockholder sold 2,216,312 and 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180"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Amazon Agreement</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 The agreement is structured for the Company to provide crew, maintenance, and insurance (“CMI”) services to Amazon. Sun Country began flying for Amazon in May 2020. On June 27, 2020, Amazon and the Company signed an amendment to the December 2019 agreement that increased the aircraft Sun Country operates from 10 to 12.</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4460" w:hanging="116"/>
        <w:spacing w:after="0"/>
        <w:tabs>
          <w:tab w:leader="none" w:pos="4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36" w:lineRule="auto"/>
        <w:rPr>
          <w:sz w:val="20"/>
          <w:szCs w:val="20"/>
          <w:color w:val="auto"/>
        </w:rPr>
      </w:pPr>
      <w:r>
        <w:rPr>
          <w:rFonts w:ascii="Arial" w:cs="Arial" w:eastAsia="Arial" w:hAnsi="Arial"/>
          <w:sz w:val="18"/>
          <w:szCs w:val="18"/>
          <w:color w:val="auto"/>
        </w:rPr>
        <w:t>In December 2019, in connection with the ATSA, the Company issued warrants to Amazon to purchase an aggregate of up to 9,482,606 shares of common stock at an exercise price of approximately $15.17 per share. The exercise period of these warrants is through the eighth anniversary of the issue date. Of the 9,482,606 total Amazon warrants issued, 632,183 vested upon execution of the ATSA in December 2019. Thereafter, an additional 63,217 warrants will vest for each milestone of $8,000 in qualifying payments made by Amazon to the Company. During the three months ended March 31, 2021, 189,652 warrants vested and the cumulative warrants vested as of March 31, 2021 were 1,074,704. No warrants vested during the three months ended March 31, 2020.</w:t>
      </w:r>
    </w:p>
    <w:p>
      <w:pPr>
        <w:spacing w:after="0" w:line="172"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3"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of Sun Country Airlines Holdings, Inc. should be read in conjunction with the consolidated financial statements contained in the Company’s Annual Report for the year ended December 31, 2020, which is included in the Company’s Final Prospectus dated March 16, 2021. During the three months ended March 31, 2021, there were no significant changes to the Company’s critical accounting policies.</w:t>
      </w:r>
    </w:p>
    <w:p>
      <w:pPr>
        <w:spacing w:after="0" w:line="202" w:lineRule="exact"/>
        <w:rPr>
          <w:rFonts w:ascii="Arial" w:cs="Arial" w:eastAsia="Arial" w:hAnsi="Arial"/>
          <w:sz w:val="18"/>
          <w:szCs w:val="18"/>
          <w:b w:val="1"/>
          <w:bCs w:val="1"/>
          <w:color w:val="auto"/>
        </w:rPr>
      </w:pPr>
    </w:p>
    <w:p>
      <w:pPr>
        <w:jc w:val="both"/>
        <w:ind w:left="380" w:right="59"/>
        <w:spacing w:after="0"/>
        <w:rPr>
          <w:rFonts w:ascii="Arial" w:cs="Arial" w:eastAsia="Arial" w:hAnsi="Arial"/>
          <w:sz w:val="18"/>
          <w:szCs w:val="18"/>
          <w:b w:val="1"/>
          <w:bCs w:val="1"/>
          <w:color w:val="auto"/>
        </w:rPr>
      </w:pPr>
      <w:r>
        <w:rPr>
          <w:rFonts w:ascii="Arial" w:cs="Arial" w:eastAsia="Arial" w:hAnsi="Arial"/>
          <w:sz w:val="18"/>
          <w:szCs w:val="18"/>
          <w:color w:val="auto"/>
        </w:rPr>
        <w:t>Certain prior period Stockholders’ Equity amounts were reclassified to conform to the current period presentation. This involved reducing the Common Stock values to $0.01 times the Shares outstanding and reclassifying those dollars to Additional Paid-In Capital. These reclasses were $238,694 as of December 31, 2020 and March 31, 2020. The reclass as of December 31, 2019 was $239,073. Also, historical shares of common stock have been adjusted to reflect the March 2021 approximately 18.8886 for 1 stock split.</w:t>
      </w:r>
    </w:p>
    <w:p>
      <w:pPr>
        <w:spacing w:after="0" w:line="396" w:lineRule="exact"/>
        <w:rPr>
          <w:rFonts w:ascii="Arial" w:cs="Arial" w:eastAsia="Arial" w:hAnsi="Arial"/>
          <w:sz w:val="18"/>
          <w:szCs w:val="18"/>
          <w:b w:val="1"/>
          <w:bCs w:val="1"/>
          <w:color w:val="auto"/>
        </w:rPr>
      </w:pPr>
    </w:p>
    <w:p>
      <w:pPr>
        <w:jc w:val="both"/>
        <w:ind w:left="380" w:right="59"/>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impairment of goodwill, impairment of long-lived and intangible assets, air traffic liabilities, the loyalty program, as well as the valuation of Amazon warrants.</w:t>
      </w:r>
    </w:p>
    <w:p>
      <w:pPr>
        <w:spacing w:after="0" w:line="204"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Due to severe impacts from the global coronavirus (“COVID-19”) pandemic, seasonal variations in the demand for air travel, the volatility of aircraft fuel prices and other factors, operating results for the three months ended March 31, 2021 are not necessarily indicative of operating results for future quarters or for the year ended December 31, 2021. Air travel is also significantly impacted by general economic 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20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its fiscal year on a calendar year basis.</w:t>
      </w:r>
    </w:p>
    <w:p>
      <w:pPr>
        <w:spacing w:after="0" w:line="200" w:lineRule="exact"/>
        <w:rPr>
          <w:rFonts w:ascii="Arial" w:cs="Arial" w:eastAsia="Arial" w:hAnsi="Arial"/>
          <w:sz w:val="18"/>
          <w:szCs w:val="18"/>
          <w:b w:val="1"/>
          <w:bCs w:val="1"/>
          <w:color w:val="auto"/>
        </w:rPr>
      </w:pPr>
    </w:p>
    <w:p>
      <w:pPr>
        <w:spacing w:after="0" w:line="227" w:lineRule="exact"/>
        <w:rPr>
          <w:rFonts w:ascii="Arial" w:cs="Arial" w:eastAsia="Arial" w:hAnsi="Arial"/>
          <w:sz w:val="18"/>
          <w:szCs w:val="18"/>
          <w:b w:val="1"/>
          <w:bCs w:val="1"/>
          <w:color w:val="auto"/>
        </w:rPr>
      </w:pPr>
    </w:p>
    <w:p>
      <w:pPr>
        <w:ind w:left="4460" w:hanging="116"/>
        <w:spacing w:after="0"/>
        <w:tabs>
          <w:tab w:leader="none" w:pos="4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78"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212" w:lineRule="exact"/>
        <w:rPr>
          <w:sz w:val="20"/>
          <w:szCs w:val="20"/>
          <w:color w:val="auto"/>
        </w:rPr>
      </w:pPr>
    </w:p>
    <w:p>
      <w:pPr>
        <w:jc w:val="both"/>
        <w:ind w:left="380" w:right="59"/>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Simplifying the Accounting for Income Taxes </w:t>
      </w:r>
      <w:r>
        <w:rPr>
          <w:rFonts w:ascii="Arial" w:cs="Arial" w:eastAsia="Arial" w:hAnsi="Arial"/>
          <w:sz w:val="18"/>
          <w:szCs w:val="18"/>
          <w:color w:val="auto"/>
        </w:rPr>
        <w:t>- In December 2019, the FASB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it did not have a material impact on the Company’s Condensed Consolidated Financial Statements.</w:t>
      </w:r>
    </w:p>
    <w:p>
      <w:pPr>
        <w:spacing w:after="0" w:line="185" w:lineRule="exact"/>
        <w:rPr>
          <w:sz w:val="20"/>
          <w:szCs w:val="20"/>
          <w:color w:val="auto"/>
        </w:rPr>
      </w:pPr>
    </w:p>
    <w:p>
      <w:pPr>
        <w:jc w:val="both"/>
        <w:ind w:left="380" w:right="59"/>
        <w:spacing w:after="0" w:line="242" w:lineRule="auto"/>
        <w:rPr>
          <w:sz w:val="20"/>
          <w:szCs w:val="20"/>
          <w:color w:val="auto"/>
        </w:rPr>
      </w:pPr>
      <w:r>
        <w:rPr>
          <w:rFonts w:ascii="Arial" w:cs="Arial" w:eastAsia="Arial" w:hAnsi="Arial"/>
          <w:sz w:val="18"/>
          <w:szCs w:val="18"/>
          <w:b w:val="1"/>
          <w:bCs w:val="1"/>
          <w:i w:val="1"/>
          <w:iCs w:val="1"/>
          <w:color w:val="auto"/>
        </w:rPr>
        <w:t xml:space="preserve">Simplifying the Test for Goodwill Impairment </w:t>
      </w:r>
      <w:r>
        <w:rPr>
          <w:rFonts w:ascii="Arial" w:cs="Arial" w:eastAsia="Arial" w:hAnsi="Arial"/>
          <w:sz w:val="18"/>
          <w:szCs w:val="18"/>
          <w:color w:val="auto"/>
        </w:rPr>
        <w:t>- In January 2017, the Financial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Board (FASB) issued Accounting Standards Update (ASU) 2017-04, </w:t>
      </w:r>
      <w:r>
        <w:rPr>
          <w:rFonts w:ascii="Arial" w:cs="Arial" w:eastAsia="Arial" w:hAnsi="Arial"/>
          <w:sz w:val="18"/>
          <w:szCs w:val="18"/>
          <w:i w:val="1"/>
          <w:iCs w:val="1"/>
          <w:color w:val="auto"/>
        </w:rPr>
        <w:t>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The new standard eliminates Step 2 from the goodwill impairment test. An entity should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 goodwill impairment charge for the amount by which the carrying amount exceeds the reporting unit’s fair value. The standard was adopted and applied prospectively by the Company on April 1, 2020, and it did not have an impact on the Company’s Condensed Consolidated Financial Statements.</w:t>
      </w:r>
    </w:p>
    <w:p>
      <w:pPr>
        <w:spacing w:after="0" w:line="179" w:lineRule="exact"/>
        <w:rPr>
          <w:sz w:val="20"/>
          <w:szCs w:val="20"/>
          <w:color w:val="auto"/>
        </w:rPr>
      </w:pPr>
    </w:p>
    <w:p>
      <w:pPr>
        <w:jc w:val="both"/>
        <w:ind w:left="380" w:right="59"/>
        <w:spacing w:after="0"/>
        <w:rPr>
          <w:sz w:val="20"/>
          <w:szCs w:val="20"/>
          <w:color w:val="auto"/>
        </w:rPr>
      </w:pPr>
      <w:r>
        <w:rPr>
          <w:rFonts w:ascii="Arial" w:cs="Arial" w:eastAsia="Arial" w:hAnsi="Arial"/>
          <w:sz w:val="18"/>
          <w:szCs w:val="18"/>
          <w:b w:val="1"/>
          <w:bCs w:val="1"/>
          <w:i w:val="1"/>
          <w:iCs w:val="1"/>
          <w:color w:val="auto"/>
        </w:rPr>
        <w:t xml:space="preserve">Financial Instruments—Credit Losses </w:t>
      </w:r>
      <w:r>
        <w:rPr>
          <w:rFonts w:ascii="Arial" w:cs="Arial" w:eastAsia="Arial" w:hAnsi="Arial"/>
          <w:sz w:val="18"/>
          <w:szCs w:val="18"/>
          <w:color w:val="auto"/>
        </w:rPr>
        <w:t>- In June 2016, the FASB issued ASU 2016-13,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Financial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Instruments—Credit Losses </w:t>
      </w:r>
      <w:r>
        <w:rPr>
          <w:rFonts w:ascii="Arial" w:cs="Arial" w:eastAsia="Arial" w:hAnsi="Arial"/>
          <w:sz w:val="18"/>
          <w:szCs w:val="18"/>
          <w:color w:val="auto"/>
        </w:rPr>
        <w:t>(Topic 326)</w:t>
      </w:r>
      <w:r>
        <w:rPr>
          <w:rFonts w:ascii="Arial" w:cs="Arial" w:eastAsia="Arial" w:hAnsi="Arial"/>
          <w:sz w:val="18"/>
          <w:szCs w:val="18"/>
          <w:i w:val="1"/>
          <w:iCs w:val="1"/>
          <w:color w:val="auto"/>
        </w:rPr>
        <w:t>: Measurement of Credit Losses on Financial Instruments</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update requires the use of an expected loss model on certain types of financial instruments 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Condensed Consolidated Financial Statements.</w:t>
      </w:r>
    </w:p>
    <w:p>
      <w:pPr>
        <w:spacing w:after="0" w:line="171"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233" w:lineRule="exact"/>
        <w:rPr>
          <w:rFonts w:ascii="Arial" w:cs="Arial" w:eastAsia="Arial" w:hAnsi="Arial"/>
          <w:sz w:val="18"/>
          <w:szCs w:val="18"/>
          <w:b w:val="1"/>
          <w:bCs w:val="1"/>
          <w:color w:val="auto"/>
        </w:rPr>
      </w:pPr>
    </w:p>
    <w:p>
      <w:pPr>
        <w:jc w:val="both"/>
        <w:ind w:left="380" w:right="59"/>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State and local governments may have additional restrictions that adversely impact travel.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dramatic decline in flight bookings and an increase in cancellations beginning in March 2020, as a result of the outbreak. In addition, the federal government has encouraged social distancing efforts and limits on gathering size. Many popular tourist destinations have been closed, or operations are being curtailed, reducing the demand for leisure air travel.</w:t>
      </w:r>
    </w:p>
    <w:p>
      <w:pPr>
        <w:spacing w:after="0" w:line="204"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continued distribution of effective vaccines and the easing of travel advisories and restrictions has lead to growing customer confidence and increased demand. There have been fluctuations in the rate of infections during 2021 and the U.S. Food and Drug Administration has issued an emergency use authorization for COVID-19 vaccines.</w:t>
      </w:r>
    </w:p>
    <w:p>
      <w:pPr>
        <w:spacing w:after="0" w:line="204" w:lineRule="exact"/>
        <w:rPr>
          <w:rFonts w:ascii="Arial" w:cs="Arial" w:eastAsia="Arial" w:hAnsi="Arial"/>
          <w:sz w:val="18"/>
          <w:szCs w:val="18"/>
          <w:b w:val="1"/>
          <w:bCs w:val="1"/>
          <w:color w:val="auto"/>
        </w:rPr>
      </w:pPr>
    </w:p>
    <w:p>
      <w:pPr>
        <w:ind w:left="380" w:right="59"/>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timing and pace of the recovery from the COVID-19 pandemic are uncertain as certain markets have reopened, some of which have since experienced a resurgence of COVID-19 cases, while others,</w:t>
      </w:r>
    </w:p>
    <w:p>
      <w:pPr>
        <w:spacing w:after="0" w:line="200" w:lineRule="exact"/>
        <w:rPr>
          <w:rFonts w:ascii="Arial" w:cs="Arial" w:eastAsia="Arial" w:hAnsi="Arial"/>
          <w:sz w:val="18"/>
          <w:szCs w:val="18"/>
          <w:b w:val="1"/>
          <w:bCs w:val="1"/>
          <w:color w:val="auto"/>
        </w:rPr>
      </w:pPr>
    </w:p>
    <w:p>
      <w:pPr>
        <w:spacing w:after="0" w:line="212" w:lineRule="exact"/>
        <w:rPr>
          <w:rFonts w:ascii="Arial" w:cs="Arial" w:eastAsia="Arial" w:hAnsi="Arial"/>
          <w:sz w:val="18"/>
          <w:szCs w:val="18"/>
          <w:b w:val="1"/>
          <w:bCs w:val="1"/>
          <w:color w:val="auto"/>
        </w:rPr>
      </w:pPr>
    </w:p>
    <w:p>
      <w:pPr>
        <w:ind w:left="4400" w:hanging="106"/>
        <w:spacing w:after="0"/>
        <w:tabs>
          <w:tab w:leader="none" w:pos="4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 xml:space="preserve">particularly international markets, remain closed or are enforcing extended quarantines for most U.S. residents. </w:t>
      </w:r>
      <w:r>
        <w:rPr>
          <w:rFonts w:ascii="Arial" w:cs="Arial" w:eastAsia="Arial" w:hAnsi="Arial"/>
          <w:sz w:val="18"/>
          <w:szCs w:val="18"/>
          <w:color w:val="212529"/>
        </w:rPr>
        <w:t>Federal, state, and local authorities have at various times instituted measures such as imposing</w:t>
      </w:r>
      <w:r>
        <w:rPr>
          <w:rFonts w:ascii="Arial" w:cs="Arial" w:eastAsia="Arial" w:hAnsi="Arial"/>
          <w:sz w:val="18"/>
          <w:szCs w:val="18"/>
          <w:color w:val="auto"/>
        </w:rPr>
        <w:t xml:space="preserve"> </w:t>
      </w:r>
      <w:r>
        <w:rPr>
          <w:rFonts w:ascii="Arial" w:cs="Arial" w:eastAsia="Arial" w:hAnsi="Arial"/>
          <w:sz w:val="18"/>
          <w:szCs w:val="18"/>
          <w:color w:val="212529"/>
        </w:rPr>
        <w:t>self-quarantine requirements, issuing directives forcing businesses to temporarily close, restricting international air travel, and issuing shelter-in-place and similar orders limiting the movement of individuals. Additionally, certain businesses have restricted non-essential travel for their employees.</w:t>
      </w:r>
    </w:p>
    <w:p>
      <w:pPr>
        <w:spacing w:after="0" w:line="202"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Company’s charter air transportation services have also been impacted due to a decline in international military charter service, the suspension or cancellation of major U.S. professional and college sports, and the 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202"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212529"/>
        </w:rPr>
        <w:t xml:space="preserve">As the COVID-19 pandemic continues to evolve, the Company’s financial and operational outlook remains subject to change. </w:t>
      </w:r>
      <w:r>
        <w:rPr>
          <w:rFonts w:ascii="Arial" w:cs="Arial" w:eastAsia="Arial" w:hAnsi="Arial"/>
          <w:sz w:val="18"/>
          <w:szCs w:val="18"/>
          <w:color w:val="000000"/>
        </w:rPr>
        <w:t>Despite the pandemic’s impact on the Company’s passenger segment, the Company</w:t>
      </w:r>
      <w:r>
        <w:rPr>
          <w:rFonts w:ascii="Arial" w:cs="Arial" w:eastAsia="Arial" w:hAnsi="Arial"/>
          <w:sz w:val="18"/>
          <w:szCs w:val="18"/>
          <w:color w:val="212529"/>
        </w:rPr>
        <w:t xml:space="preserve"> </w:t>
      </w:r>
      <w:r>
        <w:rPr>
          <w:rFonts w:ascii="Arial" w:cs="Arial" w:eastAsia="Arial" w:hAnsi="Arial"/>
          <w:sz w:val="18"/>
          <w:szCs w:val="18"/>
          <w:color w:val="000000"/>
        </w:rPr>
        <w:t>has continued to provide air cargo service under the ATSA as planned.</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Coronavirus Aid, Relief, and Economic Security Act (“CARES Act”)</w:t>
      </w:r>
    </w:p>
    <w:p>
      <w:pPr>
        <w:spacing w:after="0" w:line="234"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and has received certain benefits outlined in the CARES Act including but not limited to payroll tax breaks, government grants and government loans.</w:t>
      </w:r>
    </w:p>
    <w:p>
      <w:pPr>
        <w:spacing w:after="0" w:line="202"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212529"/>
        </w:rPr>
        <w:t xml:space="preserve">The grant amount </w:t>
      </w:r>
      <w:r>
        <w:rPr>
          <w:rFonts w:ascii="Arial" w:cs="Arial" w:eastAsia="Arial" w:hAnsi="Arial"/>
          <w:sz w:val="18"/>
          <w:szCs w:val="18"/>
          <w:color w:val="000000"/>
        </w:rPr>
        <w:t>recognized under the CARES Act Payroll Support Program for the year ended</w:t>
      </w:r>
      <w:r>
        <w:rPr>
          <w:rFonts w:ascii="Arial" w:cs="Arial" w:eastAsia="Arial" w:hAnsi="Arial"/>
          <w:sz w:val="18"/>
          <w:szCs w:val="18"/>
          <w:color w:val="212529"/>
        </w:rPr>
        <w:t xml:space="preserve"> </w:t>
      </w:r>
      <w:r>
        <w:rPr>
          <w:rFonts w:ascii="Arial" w:cs="Arial" w:eastAsia="Arial" w:hAnsi="Arial"/>
          <w:sz w:val="18"/>
          <w:szCs w:val="18"/>
          <w:color w:val="000000"/>
        </w:rPr>
        <w:t>December 31, 2020 was $62,312 and was recorded in Special Items, net. During the first quarter of 2021, the Company received and recognized as income $32,208 from the Treasury under the Payroll Support Program Extension (“PSP2”). Subsequent to the first quarter of 2021, on April 22, 2021, the Company received an additional $4,831 from the Treasury as a top-off grant under PSP2.</w:t>
      </w:r>
    </w:p>
    <w:p>
      <w:pPr>
        <w:spacing w:after="0" w:line="202"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CARES Act provides an employee retention credit (“CARES Employee Retention Credit”) which is a refundable tax credit against certain employment taxes. During the year ended December 31, 2020, the Company recorded $2,328 related to the CARES Employee Retention Credit within Special Items, net and an additional $334 was recognized in the first quarter of 2021.</w:t>
      </w:r>
    </w:p>
    <w:p>
      <w:pPr>
        <w:spacing w:after="0" w:line="205" w:lineRule="exact"/>
        <w:rPr>
          <w:sz w:val="20"/>
          <w:szCs w:val="20"/>
          <w:color w:val="auto"/>
        </w:rPr>
      </w:pPr>
    </w:p>
    <w:p>
      <w:pPr>
        <w:jc w:val="both"/>
        <w:ind w:left="380" w:right="79"/>
        <w:spacing w:after="0" w:line="246" w:lineRule="auto"/>
        <w:rPr>
          <w:sz w:val="20"/>
          <w:szCs w:val="20"/>
          <w:color w:val="auto"/>
        </w:rPr>
      </w:pPr>
      <w:r>
        <w:rPr>
          <w:rFonts w:ascii="Arial" w:cs="Arial" w:eastAsia="Arial" w:hAnsi="Arial"/>
          <w:sz w:val="18"/>
          <w:szCs w:val="18"/>
          <w:color w:val="auto"/>
        </w:rPr>
        <w:t>Under the CARES Act Loan Program, the Company received a $45,000 loan (the “CARES Act Loan”) from the Treasury on October 26, 2020, which was repaid in full on March 24, 2021.</w:t>
      </w:r>
    </w:p>
    <w:p>
      <w:pPr>
        <w:spacing w:after="0" w:line="197"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Further, the Company was notified on April 15, 2021 that it will receive a grant of approximately $34,547 under the American Rescue Plan Act of 2021 (“PSP3”) enacted on March 11, 2021, in which the Treasury is authorized to provide additional assistance to passenger air carriers and contractors that received financial assistance under the CARES Act. Of this grant amount, $17,274 was received on April 29, 2021.</w:t>
      </w:r>
    </w:p>
    <w:p>
      <w:pPr>
        <w:spacing w:after="0" w:line="205"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requirement that certain levels of commercial air service be maintained until March 1, 2021, or if ordered by the DOT, March 1, 2022; the prohibitions on share repurchases of listed securities and the payment of common stock (or equivalent) dividends until the later of March 31, which was extended to September 30, 2022 under PSP3; and restrictions on the payment of certain executive compensation until the October 1, 2022, which was extended to April 1, 2023 under PSP3.</w:t>
      </w:r>
    </w:p>
    <w:p>
      <w:pPr>
        <w:spacing w:after="0" w:line="180"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ATSA. Other revenue consists primarily of revenue from services in connection with Sun Country Vacation products.</w:t>
      </w:r>
    </w:p>
    <w:p>
      <w:pPr>
        <w:spacing w:after="0" w:line="20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significant categories comprising Operating Revenues are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Scheduled service</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54,620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114,228</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Charter service</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25,805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29,227</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Ancillary</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23,770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35,031</w:t>
            </w:r>
          </w:p>
        </w:tc>
      </w:tr>
      <w:tr>
        <w:trPr>
          <w:trHeight w:val="196"/>
        </w:trPr>
        <w:tc>
          <w:tcPr>
            <w:tcW w:w="6100" w:type="dxa"/>
            <w:vAlign w:val="bottom"/>
          </w:tcPr>
          <w:p>
            <w:pPr>
              <w:ind w:left="220"/>
              <w:spacing w:after="0" w:line="196" w:lineRule="exact"/>
              <w:rPr>
                <w:sz w:val="20"/>
                <w:szCs w:val="20"/>
                <w:color w:val="auto"/>
              </w:rPr>
            </w:pPr>
            <w:r>
              <w:rPr>
                <w:rFonts w:ascii="Arial" w:cs="Arial" w:eastAsia="Arial" w:hAnsi="Arial"/>
                <w:sz w:val="18"/>
                <w:szCs w:val="18"/>
                <w:color w:val="auto"/>
              </w:rPr>
              <w:t>Passenger</w:t>
            </w:r>
          </w:p>
        </w:tc>
        <w:tc>
          <w:tcPr>
            <w:tcW w:w="1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104,195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178,486</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Cargo</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21,585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1,844</w:t>
            </w:r>
          </w:p>
        </w:tc>
      </w:tr>
      <w:tr>
        <w:trPr>
          <w:trHeight w:val="196"/>
        </w:trPr>
        <w:tc>
          <w:tcPr>
            <w:tcW w:w="61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Revenue</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127,611</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180,330</w:t>
            </w: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The Company attributes and measures its Operating Revenue by geographic region as defined by the Department of Transportation for airline reporting based upon the origin of each passenger and cargo flight segment.</w:t>
      </w:r>
    </w:p>
    <w:p>
      <w:pPr>
        <w:spacing w:after="0" w:line="203"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Operating Revenue by geographic region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31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3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119,312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163,038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7,877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17,076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000" w:type="dxa"/>
            <w:vAlign w:val="bottom"/>
          </w:tcPr>
          <w:p>
            <w:pPr>
              <w:ind w:left="100"/>
              <w:spacing w:after="0" w:line="196" w:lineRule="exact"/>
              <w:rPr>
                <w:sz w:val="20"/>
                <w:szCs w:val="20"/>
                <w:color w:val="auto"/>
              </w:rPr>
            </w:pPr>
            <w:r>
              <w:rPr>
                <w:rFonts w:ascii="Arial" w:cs="Arial" w:eastAsia="Arial" w:hAnsi="Arial"/>
                <w:sz w:val="18"/>
                <w:szCs w:val="18"/>
                <w:color w:val="auto"/>
              </w:rPr>
              <w:t>Total Operating Revenue</w:t>
            </w:r>
          </w:p>
        </w:tc>
        <w:tc>
          <w:tcPr>
            <w:tcW w:w="318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127,611</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180,330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180" w:type="dxa"/>
            <w:vAlign w:val="bottom"/>
            <w:vMerge w:val="restart"/>
          </w:tcPr>
          <w:p>
            <w:pPr>
              <w:jc w:val="right"/>
              <w:ind w:right="1750"/>
              <w:spacing w:after="0"/>
              <w:rPr>
                <w:sz w:val="20"/>
                <w:szCs w:val="20"/>
                <w:color w:val="auto"/>
              </w:rPr>
            </w:pPr>
            <w:r>
              <w:rPr>
                <w:rFonts w:ascii="Arial" w:cs="Arial" w:eastAsia="Arial" w:hAnsi="Arial"/>
                <w:sz w:val="18"/>
                <w:szCs w:val="18"/>
                <w:color w:val="auto"/>
              </w:rPr>
              <w:t>- 12 -</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Contract Balances</w:t>
      </w:r>
    </w:p>
    <w:p>
      <w:pPr>
        <w:spacing w:after="0" w:line="234"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Company’s contract assets primarily relate to costs incurred to get the 12 Amazon cargo aircraft ready for service. The balances are included in Other Current Assets and Other Assets on the Condensed Consolidated Balance Sheets. The amount expensed during the three months ended March 31, 2021 was $138 and is included in Maintenance expense. There was nothing expensed in the three months ended March 31, 2020, since the Amazon cargo services had not started yet.</w:t>
      </w:r>
    </w:p>
    <w:p>
      <w:pPr>
        <w:spacing w:after="0" w:line="202"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Amazon Deferred Up-front Payment received (reported within Other Liabilities on the Condensed Consolidated Balance Sheets).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Contract Assets and Liabilities are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Assets</w:t>
            </w: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Costs to fulfill contract with Amazon</w:t>
            </w:r>
          </w:p>
        </w:tc>
        <w:tc>
          <w:tcPr>
            <w:tcW w:w="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3,312</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3,614</w:t>
            </w:r>
          </w:p>
        </w:tc>
        <w:tc>
          <w:tcPr>
            <w:tcW w:w="20" w:type="dxa"/>
            <w:vAlign w:val="bottom"/>
          </w:tcPr>
          <w:p>
            <w:pPr>
              <w:spacing w:after="0"/>
              <w:rPr>
                <w:sz w:val="21"/>
                <w:szCs w:val="21"/>
                <w:color w:val="auto"/>
              </w:rPr>
            </w:pPr>
          </w:p>
        </w:tc>
      </w:tr>
      <w:tr>
        <w:trPr>
          <w:trHeight w:val="183"/>
        </w:trPr>
        <w:tc>
          <w:tcPr>
            <w:tcW w:w="5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Air Traffic Liabilities</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94,733</w:t>
            </w:r>
          </w:p>
        </w:tc>
        <w:tc>
          <w:tcPr>
            <w:tcW w:w="160" w:type="dxa"/>
            <w:vAlign w:val="bottom"/>
          </w:tcPr>
          <w:p>
            <w:pPr>
              <w:spacing w:after="0"/>
              <w:rPr>
                <w:sz w:val="17"/>
                <w:szCs w:val="17"/>
                <w:color w:val="auto"/>
              </w:rPr>
            </w:pP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101,075</w:t>
            </w:r>
          </w:p>
        </w:tc>
        <w:tc>
          <w:tcPr>
            <w:tcW w:w="2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Loyalty Program Liabilities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20,774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22,068</w:t>
            </w:r>
          </w:p>
        </w:tc>
        <w:tc>
          <w:tcPr>
            <w:tcW w:w="20" w:type="dxa"/>
            <w:vAlign w:val="bottom"/>
          </w:tcPr>
          <w:p>
            <w:pPr>
              <w:spacing w:after="0"/>
              <w:rPr>
                <w:sz w:val="17"/>
                <w:szCs w:val="17"/>
                <w:color w:val="auto"/>
              </w:rPr>
            </w:pP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Amazon Deferred Up-front Payment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5,010</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5,240</w:t>
            </w:r>
          </w:p>
        </w:tc>
        <w:tc>
          <w:tcPr>
            <w:tcW w:w="20" w:type="dxa"/>
            <w:vAlign w:val="bottom"/>
          </w:tcPr>
          <w:p>
            <w:pPr>
              <w:spacing w:after="0"/>
              <w:rPr>
                <w:sz w:val="17"/>
                <w:szCs w:val="17"/>
                <w:color w:val="auto"/>
              </w:rPr>
            </w:pPr>
          </w:p>
        </w:tc>
      </w:tr>
      <w:tr>
        <w:trPr>
          <w:trHeight w:val="196"/>
        </w:trPr>
        <w:tc>
          <w:tcPr>
            <w:tcW w:w="58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Contract Liabilities</w:t>
            </w: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120,517</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128,383</w:t>
            </w:r>
          </w:p>
        </w:tc>
        <w:tc>
          <w:tcPr>
            <w:tcW w:w="20" w:type="dxa"/>
            <w:vAlign w:val="bottom"/>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period ended March 31, 2021, $60,039 of revenue was recognized in Passenger revenue that was included in the Air Traffic Liabilities as of December 31, 2020.</w:t>
      </w:r>
    </w:p>
    <w:p>
      <w:pPr>
        <w:spacing w:after="0" w:line="202"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is being amortized into revenue on a pro-rata basis over the initial six years of the ATSA. For the three months ended March 31, 2021, $231 was amortized into Cargo revenue. Nothing was amortized for the three months ended March 31, 2020 as services did not begin until the second quarter of 2020.</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Loyalty Program</w:t>
      </w:r>
    </w:p>
    <w:p>
      <w:pPr>
        <w:spacing w:after="0" w:line="234"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400" w:lineRule="exact"/>
        <w:rPr>
          <w:sz w:val="20"/>
          <w:szCs w:val="20"/>
          <w:color w:val="auto"/>
        </w:rPr>
      </w:pPr>
    </w:p>
    <w:p>
      <w:pPr>
        <w:ind w:left="380" w:right="79"/>
        <w:spacing w:after="0" w:line="246" w:lineRule="auto"/>
        <w:rPr>
          <w:sz w:val="20"/>
          <w:szCs w:val="20"/>
          <w:color w:val="auto"/>
        </w:rPr>
      </w:pPr>
      <w:r>
        <w:rPr>
          <w:rFonts w:ascii="Arial" w:cs="Arial" w:eastAsia="Arial" w:hAnsi="Arial"/>
          <w:sz w:val="18"/>
          <w:szCs w:val="18"/>
          <w:color w:val="auto"/>
        </w:rPr>
        <w:t>patterns, which impact the volume of loyalty points awarded through travel or issued to co-branded credit card and other partners (deferral of revenue) and loyalty points redeemed (recognition of revenue).</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 January 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22,069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22,892</w:t>
            </w:r>
          </w:p>
        </w:tc>
        <w:tc>
          <w:tcPr>
            <w:tcW w:w="20" w:type="dxa"/>
            <w:vAlign w:val="bottom"/>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Loyalty Points Earned</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857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1,635</w:t>
            </w:r>
          </w:p>
        </w:tc>
        <w:tc>
          <w:tcPr>
            <w:tcW w:w="20" w:type="dxa"/>
            <w:vAlign w:val="bottom"/>
          </w:tcPr>
          <w:p>
            <w:pPr>
              <w:spacing w:after="0"/>
              <w:rPr>
                <w:sz w:val="17"/>
                <w:szCs w:val="17"/>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Loyalty Points Redeemed</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(2,152)</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(2,206)</w:t>
            </w:r>
          </w:p>
        </w:tc>
        <w:tc>
          <w:tcPr>
            <w:tcW w:w="20" w:type="dxa"/>
            <w:vAlign w:val="bottom"/>
          </w:tcPr>
          <w:p>
            <w:pPr>
              <w:spacing w:after="0"/>
              <w:rPr>
                <w:sz w:val="17"/>
                <w:szCs w:val="17"/>
                <w:color w:val="auto"/>
              </w:rPr>
            </w:pPr>
          </w:p>
        </w:tc>
      </w:tr>
      <w:tr>
        <w:trPr>
          <w:trHeight w:val="196"/>
        </w:trPr>
        <w:tc>
          <w:tcPr>
            <w:tcW w:w="6360" w:type="dxa"/>
            <w:vAlign w:val="bottom"/>
          </w:tcPr>
          <w:p>
            <w:pPr>
              <w:spacing w:after="0" w:line="196" w:lineRule="exact"/>
              <w:rPr>
                <w:sz w:val="20"/>
                <w:szCs w:val="20"/>
                <w:color w:val="auto"/>
              </w:rPr>
            </w:pPr>
            <w:r>
              <w:rPr>
                <w:rFonts w:ascii="Arial" w:cs="Arial" w:eastAsia="Arial" w:hAnsi="Arial"/>
                <w:sz w:val="18"/>
                <w:szCs w:val="18"/>
                <w:color w:val="auto"/>
              </w:rPr>
              <w:t>Balance - March 31</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20,774</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22,321</w:t>
            </w:r>
          </w:p>
        </w:tc>
        <w:tc>
          <w:tcPr>
            <w:tcW w:w="2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720" w:right="79" w:hanging="319"/>
        <w:spacing w:after="0" w:line="220" w:lineRule="auto"/>
        <w:tabs>
          <w:tab w:leader="none" w:pos="72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Principally relates to revenue recognized from the redemption of loyalty points for both air and non-air travel awards. Loyalty points are combined in one homogenous pool and are not separately identifiable. As such, the revenue is comprised of points that were part of the loyalty program deferred revenue balance at the beginning of the period, as well as points that were earned during the period.</w:t>
      </w:r>
    </w:p>
    <w:p>
      <w:pPr>
        <w:spacing w:after="0" w:line="210"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 xml:space="preserve">The timing of loyalty point redemptions can vary significantly, however most new points, that are not left to expire, are redeemed within two years. </w:t>
      </w:r>
      <w:r>
        <w:rPr>
          <w:rFonts w:ascii="Arial" w:cs="Arial" w:eastAsia="Arial" w:hAnsi="Arial"/>
          <w:sz w:val="18"/>
          <w:szCs w:val="18"/>
          <w:color w:val="212529"/>
        </w:rPr>
        <w:t>Given the inherent uncertainty of the current operating environment</w:t>
      </w:r>
      <w:r>
        <w:rPr>
          <w:rFonts w:ascii="Arial" w:cs="Arial" w:eastAsia="Arial" w:hAnsi="Arial"/>
          <w:sz w:val="18"/>
          <w:szCs w:val="18"/>
          <w:color w:val="auto"/>
        </w:rPr>
        <w:t xml:space="preserve"> </w:t>
      </w:r>
      <w:r>
        <w:rPr>
          <w:rFonts w:ascii="Arial" w:cs="Arial" w:eastAsia="Arial" w:hAnsi="Arial"/>
          <w:sz w:val="18"/>
          <w:szCs w:val="18"/>
          <w:color w:val="212529"/>
        </w:rPr>
        <w:t>due to COVID-19, the Company will continue to monitor redemption patterns and will adjust estimates in the future, which could be material.</w:t>
      </w:r>
    </w:p>
    <w:p>
      <w:pPr>
        <w:spacing w:after="0" w:line="169"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33" w:lineRule="exact"/>
        <w:rPr>
          <w:rFonts w:ascii="Arial" w:cs="Arial" w:eastAsia="Arial" w:hAnsi="Arial"/>
          <w:sz w:val="18"/>
          <w:szCs w:val="18"/>
          <w:b w:val="1"/>
          <w:bCs w:val="1"/>
          <w:color w:val="auto"/>
        </w:rPr>
      </w:pPr>
    </w:p>
    <w:p>
      <w:pPr>
        <w:ind w:left="380" w:right="79"/>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Basic earnings per share, which excludes dilution, is computed by dividing Net Income available to common stockholders by the weighted average number of shares of common stock outstanding for the period.</w:t>
      </w:r>
    </w:p>
    <w:p>
      <w:pPr>
        <w:spacing w:after="0" w:line="174"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204"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computation of basic and diluted earnings per share:</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6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340" w:type="dxa"/>
            <w:vAlign w:val="bottom"/>
          </w:tcPr>
          <w:p>
            <w:pPr>
              <w:spacing w:after="0"/>
              <w:rPr>
                <w:sz w:val="13"/>
                <w:szCs w:val="13"/>
                <w:color w:val="auto"/>
              </w:rPr>
            </w:pPr>
          </w:p>
        </w:tc>
        <w:tc>
          <w:tcPr>
            <w:tcW w:w="59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r>
      <w:tr>
        <w:trPr>
          <w:trHeight w:val="196"/>
        </w:trPr>
        <w:tc>
          <w:tcPr>
            <w:tcW w:w="34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12,416</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7,251</w:t>
            </w:r>
          </w:p>
        </w:tc>
        <w:tc>
          <w:tcPr>
            <w:tcW w:w="2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48,496,077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46,805,951</w:t>
            </w:r>
          </w:p>
        </w:tc>
        <w:tc>
          <w:tcPr>
            <w:tcW w:w="2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960" w:type="dxa"/>
            <w:vAlign w:val="bottom"/>
            <w:tcBorders>
              <w:bottom w:val="single" w:sz="8" w:color="CCEEFF"/>
            </w:tcBorders>
          </w:tcPr>
          <w:p>
            <w:pPr>
              <w:spacing w:after="0" w:line="202" w:lineRule="exact"/>
              <w:rPr>
                <w:sz w:val="20"/>
                <w:szCs w:val="20"/>
                <w:color w:val="auto"/>
              </w:rPr>
            </w:pPr>
            <w:r>
              <w:rPr>
                <w:rFonts w:ascii="Arial" w:cs="Arial" w:eastAsia="Arial" w:hAnsi="Arial"/>
                <w:sz w:val="16"/>
                <w:szCs w:val="16"/>
                <w:color w:val="auto"/>
              </w:rPr>
              <w:t xml:space="preserve">Dilutive effect of Stock Options and Warrants </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4,012,109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1,419,652</w:t>
            </w:r>
          </w:p>
        </w:tc>
        <w:tc>
          <w:tcPr>
            <w:tcW w:w="28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52,508,186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48,225,603</w:t>
            </w:r>
          </w:p>
        </w:tc>
        <w:tc>
          <w:tcPr>
            <w:tcW w:w="2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3"/>
        </w:trPr>
        <w:tc>
          <w:tcPr>
            <w:tcW w:w="34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0.16</w:t>
            </w:r>
          </w:p>
        </w:tc>
        <w:tc>
          <w:tcPr>
            <w:tcW w:w="28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r>
      <w:tr>
        <w:trPr>
          <w:trHeight w:val="836"/>
        </w:trPr>
        <w:tc>
          <w:tcPr>
            <w:tcW w:w="6300" w:type="dxa"/>
            <w:vAlign w:val="bottom"/>
            <w:gridSpan w:val="2"/>
          </w:tcPr>
          <w:p>
            <w:pPr>
              <w:jc w:val="right"/>
              <w:ind w:right="1531"/>
              <w:spacing w:after="0"/>
              <w:rPr>
                <w:sz w:val="20"/>
                <w:szCs w:val="20"/>
                <w:color w:val="auto"/>
              </w:rPr>
            </w:pPr>
            <w:r>
              <w:rPr>
                <w:rFonts w:ascii="Arial" w:cs="Arial" w:eastAsia="Arial" w:hAnsi="Arial"/>
                <w:sz w:val="18"/>
                <w:szCs w:val="18"/>
                <w:color w:val="auto"/>
              </w:rPr>
              <w:t>- 14 -</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720" w:right="79" w:hanging="319"/>
        <w:spacing w:after="0" w:line="208" w:lineRule="auto"/>
        <w:tabs>
          <w:tab w:leader="none" w:pos="720"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There were 3,557,432 and 3,646,690 performance-based stock options outstanding at March 31, 2021 and 2020, respectively. As a result of the Company’s initial public offering, 75 percent of these options are expected to meet the performance conditions and are included in dilutive options at March 31, 2021. At March 31, 2020, these options were excluded from the calculation of diluted EPS since the performance conditions were not considered likely to be met.</w:t>
      </w:r>
    </w:p>
    <w:p>
      <w:pPr>
        <w:spacing w:after="0" w:line="201"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Prior to their exercise on January 31, 2020, all 40,005,885 warrants held by the Apollo Stockholder were included in basic and diluted weighted average shares outstanding as they were equity classified, had an exercise price of approximately $0.0005, and all necessary conditions for issuance were met.</w:t>
      </w:r>
    </w:p>
    <w:p>
      <w:pPr>
        <w:spacing w:after="0" w:line="203"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Warrants held by Amazon are included in dilutive weighted average shares outstanding as of the date the warrants vest. The unvested warrants held by Amazon have not been included in dilutive shares as their performance condition had not been satisfied.</w:t>
      </w:r>
    </w:p>
    <w:p>
      <w:pPr>
        <w:spacing w:after="0" w:line="167" w:lineRule="exact"/>
        <w:rPr>
          <w:sz w:val="20"/>
          <w:szCs w:val="20"/>
          <w:color w:val="auto"/>
        </w:rPr>
      </w:pPr>
    </w:p>
    <w:p>
      <w:pPr>
        <w:ind w:left="380" w:right="5879" w:hanging="330"/>
        <w:spacing w:after="0" w:line="498" w:lineRule="auto"/>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AIRCRAFT – Owned and Leased Aircraft Fleet</w:t>
      </w: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aircraft fleet activity for the three months ended March 31,</w:t>
      </w: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2021 and 2020, respectively:</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Additions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Removals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March 31, 2021</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Passenger:</w:t>
            </w:r>
          </w:p>
        </w:tc>
        <w:tc>
          <w:tcPr>
            <w:tcW w:w="1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3"/>
        </w:trPr>
        <w:tc>
          <w:tcPr>
            <w:tcW w:w="4140" w:type="dxa"/>
            <w:vAlign w:val="bottom"/>
          </w:tcPr>
          <w:p>
            <w:pPr>
              <w:ind w:left="100"/>
              <w:spacing w:after="0" w:line="202" w:lineRule="exact"/>
              <w:rPr>
                <w:sz w:val="20"/>
                <w:szCs w:val="20"/>
                <w:color w:val="auto"/>
              </w:rPr>
            </w:pPr>
            <w:r>
              <w:rPr>
                <w:rFonts w:ascii="Arial" w:cs="Arial" w:eastAsia="Arial" w:hAnsi="Arial"/>
                <w:sz w:val="18"/>
                <w:szCs w:val="18"/>
                <w:color w:val="auto"/>
              </w:rPr>
              <w:t>Owned</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4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Finance leases</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14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196"/>
        </w:trPr>
        <w:tc>
          <w:tcPr>
            <w:tcW w:w="414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Sun Country Airlines' Fleet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Cargo:</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4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Aircraft Operated for Amazon</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r>
      <w:tr>
        <w:trPr>
          <w:trHeight w:val="196"/>
        </w:trPr>
        <w:tc>
          <w:tcPr>
            <w:tcW w:w="4140" w:type="dxa"/>
            <w:vAlign w:val="bottom"/>
          </w:tcPr>
          <w:p>
            <w:pPr>
              <w:ind w:left="220"/>
              <w:spacing w:after="0" w:line="196" w:lineRule="exact"/>
              <w:rPr>
                <w:sz w:val="20"/>
                <w:szCs w:val="20"/>
                <w:color w:val="auto"/>
              </w:rPr>
            </w:pPr>
            <w:r>
              <w:rPr>
                <w:rFonts w:ascii="Arial" w:cs="Arial" w:eastAsia="Arial" w:hAnsi="Arial"/>
                <w:sz w:val="18"/>
                <w:szCs w:val="18"/>
                <w:color w:val="auto"/>
              </w:rPr>
              <w:t>Total Aircraft Operated</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4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80" w:right="79"/>
        <w:spacing w:after="0" w:line="246" w:lineRule="auto"/>
        <w:rPr>
          <w:sz w:val="20"/>
          <w:szCs w:val="20"/>
          <w:color w:val="auto"/>
        </w:rPr>
      </w:pPr>
      <w:r>
        <w:rPr>
          <w:rFonts w:ascii="Arial" w:cs="Arial" w:eastAsia="Arial" w:hAnsi="Arial"/>
          <w:sz w:val="18"/>
          <w:szCs w:val="18"/>
          <w:color w:val="auto"/>
        </w:rPr>
        <w:t>The five aircraft purchased during the three months ended March 31, 2021 were financed through the Delayed Draw Term Loan Facility (see Note 7). All five of these were previously under operating leases.</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Additions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Removals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March 31, 2020</w:t>
            </w:r>
          </w:p>
        </w:tc>
      </w:tr>
      <w:tr>
        <w:trPr>
          <w:trHeight w:val="183"/>
        </w:trPr>
        <w:tc>
          <w:tcPr>
            <w:tcW w:w="4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Passenger:</w:t>
            </w:r>
          </w:p>
        </w:tc>
        <w:tc>
          <w:tcPr>
            <w:tcW w:w="1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203"/>
        </w:trPr>
        <w:tc>
          <w:tcPr>
            <w:tcW w:w="4140" w:type="dxa"/>
            <w:vAlign w:val="bottom"/>
          </w:tcPr>
          <w:p>
            <w:pPr>
              <w:ind w:left="100"/>
              <w:spacing w:after="0" w:line="202" w:lineRule="exact"/>
              <w:rPr>
                <w:sz w:val="20"/>
                <w:szCs w:val="20"/>
                <w:color w:val="auto"/>
              </w:rPr>
            </w:pPr>
            <w:r>
              <w:rPr>
                <w:rFonts w:ascii="Arial" w:cs="Arial" w:eastAsia="Arial" w:hAnsi="Arial"/>
                <w:sz w:val="18"/>
                <w:szCs w:val="18"/>
                <w:color w:val="auto"/>
              </w:rPr>
              <w:t>Owned</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Finance leases</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14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4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Seasonal leases</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4140" w:type="dxa"/>
            <w:vAlign w:val="bottom"/>
          </w:tcPr>
          <w:p>
            <w:pPr>
              <w:ind w:left="220"/>
              <w:spacing w:after="0" w:line="196" w:lineRule="exact"/>
              <w:rPr>
                <w:sz w:val="20"/>
                <w:szCs w:val="20"/>
                <w:color w:val="auto"/>
              </w:rPr>
            </w:pPr>
            <w:r>
              <w:rPr>
                <w:rFonts w:ascii="Arial" w:cs="Arial" w:eastAsia="Arial" w:hAnsi="Arial"/>
                <w:sz w:val="18"/>
                <w:szCs w:val="18"/>
                <w:color w:val="auto"/>
              </w:rPr>
              <w:t>Sun Country Airlines' Fleet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4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three aircraft purchased during the three months ended March 31, 2020 were financed through equipment trust certificates (see Note 7). One of these aircraft was previously under an operating lease and the other two aircraft were new to the Company’s fleet. In addition, the Company refinanced three previously owned and financed aircraft in January 2020 utilizing equipment trust certificates (see Note 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The Accumulated Depreciation on owned assets was $57,950 and $ 52,048 as of March 31, 2021 and December 31, 2020, respectively. Depreciation expense was $8,800 and $5,121 for the three months ended March 31, 2021 and 2020, respectively.</w:t>
      </w:r>
    </w:p>
    <w:p>
      <w:pPr>
        <w:spacing w:after="0" w:line="203" w:lineRule="exact"/>
        <w:rPr>
          <w:sz w:val="20"/>
          <w:szCs w:val="20"/>
          <w:color w:val="auto"/>
        </w:rPr>
      </w:pPr>
    </w:p>
    <w:p>
      <w:pPr>
        <w:jc w:val="both"/>
        <w:ind w:left="380" w:right="79"/>
        <w:spacing w:after="0"/>
        <w:rPr>
          <w:sz w:val="20"/>
          <w:szCs w:val="20"/>
          <w:color w:val="auto"/>
        </w:rPr>
      </w:pPr>
      <w:r>
        <w:rPr>
          <w:rFonts w:ascii="Arial" w:cs="Arial" w:eastAsia="Arial" w:hAnsi="Arial"/>
          <w:sz w:val="18"/>
          <w:szCs w:val="18"/>
          <w:color w:val="auto"/>
        </w:rPr>
        <w:t>The Accumulated Amortization on Finance Lease Assets was $18,517 and $13,018 as of March 31, 2021 and December 31, 2020, respectively. Amortization Expense was $2,692 and $4,290 for the three months ended March 31, 2021 and 2020, respectively.</w:t>
      </w:r>
    </w:p>
    <w:p>
      <w:pPr>
        <w:spacing w:after="0" w:line="203" w:lineRule="exact"/>
        <w:rPr>
          <w:sz w:val="20"/>
          <w:szCs w:val="20"/>
          <w:color w:val="auto"/>
        </w:rPr>
      </w:pPr>
    </w:p>
    <w:p>
      <w:pPr>
        <w:jc w:val="both"/>
        <w:ind w:left="380" w:right="79"/>
        <w:spacing w:after="0" w:line="246" w:lineRule="auto"/>
        <w:rPr>
          <w:sz w:val="20"/>
          <w:szCs w:val="20"/>
          <w:color w:val="auto"/>
        </w:rPr>
      </w:pPr>
      <w:r>
        <w:rPr>
          <w:rFonts w:ascii="Arial" w:cs="Arial" w:eastAsia="Arial" w:hAnsi="Arial"/>
          <w:sz w:val="18"/>
          <w:szCs w:val="18"/>
          <w:color w:val="auto"/>
        </w:rPr>
        <w:t>Depreciation expense on owned assets and amortization expense on Finance Lease Assets are each classified in Depreciation and Amortization on the Condensed Consolidated Statements of Operations.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Aircraft Lease Payment Deferrals</w:t>
      </w:r>
    </w:p>
    <w:p>
      <w:pPr>
        <w:spacing w:after="0" w:line="234"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During the year ended December 31, 2020 the Company negotiated rent payment deferrals with a majority of its aircraft lessors due to COVID-19 cash flow impacts. The amount deferred as of March 31, 2021 was $975, consisting of $ 533 under finance leases and $442 under operating leases. The amount deferred as of December 31, 2020 was $7,569, consisting of $ 2,133 under finance leases and $5,436 under operating leases. These deferrals are classified within the current portion of the respective lease liabilities on the Condensed Consolidated Balance Sheets.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Aircraft Maintenance Deposits Contra-Assets</w:t>
      </w:r>
    </w:p>
    <w:p>
      <w:pPr>
        <w:spacing w:after="0" w:line="234" w:lineRule="exact"/>
        <w:rPr>
          <w:sz w:val="20"/>
          <w:szCs w:val="20"/>
          <w:color w:val="auto"/>
        </w:rPr>
      </w:pPr>
    </w:p>
    <w:p>
      <w:pPr>
        <w:jc w:val="both"/>
        <w:ind w:left="380" w:right="59"/>
        <w:spacing w:after="0" w:line="236" w:lineRule="auto"/>
        <w:rPr>
          <w:sz w:val="20"/>
          <w:szCs w:val="20"/>
          <w:color w:val="auto"/>
        </w:rPr>
      </w:pPr>
      <w:r>
        <w:rPr>
          <w:rFonts w:ascii="Arial" w:cs="Arial" w:eastAsia="Arial" w:hAnsi="Arial"/>
          <w:sz w:val="18"/>
          <w:szCs w:val="18"/>
          <w:color w:val="auto"/>
        </w:rPr>
        <w:t>At April 11, 2018 (the “Acquisition Date”), the Company established a deposit contra-asset to represent the Company’s obligation to perform planned maintenance events on leased aircraft held as of the Acquisition Date. As of March 31, 2021 and December 31, 2020, the remaining balance of the contra-asset was $26,512 and $36,729, respectively. Of the $10,217 reduction in the contra-asset during the three months ended March 31, 2021, $9,880 related to the purchase of five aircrafts previously leased, whereupon the contra-assets and related maintenance deposits were written-off concurrently to Aircraft lease buy-out expense in Special Items, net (see Note 11). For the three months ended March 31, 2021 and 2020, the Company recognized none and $425, respectively, of the contra-asset as a reduction to Maintenance expense on the accompanying Condensed Consolidated Statements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Over-market Liabilities</w:t>
      </w:r>
    </w:p>
    <w:p>
      <w:pPr>
        <w:spacing w:after="0" w:line="234"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At the Acquisition Date, the Company acquired liabilities related to its over-market lease rates and over-market maintenance reserve payments.</w:t>
      </w:r>
    </w:p>
    <w:p>
      <w:pPr>
        <w:spacing w:after="0" w:line="197"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As of the Acquisition Date, the Company recognized a liability representing lease terms which are unfavorable compared with market terms of similar leases. The remaining balance of this contra-asset as of March 31, 2021 and December 31, 2020 was $12,891 and $16,501, respectively and is recorded within Operating Lease Right-of-Use Assets. The purchase of five aircraft in March 2021 contributed $2,858 of the decrease.</w:t>
      </w:r>
    </w:p>
    <w:p>
      <w:pPr>
        <w:spacing w:after="0" w:line="202"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79"/>
        <w:spacing w:after="0" w:line="238" w:lineRule="auto"/>
        <w:rPr>
          <w:sz w:val="20"/>
          <w:szCs w:val="20"/>
          <w:color w:val="auto"/>
        </w:rPr>
      </w:pPr>
      <w:r>
        <w:rPr>
          <w:rFonts w:ascii="Arial" w:cs="Arial" w:eastAsia="Arial" w:hAnsi="Arial"/>
          <w:sz w:val="18"/>
          <w:szCs w:val="18"/>
          <w:color w:val="auto"/>
        </w:rPr>
        <w:t>similar leases. The remaining balance of this liability at March 31, 2021 and December 31, 2020 was $21,600 and $37,409, respectively. Of the $15,809 reduction in the over-market maintenance reserve liabilities during the three months ended March 31, 2021, $13,805 related to the purchase of five aircrafts previously leased, whereupon the over-market liabilities for those aircraft are included in Aircraft lease buy-out expense in Special Items, net (see Note 11).</w:t>
      </w:r>
    </w:p>
    <w:p>
      <w:pPr>
        <w:spacing w:after="0" w:line="202" w:lineRule="exact"/>
        <w:rPr>
          <w:sz w:val="20"/>
          <w:szCs w:val="20"/>
          <w:color w:val="auto"/>
        </w:rPr>
      </w:pPr>
    </w:p>
    <w:p>
      <w:pPr>
        <w:jc w:val="both"/>
        <w:ind w:left="380" w:right="79"/>
        <w:spacing w:after="0"/>
        <w:rPr>
          <w:sz w:val="20"/>
          <w:szCs w:val="20"/>
          <w:color w:val="auto"/>
        </w:rPr>
      </w:pPr>
      <w:r>
        <w:rPr>
          <w:rFonts w:ascii="Arial" w:cs="Arial" w:eastAsia="Arial" w:hAnsi="Arial"/>
          <w:sz w:val="18"/>
          <w:szCs w:val="18"/>
          <w:color w:val="auto"/>
        </w:rPr>
        <w:t>Aircraft Rent expense for the three months ended March 31, 2021 and 2020, includes credits of $2,755 and $4,103, respectively, for the amortization of over-market liabilities established at the Acquisition Date related to lease rates and maintenance reserves.</w:t>
      </w:r>
    </w:p>
    <w:p>
      <w:pPr>
        <w:spacing w:after="0" w:line="167"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11"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Lines of Credit </w:t>
      </w:r>
      <w:r>
        <w:rPr>
          <w:rFonts w:ascii="Arial" w:cs="Arial" w:eastAsia="Arial" w:hAnsi="Arial"/>
          <w:sz w:val="18"/>
          <w:szCs w:val="18"/>
          <w:color w:val="auto"/>
        </w:rPr>
        <w:t>– On February 10, 2021, the Company executed a new five-year credit agreement with a</w:t>
      </w:r>
      <w:r>
        <w:rPr>
          <w:rFonts w:ascii="Arial" w:cs="Arial" w:eastAsia="Arial" w:hAnsi="Arial"/>
          <w:sz w:val="18"/>
          <w:szCs w:val="18"/>
          <w:b w:val="1"/>
          <w:bCs w:val="1"/>
          <w:color w:val="auto"/>
        </w:rPr>
        <w:t xml:space="preserve"> </w:t>
      </w:r>
      <w:r>
        <w:rPr>
          <w:rFonts w:ascii="Arial" w:cs="Arial" w:eastAsia="Arial" w:hAnsi="Arial"/>
          <w:sz w:val="18"/>
          <w:szCs w:val="18"/>
          <w:color w:val="auto"/>
        </w:rPr>
        <w:t>group of lenders that replaced the Company’s prior $25,000 asset-based revolving credit facility (the “ABL Facility”). The new agreement provides for a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 0.5%. The proceeds from the Revolving Credit Facility can be used for general corporate purposes. The proceeds from the Delayed Draw Term Loan Facility are to be used solely to finance the acquisition of aircraft or engines to be registered in the U.S. During the three months ended March 31, 2021, the Company drew $68,000 on the Delayed Draw Term Loan Facility to purchase five aircrafts. On April 6, 2021, the Company drew an additional $12,500 for the purchase of an additional aircraft, which was under operating lease as of March 31, 2021. The Credit Facilities have financial covenants that require a minimum EBITDAR (ranging from $62,100 to $87,700) and a minimum liquidity of $30,000 at the close of any business day.</w:t>
      </w:r>
    </w:p>
    <w:p>
      <w:pPr>
        <w:spacing w:after="0" w:line="180" w:lineRule="exact"/>
        <w:rPr>
          <w:rFonts w:ascii="Arial" w:cs="Arial" w:eastAsia="Arial" w:hAnsi="Arial"/>
          <w:sz w:val="18"/>
          <w:szCs w:val="18"/>
          <w:b w:val="1"/>
          <w:bCs w:val="1"/>
          <w:color w:val="auto"/>
        </w:rPr>
      </w:pPr>
    </w:p>
    <w:p>
      <w:pPr>
        <w:jc w:val="both"/>
        <w:ind w:left="380" w:right="79"/>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 In December 2019, the Company arranged for the issuance of Class A, Class B and</w:t>
      </w:r>
      <w:r>
        <w:rPr>
          <w:rFonts w:ascii="Arial" w:cs="Arial" w:eastAsia="Arial" w:hAnsi="Arial"/>
          <w:sz w:val="18"/>
          <w:szCs w:val="18"/>
          <w:b w:val="1"/>
          <w:bCs w:val="1"/>
          <w:color w:val="auto"/>
        </w:rPr>
        <w:t xml:space="preserve"> </w:t>
      </w:r>
      <w:r>
        <w:rPr>
          <w:rFonts w:ascii="Arial" w:cs="Arial" w:eastAsia="Arial" w:hAnsi="Arial"/>
          <w:sz w:val="18"/>
          <w:szCs w:val="18"/>
          <w:color w:val="auto"/>
        </w:rPr>
        <w:t>Class C pass-through trust certificates Series 2019-1 (the “2019-1 EETC”), in an aggregate face amount of $248,587 for the purpose of financing or refinancing 13 used aircraft, which was completed in 2020.</w:t>
      </w:r>
    </w:p>
    <w:p>
      <w:pPr>
        <w:spacing w:after="0" w:line="190"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 xml:space="preserve">Under the CARES Act Loan Program, on October 26, 2020, the Company was awarded a $45,000 loan, which </w:t>
      </w:r>
      <w:r>
        <w:rPr>
          <w:rFonts w:ascii="Arial" w:cs="Arial" w:eastAsia="Arial" w:hAnsi="Arial"/>
          <w:sz w:val="18"/>
          <w:szCs w:val="18"/>
          <w:color w:val="212529"/>
        </w:rPr>
        <w:t>was secured by the Company’s loyalty program and certain cash deposit accounts.</w:t>
      </w:r>
      <w:r>
        <w:rPr>
          <w:rFonts w:ascii="Arial" w:cs="Arial" w:eastAsia="Arial" w:hAnsi="Arial"/>
          <w:sz w:val="18"/>
          <w:szCs w:val="18"/>
          <w:color w:val="auto"/>
        </w:rPr>
        <w:t xml:space="preserve"> The loan bore interest at a rate per annum equal to the Adjusted LIBO Rate plus 6.50% and was due to be repaid on the earlier of (i) October 24, 2025 or (ii) six months prior to the expiration date of any material loyalty program securing the loan. On March 24, 2021, the CARES Act Loan was repaid in full, including outstanding principal and accrued interest for a total repayment amount of $46,260.</w:t>
      </w:r>
    </w:p>
    <w:p>
      <w:pPr>
        <w:spacing w:after="0" w:line="200" w:lineRule="exact"/>
        <w:rPr>
          <w:rFonts w:ascii="Arial" w:cs="Arial" w:eastAsia="Arial" w:hAnsi="Arial"/>
          <w:sz w:val="18"/>
          <w:szCs w:val="18"/>
          <w:b w:val="1"/>
          <w:bCs w:val="1"/>
          <w:color w:val="auto"/>
        </w:rPr>
      </w:pPr>
    </w:p>
    <w:p>
      <w:pPr>
        <w:spacing w:after="0" w:line="220" w:lineRule="exact"/>
        <w:rPr>
          <w:rFonts w:ascii="Arial" w:cs="Arial" w:eastAsia="Arial" w:hAnsi="Arial"/>
          <w:sz w:val="18"/>
          <w:szCs w:val="18"/>
          <w:b w:val="1"/>
          <w:bCs w:val="1"/>
          <w:color w:val="auto"/>
        </w:rPr>
      </w:pPr>
    </w:p>
    <w:p>
      <w:pPr>
        <w:ind w:left="4400" w:hanging="106"/>
        <w:spacing w:after="0"/>
        <w:tabs>
          <w:tab w:leader="none" w:pos="44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was in compliance with all covenants in its debt agreements at March 31, 2021.</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included the following:</w:t>
      </w:r>
    </w:p>
    <w:p>
      <w:pPr>
        <w:sectPr>
          <w:pgSz w:w="11900" w:h="16838" w:orient="portrait"/>
          <w:cols w:equalWidth="0" w:num="1">
            <w:col w:w="9019"/>
          </w:cols>
          <w:pgMar w:left="1440" w:top="530" w:right="1440" w:bottom="1440" w:gutter="0" w:footer="0" w:header="0"/>
        </w:sectPr>
      </w:pPr>
    </w:p>
    <w:p>
      <w:pPr>
        <w:spacing w:after="0" w:line="374"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Notes payable under the Company's 2019-1 EETC agreement dated December 2019, with original loan amounts of $248,587 payable in bi-annual installments through December 2027. These notes bear interest at an annual rate of between 4.13% and 6.95% and are secured by the equipment for which the loan was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-650240</wp:posOffset>
            </wp:positionV>
            <wp:extent cx="5280660" cy="643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80660" cy="643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b w:val="1"/>
          <w:bCs w:val="1"/>
          <w:u w:val="single" w:color="auto"/>
          <w:color w:val="auto"/>
        </w:rPr>
        <w:t>March 31, 2021</w:t>
        <w:tab/>
        <w:t>December 31, 2020</w:t>
      </w:r>
    </w:p>
    <w:p>
      <w:pPr>
        <w:spacing w:after="0" w:line="27" w:lineRule="exact"/>
        <w:rPr>
          <w:sz w:val="20"/>
          <w:szCs w:val="20"/>
          <w:color w:val="auto"/>
        </w:rPr>
      </w:pPr>
    </w:p>
    <w:p>
      <w:pPr>
        <w:spacing w:after="0"/>
        <w:tabs>
          <w:tab w:leader="none" w:pos="300" w:val="left"/>
          <w:tab w:leader="none" w:pos="1160" w:val="left"/>
          <w:tab w:leader="none" w:pos="1740" w:val="left"/>
        </w:tabs>
        <w:rPr>
          <w:sz w:val="20"/>
          <w:szCs w:val="20"/>
          <w:color w:val="auto"/>
        </w:rPr>
      </w:pPr>
      <w:r>
        <w:rPr>
          <w:rFonts w:ascii="Arial" w:cs="Arial" w:eastAsia="Arial" w:hAnsi="Arial"/>
          <w:sz w:val="18"/>
          <w:szCs w:val="18"/>
          <w:color w:val="auto"/>
        </w:rPr>
        <w:t>$</w:t>
        <w:tab/>
        <w:t>227,347</w:t>
        <w:tab/>
        <w:t>$</w:t>
      </w:r>
      <w:r>
        <w:rPr>
          <w:sz w:val="20"/>
          <w:szCs w:val="20"/>
          <w:color w:val="auto"/>
        </w:rPr>
        <w:tab/>
      </w:r>
      <w:r>
        <w:rPr>
          <w:rFonts w:ascii="Arial" w:cs="Arial" w:eastAsia="Arial" w:hAnsi="Arial"/>
          <w:sz w:val="18"/>
          <w:szCs w:val="18"/>
          <w:color w:val="auto"/>
        </w:rPr>
        <w:t>227,347</w:t>
      </w:r>
    </w:p>
    <w:p>
      <w:pPr>
        <w:spacing w:after="0" w:line="990" w:lineRule="exact"/>
        <w:rPr>
          <w:sz w:val="20"/>
          <w:szCs w:val="20"/>
          <w:color w:val="auto"/>
        </w:rPr>
      </w:pPr>
    </w:p>
    <w:p>
      <w:pPr>
        <w:sectPr>
          <w:pgSz w:w="11900" w:h="16838" w:orient="portrait"/>
          <w:cols w:equalWidth="0" w:num="2">
            <w:col w:w="6040" w:space="180"/>
            <w:col w:w="2799"/>
          </w:cols>
          <w:pgMar w:left="1440" w:top="530" w:right="1440"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Delayed Draw Term Loan Facility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tcPr>
          <w:p>
            <w:pPr>
              <w:ind w:left="100"/>
              <w:spacing w:after="0" w:line="202" w:lineRule="exact"/>
              <w:rPr>
                <w:sz w:val="20"/>
                <w:szCs w:val="20"/>
                <w:color w:val="auto"/>
              </w:rPr>
            </w:pPr>
            <w:r>
              <w:rPr>
                <w:rFonts w:ascii="Arial" w:cs="Arial" w:eastAsia="Arial" w:hAnsi="Arial"/>
                <w:sz w:val="18"/>
                <w:szCs w:val="18"/>
                <w:color w:val="auto"/>
              </w:rPr>
              <w:t>(see terms and conditions above)</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U. S. Department of the Treasury CARES Act Loan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45,419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(see terms and conditions above)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8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Notes payable to Wilmington Trust Company. Notes bear interest at an</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annual rate of 8.45% and mature Nov. 2023 to Feb. 2024.</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11,880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12,506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8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Other Notes payable. These notes bear interest at an annual rate of</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approximately 5.0% and mature March 2029.</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307,732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285,801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(4,391)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(3,338)</w:t>
            </w: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(29,232)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(26,118)</w:t>
            </w: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7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274,109</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256,345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40" w:type="dxa"/>
            <w:vAlign w:val="bottom"/>
            <w:vMerge w:val="restart"/>
          </w:tcPr>
          <w:p>
            <w:pPr>
              <w:spacing w:after="0"/>
              <w:rPr>
                <w:sz w:val="20"/>
                <w:szCs w:val="20"/>
                <w:color w:val="auto"/>
              </w:rPr>
            </w:pPr>
            <w:r>
              <w:rPr>
                <w:rFonts w:ascii="Arial" w:cs="Arial" w:eastAsia="Arial" w:hAnsi="Arial"/>
                <w:sz w:val="18"/>
                <w:szCs w:val="18"/>
                <w:color w:val="auto"/>
              </w:rPr>
              <w:t>Future maturities of the outstanding Debt are as follows:</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Debt Principal</w:t>
            </w:r>
          </w:p>
        </w:tc>
        <w:tc>
          <w:tcPr>
            <w:tcW w:w="60" w:type="dxa"/>
            <w:vAlign w:val="bottom"/>
          </w:tcPr>
          <w:p>
            <w:pPr>
              <w:spacing w:after="0"/>
              <w:rPr>
                <w:sz w:val="24"/>
                <w:szCs w:val="24"/>
                <w:color w:val="auto"/>
              </w:rPr>
            </w:pPr>
          </w:p>
        </w:tc>
        <w:tc>
          <w:tcPr>
            <w:tcW w:w="1580" w:type="dxa"/>
            <w:vAlign w:val="bottom"/>
            <w:gridSpan w:val="6"/>
          </w:tcPr>
          <w:p>
            <w:pPr>
              <w:spacing w:after="0"/>
              <w:rPr>
                <w:sz w:val="20"/>
                <w:szCs w:val="20"/>
                <w:color w:val="auto"/>
              </w:rPr>
            </w:pPr>
            <w:r>
              <w:rPr>
                <w:rFonts w:ascii="Arial" w:cs="Arial" w:eastAsia="Arial" w:hAnsi="Arial"/>
                <w:sz w:val="14"/>
                <w:szCs w:val="14"/>
                <w:b w:val="1"/>
                <w:bCs w:val="1"/>
                <w:color w:val="auto"/>
              </w:rPr>
              <w:t>Amortization of Debt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Payments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Issuance Costs</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28,799</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(775)</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28,024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32,059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w w:val="99"/>
              </w:rPr>
              <w:t>(983)</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31,076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9"/>
              </w:rPr>
              <w:t>(908)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43,992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43,962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w w:val="99"/>
              </w:rPr>
              <w:t>(785)</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43,177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45,062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9"/>
              </w:rPr>
              <w:t>(670)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44,392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112,950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w w:val="99"/>
              </w:rPr>
              <w:t>(270)</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112,680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7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307,732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(4,391)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303,341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jc w:val="right"/>
              <w:ind w:right="311"/>
              <w:spacing w:after="0"/>
              <w:rPr>
                <w:sz w:val="20"/>
                <w:szCs w:val="20"/>
                <w:color w:val="auto"/>
              </w:rPr>
            </w:pPr>
            <w:r>
              <w:rPr>
                <w:rFonts w:ascii="Arial" w:cs="Arial" w:eastAsia="Arial" w:hAnsi="Arial"/>
                <w:sz w:val="18"/>
                <w:szCs w:val="18"/>
                <w:color w:val="auto"/>
              </w:rPr>
              <w:t>- 18 -</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presents the Company’s debt measured at fair value:</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Carrying Amount</w:t>
            </w: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307,732</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285,801</w:t>
            </w:r>
          </w:p>
        </w:tc>
        <w:tc>
          <w:tcPr>
            <w:tcW w:w="20" w:type="dxa"/>
            <w:vAlign w:val="bottom"/>
          </w:tcPr>
          <w:p>
            <w:pPr>
              <w:spacing w:after="0"/>
              <w:rPr>
                <w:sz w:val="17"/>
                <w:szCs w:val="17"/>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Fair Value</w:t>
            </w: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301,513</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279,119</w:t>
            </w:r>
          </w:p>
        </w:tc>
        <w:tc>
          <w:tcPr>
            <w:tcW w:w="20" w:type="dxa"/>
            <w:vAlign w:val="bottom"/>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The fair value of the Company’s debt was based on the discounted amount of future cash flows using the Company’s end -of-period incremental borrowing rate for similar obligations. The estimates were primarily based on Level 3 inputs.</w:t>
      </w:r>
    </w:p>
    <w:p>
      <w:pPr>
        <w:spacing w:after="0" w:line="167"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FUEL DERIVATIVES AND RISK MANAGEMENT</w:t>
      </w:r>
    </w:p>
    <w:p>
      <w:pPr>
        <w:spacing w:after="0" w:line="233"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204"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Fuel derivative contracts are recognized at fair value on the Condensed Consolidated Balance Sheets as Derivative Assets, if the fair value is in an asset position, or as Derivative Liabilities, if the fair value is in a liability position. The Company did not have any collateral held by counterparties to these agreements as of March 31, 2021 and December 31, 2020. Derivatives where the payment due date is greater than one year from the balance sheet date are classified as long-term.</w:t>
      </w:r>
    </w:p>
    <w:p>
      <w:pPr>
        <w:spacing w:after="0" w:line="20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Derivative Assets (Liabilities) were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 January 1</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Non-cash Gains (Losses)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2,386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Settlements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Pr>
          <w:p>
            <w:pPr>
              <w:spacing w:after="0" w:line="196" w:lineRule="exact"/>
              <w:rPr>
                <w:sz w:val="20"/>
                <w:szCs w:val="20"/>
                <w:color w:val="auto"/>
              </w:rPr>
            </w:pPr>
            <w:r>
              <w:rPr>
                <w:rFonts w:ascii="Arial" w:cs="Arial" w:eastAsia="Arial" w:hAnsi="Arial"/>
                <w:sz w:val="18"/>
                <w:szCs w:val="18"/>
                <w:color w:val="auto"/>
              </w:rPr>
              <w:t>Balance - March 31</w:t>
            </w: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1,205</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Fuel Derivative Gains (Losses) consisted of the following:</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80" w:type="dxa"/>
            <w:vAlign w:val="bottom"/>
          </w:tcPr>
          <w:p>
            <w:pPr>
              <w:spacing w:after="0"/>
              <w:rPr>
                <w:sz w:val="24"/>
                <w:szCs w:val="24"/>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Gains (Losses)</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Cash Premiums Paid</w:t>
            </w:r>
          </w:p>
        </w:tc>
        <w:tc>
          <w:tcPr>
            <w:tcW w:w="22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Fuel Derivative Gains (Losses)</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gain in the quarter ended March 31, 2021 was primarily due to an increase in oil prices. The loss in the quarter ended March 31, 2020 was primarily due to the significant decline in oil prices. There were fuel derivative gains in the second, third and fourth quarters of 2020, primarily due to the partial recovery of oil prices following the decline during the first quarter of 2020. Fuel derivative gains and losses are classified in Aircraft Fuel on the Condensed Consolidated Statements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As of March 31, 2021, the Company had outstanding fuel derivative contracts covering 12.7 million gallons of crude oil and jet fuel that will settle between April 2021 and September 2021.</w:t>
      </w:r>
    </w:p>
    <w:p>
      <w:pPr>
        <w:spacing w:after="0" w:line="161"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FAIR VALUE MEASUREMENTS</w:t>
      </w:r>
    </w:p>
    <w:p>
      <w:pPr>
        <w:spacing w:after="0" w:line="234"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assets or liabilities in active markets.</w:t>
      </w:r>
    </w:p>
    <w:p>
      <w:pPr>
        <w:spacing w:after="0" w:line="212" w:lineRule="exact"/>
        <w:rPr>
          <w:sz w:val="20"/>
          <w:szCs w:val="20"/>
          <w:color w:val="auto"/>
        </w:rPr>
      </w:pPr>
    </w:p>
    <w:p>
      <w:pPr>
        <w:jc w:val="both"/>
        <w:ind w:left="700" w:right="79"/>
        <w:spacing w:after="0" w:line="238"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205" w:lineRule="exact"/>
        <w:rPr>
          <w:sz w:val="20"/>
          <w:szCs w:val="20"/>
          <w:color w:val="auto"/>
        </w:rPr>
      </w:pPr>
    </w:p>
    <w:p>
      <w:pPr>
        <w:jc w:val="both"/>
        <w:ind w:left="700" w:right="79"/>
        <w:spacing w:after="0" w:line="246"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 that are supported by little or no market activity and that are significant to the fair value of the assets or liabilities.</w:t>
      </w:r>
    </w:p>
    <w:p>
      <w:pPr>
        <w:spacing w:after="0" w:line="197" w:lineRule="exact"/>
        <w:rPr>
          <w:sz w:val="20"/>
          <w:szCs w:val="20"/>
          <w:color w:val="auto"/>
        </w:rPr>
      </w:pPr>
    </w:p>
    <w:p>
      <w:pPr>
        <w:jc w:val="both"/>
        <w:ind w:left="380" w:right="79"/>
        <w:spacing w:after="0" w:line="246" w:lineRule="auto"/>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175" w:lineRule="exact"/>
        <w:rPr>
          <w:sz w:val="20"/>
          <w:szCs w:val="20"/>
          <w:color w:val="auto"/>
        </w:rPr>
      </w:pPr>
    </w:p>
    <w:p>
      <w:pPr>
        <w:jc w:val="both"/>
        <w:ind w:left="380" w:right="59"/>
        <w:spacing w:after="0" w:line="247"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 Derivative instruments are accounted for as either assets or liabilities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assets and liabilities measured at fair value on a recurring basis: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55"/>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8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3"/>
                <w:szCs w:val="13"/>
                <w:color w:val="auto"/>
              </w:rPr>
            </w:pPr>
          </w:p>
        </w:tc>
        <w:tc>
          <w:tcPr>
            <w:tcW w:w="7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3"/>
                <w:szCs w:val="13"/>
                <w:color w:val="auto"/>
              </w:rPr>
            </w:pPr>
          </w:p>
        </w:tc>
        <w:tc>
          <w:tcPr>
            <w:tcW w:w="54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3"/>
        </w:trPr>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Fuel Derivative Contracts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$ 1,205</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ind w:left="40"/>
              <w:spacing w:after="0" w:line="202" w:lineRule="exact"/>
              <w:rPr>
                <w:sz w:val="20"/>
                <w:szCs w:val="20"/>
                <w:color w:val="auto"/>
              </w:rPr>
            </w:pPr>
            <w:r>
              <w:rPr>
                <w:rFonts w:ascii="Arial" w:cs="Arial" w:eastAsia="Arial" w:hAnsi="Arial"/>
                <w:sz w:val="18"/>
                <w:szCs w:val="18"/>
                <w:color w:val="auto"/>
              </w:rPr>
              <w:t>1,205</w:t>
            </w:r>
          </w:p>
        </w:tc>
      </w:tr>
      <w:tr>
        <w:trPr>
          <w:trHeight w:val="196"/>
        </w:trPr>
        <w:tc>
          <w:tcPr>
            <w:tcW w:w="50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 measured at fair value on a recurring basis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1,205</w:t>
            </w:r>
          </w:p>
        </w:tc>
      </w:tr>
      <w:tr>
        <w:trPr>
          <w:trHeight w:val="20"/>
        </w:trPr>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58"/>
        </w:trPr>
        <w:tc>
          <w:tcPr>
            <w:tcW w:w="5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55"/>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8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3"/>
                <w:szCs w:val="13"/>
                <w:color w:val="auto"/>
              </w:rPr>
            </w:pPr>
          </w:p>
        </w:tc>
        <w:tc>
          <w:tcPr>
            <w:tcW w:w="7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3"/>
                <w:szCs w:val="13"/>
                <w:color w:val="auto"/>
              </w:rPr>
            </w:pPr>
          </w:p>
        </w:tc>
        <w:tc>
          <w:tcPr>
            <w:tcW w:w="54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2"/>
        </w:trPr>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Fuel Derivative Contracts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$ 1,173</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ind w:left="40"/>
              <w:spacing w:after="0" w:line="202" w:lineRule="exact"/>
              <w:rPr>
                <w:sz w:val="20"/>
                <w:szCs w:val="20"/>
                <w:color w:val="auto"/>
              </w:rPr>
            </w:pPr>
            <w:r>
              <w:rPr>
                <w:rFonts w:ascii="Arial" w:cs="Arial" w:eastAsia="Arial" w:hAnsi="Arial"/>
                <w:sz w:val="18"/>
                <w:szCs w:val="18"/>
                <w:color w:val="auto"/>
              </w:rPr>
              <w:t>1,173</w:t>
            </w:r>
          </w:p>
        </w:tc>
      </w:tr>
      <w:tr>
        <w:trPr>
          <w:trHeight w:val="196"/>
        </w:trPr>
        <w:tc>
          <w:tcPr>
            <w:tcW w:w="50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measured at fair value on a recurring basis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$ 1,173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1,173</w:t>
            </w:r>
          </w:p>
        </w:tc>
      </w:tr>
      <w:tr>
        <w:trPr>
          <w:trHeight w:val="20"/>
        </w:trPr>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203"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The Company’s debt portfolio consists of 2019-1 EETC certificates, borrowings under the Delayed Draw Term Loan Facility, and fixed-rate notes payable. See Note 7 for debt fair values.</w:t>
      </w:r>
    </w:p>
    <w:p>
      <w:pPr>
        <w:spacing w:after="0" w:line="161"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March 31, 2021 and 2020 was 30.3% and 25.2%, respectively. The effective tax rate represents a blend of federal and state taxes and includes the impact of certain nondeductible items. The increase is primarily related to an unfavorable permanent difference and discrete items related to executive compensation disallowed under Internal Revenue Code Section 162(m), partially offset by the reduction in meals and entertainment disallowed expenses during the current year.</w:t>
      </w:r>
    </w:p>
    <w:p>
      <w:pPr>
        <w:spacing w:after="0" w:line="18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Company’s IPO, we entered into an income tax receivable agreement (the “Tax Receivable Agreement” or “TRA”)) with our pre-IPO stockholders (the “TRA holders”). The Tax Receivable Agreement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202"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Payments under the Tax Receivable Agreement will not begin until at least 12 months after the closing of the Company’s IPO. In the event that the Company is prohibited from making payments under the Tax Receivable Agreement for tax benefits utilized during any periods pursuant to the CARES Act or other governmental programs, the Company is not required to make payments under the Tax Receivable Agreement for Pre-IPO Tax Attributes utilized in such periods. Based on our current participation in the CARES Act Loan Program, the Company does not expect to make payments under the Tax Receivable Agreement until 2023.</w:t>
      </w:r>
    </w:p>
    <w:p>
      <w:pPr>
        <w:spacing w:after="0" w:line="202" w:lineRule="exact"/>
        <w:rPr>
          <w:rFonts w:ascii="Arial" w:cs="Arial" w:eastAsia="Arial" w:hAnsi="Arial"/>
          <w:sz w:val="18"/>
          <w:szCs w:val="18"/>
          <w:b w:val="1"/>
          <w:bCs w:val="1"/>
          <w:color w:val="auto"/>
        </w:rPr>
      </w:pPr>
    </w:p>
    <w:p>
      <w:pPr>
        <w:jc w:val="both"/>
        <w:ind w:left="380" w:right="59"/>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 Tax Receivable Agreement liability is an estimate and actual amounts payable under the Tax Receivable Agreement could differ from this estimate based on, among other things, (i) generation of future taxable income over the term of the Tax Receivable Agreement, (ii) the Company’s participation in future government programs, (iii) stock option activity during periods prior to the commencement of payments under the Tax Receivable Agreement and (iv) future changes in tax laws. These factors could result in an increase or decrease in the related liability which would be recognized in the Company’s earnings in the period of such change. In April 2021, the Company was notified that it is to receive a PSP3 grant of approximately $34,547 under the American Rescue Plan Act of 2021, which will result in a decrease to the Tax Receivable Agreement liability in Q2 2021. This TRA liability decrease is due to an extension in the time period in which distributions made to shareholders are restricted. If we do not generate sufficient taxable income in the aggregate over the term of the Tax Receivable Agreement to utilize the tax benefits, then we would not be required to make the related TRA Payments. Upon the closing of the IPO, the Company recognized a non-current liability of $115,200 which represents undiscounted aggregate</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4400" w:hanging="106"/>
        <w:spacing w:after="0"/>
        <w:tabs>
          <w:tab w:leader="none" w:pos="4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payments that we expect to pay the TRA holders under the Tax Receivable Agreement and is presented in “Long-term Liabilities” on the Condensed Consolidated Balance Sheet as of March 31, 2021, with an offset to Stockholders’ Equity. Subsequent changes in the measurement of the liability will be adjusted through the Consolidated Statements of Operations.</w:t>
      </w:r>
    </w:p>
    <w:p>
      <w:pPr>
        <w:spacing w:after="0" w:line="385"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233"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Special Items, net on the Condensed Consolidated Statements of Operations consisted of the following:</w:t>
      </w:r>
    </w:p>
    <w:p>
      <w:pPr>
        <w:spacing w:after="0" w:line="213"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18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 xml:space="preserve">CARES Act grant recognition </w:t>
            </w:r>
            <w:r>
              <w:rPr>
                <w:rFonts w:ascii="Arial" w:cs="Arial" w:eastAsia="Arial" w:hAnsi="Arial"/>
                <w:sz w:val="22"/>
                <w:szCs w:val="22"/>
                <w:color w:val="auto"/>
                <w:vertAlign w:val="superscript"/>
              </w:rPr>
              <w:t>(1)</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(32,208)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6"/>
                <w:szCs w:val="16"/>
                <w:color w:val="auto"/>
              </w:rPr>
              <w:t xml:space="preserve">CARES Act employee retention credit </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(334)</w:t>
            </w:r>
          </w:p>
        </w:tc>
        <w:tc>
          <w:tcPr>
            <w:tcW w:w="220" w:type="dxa"/>
            <w:vAlign w:val="bottom"/>
          </w:tcPr>
          <w:p>
            <w:pPr>
              <w:spacing w:after="0"/>
              <w:rPr>
                <w:sz w:val="17"/>
                <w:szCs w:val="17"/>
                <w:color w:val="auto"/>
              </w:rPr>
            </w:pPr>
          </w:p>
        </w:tc>
        <w:tc>
          <w:tcPr>
            <w:tcW w:w="72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Aircraft lease buy-out expense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00"/>
              <w:spacing w:after="0" w:line="202" w:lineRule="exact"/>
              <w:rPr>
                <w:sz w:val="20"/>
                <w:szCs w:val="20"/>
                <w:color w:val="auto"/>
              </w:rPr>
            </w:pPr>
            <w:r>
              <w:rPr>
                <w:rFonts w:ascii="Arial" w:cs="Arial" w:eastAsia="Arial" w:hAnsi="Arial"/>
                <w:sz w:val="18"/>
                <w:szCs w:val="18"/>
                <w:color w:val="auto"/>
              </w:rPr>
              <w:t>—</w:t>
            </w:r>
          </w:p>
        </w:tc>
      </w:tr>
      <w:tr>
        <w:trPr>
          <w:trHeight w:val="196"/>
        </w:trPr>
        <w:tc>
          <w:tcPr>
            <w:tcW w:w="61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Special Items, net</w:t>
            </w: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(26,871)</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20" w:hanging="319"/>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the quarter ended March 31, 2021, the Treasury awarded the Company a grant under PSP2.</w:t>
      </w:r>
    </w:p>
    <w:p>
      <w:pPr>
        <w:spacing w:after="0" w:line="211" w:lineRule="exact"/>
        <w:rPr>
          <w:rFonts w:ascii="Arial" w:cs="Arial" w:eastAsia="Arial" w:hAnsi="Arial"/>
          <w:sz w:val="18"/>
          <w:szCs w:val="18"/>
          <w:color w:val="auto"/>
        </w:rPr>
      </w:pPr>
    </w:p>
    <w:p>
      <w:pPr>
        <w:ind w:left="720" w:right="79" w:hanging="319"/>
        <w:spacing w:after="0" w:line="246"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Relates to a credit recognized under the CARES Act Employee Retention credit which is a refundable tax credit against certain employment taxes.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Five aircraft were purchased in March 2021 that were previously under operating leases. Aircraft lease buy-out expense represents the net costs incurred to terminate the leases on those five aircraft. This includes the associated lease termination costs, write-off of previously capitalized maintenance deposits, and the write-off of over-market liabilities (see Note 6).</w:t>
      </w:r>
    </w:p>
    <w:p>
      <w:pPr>
        <w:spacing w:after="0" w:line="169" w:lineRule="exact"/>
        <w:rPr>
          <w:rFonts w:ascii="Arial" w:cs="Arial" w:eastAsia="Arial" w:hAnsi="Arial"/>
          <w:sz w:val="18"/>
          <w:szCs w:val="18"/>
          <w:color w:val="auto"/>
        </w:rPr>
      </w:pPr>
    </w:p>
    <w:p>
      <w:pPr>
        <w:ind w:left="380" w:hanging="330"/>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3" w:lineRule="exact"/>
        <w:rPr>
          <w:rFonts w:ascii="Arial" w:cs="Arial" w:eastAsia="Arial" w:hAnsi="Arial"/>
          <w:sz w:val="18"/>
          <w:szCs w:val="18"/>
          <w:b w:val="1"/>
          <w:bCs w:val="1"/>
          <w:color w:val="auto"/>
        </w:rPr>
      </w:pPr>
    </w:p>
    <w:p>
      <w:pPr>
        <w:ind w:left="380" w:right="79"/>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 has contractual obligations and commitments primarily with regard to lease arrangements, repayment of debt (see Note 7) and future purchases of aircraft.</w:t>
      </w:r>
    </w:p>
    <w:p>
      <w:pPr>
        <w:spacing w:after="0" w:line="196" w:lineRule="exact"/>
        <w:rPr>
          <w:rFonts w:ascii="Arial" w:cs="Arial" w:eastAsia="Arial" w:hAnsi="Arial"/>
          <w:sz w:val="18"/>
          <w:szCs w:val="18"/>
          <w:b w:val="1"/>
          <w:bCs w:val="1"/>
          <w:color w:val="auto"/>
        </w:rPr>
      </w:pPr>
    </w:p>
    <w:p>
      <w:pPr>
        <w:jc w:val="both"/>
        <w:ind w:left="380" w:right="59"/>
        <w:spacing w:after="0"/>
        <w:rPr>
          <w:rFonts w:ascii="Arial" w:cs="Arial" w:eastAsia="Arial" w:hAnsi="Arial"/>
          <w:sz w:val="18"/>
          <w:szCs w:val="18"/>
          <w:b w:val="1"/>
          <w:bCs w:val="1"/>
          <w:color w:val="auto"/>
        </w:rPr>
      </w:pPr>
      <w:r>
        <w:rPr>
          <w:rFonts w:ascii="Arial" w:cs="Arial" w:eastAsia="Arial" w:hAnsi="Arial"/>
          <w:sz w:val="18"/>
          <w:szCs w:val="18"/>
          <w:color w:val="auto"/>
        </w:rPr>
        <w:t>The Company is subject to various legal proceedings in the normal course of business and expenses legal costs as incurred. Management believes these proceedings will not have a materially adverse effect on the Company.</w:t>
      </w:r>
    </w:p>
    <w:p>
      <w:pPr>
        <w:spacing w:after="0" w:line="167" w:lineRule="exact"/>
        <w:rPr>
          <w:rFonts w:ascii="Arial" w:cs="Arial" w:eastAsia="Arial" w:hAnsi="Arial"/>
          <w:sz w:val="18"/>
          <w:szCs w:val="18"/>
          <w:b w:val="1"/>
          <w:bCs w:val="1"/>
          <w:color w:val="auto"/>
        </w:rPr>
      </w:pPr>
    </w:p>
    <w:p>
      <w:pPr>
        <w:ind w:left="380" w:hanging="330"/>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 The Company has two operating segments: Passenger and Cargo.</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4400" w:hanging="106"/>
        <w:spacing w:after="0"/>
        <w:tabs>
          <w:tab w:leader="none" w:pos="44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Company’s Passenger segment has two internal passenger groups (Scheduled and Charter), but since they share resources and expenses are combined, they are considered one Passenger operating segment. The Company’s Passenger operations are highly concentrated in the U.S. but include service to many international locations, primarily based on scheduled service to Latin America during the winter season and on military charter services. All goodwill is related to the Passenger Operating Segment.</w:t>
      </w:r>
    </w:p>
    <w:p>
      <w:pPr>
        <w:spacing w:after="0" w:line="148"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Cargo segment began providing air cargo services under the ATSA in May 2020. Fuel consumed in Cargo operations is directly reimbursed by Amazon and therefore presented net on the Consolidated Statements of Operations. Fuel consumed in Cargo maintenance activities is included in the Cargo segment. Certain operating expenses are directly attributable to this operating segment.</w:t>
      </w:r>
    </w:p>
    <w:p>
      <w:pPr>
        <w:spacing w:after="0" w:line="151"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Certain operating expenses are allocated between the operating segments. Non-Fuel operating expenses are allocated based on metrics such as block hours, fleet count and departures, which best align with the nature of the respective expense. CARES Act credits, included in Special Items, net, are allocated based on the respective segment salaries, wages, and benefits.</w:t>
      </w:r>
    </w:p>
    <w:p>
      <w:pPr>
        <w:spacing w:after="0" w:line="151"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The following table presents financial information for the Company’s two operating segments: Passenger and Cargo. Assets by segment are not reviewed by the Chief Operating Decision Maker and have not been presented herein.</w:t>
      </w:r>
    </w:p>
    <w:p>
      <w:pPr>
        <w:spacing w:after="0" w:line="124"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840" w:type="dxa"/>
            <w:vAlign w:val="bottom"/>
            <w:gridSpan w:val="8"/>
          </w:tcPr>
          <w:p>
            <w:pPr>
              <w:ind w:left="100"/>
              <w:spacing w:after="0"/>
              <w:rPr>
                <w:sz w:val="20"/>
                <w:szCs w:val="20"/>
                <w:color w:val="auto"/>
              </w:rPr>
            </w:pPr>
            <w:r>
              <w:rPr>
                <w:rFonts w:ascii="Arial" w:cs="Arial" w:eastAsia="Arial" w:hAnsi="Arial"/>
                <w:sz w:val="14"/>
                <w:szCs w:val="14"/>
                <w:b w:val="1"/>
                <w:bCs w:val="1"/>
                <w:color w:val="auto"/>
              </w:rPr>
              <w:t xml:space="preserve">Three Months Ended March 31, 2021 </w:t>
            </w:r>
            <w:r>
              <w:rPr>
                <w:rFonts w:ascii="Arial" w:cs="Arial" w:eastAsia="Arial" w:hAnsi="Arial"/>
                <w:sz w:val="21"/>
                <w:szCs w:val="21"/>
                <w:b w:val="1"/>
                <w:bCs w:val="1"/>
                <w:color w:val="auto"/>
                <w:vertAlign w:val="superscript"/>
              </w:rPr>
              <w:t>(1)</w:t>
            </w:r>
          </w:p>
        </w:tc>
      </w:tr>
      <w:tr>
        <w:trPr>
          <w:trHeight w:val="155"/>
        </w:trPr>
        <w:tc>
          <w:tcPr>
            <w:tcW w:w="5480" w:type="dxa"/>
            <w:vAlign w:val="bottom"/>
          </w:tcPr>
          <w:p>
            <w:pPr>
              <w:spacing w:after="0"/>
              <w:rPr>
                <w:sz w:val="13"/>
                <w:szCs w:val="13"/>
                <w:color w:val="auto"/>
              </w:rPr>
            </w:pPr>
          </w:p>
        </w:tc>
        <w:tc>
          <w:tcPr>
            <w:tcW w:w="1000" w:type="dxa"/>
            <w:vAlign w:val="bottom"/>
            <w:tcBorders>
              <w:top w:val="single" w:sz="8" w:color="auto"/>
            </w:tcBorders>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Passenger</w:t>
            </w:r>
          </w:p>
        </w:tc>
        <w:tc>
          <w:tcPr>
            <w:tcW w:w="92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Cargo</w:t>
            </w:r>
          </w:p>
        </w:tc>
        <w:tc>
          <w:tcPr>
            <w:tcW w:w="9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9"/>
              </w:rPr>
              <w:t>Consolidated</w:t>
            </w:r>
          </w:p>
        </w:tc>
        <w:tc>
          <w:tcPr>
            <w:tcW w:w="20" w:type="dxa"/>
            <w:vAlign w:val="bottom"/>
          </w:tcPr>
          <w:p>
            <w:pPr>
              <w:spacing w:after="0"/>
              <w:rPr>
                <w:sz w:val="13"/>
                <w:szCs w:val="13"/>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106,026</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$ 21,585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127,611</w:t>
            </w:r>
          </w:p>
        </w:tc>
        <w:tc>
          <w:tcPr>
            <w:tcW w:w="20" w:type="dxa"/>
            <w:vAlign w:val="bottom"/>
          </w:tcPr>
          <w:p>
            <w:pPr>
              <w:spacing w:after="0"/>
              <w:rPr>
                <w:sz w:val="17"/>
                <w:szCs w:val="17"/>
                <w:color w:val="auto"/>
              </w:rPr>
            </w:pPr>
          </w:p>
        </w:tc>
      </w:tr>
      <w:tr>
        <w:trPr>
          <w:trHeight w:val="196"/>
        </w:trPr>
        <w:tc>
          <w:tcPr>
            <w:tcW w:w="5480" w:type="dxa"/>
            <w:vAlign w:val="bottom"/>
          </w:tcPr>
          <w:p>
            <w:pPr>
              <w:ind w:left="220"/>
              <w:spacing w:after="0" w:line="196" w:lineRule="exact"/>
              <w:rPr>
                <w:sz w:val="20"/>
                <w:szCs w:val="20"/>
                <w:color w:val="auto"/>
              </w:rPr>
            </w:pPr>
            <w:r>
              <w:rPr>
                <w:rFonts w:ascii="Arial" w:cs="Arial" w:eastAsia="Arial" w:hAnsi="Arial"/>
                <w:sz w:val="18"/>
                <w:szCs w:val="18"/>
                <w:color w:val="auto"/>
              </w:rPr>
              <w:t>Non-Fuel Operating Expenses</w:t>
            </w: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87,205</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18,070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105,275</w:t>
            </w: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Aircraft Fuel</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24,253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24,274</w:t>
            </w:r>
          </w:p>
        </w:tc>
        <w:tc>
          <w:tcPr>
            <w:tcW w:w="20" w:type="dxa"/>
            <w:vAlign w:val="bottom"/>
          </w:tcPr>
          <w:p>
            <w:pPr>
              <w:spacing w:after="0"/>
              <w:rPr>
                <w:sz w:val="17"/>
                <w:szCs w:val="17"/>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Special Items, net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(18,206)</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(8,665)</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(26,871)</w:t>
            </w:r>
          </w:p>
        </w:tc>
        <w:tc>
          <w:tcPr>
            <w:tcW w:w="20" w:type="dxa"/>
            <w:vAlign w:val="bottom"/>
          </w:tcPr>
          <w:p>
            <w:pPr>
              <w:spacing w:after="0"/>
              <w:rPr>
                <w:sz w:val="17"/>
                <w:szCs w:val="17"/>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93,252</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9,426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102,678</w:t>
            </w:r>
          </w:p>
        </w:tc>
        <w:tc>
          <w:tcPr>
            <w:tcW w:w="20" w:type="dxa"/>
            <w:vAlign w:val="bottom"/>
          </w:tcPr>
          <w:p>
            <w:pPr>
              <w:spacing w:after="0"/>
              <w:rPr>
                <w:sz w:val="17"/>
                <w:szCs w:val="17"/>
                <w:color w:val="auto"/>
              </w:rPr>
            </w:pPr>
          </w:p>
        </w:tc>
      </w:tr>
      <w:tr>
        <w:trPr>
          <w:trHeight w:val="236"/>
        </w:trPr>
        <w:tc>
          <w:tcPr>
            <w:tcW w:w="54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12,774</w:t>
            </w: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$ 12,159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24,933</w:t>
            </w:r>
          </w:p>
        </w:tc>
        <w:tc>
          <w:tcPr>
            <w:tcW w:w="20" w:type="dxa"/>
            <w:vAlign w:val="bottom"/>
          </w:tcPr>
          <w:p>
            <w:pPr>
              <w:spacing w:after="0"/>
              <w:rPr>
                <w:sz w:val="20"/>
                <w:szCs w:val="20"/>
                <w:color w:val="auto"/>
              </w:rPr>
            </w:pPr>
          </w:p>
        </w:tc>
      </w:tr>
      <w:tr>
        <w:trPr>
          <w:trHeight w:val="183"/>
        </w:trPr>
        <w:tc>
          <w:tcPr>
            <w:tcW w:w="54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(7,121)</w:t>
            </w:r>
          </w:p>
        </w:tc>
        <w:tc>
          <w:tcPr>
            <w:tcW w:w="20" w:type="dxa"/>
            <w:vAlign w:val="bottom"/>
          </w:tcPr>
          <w:p>
            <w:pPr>
              <w:spacing w:after="0"/>
              <w:rPr>
                <w:sz w:val="17"/>
                <w:szCs w:val="17"/>
                <w:color w:val="auto"/>
              </w:rPr>
            </w:pPr>
          </w:p>
        </w:tc>
      </w:tr>
      <w:tr>
        <w:trPr>
          <w:trHeight w:val="203"/>
        </w:trPr>
        <w:tc>
          <w:tcPr>
            <w:tcW w:w="5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r>
      <w:tr>
        <w:trPr>
          <w:trHeight w:val="196"/>
        </w:trPr>
        <w:tc>
          <w:tcPr>
            <w:tcW w:w="5480" w:type="dxa"/>
            <w:vAlign w:val="bottom"/>
          </w:tcPr>
          <w:p>
            <w:pPr>
              <w:spacing w:after="0" w:line="196" w:lineRule="exact"/>
              <w:rPr>
                <w:sz w:val="20"/>
                <w:szCs w:val="20"/>
                <w:color w:val="auto"/>
              </w:rPr>
            </w:pPr>
            <w:r>
              <w:rPr>
                <w:rFonts w:ascii="Arial" w:cs="Arial" w:eastAsia="Arial" w:hAnsi="Arial"/>
                <w:sz w:val="18"/>
                <w:szCs w:val="18"/>
                <w:color w:val="auto"/>
              </w:rPr>
              <w:t>Income before Income Tax</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17,822</w:t>
            </w:r>
          </w:p>
        </w:tc>
        <w:tc>
          <w:tcPr>
            <w:tcW w:w="2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As air cargo operations commenced in May 2020, there is no comparable prior period information.</w:t>
      </w:r>
    </w:p>
    <w:p>
      <w:pPr>
        <w:spacing w:after="0" w:line="176" w:lineRule="exact"/>
        <w:rPr>
          <w:sz w:val="20"/>
          <w:szCs w:val="20"/>
          <w:color w:val="auto"/>
        </w:rPr>
      </w:pPr>
    </w:p>
    <w:p>
      <w:pPr>
        <w:ind w:left="380" w:hanging="330"/>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9" w:lineRule="exact"/>
        <w:rPr>
          <w:rFonts w:ascii="Arial" w:cs="Arial" w:eastAsia="Arial" w:hAnsi="Arial"/>
          <w:sz w:val="18"/>
          <w:szCs w:val="18"/>
          <w:b w:val="1"/>
          <w:bCs w:val="1"/>
          <w:color w:val="auto"/>
        </w:rPr>
      </w:pPr>
    </w:p>
    <w:p>
      <w:pPr>
        <w:ind w:left="380" w:right="59"/>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 evaluated subsequent events for the period from the Balance Sheet date through May 6, 2021, the date that the Condensed Consolidated Financial Statements were available to be issued.</w:t>
      </w:r>
    </w:p>
    <w:p>
      <w:pPr>
        <w:spacing w:after="0" w:line="142" w:lineRule="exact"/>
        <w:rPr>
          <w:rFonts w:ascii="Arial" w:cs="Arial" w:eastAsia="Arial" w:hAnsi="Arial"/>
          <w:sz w:val="18"/>
          <w:szCs w:val="18"/>
          <w:b w:val="1"/>
          <w:bCs w:val="1"/>
          <w:color w:val="auto"/>
        </w:rPr>
      </w:pPr>
    </w:p>
    <w:p>
      <w:pPr>
        <w:jc w:val="both"/>
        <w:ind w:left="380" w:right="59"/>
        <w:spacing w:after="0"/>
        <w:rPr>
          <w:rFonts w:ascii="Arial" w:cs="Arial" w:eastAsia="Arial" w:hAnsi="Arial"/>
          <w:sz w:val="18"/>
          <w:szCs w:val="18"/>
          <w:b w:val="1"/>
          <w:bCs w:val="1"/>
          <w:color w:val="auto"/>
        </w:rPr>
      </w:pPr>
      <w:r>
        <w:rPr>
          <w:rFonts w:ascii="Arial" w:cs="Arial" w:eastAsia="Arial" w:hAnsi="Arial"/>
          <w:sz w:val="18"/>
          <w:szCs w:val="18"/>
          <w:color w:val="auto"/>
        </w:rPr>
        <w:t>On April 22, 2021, we received $4,831 from the Treasury as a top-off grant under PSP2. Further, the Company was notified on April 15, 2021 that it will receive a grant of approximately $34,547 under PSP3, of which $17,274 was received on April 29, 2021 (see Note 3).</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6"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unaudited condensed consolidated financial statements and the accompanying notes thereto included elsewhere in this Quarterly Report on Form 10-Q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discussed in our Final Prospectus dated March 16, 2021.</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See Note 2 to our Condensed Consolidated Financial Statements included elsewhere in this Quarterly Report on Form 10-Q for more information regarding recently adopted accounting pronouncements.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three months ended March 31, 2021 and 2020. Also discussed is our financial position as of March 31, 2021 and December 31, 2020. This section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for the fiscal year ended December 31, 2020 included in our Registration Statement on Form S-1 (File No. 333-252858), as amended, including the final prospectus dated March 16, 2021 included therein (the “Final Prospectus”).This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“Risk Factors” to gain an understanding of the important factors that could cause actual results to differ materially from our forward-looking statements.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high growth, high margins and strong cash flows with greater resilience than other passenger airlines. We focus on serving leisure and visiting friends and relatives (“VFR”) passengers and charter customers and providing crew, maintenance and insurance (“CMI”) services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scheduled service business combines low costs with a high quality product to generate higher Total Revenue per Available Seat Mile (“TRASM”) than Ultra Low-Cost Carriers (“ULCCs”) while maintaining lower Adjusted CASM than Low Cost Carriers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a key component of our strategy both because it provides inherent diversification and downside protection as well as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National Collegiate Athletic Association (“NCAA”) Division I National Basketball Tournament (known as “March Madness”), and we flew over 100 college sports teams during 2019, but 2020 was lower due to the pandemic.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December 13, 2019, we signed the ATSA with Amazon to provide air cargo services. Flying under the ATSA began in May 2020 and, as of the date of this filing, we are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Our cargo business also enables us to leverage certain assets, capabilities and fixed costs to enhance profitability and promote growth across our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Operations in Review</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We have experienced a significant decline in demand related to the COVID-19 pandemic, which has caused a material decline in our 2020 and first quarter 2021 revenues and negatively impacted our financial condition and operating results, which is likely to continue for the duration of the pandemic.</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February 10, 2021, Sun Country, Inc., our wholly-owned subsidiary (the “Borrower”), entered into a new Credit Agreement which provides for a $25,000 Revolving Credit Facility and a $90,000 Delayed Draw Term Loan Facility. We received CARES Act grants of $62,312 during 2020 and a loan of $45,000 in October 2020. On January 22, 2021, we were informed by the Treasury that we would receive a grant of $32,208 under the Payroll Support Program Extension under the Consolidated Appropriations Act of 2021. We received $16,104 on February 2, 2021 and we received the remaining $16,104 on March 26, 2021. On April 22, 2021, we received $4,831 from the Treasury as a top-off grant under PSP2. Further, we were notified on April 15, 2021 that we would receive a grant of approximately $34,547 under PSP3, of which $17,274 was received on April 29, 2021.</w:t>
      </w:r>
    </w:p>
    <w:p>
      <w:pPr>
        <w:spacing w:after="0" w:line="20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the COVID-19 induced industry downturn has delayed our growth in 2020 and 2021 to date, we believe that our investments have positioned us to profitably grow our business in the long term following a rebound in the U.S. airline industry.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16"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Scheduled service</w:t>
      </w:r>
      <w:r>
        <w:rPr>
          <w:rFonts w:ascii="Arial" w:cs="Arial" w:eastAsia="Arial" w:hAnsi="Arial"/>
          <w:sz w:val="18"/>
          <w:szCs w:val="18"/>
          <w:color w:val="auto"/>
        </w:rPr>
        <w:t>. Scheduled service revenue consists of base fares, unused passenger credits and expired</w:t>
      </w:r>
      <w:r>
        <w:rPr>
          <w:rFonts w:ascii="Arial" w:cs="Arial" w:eastAsia="Arial" w:hAnsi="Arial"/>
          <w:sz w:val="18"/>
          <w:szCs w:val="18"/>
          <w:i w:val="1"/>
          <w:iCs w:val="1"/>
          <w:color w:val="auto"/>
        </w:rPr>
        <w:t xml:space="preserve"> </w:t>
      </w:r>
      <w:r>
        <w:rPr>
          <w:rFonts w:ascii="Arial" w:cs="Arial" w:eastAsia="Arial" w:hAnsi="Arial"/>
          <w:sz w:val="18"/>
          <w:szCs w:val="18"/>
          <w:color w:val="auto"/>
        </w:rPr>
        <w:t>travel credits.</w:t>
      </w:r>
    </w:p>
    <w:p>
      <w:pPr>
        <w:spacing w:after="0" w:line="160" w:lineRule="exact"/>
        <w:rPr>
          <w:sz w:val="20"/>
          <w:szCs w:val="20"/>
          <w:color w:val="auto"/>
        </w:rPr>
      </w:pPr>
    </w:p>
    <w:p>
      <w:pPr>
        <w:jc w:val="both"/>
        <w:ind w:left="60" w:right="79"/>
        <w:spacing w:after="0" w:line="250"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consists of revenue earned from our charter operations,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through our service to the U.S. Department of Defense, collegiate and professional sports teams and casinos.</w:t>
      </w:r>
    </w:p>
    <w:p>
      <w:pPr>
        <w:spacing w:after="0" w:line="177"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of revenue generated from air travel-related services such as baggage</w:t>
      </w:r>
      <w:r>
        <w:rPr>
          <w:rFonts w:ascii="Arial" w:cs="Arial" w:eastAsia="Arial" w:hAnsi="Arial"/>
          <w:sz w:val="18"/>
          <w:szCs w:val="18"/>
          <w:i w:val="1"/>
          <w:iCs w:val="1"/>
          <w:color w:val="auto"/>
        </w:rPr>
        <w:t xml:space="preserve"> </w:t>
      </w:r>
      <w:r>
        <w:rPr>
          <w:rFonts w:ascii="Arial" w:cs="Arial" w:eastAsia="Arial" w:hAnsi="Arial"/>
          <w:sz w:val="18"/>
          <w:szCs w:val="18"/>
          <w:color w:val="auto"/>
        </w:rPr>
        <w:t>fees, seat selection and upgrade fees, itinerary service fees, on-board sales and commissions on sales of trip insurance.</w:t>
      </w:r>
    </w:p>
    <w:p>
      <w:pPr>
        <w:spacing w:after="0" w:line="177"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Cargo revenue consists of air cargo transportation services under the ATSA with Amazon,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e-commerce delivery services.</w:t>
      </w:r>
    </w:p>
    <w:p>
      <w:pPr>
        <w:spacing w:after="0" w:line="160" w:lineRule="exact"/>
        <w:rPr>
          <w:sz w:val="20"/>
          <w:szCs w:val="20"/>
          <w:color w:val="auto"/>
        </w:rPr>
      </w:pPr>
    </w:p>
    <w:p>
      <w:pPr>
        <w:jc w:val="both"/>
        <w:ind w:left="60" w:right="79"/>
        <w:spacing w:after="0" w:line="250"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Sun Country Vacations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including organizing ground services, such as hotel, car and transfers. Other revenue also includes services not directly related to providing passenger services such as the advertising, marketing and brand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elements resulting from our co-branded credit card program. This component of our revenues also includes revenue from mail on regularly scheduled passenger aircraft.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jc w:val="both"/>
        <w:ind w:left="60" w:right="59"/>
        <w:spacing w:after="0" w:line="264"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Aircraft fuel expense includes jet fuel, federal and state taxes, other fees and the mark-to-market</w:t>
      </w:r>
      <w:r>
        <w:rPr>
          <w:rFonts w:ascii="Arial" w:cs="Arial" w:eastAsia="Arial" w:hAnsi="Arial"/>
          <w:sz w:val="17"/>
          <w:szCs w:val="17"/>
          <w:i w:val="1"/>
          <w:iCs w:val="1"/>
          <w:color w:val="auto"/>
        </w:rPr>
        <w:t xml:space="preserve"> </w:t>
      </w:r>
      <w:r>
        <w:rPr>
          <w:rFonts w:ascii="Arial" w:cs="Arial" w:eastAsia="Arial" w:hAnsi="Arial"/>
          <w:sz w:val="17"/>
          <w:szCs w:val="17"/>
          <w:color w:val="auto"/>
        </w:rPr>
        <w:t>gains and losses associated with 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66"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equity-based compensation, and profit sharing paid to employees for their services, as well as related expenses associated with medical benefits, employee benefit plans, employer payroll taxes and other employee related costs.</w:t>
      </w:r>
    </w:p>
    <w:p>
      <w:pPr>
        <w:spacing w:after="0" w:line="18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consists of monthly lease charges for aircraft and spare engines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certain investment funds (the “Apollo Funds”) managed by affiliates of Apollo Global Management, Inc., which were established as part of the acquisition. See Note 6 to our condensed consolidated financial statements for further information on the over-market liabilities.</w:t>
      </w:r>
    </w:p>
    <w:p>
      <w:pPr>
        <w:spacing w:after="0" w:line="18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w:t>
      </w:r>
      <w:r>
        <w:rPr>
          <w:rFonts w:ascii="Arial" w:cs="Arial" w:eastAsia="Arial" w:hAnsi="Arial"/>
          <w:sz w:val="18"/>
          <w:szCs w:val="18"/>
          <w:i w:val="1"/>
          <w:iCs w:val="1"/>
          <w:color w:val="auto"/>
        </w:rPr>
        <w:t xml:space="preserve"> </w:t>
      </w:r>
      <w:r>
        <w:rPr>
          <w:rFonts w:ascii="Arial" w:cs="Arial" w:eastAsia="Arial" w:hAnsi="Arial"/>
          <w:sz w:val="18"/>
          <w:szCs w:val="18"/>
          <w:color w:val="auto"/>
        </w:rPr>
        <w:t>us and our third-party vendors to 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new owners of Sun Country but paid for by the previous owners. For more information on these maintenance expense credits, see Note 6 to our condensed consolidated financial statements.</w:t>
      </w:r>
    </w:p>
    <w:p>
      <w:pPr>
        <w:spacing w:after="0" w:line="187" w:lineRule="exact"/>
        <w:rPr>
          <w:sz w:val="20"/>
          <w:szCs w:val="20"/>
          <w:color w:val="auto"/>
        </w:rPr>
      </w:pPr>
    </w:p>
    <w:p>
      <w:pPr>
        <w:jc w:val="both"/>
        <w:ind w:left="60" w:right="79"/>
        <w:spacing w:after="0" w:line="24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includes credit card processing fees, travel agent</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and related global distribution systems fees, advertising, sponsorship and distribution costs, such as the costs of our call centers, and costs associated with our loyalty program. It excludes related salary and wages of personnel, which are included in salaries, wages and benefits expense.</w:t>
      </w:r>
    </w:p>
    <w:p>
      <w:pPr>
        <w:spacing w:after="0" w:line="181"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w:t>
      </w:r>
      <w:r>
        <w:rPr>
          <w:rFonts w:ascii="Arial" w:cs="Arial" w:eastAsia="Arial" w:hAnsi="Arial"/>
          <w:sz w:val="18"/>
          <w:szCs w:val="18"/>
          <w:i w:val="1"/>
          <w:iCs w:val="1"/>
          <w:color w:val="auto"/>
        </w:rPr>
        <w:t xml:space="preserve"> </w:t>
      </w:r>
      <w:r>
        <w:rPr>
          <w:rFonts w:ascii="Arial" w:cs="Arial" w:eastAsia="Arial" w:hAnsi="Arial"/>
          <w:sz w:val="18"/>
          <w:szCs w:val="18"/>
          <w:color w:val="auto"/>
        </w:rPr>
        <w:t>own and leasehold improvements, amortization of finance leased assets, as well as the amortization of finite-lived intangible assets. It also includes the depreciation of significant maintenance expenses we deferred under the built-in overhaul method for owned aircraft.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 xml:space="preserve">Ground Handling. </w:t>
      </w:r>
      <w:r>
        <w:rPr>
          <w:rFonts w:ascii="Arial" w:cs="Arial" w:eastAsia="Arial" w:hAnsi="Arial"/>
          <w:sz w:val="18"/>
          <w:szCs w:val="18"/>
          <w:color w:val="auto"/>
        </w:rPr>
        <w:t>Ground handling includes ground activities including baggage handling, ticket counter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ground services.</w:t>
      </w:r>
    </w:p>
    <w:p>
      <w:pPr>
        <w:spacing w:after="0" w:line="16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 xml:space="preserve">Landing Fees and Airport Rent. </w:t>
      </w:r>
      <w:r>
        <w:rPr>
          <w:rFonts w:ascii="Arial" w:cs="Arial" w:eastAsia="Arial" w:hAnsi="Arial"/>
          <w:sz w:val="18"/>
          <w:szCs w:val="18"/>
          <w:color w:val="auto"/>
        </w:rPr>
        <w:t>Landing fees and airport rent includes aircraft landing fees and charges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use of airport facilities.</w:t>
      </w:r>
    </w:p>
    <w:p>
      <w:pPr>
        <w:spacing w:after="0" w:line="160"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7"/>
          <w:szCs w:val="17"/>
          <w:i w:val="1"/>
          <w:iCs w:val="1"/>
          <w:color w:val="auto"/>
        </w:rPr>
        <w:t xml:space="preserve">Special Items, net. </w:t>
      </w:r>
      <w:r>
        <w:rPr>
          <w:rFonts w:ascii="Arial" w:cs="Arial" w:eastAsia="Arial" w:hAnsi="Arial"/>
          <w:sz w:val="17"/>
          <w:szCs w:val="17"/>
          <w:color w:val="auto"/>
        </w:rPr>
        <w:t>Special items, net reflects expenses, or credits to expense, that are not representative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costs for the period presented and may vary from period to period in nature, frequency and amount.</w:t>
      </w:r>
    </w:p>
    <w:p>
      <w:pPr>
        <w:spacing w:after="0" w:line="139"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property taxes and insurance, including hull-liability insurance, supplies, legal and other professional fees, facilities and all other administrative and operational overhead expenses.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16"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and equivalent and investment balances.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is generally immaterial to our results of operations, reflecting the current low interest rate environment and our unrestricted cash balances.</w:t>
      </w:r>
    </w:p>
    <w:p>
      <w:pPr>
        <w:spacing w:after="0" w:line="177"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related to our outstanding debt and our finance/capital</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as well as the amortization of debt financing costs.</w:t>
      </w:r>
    </w:p>
    <w:p>
      <w:pPr>
        <w:spacing w:after="0" w:line="16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such as gain or loss on sale or retirement of assets and certain consulting expenses.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Statistics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Statistics and Metrics</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35"/>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080" w:type="dxa"/>
            <w:vAlign w:val="bottom"/>
            <w:tcBorders>
              <w:top w:val="single" w:sz="8" w:color="auto"/>
              <w:bottom w:val="single" w:sz="8" w:color="auto"/>
            </w:tcBorders>
            <w:gridSpan w:val="5"/>
          </w:tcPr>
          <w:p>
            <w:pPr>
              <w:jc w:val="right"/>
              <w:ind w:right="15"/>
              <w:spacing w:after="0" w:line="135" w:lineRule="exact"/>
              <w:rPr>
                <w:sz w:val="20"/>
                <w:szCs w:val="20"/>
                <w:color w:val="auto"/>
              </w:rPr>
            </w:pPr>
            <w:r>
              <w:rPr>
                <w:rFonts w:ascii="Arial" w:cs="Arial" w:eastAsia="Arial" w:hAnsi="Arial"/>
                <w:sz w:val="10"/>
                <w:szCs w:val="10"/>
                <w:b w:val="1"/>
                <w:bCs w:val="1"/>
                <w:color w:val="auto"/>
              </w:rPr>
              <w:t xml:space="preserve">Three Months Ended March 31, 2021 </w:t>
            </w:r>
            <w:r>
              <w:rPr>
                <w:rFonts w:ascii="Arial" w:cs="Arial" w:eastAsia="Arial" w:hAnsi="Arial"/>
                <w:sz w:val="15"/>
                <w:szCs w:val="15"/>
                <w:b w:val="1"/>
                <w:bCs w:val="1"/>
                <w:color w:val="auto"/>
                <w:vertAlign w:val="superscript"/>
              </w:rPr>
              <w:t>(1)</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080" w:type="dxa"/>
            <w:vAlign w:val="bottom"/>
            <w:tcBorders>
              <w:top w:val="single" w:sz="8" w:color="auto"/>
              <w:bottom w:val="single" w:sz="8" w:color="auto"/>
            </w:tcBorders>
            <w:gridSpan w:val="9"/>
          </w:tcPr>
          <w:p>
            <w:pPr>
              <w:jc w:val="right"/>
              <w:ind w:right="513"/>
              <w:spacing w:after="0" w:line="135" w:lineRule="exact"/>
              <w:rPr>
                <w:sz w:val="20"/>
                <w:szCs w:val="20"/>
                <w:color w:val="auto"/>
              </w:rPr>
            </w:pPr>
            <w:r>
              <w:rPr>
                <w:rFonts w:ascii="Arial" w:cs="Arial" w:eastAsia="Arial" w:hAnsi="Arial"/>
                <w:sz w:val="10"/>
                <w:szCs w:val="10"/>
                <w:b w:val="1"/>
                <w:bCs w:val="1"/>
                <w:color w:val="auto"/>
              </w:rPr>
              <w:t xml:space="preserve">Three Months Ended March 31, 2020 </w:t>
            </w:r>
            <w:r>
              <w:rPr>
                <w:rFonts w:ascii="Arial" w:cs="Arial" w:eastAsia="Arial" w:hAnsi="Arial"/>
                <w:sz w:val="15"/>
                <w:szCs w:val="15"/>
                <w:b w:val="1"/>
                <w:bCs w:val="1"/>
                <w:color w:val="auto"/>
                <w:vertAlign w:val="superscript"/>
              </w:rPr>
              <w:t>(1)</w:t>
            </w:r>
          </w:p>
        </w:tc>
      </w:tr>
      <w:tr>
        <w:trPr>
          <w:trHeight w:val="100"/>
        </w:trPr>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tcPr>
          <w:p>
            <w:pPr>
              <w:jc w:val="center"/>
              <w:ind w:right="340"/>
              <w:spacing w:after="0" w:line="100" w:lineRule="exact"/>
              <w:rPr>
                <w:sz w:val="20"/>
                <w:szCs w:val="20"/>
                <w:color w:val="auto"/>
              </w:rPr>
            </w:pPr>
            <w:r>
              <w:rPr>
                <w:rFonts w:ascii="Arial" w:cs="Arial" w:eastAsia="Arial" w:hAnsi="Arial"/>
                <w:sz w:val="11"/>
                <w:szCs w:val="11"/>
                <w:b w:val="1"/>
                <w:bCs w:val="1"/>
                <w:color w:val="auto"/>
                <w:w w:val="96"/>
              </w:rPr>
              <w:t>Scheduled</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tcPr>
          <w:p>
            <w:pPr>
              <w:jc w:val="center"/>
              <w:ind w:right="340"/>
              <w:spacing w:after="0" w:line="100" w:lineRule="exact"/>
              <w:rPr>
                <w:sz w:val="20"/>
                <w:szCs w:val="20"/>
                <w:color w:val="auto"/>
              </w:rPr>
            </w:pPr>
            <w:r>
              <w:rPr>
                <w:rFonts w:ascii="Arial" w:cs="Arial" w:eastAsia="Arial" w:hAnsi="Arial"/>
                <w:sz w:val="11"/>
                <w:szCs w:val="11"/>
                <w:b w:val="1"/>
                <w:bCs w:val="1"/>
                <w:color w:val="auto"/>
              </w:rPr>
              <w:t>Scheduled</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37"/>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6"/>
              </w:rPr>
              <w:t>Service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Charter</w:t>
            </w: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Cargo</w:t>
            </w:r>
          </w:p>
        </w:tc>
        <w:tc>
          <w:tcPr>
            <w:tcW w:w="500" w:type="dxa"/>
            <w:vAlign w:val="bottom"/>
          </w:tcPr>
          <w:p>
            <w:pPr>
              <w:jc w:val="right"/>
              <w:ind w:right="35"/>
              <w:spacing w:after="0"/>
              <w:rPr>
                <w:sz w:val="20"/>
                <w:szCs w:val="20"/>
                <w:color w:val="auto"/>
              </w:rPr>
            </w:pPr>
            <w:r>
              <w:rPr>
                <w:rFonts w:ascii="Arial" w:cs="Arial" w:eastAsia="Arial" w:hAnsi="Arial"/>
                <w:sz w:val="11"/>
                <w:szCs w:val="11"/>
                <w:b w:val="1"/>
                <w:bCs w:val="1"/>
                <w:color w:val="auto"/>
              </w:rPr>
              <w:t>Maint.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1"/>
                <w:szCs w:val="11"/>
                <w:b w:val="1"/>
                <w:bCs w:val="1"/>
                <w:color w:val="auto"/>
              </w:rPr>
              <w:t>Total</w:t>
            </w:r>
          </w:p>
        </w:tc>
        <w:tc>
          <w:tcPr>
            <w:tcW w:w="94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rPr>
              <w:t>Service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Charter</w:t>
            </w:r>
          </w:p>
        </w:tc>
        <w:tc>
          <w:tcPr>
            <w:tcW w:w="68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rPr>
              <w:t>Maint.</w:t>
            </w:r>
          </w:p>
        </w:tc>
        <w:tc>
          <w:tcPr>
            <w:tcW w:w="680" w:type="dxa"/>
            <w:vAlign w:val="bottom"/>
          </w:tcPr>
          <w:p>
            <w:pPr>
              <w:jc w:val="right"/>
              <w:ind w:right="193"/>
              <w:spacing w:after="0"/>
              <w:rPr>
                <w:sz w:val="20"/>
                <w:szCs w:val="20"/>
                <w:color w:val="auto"/>
              </w:rPr>
            </w:pPr>
            <w:r>
              <w:rPr>
                <w:rFonts w:ascii="Arial" w:cs="Arial" w:eastAsia="Arial" w:hAnsi="Arial"/>
                <w:sz w:val="11"/>
                <w:szCs w:val="11"/>
                <w:b w:val="1"/>
                <w:bCs w:val="1"/>
                <w:color w:val="auto"/>
              </w:rPr>
              <w:t>Total</w:t>
            </w:r>
          </w:p>
        </w:tc>
      </w:tr>
      <w:tr>
        <w:trPr>
          <w:trHeight w:val="142"/>
        </w:trPr>
        <w:tc>
          <w:tcPr>
            <w:tcW w:w="1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Departures</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4,323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1,511</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2,565</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8,452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5,806</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1,636</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7,523</w:t>
            </w:r>
          </w:p>
        </w:tc>
      </w:tr>
      <w:tr>
        <w:trPr>
          <w:trHeight w:val="148"/>
        </w:trPr>
        <w:tc>
          <w:tcPr>
            <w:tcW w:w="1560" w:type="dxa"/>
            <w:vAlign w:val="bottom"/>
          </w:tcPr>
          <w:p>
            <w:pPr>
              <w:spacing w:after="0"/>
              <w:rPr>
                <w:sz w:val="20"/>
                <w:szCs w:val="20"/>
                <w:color w:val="auto"/>
              </w:rPr>
            </w:pPr>
            <w:r>
              <w:rPr>
                <w:rFonts w:ascii="Arial" w:cs="Arial" w:eastAsia="Arial" w:hAnsi="Arial"/>
                <w:sz w:val="13"/>
                <w:szCs w:val="13"/>
                <w:color w:val="auto"/>
              </w:rPr>
              <w:t>Block hours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3,331</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8,242</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26,932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20,242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3,612</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24,087</w:t>
            </w:r>
          </w:p>
        </w:tc>
      </w:tr>
      <w:tr>
        <w:trPr>
          <w:trHeight w:val="149"/>
        </w:trPr>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Aircraft miles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6,233,184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1,222,451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3,285,525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10,784,543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8,157,586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1,311,533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9,534,560</w:t>
            </w:r>
          </w:p>
        </w:tc>
      </w:tr>
      <w:tr>
        <w:trPr>
          <w:trHeight w:val="148"/>
        </w:trPr>
        <w:tc>
          <w:tcPr>
            <w:tcW w:w="1560" w:type="dxa"/>
            <w:vAlign w:val="bottom"/>
          </w:tcPr>
          <w:p>
            <w:pPr>
              <w:spacing w:after="0" w:line="148" w:lineRule="exact"/>
              <w:rPr>
                <w:sz w:val="20"/>
                <w:szCs w:val="20"/>
                <w:color w:val="auto"/>
              </w:rPr>
            </w:pPr>
            <w:r>
              <w:rPr>
                <w:rFonts w:ascii="Arial" w:cs="Arial" w:eastAsia="Arial" w:hAnsi="Arial"/>
                <w:sz w:val="13"/>
                <w:szCs w:val="13"/>
                <w:color w:val="auto"/>
              </w:rPr>
              <w:t>Available seat miles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560" w:type="dxa"/>
            <w:vAlign w:val="bottom"/>
          </w:tcPr>
          <w:p>
            <w:pPr>
              <w:spacing w:after="0"/>
              <w:rPr>
                <w:sz w:val="20"/>
                <w:szCs w:val="20"/>
                <w:color w:val="auto"/>
              </w:rPr>
            </w:pPr>
            <w:r>
              <w:rPr>
                <w:rFonts w:ascii="Arial" w:cs="Arial" w:eastAsia="Arial" w:hAnsi="Arial"/>
                <w:sz w:val="13"/>
                <w:szCs w:val="13"/>
                <w:color w:val="auto"/>
              </w:rPr>
              <w:t>(ASMs)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1,158,012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211,721</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7,063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1,376,796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1,508,196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236,863</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12,008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1,757,067</w:t>
            </w:r>
          </w:p>
        </w:tc>
      </w:tr>
      <w:tr>
        <w:trPr>
          <w:trHeight w:val="138"/>
        </w:trPr>
        <w:tc>
          <w:tcPr>
            <w:tcW w:w="1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Total revenue per ASM</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59"/>
        </w:trPr>
        <w:tc>
          <w:tcPr>
            <w:tcW w:w="1560" w:type="dxa"/>
            <w:vAlign w:val="bottom"/>
            <w:shd w:val="clear" w:color="auto" w:fill="CCEEFF"/>
          </w:tcPr>
          <w:p>
            <w:pPr>
              <w:spacing w:after="0" w:line="159" w:lineRule="exact"/>
              <w:rPr>
                <w:sz w:val="20"/>
                <w:szCs w:val="20"/>
                <w:color w:val="auto"/>
              </w:rPr>
            </w:pPr>
            <w:r>
              <w:rPr>
                <w:rFonts w:ascii="Arial" w:cs="Arial" w:eastAsia="Arial" w:hAnsi="Arial"/>
                <w:sz w:val="12"/>
                <w:szCs w:val="12"/>
                <w:color w:val="auto"/>
              </w:rPr>
              <w:t xml:space="preserve">(TRASM) (cents) </w:t>
            </w:r>
            <w:r>
              <w:rPr>
                <w:rFonts w:ascii="Arial" w:cs="Arial" w:eastAsia="Arial" w:hAnsi="Arial"/>
                <w:sz w:val="18"/>
                <w:szCs w:val="18"/>
                <w:color w:val="auto"/>
                <w:vertAlign w:val="superscript"/>
              </w:rPr>
              <w:t>(2)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w:t>
            </w:r>
          </w:p>
        </w:tc>
      </w:tr>
      <w:tr>
        <w:trPr>
          <w:trHeight w:val="148"/>
        </w:trPr>
        <w:tc>
          <w:tcPr>
            <w:tcW w:w="1560" w:type="dxa"/>
            <w:vAlign w:val="bottom"/>
          </w:tcPr>
          <w:p>
            <w:pPr>
              <w:spacing w:after="0" w:line="148" w:lineRule="exact"/>
              <w:rPr>
                <w:sz w:val="20"/>
                <w:szCs w:val="20"/>
                <w:color w:val="auto"/>
              </w:rPr>
            </w:pPr>
            <w:r>
              <w:rPr>
                <w:rFonts w:ascii="Arial" w:cs="Arial" w:eastAsia="Arial" w:hAnsi="Arial"/>
                <w:sz w:val="13"/>
                <w:szCs w:val="13"/>
                <w:color w:val="auto"/>
              </w:rPr>
              <w:t>Average passenger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9"/>
        </w:trPr>
        <w:tc>
          <w:tcPr>
            <w:tcW w:w="1560" w:type="dxa"/>
            <w:vAlign w:val="bottom"/>
          </w:tcPr>
          <w:p>
            <w:pPr>
              <w:spacing w:after="0" w:line="139" w:lineRule="exact"/>
              <w:rPr>
                <w:sz w:val="20"/>
                <w:szCs w:val="20"/>
                <w:color w:val="auto"/>
              </w:rPr>
            </w:pPr>
            <w:r>
              <w:rPr>
                <w:rFonts w:ascii="Arial" w:cs="Arial" w:eastAsia="Arial" w:hAnsi="Arial"/>
                <w:sz w:val="13"/>
                <w:szCs w:val="13"/>
                <w:color w:val="auto"/>
              </w:rPr>
              <w:t>aircraft available for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9"/>
        </w:trPr>
        <w:tc>
          <w:tcPr>
            <w:tcW w:w="1560" w:type="dxa"/>
            <w:vAlign w:val="bottom"/>
          </w:tcPr>
          <w:p>
            <w:pPr>
              <w:spacing w:after="0" w:line="159" w:lineRule="exact"/>
              <w:rPr>
                <w:sz w:val="20"/>
                <w:szCs w:val="20"/>
                <w:color w:val="auto"/>
              </w:rPr>
            </w:pPr>
            <w:r>
              <w:rPr>
                <w:rFonts w:ascii="Arial" w:cs="Arial" w:eastAsia="Arial" w:hAnsi="Arial"/>
                <w:sz w:val="12"/>
                <w:szCs w:val="12"/>
                <w:color w:val="auto"/>
              </w:rPr>
              <w:t xml:space="preserve">service </w:t>
            </w:r>
            <w:r>
              <w:rPr>
                <w:rFonts w:ascii="Arial" w:cs="Arial" w:eastAsia="Arial" w:hAnsi="Arial"/>
                <w:sz w:val="18"/>
                <w:szCs w:val="18"/>
                <w:color w:val="auto"/>
                <w:vertAlign w:val="superscript"/>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26.6</w:t>
            </w:r>
          </w:p>
        </w:tc>
      </w:tr>
      <w:tr>
        <w:trPr>
          <w:trHeight w:val="138"/>
        </w:trPr>
        <w:tc>
          <w:tcPr>
            <w:tcW w:w="1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Passenger aircraft at end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59"/>
        </w:trPr>
        <w:tc>
          <w:tcPr>
            <w:tcW w:w="1560" w:type="dxa"/>
            <w:vAlign w:val="bottom"/>
            <w:shd w:val="clear" w:color="auto" w:fill="CCEEFF"/>
          </w:tcPr>
          <w:p>
            <w:pPr>
              <w:spacing w:after="0" w:line="159" w:lineRule="exact"/>
              <w:rPr>
                <w:sz w:val="20"/>
                <w:szCs w:val="20"/>
                <w:color w:val="auto"/>
              </w:rPr>
            </w:pPr>
            <w:r>
              <w:rPr>
                <w:rFonts w:ascii="Arial" w:cs="Arial" w:eastAsia="Arial" w:hAnsi="Arial"/>
                <w:sz w:val="12"/>
                <w:szCs w:val="12"/>
                <w:color w:val="auto"/>
              </w:rPr>
              <w:t xml:space="preserve">of period </w:t>
            </w:r>
            <w:r>
              <w:rPr>
                <w:rFonts w:ascii="Arial" w:cs="Arial" w:eastAsia="Arial" w:hAnsi="Arial"/>
                <w:sz w:val="18"/>
                <w:szCs w:val="18"/>
                <w:color w:val="auto"/>
                <w:vertAlign w:val="superscript"/>
              </w:rPr>
              <w:t>(2)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48"/>
        </w:trPr>
        <w:tc>
          <w:tcPr>
            <w:tcW w:w="1560" w:type="dxa"/>
            <w:vAlign w:val="bottom"/>
          </w:tcPr>
          <w:p>
            <w:pPr>
              <w:spacing w:after="0" w:line="148" w:lineRule="exact"/>
              <w:rPr>
                <w:sz w:val="20"/>
                <w:szCs w:val="20"/>
                <w:color w:val="auto"/>
              </w:rPr>
            </w:pPr>
            <w:r>
              <w:rPr>
                <w:rFonts w:ascii="Arial" w:cs="Arial" w:eastAsia="Arial" w:hAnsi="Arial"/>
                <w:sz w:val="13"/>
                <w:szCs w:val="13"/>
                <w:color w:val="auto"/>
              </w:rPr>
              <w:t>Cargo aircraft at end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560" w:type="dxa"/>
            <w:vAlign w:val="bottom"/>
          </w:tcPr>
          <w:p>
            <w:pPr>
              <w:spacing w:after="0"/>
              <w:rPr>
                <w:sz w:val="20"/>
                <w:szCs w:val="20"/>
                <w:color w:val="auto"/>
              </w:rPr>
            </w:pPr>
            <w:r>
              <w:rPr>
                <w:rFonts w:ascii="Arial" w:cs="Arial" w:eastAsia="Arial" w:hAnsi="Arial"/>
                <w:sz w:val="13"/>
                <w:szCs w:val="13"/>
                <w:color w:val="auto"/>
              </w:rPr>
              <w:t>period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8"/>
        </w:trPr>
        <w:tc>
          <w:tcPr>
            <w:tcW w:w="1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Average daily aircraft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59"/>
        </w:trPr>
        <w:tc>
          <w:tcPr>
            <w:tcW w:w="1560" w:type="dxa"/>
            <w:vAlign w:val="bottom"/>
            <w:shd w:val="clear" w:color="auto" w:fill="CCEEFF"/>
          </w:tcPr>
          <w:p>
            <w:pPr>
              <w:spacing w:after="0" w:line="159" w:lineRule="exact"/>
              <w:rPr>
                <w:sz w:val="20"/>
                <w:szCs w:val="20"/>
                <w:color w:val="auto"/>
              </w:rPr>
            </w:pPr>
            <w:r>
              <w:rPr>
                <w:rFonts w:ascii="Arial" w:cs="Arial" w:eastAsia="Arial" w:hAnsi="Arial"/>
                <w:sz w:val="12"/>
                <w:szCs w:val="12"/>
                <w:color w:val="auto"/>
              </w:rPr>
              <w:t xml:space="preserve">utilization (hours) </w:t>
            </w:r>
            <w:r>
              <w:rPr>
                <w:rFonts w:ascii="Arial" w:cs="Arial" w:eastAsia="Arial" w:hAnsi="Arial"/>
                <w:sz w:val="18"/>
                <w:szCs w:val="18"/>
                <w:color w:val="auto"/>
                <w:vertAlign w:val="superscript"/>
              </w:rPr>
              <w:t>(2)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48"/>
        </w:trPr>
        <w:tc>
          <w:tcPr>
            <w:tcW w:w="1560" w:type="dxa"/>
            <w:vAlign w:val="bottom"/>
          </w:tcPr>
          <w:p>
            <w:pPr>
              <w:spacing w:after="0" w:line="148" w:lineRule="exact"/>
              <w:rPr>
                <w:sz w:val="20"/>
                <w:szCs w:val="20"/>
                <w:color w:val="auto"/>
              </w:rPr>
            </w:pPr>
            <w:r>
              <w:rPr>
                <w:rFonts w:ascii="Arial" w:cs="Arial" w:eastAsia="Arial" w:hAnsi="Arial"/>
                <w:sz w:val="13"/>
                <w:szCs w:val="13"/>
                <w:color w:val="auto"/>
              </w:rPr>
              <w:t>Average stage length</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560" w:type="dxa"/>
            <w:vAlign w:val="bottom"/>
          </w:tcPr>
          <w:p>
            <w:pPr>
              <w:spacing w:after="0"/>
              <w:rPr>
                <w:sz w:val="20"/>
                <w:szCs w:val="20"/>
                <w:color w:val="auto"/>
              </w:rPr>
            </w:pPr>
            <w:r>
              <w:rPr>
                <w:rFonts w:ascii="Arial" w:cs="Arial" w:eastAsia="Arial" w:hAnsi="Arial"/>
                <w:sz w:val="13"/>
                <w:szCs w:val="13"/>
                <w:color w:val="auto"/>
              </w:rPr>
              <w:t>(miles)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1,272</w:t>
            </w:r>
          </w:p>
        </w:tc>
      </w:tr>
      <w:tr>
        <w:trPr>
          <w:trHeight w:val="138"/>
        </w:trPr>
        <w:tc>
          <w:tcPr>
            <w:tcW w:w="1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Revenue passengers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59"/>
        </w:trPr>
        <w:tc>
          <w:tcPr>
            <w:tcW w:w="1560" w:type="dxa"/>
            <w:vAlign w:val="bottom"/>
            <w:shd w:val="clear" w:color="auto" w:fill="CCEEFF"/>
          </w:tcPr>
          <w:p>
            <w:pPr>
              <w:spacing w:after="0" w:line="159" w:lineRule="exact"/>
              <w:rPr>
                <w:sz w:val="20"/>
                <w:szCs w:val="20"/>
                <w:color w:val="auto"/>
              </w:rPr>
            </w:pPr>
            <w:r>
              <w:rPr>
                <w:rFonts w:ascii="Arial" w:cs="Arial" w:eastAsia="Arial" w:hAnsi="Arial"/>
                <w:sz w:val="12"/>
                <w:szCs w:val="12"/>
                <w:color w:val="auto"/>
              </w:rPr>
              <w:t xml:space="preserve">carried </w:t>
            </w:r>
            <w:r>
              <w:rPr>
                <w:rFonts w:ascii="Arial" w:cs="Arial" w:eastAsia="Arial" w:hAnsi="Arial"/>
                <w:sz w:val="18"/>
                <w:szCs w:val="18"/>
                <w:color w:val="auto"/>
                <w:vertAlign w:val="superscript"/>
              </w:rPr>
              <w:t>(3)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553,032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813,938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48"/>
        </w:trPr>
        <w:tc>
          <w:tcPr>
            <w:tcW w:w="1560" w:type="dxa"/>
            <w:vAlign w:val="bottom"/>
          </w:tcPr>
          <w:p>
            <w:pPr>
              <w:spacing w:after="0" w:line="148" w:lineRule="exact"/>
              <w:rPr>
                <w:sz w:val="20"/>
                <w:szCs w:val="20"/>
                <w:color w:val="auto"/>
              </w:rPr>
            </w:pPr>
            <w:r>
              <w:rPr>
                <w:rFonts w:ascii="Arial" w:cs="Arial" w:eastAsia="Arial" w:hAnsi="Arial"/>
                <w:sz w:val="13"/>
                <w:szCs w:val="13"/>
                <w:color w:val="auto"/>
              </w:rPr>
              <w:t>Revenue passenger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9"/>
        </w:trPr>
        <w:tc>
          <w:tcPr>
            <w:tcW w:w="1560" w:type="dxa"/>
            <w:vAlign w:val="bottom"/>
          </w:tcPr>
          <w:p>
            <w:pPr>
              <w:spacing w:after="0" w:line="139" w:lineRule="exact"/>
              <w:rPr>
                <w:sz w:val="20"/>
                <w:szCs w:val="20"/>
                <w:color w:val="auto"/>
              </w:rPr>
            </w:pPr>
            <w:r>
              <w:rPr>
                <w:rFonts w:ascii="Arial" w:cs="Arial" w:eastAsia="Arial" w:hAnsi="Arial"/>
                <w:sz w:val="13"/>
                <w:szCs w:val="13"/>
                <w:color w:val="auto"/>
              </w:rPr>
              <w:t>miles (RPMs)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9"/>
        </w:trPr>
        <w:tc>
          <w:tcPr>
            <w:tcW w:w="1560" w:type="dxa"/>
            <w:vAlign w:val="bottom"/>
          </w:tcPr>
          <w:p>
            <w:pPr>
              <w:spacing w:after="0" w:line="159" w:lineRule="exact"/>
              <w:rPr>
                <w:sz w:val="20"/>
                <w:szCs w:val="20"/>
                <w:color w:val="auto"/>
              </w:rPr>
            </w:pPr>
            <w:r>
              <w:rPr>
                <w:rFonts w:ascii="Arial" w:cs="Arial" w:eastAsia="Arial" w:hAnsi="Arial"/>
                <w:sz w:val="12"/>
                <w:szCs w:val="12"/>
                <w:color w:val="auto"/>
              </w:rPr>
              <w:t xml:space="preserve">(thousands) </w:t>
            </w:r>
            <w:r>
              <w:rPr>
                <w:rFonts w:ascii="Arial" w:cs="Arial" w:eastAsia="Arial" w:hAnsi="Arial"/>
                <w:sz w:val="18"/>
                <w:szCs w:val="18"/>
                <w:color w:val="auto"/>
                <w:vertAlign w:val="superscript"/>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774,999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1,149,906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38"/>
        </w:trPr>
        <w:tc>
          <w:tcPr>
            <w:tcW w:w="1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Passenger revenue per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59"/>
        </w:trPr>
        <w:tc>
          <w:tcPr>
            <w:tcW w:w="1560" w:type="dxa"/>
            <w:vAlign w:val="bottom"/>
            <w:shd w:val="clear" w:color="auto" w:fill="CCEEFF"/>
          </w:tcPr>
          <w:p>
            <w:pPr>
              <w:spacing w:after="0" w:line="159" w:lineRule="exact"/>
              <w:rPr>
                <w:sz w:val="20"/>
                <w:szCs w:val="20"/>
                <w:color w:val="auto"/>
              </w:rPr>
            </w:pPr>
            <w:r>
              <w:rPr>
                <w:rFonts w:ascii="Arial" w:cs="Arial" w:eastAsia="Arial" w:hAnsi="Arial"/>
                <w:sz w:val="12"/>
                <w:szCs w:val="12"/>
                <w:color w:val="auto"/>
              </w:rPr>
              <w:t xml:space="preserve">ASM (PRASM) (cents) </w:t>
            </w:r>
            <w:r>
              <w:rPr>
                <w:rFonts w:ascii="Arial" w:cs="Arial" w:eastAsia="Arial" w:hAnsi="Arial"/>
                <w:sz w:val="18"/>
                <w:szCs w:val="18"/>
                <w:color w:val="auto"/>
                <w:vertAlign w:val="superscript"/>
              </w:rPr>
              <w:t>(3)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49"/>
        </w:trPr>
        <w:tc>
          <w:tcPr>
            <w:tcW w:w="1560" w:type="dxa"/>
            <w:vAlign w:val="bottom"/>
          </w:tcPr>
          <w:p>
            <w:pPr>
              <w:spacing w:after="0" w:line="149" w:lineRule="exact"/>
              <w:rPr>
                <w:sz w:val="20"/>
                <w:szCs w:val="20"/>
                <w:color w:val="auto"/>
              </w:rPr>
            </w:pPr>
            <w:r>
              <w:rPr>
                <w:rFonts w:ascii="Arial" w:cs="Arial" w:eastAsia="Arial" w:hAnsi="Arial"/>
                <w:sz w:val="12"/>
                <w:szCs w:val="12"/>
                <w:color w:val="auto"/>
              </w:rPr>
              <w:t xml:space="preserve">Load factor </w:t>
            </w:r>
            <w:r>
              <w:rPr>
                <w:rFonts w:ascii="Arial" w:cs="Arial" w:eastAsia="Arial" w:hAnsi="Arial"/>
                <w:sz w:val="17"/>
                <w:szCs w:val="17"/>
                <w:color w:val="auto"/>
                <w:vertAlign w:val="superscript"/>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66.9 %</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76.2 %</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8"/>
        </w:trPr>
        <w:tc>
          <w:tcPr>
            <w:tcW w:w="1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Average base fare per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59"/>
        </w:trPr>
        <w:tc>
          <w:tcPr>
            <w:tcW w:w="1560" w:type="dxa"/>
            <w:vAlign w:val="bottom"/>
            <w:shd w:val="clear" w:color="auto" w:fill="CCEEFF"/>
          </w:tcPr>
          <w:p>
            <w:pPr>
              <w:spacing w:after="0" w:line="159" w:lineRule="exact"/>
              <w:rPr>
                <w:sz w:val="20"/>
                <w:szCs w:val="20"/>
                <w:color w:val="auto"/>
              </w:rPr>
            </w:pPr>
            <w:r>
              <w:rPr>
                <w:rFonts w:ascii="Arial" w:cs="Arial" w:eastAsia="Arial" w:hAnsi="Arial"/>
                <w:sz w:val="12"/>
                <w:szCs w:val="12"/>
                <w:color w:val="auto"/>
              </w:rPr>
              <w:t xml:space="preserve">passenger </w:t>
            </w:r>
            <w:r>
              <w:rPr>
                <w:rFonts w:ascii="Arial" w:cs="Arial" w:eastAsia="Arial" w:hAnsi="Arial"/>
                <w:sz w:val="18"/>
                <w:szCs w:val="18"/>
                <w:color w:val="auto"/>
                <w:vertAlign w:val="superscript"/>
              </w:rPr>
              <w:t>(3)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38"/>
        </w:trPr>
        <w:tc>
          <w:tcPr>
            <w:tcW w:w="1560" w:type="dxa"/>
            <w:vAlign w:val="bottom"/>
          </w:tcPr>
          <w:p>
            <w:pPr>
              <w:spacing w:after="0" w:line="138" w:lineRule="exact"/>
              <w:rPr>
                <w:sz w:val="20"/>
                <w:szCs w:val="20"/>
                <w:color w:val="auto"/>
              </w:rPr>
            </w:pPr>
            <w:r>
              <w:rPr>
                <w:rFonts w:ascii="Arial" w:cs="Arial" w:eastAsia="Arial" w:hAnsi="Arial"/>
                <w:sz w:val="13"/>
                <w:szCs w:val="13"/>
                <w:color w:val="auto"/>
              </w:rPr>
              <w:t>Ancillary revenue per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9"/>
        </w:trPr>
        <w:tc>
          <w:tcPr>
            <w:tcW w:w="1560" w:type="dxa"/>
            <w:vAlign w:val="bottom"/>
          </w:tcPr>
          <w:p>
            <w:pPr>
              <w:spacing w:after="0" w:line="159" w:lineRule="exact"/>
              <w:rPr>
                <w:sz w:val="20"/>
                <w:szCs w:val="20"/>
                <w:color w:val="auto"/>
              </w:rPr>
            </w:pPr>
            <w:r>
              <w:rPr>
                <w:rFonts w:ascii="Arial" w:cs="Arial" w:eastAsia="Arial" w:hAnsi="Arial"/>
                <w:sz w:val="12"/>
                <w:szCs w:val="12"/>
                <w:color w:val="auto"/>
              </w:rPr>
              <w:t xml:space="preserve">passenger </w:t>
            </w:r>
            <w:r>
              <w:rPr>
                <w:rFonts w:ascii="Arial" w:cs="Arial" w:eastAsia="Arial" w:hAnsi="Arial"/>
                <w:sz w:val="18"/>
                <w:szCs w:val="18"/>
                <w:color w:val="auto"/>
                <w:vertAlign w:val="superscript"/>
              </w:rPr>
              <w:t>(3)</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42.98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43.04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1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Charter revenue per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block hour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8"/>
        </w:trPr>
        <w:tc>
          <w:tcPr>
            <w:tcW w:w="1560" w:type="dxa"/>
            <w:vAlign w:val="bottom"/>
          </w:tcPr>
          <w:p>
            <w:pPr>
              <w:spacing w:after="0" w:line="148" w:lineRule="exact"/>
              <w:rPr>
                <w:sz w:val="20"/>
                <w:szCs w:val="20"/>
                <w:color w:val="auto"/>
              </w:rPr>
            </w:pPr>
            <w:r>
              <w:rPr>
                <w:rFonts w:ascii="Arial" w:cs="Arial" w:eastAsia="Arial" w:hAnsi="Arial"/>
                <w:sz w:val="13"/>
                <w:szCs w:val="13"/>
                <w:color w:val="auto"/>
              </w:rPr>
              <w:t>Fuel gallons consumed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560" w:type="dxa"/>
            <w:vAlign w:val="bottom"/>
          </w:tcPr>
          <w:p>
            <w:pPr>
              <w:spacing w:after="0"/>
              <w:rPr>
                <w:sz w:val="20"/>
                <w:szCs w:val="20"/>
                <w:color w:val="auto"/>
              </w:rPr>
            </w:pPr>
            <w:r>
              <w:rPr>
                <w:rFonts w:ascii="Arial" w:cs="Arial" w:eastAsia="Arial" w:hAnsi="Arial"/>
                <w:sz w:val="13"/>
                <w:szCs w:val="13"/>
                <w:color w:val="auto"/>
              </w:rPr>
              <w:t>(thousands)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11,557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2,357</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13,993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15,751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2,700</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18,571</w:t>
            </w:r>
          </w:p>
        </w:tc>
      </w:tr>
      <w:tr>
        <w:trPr>
          <w:trHeight w:val="148"/>
        </w:trPr>
        <w:tc>
          <w:tcPr>
            <w:tcW w:w="1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Fuel cost per gallon,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excluding derivatives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r>
      <w:tr>
        <w:trPr>
          <w:trHeight w:val="148"/>
        </w:trPr>
        <w:tc>
          <w:tcPr>
            <w:tcW w:w="1560" w:type="dxa"/>
            <w:vAlign w:val="bottom"/>
          </w:tcPr>
          <w:p>
            <w:pPr>
              <w:spacing w:after="0" w:line="148" w:lineRule="exact"/>
              <w:rPr>
                <w:sz w:val="20"/>
                <w:szCs w:val="20"/>
                <w:color w:val="auto"/>
              </w:rPr>
            </w:pPr>
            <w:r>
              <w:rPr>
                <w:rFonts w:ascii="Arial" w:cs="Arial" w:eastAsia="Arial" w:hAnsi="Arial"/>
                <w:sz w:val="13"/>
                <w:szCs w:val="13"/>
                <w:color w:val="auto"/>
              </w:rPr>
              <w:t>Employees at end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560" w:type="dxa"/>
            <w:vAlign w:val="bottom"/>
          </w:tcPr>
          <w:p>
            <w:pPr>
              <w:spacing w:after="0"/>
              <w:rPr>
                <w:sz w:val="20"/>
                <w:szCs w:val="20"/>
                <w:color w:val="auto"/>
              </w:rPr>
            </w:pPr>
            <w:r>
              <w:rPr>
                <w:rFonts w:ascii="Arial" w:cs="Arial" w:eastAsia="Arial" w:hAnsi="Arial"/>
                <w:sz w:val="13"/>
                <w:szCs w:val="13"/>
                <w:color w:val="auto"/>
              </w:rPr>
              <w:t>period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1,640</w:t>
            </w:r>
          </w:p>
        </w:tc>
      </w:tr>
      <w:tr>
        <w:trPr>
          <w:trHeight w:val="138"/>
        </w:trPr>
        <w:tc>
          <w:tcPr>
            <w:tcW w:w="1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Cost per available seat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59"/>
        </w:trPr>
        <w:tc>
          <w:tcPr>
            <w:tcW w:w="1560" w:type="dxa"/>
            <w:vAlign w:val="bottom"/>
            <w:shd w:val="clear" w:color="auto" w:fill="CCEEFF"/>
          </w:tcPr>
          <w:p>
            <w:pPr>
              <w:spacing w:after="0" w:line="159" w:lineRule="exact"/>
              <w:rPr>
                <w:sz w:val="20"/>
                <w:szCs w:val="20"/>
                <w:color w:val="auto"/>
              </w:rPr>
            </w:pPr>
            <w:r>
              <w:rPr>
                <w:rFonts w:ascii="Arial" w:cs="Arial" w:eastAsia="Arial" w:hAnsi="Arial"/>
                <w:sz w:val="12"/>
                <w:szCs w:val="12"/>
                <w:color w:val="auto"/>
              </w:rPr>
              <w:t xml:space="preserve">mile (CASM) (cents) </w:t>
            </w:r>
            <w:r>
              <w:rPr>
                <w:rFonts w:ascii="Arial" w:cs="Arial" w:eastAsia="Arial" w:hAnsi="Arial"/>
                <w:sz w:val="18"/>
                <w:szCs w:val="18"/>
                <w:color w:val="auto"/>
                <w:vertAlign w:val="superscript"/>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w:t>
            </w:r>
          </w:p>
        </w:tc>
      </w:tr>
      <w:tr>
        <w:trPr>
          <w:trHeight w:val="138"/>
        </w:trPr>
        <w:tc>
          <w:tcPr>
            <w:tcW w:w="1560" w:type="dxa"/>
            <w:vAlign w:val="bottom"/>
          </w:tcPr>
          <w:p>
            <w:pPr>
              <w:spacing w:after="0" w:line="138" w:lineRule="exact"/>
              <w:rPr>
                <w:sz w:val="20"/>
                <w:szCs w:val="20"/>
                <w:color w:val="auto"/>
              </w:rPr>
            </w:pPr>
            <w:r>
              <w:rPr>
                <w:rFonts w:ascii="Arial" w:cs="Arial" w:eastAsia="Arial" w:hAnsi="Arial"/>
                <w:sz w:val="13"/>
                <w:szCs w:val="13"/>
                <w:color w:val="auto"/>
              </w:rPr>
              <w:t>Adjusted CASM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59"/>
        </w:trPr>
        <w:tc>
          <w:tcPr>
            <w:tcW w:w="1560" w:type="dxa"/>
            <w:vAlign w:val="bottom"/>
          </w:tcPr>
          <w:p>
            <w:pPr>
              <w:spacing w:after="0"/>
              <w:rPr>
                <w:sz w:val="20"/>
                <w:szCs w:val="20"/>
                <w:color w:val="auto"/>
              </w:rPr>
            </w:pPr>
            <w:r>
              <w:rPr>
                <w:rFonts w:ascii="Arial" w:cs="Arial" w:eastAsia="Arial" w:hAnsi="Arial"/>
                <w:sz w:val="13"/>
                <w:szCs w:val="13"/>
                <w:color w:val="auto"/>
              </w:rPr>
              <w:t xml:space="preserve">(cents) </w:t>
            </w:r>
            <w:r>
              <w:rPr>
                <w:rFonts w:ascii="Arial" w:cs="Arial" w:eastAsia="Arial" w:hAnsi="Arial"/>
                <w:sz w:val="20"/>
                <w:szCs w:val="20"/>
                <w:color w:val="auto"/>
                <w:vertAlign w:val="superscript"/>
              </w:rPr>
              <w:t>(5)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6.20</w:t>
            </w:r>
          </w:p>
        </w:tc>
      </w:tr>
    </w:tbl>
    <w:p>
      <w:pPr>
        <w:spacing w:after="0" w:line="13"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w:t>
      </w:r>
    </w:p>
    <w:p>
      <w:pPr>
        <w:spacing w:after="0" w:line="217" w:lineRule="exact"/>
        <w:rPr>
          <w:rFonts w:ascii="Arial" w:cs="Arial" w:eastAsia="Arial" w:hAnsi="Arial"/>
          <w:sz w:val="14"/>
          <w:szCs w:val="14"/>
          <w:color w:val="auto"/>
        </w:rPr>
      </w:pPr>
    </w:p>
    <w:p>
      <w:pPr>
        <w:ind w:left="380" w:right="279" w:hanging="330"/>
        <w:spacing w:after="0" w:line="258" w:lineRule="auto"/>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spacing w:after="0" w:line="193" w:lineRule="exact"/>
        <w:rPr>
          <w:rFonts w:ascii="Arial" w:cs="Arial" w:eastAsia="Arial" w:hAnsi="Arial"/>
          <w:sz w:val="14"/>
          <w:szCs w:val="14"/>
          <w:color w:val="auto"/>
        </w:rPr>
      </w:pPr>
    </w:p>
    <w:p>
      <w:pPr>
        <w:ind w:left="380" w:hanging="330"/>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spacing w:after="0" w:line="217" w:lineRule="exact"/>
        <w:rPr>
          <w:rFonts w:ascii="Arial" w:cs="Arial" w:eastAsia="Arial" w:hAnsi="Arial"/>
          <w:sz w:val="14"/>
          <w:szCs w:val="14"/>
          <w:color w:val="auto"/>
        </w:rPr>
      </w:pPr>
    </w:p>
    <w:p>
      <w:pPr>
        <w:ind w:left="380" w:hanging="330"/>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217" w:lineRule="exact"/>
        <w:rPr>
          <w:rFonts w:ascii="Arial" w:cs="Arial" w:eastAsia="Arial" w:hAnsi="Arial"/>
          <w:sz w:val="14"/>
          <w:szCs w:val="14"/>
          <w:color w:val="auto"/>
        </w:rPr>
      </w:pPr>
    </w:p>
    <w:p>
      <w:pPr>
        <w:ind w:left="380" w:right="319" w:hanging="330"/>
        <w:spacing w:after="0" w:line="258" w:lineRule="auto"/>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special items, and certain other costs.</w:t>
      </w: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4400" w:hanging="106"/>
        <w:spacing w:after="0"/>
        <w:tabs>
          <w:tab w:leader="none" w:pos="4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3160" w:type="dxa"/>
            <w:vAlign w:val="bottom"/>
            <w:gridSpan w:val="6"/>
          </w:tcPr>
          <w:p>
            <w:pPr>
              <w:ind w:left="980"/>
              <w:spacing w:after="0"/>
              <w:rPr>
                <w:sz w:val="20"/>
                <w:szCs w:val="20"/>
                <w:color w:val="auto"/>
              </w:rPr>
            </w:pPr>
            <w:r>
              <w:rPr>
                <w:rFonts w:ascii="Arial" w:cs="Arial" w:eastAsia="Arial" w:hAnsi="Arial"/>
                <w:sz w:val="14"/>
                <w:szCs w:val="14"/>
                <w:b w:val="1"/>
                <w:bCs w:val="1"/>
                <w:color w:val="auto"/>
              </w:rPr>
              <w:t>Three Months Ended March 31,</w:t>
            </w:r>
          </w:p>
        </w:tc>
        <w:tc>
          <w:tcPr>
            <w:tcW w:w="100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80" w:type="dxa"/>
            <w:vAlign w:val="bottom"/>
          </w:tcPr>
          <w:p>
            <w:pPr>
              <w:jc w:val="right"/>
              <w:ind w:right="15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56"/>
        </w:trPr>
        <w:tc>
          <w:tcPr>
            <w:tcW w:w="3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Scheduled Service</w:t>
            </w:r>
          </w:p>
        </w:tc>
        <w:tc>
          <w:tcPr>
            <w:tcW w:w="11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54,620</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114,228</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(59,608)</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Charter Service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25,805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29,227</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(3,422)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Ancillary</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23,770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35,031</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(11,261)</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w:t>
            </w:r>
          </w:p>
        </w:tc>
      </w:tr>
      <w:tr>
        <w:trPr>
          <w:trHeight w:val="196"/>
        </w:trPr>
        <w:tc>
          <w:tcPr>
            <w:tcW w:w="384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Passenger</w:t>
            </w: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104,195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178,486</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(74,291)</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Cargo</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21,585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21,585</w:t>
            </w:r>
          </w:p>
        </w:tc>
        <w:tc>
          <w:tcPr>
            <w:tcW w:w="160" w:type="dxa"/>
            <w:vAlign w:val="bottom"/>
          </w:tcPr>
          <w:p>
            <w:pPr>
              <w:spacing w:after="0"/>
              <w:rPr>
                <w:sz w:val="17"/>
                <w:szCs w:val="17"/>
                <w:color w:val="auto"/>
              </w:rPr>
            </w:pPr>
          </w:p>
        </w:tc>
        <w:tc>
          <w:tcPr>
            <w:tcW w:w="7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1,844</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38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Revenue</w:t>
            </w:r>
          </w:p>
        </w:tc>
        <w:tc>
          <w:tcPr>
            <w:tcW w:w="9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127,611</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180,330</w:t>
            </w:r>
          </w:p>
        </w:tc>
        <w:tc>
          <w:tcPr>
            <w:tcW w:w="1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(52,719)</w:t>
            </w:r>
          </w:p>
        </w:tc>
        <w:tc>
          <w:tcPr>
            <w:tcW w:w="16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Aircraft Fuel</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24,274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55,561</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(31,287)</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3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Salaries, Wages, and Benefits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44,075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38,091</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5,984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203"/>
        </w:trPr>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Aircraft Rent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11,032</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(5,433)</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w:t>
            </w:r>
          </w:p>
        </w:tc>
      </w:tr>
      <w:tr>
        <w:trPr>
          <w:trHeight w:val="203"/>
        </w:trPr>
        <w:tc>
          <w:tcPr>
            <w:tcW w:w="3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Maintenance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6,478</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2,732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42 %</w:t>
            </w:r>
          </w:p>
        </w:tc>
      </w:tr>
      <w:tr>
        <w:trPr>
          <w:trHeight w:val="203"/>
        </w:trPr>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8,572</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(3,462)</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3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12,615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10,527</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20 %</w:t>
            </w:r>
          </w:p>
        </w:tc>
      </w:tr>
      <w:tr>
        <w:trPr>
          <w:trHeight w:val="203"/>
        </w:trPr>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Ground Handling</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9,292</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(4,062)</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03"/>
        </w:trPr>
        <w:tc>
          <w:tcPr>
            <w:tcW w:w="3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Landing Fees and Airport Rent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11,114</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(2,329)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Special Items, net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(26,871)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(26,871)</w:t>
            </w:r>
          </w:p>
        </w:tc>
        <w:tc>
          <w:tcPr>
            <w:tcW w:w="160" w:type="dxa"/>
            <w:vAlign w:val="bottom"/>
          </w:tcPr>
          <w:p>
            <w:pPr>
              <w:spacing w:after="0"/>
              <w:rPr>
                <w:sz w:val="17"/>
                <w:szCs w:val="17"/>
                <w:color w:val="auto"/>
              </w:rPr>
            </w:pPr>
          </w:p>
        </w:tc>
        <w:tc>
          <w:tcPr>
            <w:tcW w:w="7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Operating, net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14,651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14,433</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2 %</w:t>
            </w:r>
          </w:p>
        </w:tc>
      </w:tr>
      <w:tr>
        <w:trPr>
          <w:trHeight w:val="196"/>
        </w:trPr>
        <w:tc>
          <w:tcPr>
            <w:tcW w:w="38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102,678</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165,100</w:t>
            </w:r>
          </w:p>
        </w:tc>
        <w:tc>
          <w:tcPr>
            <w:tcW w:w="1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(62,422)</w:t>
            </w:r>
          </w:p>
        </w:tc>
        <w:tc>
          <w:tcPr>
            <w:tcW w:w="16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38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Operating Income</w:t>
            </w:r>
          </w:p>
        </w:tc>
        <w:tc>
          <w:tcPr>
            <w:tcW w:w="9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24,933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15,230</w:t>
            </w:r>
          </w:p>
        </w:tc>
        <w:tc>
          <w:tcPr>
            <w:tcW w:w="16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9,703</w:t>
            </w:r>
          </w:p>
        </w:tc>
        <w:tc>
          <w:tcPr>
            <w:tcW w:w="1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3840" w:type="dxa"/>
            <w:vAlign w:val="bottom"/>
          </w:tcPr>
          <w:p>
            <w:pPr>
              <w:spacing w:after="0" w:line="196" w:lineRule="exact"/>
              <w:rPr>
                <w:sz w:val="20"/>
                <w:szCs w:val="20"/>
                <w:color w:val="auto"/>
              </w:rPr>
            </w:pPr>
            <w:r>
              <w:rPr>
                <w:rFonts w:ascii="Arial" w:cs="Arial" w:eastAsia="Arial" w:hAnsi="Arial"/>
                <w:sz w:val="18"/>
                <w:szCs w:val="18"/>
                <w:b w:val="1"/>
                <w:bCs w:val="1"/>
                <w:color w:val="auto"/>
              </w:rPr>
              <w:t>Non-operating Income/(Expense):</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r>
      <w:tr>
        <w:trPr>
          <w:trHeight w:val="203"/>
        </w:trPr>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(5,616)</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(1,505)</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27 %</w:t>
            </w:r>
          </w:p>
        </w:tc>
      </w:tr>
      <w:tr>
        <w:trPr>
          <w:trHeight w:val="203"/>
        </w:trPr>
        <w:tc>
          <w:tcPr>
            <w:tcW w:w="3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r>
      <w:tr>
        <w:trPr>
          <w:trHeight w:val="196"/>
        </w:trPr>
        <w:tc>
          <w:tcPr>
            <w:tcW w:w="3840" w:type="dxa"/>
            <w:vAlign w:val="bottom"/>
          </w:tcPr>
          <w:p>
            <w:pPr>
              <w:ind w:left="220"/>
              <w:spacing w:after="0" w:line="196" w:lineRule="exact"/>
              <w:rPr>
                <w:sz w:val="20"/>
                <w:szCs w:val="20"/>
                <w:color w:val="auto"/>
              </w:rPr>
            </w:pPr>
            <w:r>
              <w:rPr>
                <w:rFonts w:ascii="Arial" w:cs="Arial" w:eastAsia="Arial" w:hAnsi="Arial"/>
                <w:sz w:val="18"/>
                <w:szCs w:val="18"/>
                <w:color w:val="auto"/>
              </w:rPr>
              <w:t>Total Non-operating Expense, net</w:t>
            </w:r>
          </w:p>
        </w:tc>
        <w:tc>
          <w:tcPr>
            <w:tcW w:w="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(7,111)</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(5,534)</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(1,577)</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17,822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9,696</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8,126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84 %</w:t>
            </w:r>
          </w:p>
        </w:tc>
      </w:tr>
      <w:tr>
        <w:trPr>
          <w:trHeight w:val="196"/>
        </w:trPr>
        <w:tc>
          <w:tcPr>
            <w:tcW w:w="3840" w:type="dxa"/>
            <w:vAlign w:val="bottom"/>
            <w:tcBorders>
              <w:bottom w:val="single" w:sz="8" w:color="CCEEFF"/>
            </w:tcBorders>
          </w:tcPr>
          <w:p>
            <w:pPr>
              <w:ind w:left="100"/>
              <w:spacing w:after="0" w:line="196" w:lineRule="exact"/>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5,406</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2,445</w:t>
            </w:r>
          </w:p>
        </w:tc>
        <w:tc>
          <w:tcPr>
            <w:tcW w:w="1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2,961</w:t>
            </w:r>
          </w:p>
        </w:tc>
        <w:tc>
          <w:tcPr>
            <w:tcW w:w="16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3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12,416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7,251</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5,165</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3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Total operating revenues decreased by $ 52,719, or 29%, to $127,611 for the three months ended March 31, 2021 from $180,330 for the three months ended March 31, 2020. The dramatic decline is due to a significant decline in passenger service demand as a result of the COVID-19 pandemic.</w:t>
      </w:r>
    </w:p>
    <w:p>
      <w:pPr>
        <w:spacing w:after="0" w:line="185"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 xml:space="preserve">Scheduled Service. </w:t>
      </w:r>
      <w:r>
        <w:rPr>
          <w:rFonts w:ascii="Arial" w:cs="Arial" w:eastAsia="Arial" w:hAnsi="Arial"/>
          <w:sz w:val="18"/>
          <w:szCs w:val="18"/>
          <w:color w:val="auto"/>
        </w:rPr>
        <w:t>Scheduled service revenue decreased by $59,608, or 52%, to $ 54,620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from $114,228 for the three months ended March 31, 2020. The decrease in scheduled service revenue was driven by a dramatic decline in passenger demand due to government travel restrictions and quarantine requirements related to the COVID-19 pandemic.</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table below presents select operating data for scheduled service, expressed as quarter-over-quarter changes: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jc w:val="right"/>
              <w:ind w:right="55"/>
              <w:spacing w:after="0"/>
              <w:rPr>
                <w:sz w:val="20"/>
                <w:szCs w:val="20"/>
                <w:color w:val="auto"/>
              </w:rPr>
            </w:pPr>
            <w:r>
              <w:rPr>
                <w:rFonts w:ascii="Arial" w:cs="Arial" w:eastAsia="Arial" w:hAnsi="Arial"/>
                <w:sz w:val="14"/>
                <w:szCs w:val="14"/>
                <w:b w:val="1"/>
                <w:bCs w:val="1"/>
                <w:color w:val="auto"/>
              </w:rPr>
              <w:t>Increase</w:t>
            </w:r>
          </w:p>
        </w:tc>
        <w:tc>
          <w:tcPr>
            <w:tcW w:w="7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56"/>
        </w:trPr>
        <w:tc>
          <w:tcPr>
            <w:tcW w:w="3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3"/>
          </w:tcPr>
          <w:p>
            <w:pPr>
              <w:jc w:val="right"/>
              <w:ind w:right="9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Passengers</w:t>
            </w: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553,032</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813,938</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(260,906)</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98.77</w:t>
            </w:r>
          </w:p>
        </w:tc>
        <w:tc>
          <w:tcPr>
            <w:tcW w:w="220" w:type="dxa"/>
            <w:vAlign w:val="bottom"/>
          </w:tcPr>
          <w:p>
            <w:pPr>
              <w:spacing w:after="0"/>
              <w:rPr>
                <w:sz w:val="17"/>
                <w:szCs w:val="17"/>
                <w:color w:val="auto"/>
              </w:rPr>
            </w:pPr>
          </w:p>
        </w:tc>
        <w:tc>
          <w:tcPr>
            <w:tcW w:w="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140.34</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(41.57)</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RPMs (thousands)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774,999</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1,149,906</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(374,907)</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ASMs (thousands)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1,158,012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1,508,196</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(350,184)</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PRASM (cents)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17"/>
        </w:trPr>
        <w:tc>
          <w:tcPr>
            <w:tcW w:w="3640" w:type="dxa"/>
            <w:vAlign w:val="bottom"/>
          </w:tcPr>
          <w:p>
            <w:pPr>
              <w:spacing w:after="0"/>
              <w:rPr>
                <w:sz w:val="20"/>
                <w:szCs w:val="20"/>
                <w:color w:val="auto"/>
              </w:rPr>
            </w:pPr>
            <w:r>
              <w:rPr>
                <w:rFonts w:ascii="Arial" w:cs="Arial" w:eastAsia="Arial" w:hAnsi="Arial"/>
                <w:sz w:val="18"/>
                <w:szCs w:val="18"/>
                <w:color w:val="auto"/>
              </w:rPr>
              <w:t>Passenger load factor</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66.9 %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76.2 %</w:t>
            </w:r>
          </w:p>
        </w:tc>
        <w:tc>
          <w:tcPr>
            <w:tcW w:w="820" w:type="dxa"/>
            <w:vAlign w:val="bottom"/>
          </w:tcPr>
          <w:p>
            <w:pPr>
              <w:jc w:val="right"/>
              <w:spacing w:after="0"/>
              <w:rPr>
                <w:sz w:val="20"/>
                <w:szCs w:val="20"/>
                <w:color w:val="auto"/>
              </w:rPr>
            </w:pPr>
            <w:r>
              <w:rPr>
                <w:rFonts w:ascii="Arial" w:cs="Arial" w:eastAsia="Arial" w:hAnsi="Arial"/>
                <w:sz w:val="18"/>
                <w:szCs w:val="18"/>
                <w:color w:val="auto"/>
              </w:rPr>
              <w:t>(9.3) pts</w:t>
            </w:r>
          </w:p>
        </w:tc>
        <w:tc>
          <w:tcPr>
            <w:tcW w:w="1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32% decline in the number of scheduled service passengers in the three months ended March 31, 2021, as compared to the three months ended March 31, 2020, was primarily due to COVID-19 pandemic related demand reductions. For the three months ended March 31, 2021, our average base fare was $98.77, compared to $140.34 for the three months ended March 31, 2020. The 30% reduction in average base fare was due to lower prices in the airline industry due to significantly lower demand and fewer higher priced international passengers.</w:t>
      </w:r>
    </w:p>
    <w:p>
      <w:pPr>
        <w:spacing w:after="0" w:line="187"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 xml:space="preserve">Charter Service. </w:t>
      </w:r>
      <w:r>
        <w:rPr>
          <w:rFonts w:ascii="Arial" w:cs="Arial" w:eastAsia="Arial" w:hAnsi="Arial"/>
          <w:sz w:val="18"/>
          <w:szCs w:val="18"/>
          <w:color w:val="auto"/>
        </w:rPr>
        <w:t>Charter service revenue decreased by $3,422, or 12%, to $25,805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from $29,227 for the three months ended March 31, 2020. The COVID-19 pandemic drove a decrease in our casino charter service revenue of 62.5% due to a delayed recovery in demand. This was offset by an increase in our custom charters service revenue of 47.4%, driven by increase in NCAA operations, other custom charters, and U.S. Department of Defense. Charter revenue per block hour was $7,747 for the three months ended March 31, 2021, as compared to $8,092 for the three months ended March 31, 2020, for a decrease of 4%.</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 xml:space="preserve">Ancillary. </w:t>
      </w:r>
      <w:r>
        <w:rPr>
          <w:rFonts w:ascii="Arial" w:cs="Arial" w:eastAsia="Arial" w:hAnsi="Arial"/>
          <w:sz w:val="18"/>
          <w:szCs w:val="18"/>
          <w:color w:val="auto"/>
        </w:rPr>
        <w:t>Ancillary revenue decreased by $11,261, or 32%, to $ 23,770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$35,031 for the three months ended March 31, 2020. The number of scheduled service passengers was 553 thousand in the three months ended March 31, 2021, down 32% from 814 thousand in the three months ended March 31, 2020. The decline in passenger demand due to the COVID-19 pandemic resulted in a corresponding decline in sales of air travel-related services such as baggage fees, seat selection and upgrade fees, and on-board sales. Specifically, ancillary revenue was $42.98 per passenger in the three months ended March 31, 2021, down from $43.04 per passenger in the three months ended March 31, 2020.</w:t>
      </w:r>
    </w:p>
    <w:p>
      <w:pPr>
        <w:spacing w:after="0" w:line="185" w:lineRule="exact"/>
        <w:rPr>
          <w:sz w:val="20"/>
          <w:szCs w:val="20"/>
          <w:color w:val="auto"/>
        </w:rPr>
      </w:pPr>
    </w:p>
    <w:p>
      <w:pPr>
        <w:jc w:val="both"/>
        <w:ind w:left="60" w:right="79"/>
        <w:spacing w:after="0" w:line="250"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Revenue from cargo services was $21,585 for the three months ended March 31, 2021, with no</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revenue for the three months ended March 31, 2020. All of our 2021 cargo service revenue related to the commencement of air cargo transportation services under the ATSA with Amazon in May 2020.</w:t>
      </w:r>
    </w:p>
    <w:p>
      <w:pPr>
        <w:spacing w:after="0" w:line="177"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at $1,831 for the three months ended March 31, 2021 was flat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There was an observed decrease in co-brand credit card revenue from lower card spending and lower mail revenue due to decreased flights, offset by increased Sun Country Vacations revenue.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Expenses</w:t>
      </w:r>
    </w:p>
    <w:p>
      <w:pPr>
        <w:spacing w:after="0" w:line="19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Aircraft fuel expense decreased by $31,287, or 56%, to $24,274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as compared to $55,561 for the three months ended March 31, 2020. The decrease was largely driven by a $ 24,422 change in the mark-to-market gains/losses from our fuel derivative contracts, consisting of a $2,386 gain in the three months ended March 31, 2021 compared to a $ 22,036 loss in the three months ended March 31, 2020. The decrease was further driven by a 25% decrease in fuel gallons consumed, due to our decreased level of operations as a result of reduced demand relating to the COVID-19 pandemic, as demonstrated by a 20% decrease in passenger service block hours. Partially offsetting these decreases was a 5% increase in the average price per gallon of fuel.</w:t>
      </w:r>
    </w:p>
    <w:p>
      <w:pPr>
        <w:spacing w:after="0" w:line="18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Salaries</w:t>
      </w:r>
      <w:r>
        <w:rPr>
          <w:rFonts w:ascii="Arial" w:cs="Arial" w:eastAsia="Arial" w:hAnsi="Arial"/>
          <w:sz w:val="18"/>
          <w:szCs w:val="18"/>
          <w:color w:val="auto"/>
        </w:rPr>
        <w:t>,</w:t>
      </w:r>
      <w:r>
        <w:rPr>
          <w:rFonts w:ascii="Arial" w:cs="Arial" w:eastAsia="Arial" w:hAnsi="Arial"/>
          <w:sz w:val="18"/>
          <w:szCs w:val="18"/>
          <w:i w:val="1"/>
          <w:iCs w:val="1"/>
          <w:color w:val="auto"/>
        </w:rPr>
        <w:t xml:space="preserve"> Wages and Benefits</w:t>
      </w:r>
      <w:r>
        <w:rPr>
          <w:rFonts w:ascii="Arial" w:cs="Arial" w:eastAsia="Arial" w:hAnsi="Arial"/>
          <w:sz w:val="18"/>
          <w:szCs w:val="18"/>
          <w:color w:val="auto"/>
        </w:rPr>
        <w:t>. Salaries, wages and benefits expense increased by $ 5,984, or 16%, to $44,075</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2021, as compared to $38,091 for the three months ended March 31, 2020. A portion of the increase was primarily due to insourcing MSP ground handling operations in April 2020, resulting in approximately $1,200 in higher salaries, wages and benefits, along with increased pilot pay and per diems to support operations under the ATSA. Since the probability of partial vesting was triggered by our IPO, we expensed $2,496 for our performance-based stock options for the three months ended March 31, 2021. No expense was recorded in the three months ended March 31, 2020 for performance-based stock options. Our cargo segment was responsible for $11,236 of the consolidated salaries, wages, and benefits expense for the three months ended March 31, 2021, and was driven by headcount required to support the operations and aircraft under the ATSA.</w:t>
      </w:r>
    </w:p>
    <w:p>
      <w:pPr>
        <w:spacing w:after="0" w:line="188"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decreased by $5,433, or 49%, to $5,599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as compared to $11,032 for the three months ended March 31, 2020. Aircraft rent expense decreased primarily due to the composition of our aircraft fleet shifting from aircraft under operating leases (for which expense is recorded within aircraft rent) to owned aircraft. Specifically, in the year ended December 31, 2020 we purchased two aircraft previously under operating lease and leased two fewer seasonal aircraft. In addition, in late Q1 2021, we purchased five aircraft previously under operating lease. Additionally, a 20% decrease in passenger service block hours resulted in a decrease in supplemental rent.</w:t>
      </w:r>
    </w:p>
    <w:p>
      <w:pPr>
        <w:spacing w:after="0" w:line="185"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materials and repair expense increased by $2,732, or 42%, to $9,210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as compared to $6,478 for the three months ended March 31, 2020. Our cargo segment was responsible for $2,607 of the consolidated maintenance expense for the three months ended March 31, 2021, as compared to none for the prior year quarter since cargo segment shipments did not begin until May 2020. The cargo segment expense primarily relates to line maintenance, since heavy maintenance is reimbursed under the ATSA.</w:t>
      </w:r>
    </w:p>
    <w:p>
      <w:pPr>
        <w:spacing w:after="0" w:line="184"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decreased by $3,462, or 40%, to $5,110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as compared to $8,572 for the three months ended March 31, 2020. The passenger revenue decrease between these two periods was 40%, and was primarily due to a $1,980 reduction in credit card processing fees, related to lower sales on our scheduled service. The remaining $1,482 reduction relates to lower advertising costs, global distribution system fees and travel agent commissions, all due to the COVID-19 pandemic.</w:t>
      </w:r>
    </w:p>
    <w:p>
      <w:pPr>
        <w:spacing w:after="0" w:line="184"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by $2,088, or 20%, to</w:t>
      </w:r>
      <w:r>
        <w:rPr>
          <w:rFonts w:ascii="Arial" w:cs="Arial" w:eastAsia="Arial" w:hAnsi="Arial"/>
          <w:sz w:val="18"/>
          <w:szCs w:val="18"/>
          <w:i w:val="1"/>
          <w:iCs w:val="1"/>
          <w:color w:val="auto"/>
        </w:rPr>
        <w:t xml:space="preserve"> </w:t>
      </w:r>
      <w:r>
        <w:rPr>
          <w:rFonts w:ascii="Arial" w:cs="Arial" w:eastAsia="Arial" w:hAnsi="Arial"/>
          <w:sz w:val="18"/>
          <w:szCs w:val="18"/>
          <w:color w:val="auto"/>
        </w:rPr>
        <w:t>$12,615 for the three months ended March 31, 2021, as compared to $10,527 for the three months ended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March 31, 2020. The increase was primarily due to the impact of a change in the composition of our aircraft fleet to an increased number of owned aircraft in connection with our 2019-1 EETC and aircraft under finance leases (for which expense is recorded within depreciation and amortization).</w:t>
      </w:r>
    </w:p>
    <w:p>
      <w:pPr>
        <w:spacing w:after="0" w:line="185"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i w:val="1"/>
          <w:iCs w:val="1"/>
          <w:color w:val="auto"/>
        </w:rPr>
        <w:t>Ground Handling</w:t>
      </w:r>
      <w:r>
        <w:rPr>
          <w:rFonts w:ascii="Arial" w:cs="Arial" w:eastAsia="Arial" w:hAnsi="Arial"/>
          <w:sz w:val="18"/>
          <w:szCs w:val="18"/>
          <w:color w:val="auto"/>
        </w:rPr>
        <w:t>. Ground handling expense decreased by $4,062, or 44%, to $5,230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as compared to $9,292 for the three months ended March 31, 2020. The decrease was primarily due to the 26% decline in scheduled departures during the same time periods. Additionally, we insourced our MSP operations in April 2020, contributing to a reduction of $2,200 in ground handling expenses for the three months ended March 31, 2021 compared to March 31, 2020, but resulting in higher salaries, wages and benefits.</w:t>
      </w:r>
    </w:p>
    <w:p>
      <w:pPr>
        <w:spacing w:after="0" w:line="184"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Landing Fees and Airport Rent</w:t>
      </w:r>
      <w:r>
        <w:rPr>
          <w:rFonts w:ascii="Arial" w:cs="Arial" w:eastAsia="Arial" w:hAnsi="Arial"/>
          <w:sz w:val="18"/>
          <w:szCs w:val="18"/>
          <w:color w:val="auto"/>
        </w:rPr>
        <w:t>. Landing fees and airport rent decreased by $2,329, or 21%, to $8,785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as compared to $11,114 for the three months ended March 31, 2020. The decrease was driven by the 26% reduction in scheduled departures for the three months ended March 31, 2021.</w:t>
      </w:r>
    </w:p>
    <w:p>
      <w:pPr>
        <w:spacing w:after="0" w:line="18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Special Items, net</w:t>
      </w:r>
      <w:r>
        <w:rPr>
          <w:rFonts w:ascii="Arial" w:cs="Arial" w:eastAsia="Arial" w:hAnsi="Arial"/>
          <w:sz w:val="18"/>
          <w:szCs w:val="18"/>
          <w:color w:val="auto"/>
        </w:rPr>
        <w:t>. Special items, net was a contra-expense of $26,871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zero for the three months ended March 31, 2020. For the three months ended March 31, 2021, Special items, net included a $32,208 of income related to funds received under PSP2 of the CARES Act, to be used exclusively for the continuation of payments for salaries, wages, and benefits, and $334 in refundable tax credits related to employee retention under the CARES Act. This was partially offset by a $5,664 net loss on representing lease termination costs on the purchase of five aircraft during the quarter that were previously under operating leases. Our cargo segment was responsible for $ 8,665 of the consolidated income from Special items, net for the three months ended March 31, 2021, driven by allocated amounts received under the CARES Act, based on the respective segment salaries, wages and benefits.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Other Operating, net</w:t>
      </w:r>
      <w:r>
        <w:rPr>
          <w:rFonts w:ascii="Arial" w:cs="Arial" w:eastAsia="Arial" w:hAnsi="Arial"/>
          <w:sz w:val="18"/>
          <w:szCs w:val="18"/>
          <w:color w:val="auto"/>
        </w:rPr>
        <w:t>. Other operating, net expense increased by $218, or 2%, to $14,651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as compared to $14,433 for the three months ended March 31, 2020. A passenger segment decrease of $3,853 was primarily driven by our lower level of operations related to the COVID-19 pandemic which resulted in reduced crew and other employee travel costs, interrupted trip expenses, catering expenses, and other operational overhead costs. Our cargo segment was responsible for $ 4,071 of our consolidated other operating, net expense for the three months ended March 31, 2021, driven by overhead expenses as well as crew and employee travel costs.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212"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$1,505, or 27%, to $7,121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as compared to $5,616 for the three months ended March 31, 2020. The increase was primarily due to debt issued for the acquisition of new aircraft and spare engines, including new debt incurred in connection with the 2019-1 EETC. During the three months ended March 31, 2021, the Company expensed $1,224 of debt financing costs due to the $46,260 pay-off of the $45,000 CARES Act Loan and the replacement of the ABL Facility.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9"/>
            <w:vMerge w:val="restart"/>
          </w:tcPr>
          <w:p>
            <w:pPr>
              <w:jc w:val="center"/>
              <w:ind w:right="270"/>
              <w:spacing w:after="0"/>
              <w:rPr>
                <w:sz w:val="20"/>
                <w:szCs w:val="20"/>
                <w:color w:val="auto"/>
              </w:rPr>
            </w:pPr>
            <w:r>
              <w:rPr>
                <w:rFonts w:ascii="Arial" w:cs="Arial" w:eastAsia="Arial" w:hAnsi="Arial"/>
                <w:sz w:val="14"/>
                <w:szCs w:val="14"/>
                <w:b w:val="1"/>
                <w:bCs w:val="1"/>
                <w:color w:val="auto"/>
              </w:rPr>
              <w:t xml:space="preserve">Three Months Ended March 31, 2021 </w:t>
            </w:r>
            <w:r>
              <w:rPr>
                <w:rFonts w:ascii="Arial" w:cs="Arial" w:eastAsia="Arial" w:hAnsi="Arial"/>
                <w:sz w:val="21"/>
                <w:szCs w:val="21"/>
                <w:b w:val="1"/>
                <w:bCs w:val="1"/>
                <w:color w:val="auto"/>
                <w:vertAlign w:val="superscript"/>
              </w:rPr>
              <w:t>(1)</w:t>
            </w:r>
          </w:p>
        </w:tc>
        <w:tc>
          <w:tcPr>
            <w:tcW w:w="60" w:type="dxa"/>
            <w:vAlign w:val="bottom"/>
          </w:tcPr>
          <w:p>
            <w:pPr>
              <w:spacing w:after="0"/>
              <w:rPr>
                <w:sz w:val="14"/>
                <w:szCs w:val="14"/>
                <w:color w:val="auto"/>
              </w:rPr>
            </w:pPr>
          </w:p>
        </w:tc>
        <w:tc>
          <w:tcPr>
            <w:tcW w:w="186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9"/>
            <w:vMerge w:val="continue"/>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3"/>
          </w:tcPr>
          <w:p>
            <w:pPr>
              <w:jc w:val="right"/>
              <w:ind w:right="335"/>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Borders>
              <w:top w:val="single" w:sz="8" w:color="auto"/>
            </w:tcBorders>
            <w:gridSpan w:val="3"/>
          </w:tcPr>
          <w:p>
            <w:pPr>
              <w:jc w:val="right"/>
              <w:ind w:right="190"/>
              <w:spacing w:after="0" w:line="155" w:lineRule="exact"/>
              <w:rPr>
                <w:sz w:val="20"/>
                <w:szCs w:val="20"/>
                <w:color w:val="auto"/>
              </w:rPr>
            </w:pPr>
            <w:r>
              <w:rPr>
                <w:rFonts w:ascii="Arial" w:cs="Arial" w:eastAsia="Arial" w:hAnsi="Arial"/>
                <w:sz w:val="14"/>
                <w:szCs w:val="14"/>
                <w:b w:val="1"/>
                <w:bCs w:val="1"/>
                <w:color w:val="auto"/>
              </w:rPr>
              <w:t>Passenger</w:t>
            </w:r>
          </w:p>
        </w:tc>
        <w:tc>
          <w:tcPr>
            <w:tcW w:w="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30"/>
              <w:spacing w:after="0" w:line="155" w:lineRule="exact"/>
              <w:rPr>
                <w:sz w:val="20"/>
                <w:szCs w:val="20"/>
                <w:color w:val="auto"/>
              </w:rPr>
            </w:pPr>
            <w:r>
              <w:rPr>
                <w:rFonts w:ascii="Arial" w:cs="Arial" w:eastAsia="Arial" w:hAnsi="Arial"/>
                <w:sz w:val="14"/>
                <w:szCs w:val="14"/>
                <w:b w:val="1"/>
                <w:bCs w:val="1"/>
                <w:color w:val="auto"/>
                <w:w w:val="98"/>
              </w:rPr>
              <w:t>Cargo</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106,026</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$ 21,585</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127,611</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$ 180,330</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Aircraft Fuel</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24,253</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24,274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55,561</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Salaries, Wages, and Benefits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32,839</w:t>
            </w:r>
          </w:p>
        </w:tc>
        <w:tc>
          <w:tcPr>
            <w:tcW w:w="2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11,236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44,075</w:t>
            </w:r>
          </w:p>
        </w:tc>
        <w:tc>
          <w:tcPr>
            <w:tcW w:w="2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38,091</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Aircraft Rent</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11,032</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Maintenance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6,603</w:t>
            </w:r>
          </w:p>
        </w:tc>
        <w:tc>
          <w:tcPr>
            <w:tcW w:w="2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2,607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9,210</w:t>
            </w:r>
          </w:p>
        </w:tc>
        <w:tc>
          <w:tcPr>
            <w:tcW w:w="2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6,478</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8,572</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12,589</w:t>
            </w:r>
          </w:p>
        </w:tc>
        <w:tc>
          <w:tcPr>
            <w:tcW w:w="2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12,615</w:t>
            </w:r>
          </w:p>
        </w:tc>
        <w:tc>
          <w:tcPr>
            <w:tcW w:w="2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10,527</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Ground Handling</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9,292</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Landing Fees and Airport Rent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8,655</w:t>
            </w:r>
          </w:p>
        </w:tc>
        <w:tc>
          <w:tcPr>
            <w:tcW w:w="2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8,785</w:t>
            </w:r>
          </w:p>
        </w:tc>
        <w:tc>
          <w:tcPr>
            <w:tcW w:w="2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11,114</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Special Items, net</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(18,206)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(8,665)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(26,871)</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Other Operating, net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10,580</w:t>
            </w:r>
          </w:p>
        </w:tc>
        <w:tc>
          <w:tcPr>
            <w:tcW w:w="2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4,071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14,651</w:t>
            </w:r>
          </w:p>
        </w:tc>
        <w:tc>
          <w:tcPr>
            <w:tcW w:w="2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14,433</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93,252</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9,426</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102,678</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165,100</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(71,848)</w:t>
            </w:r>
          </w:p>
        </w:tc>
        <w:tc>
          <w:tcPr>
            <w:tcW w:w="0" w:type="dxa"/>
            <w:vAlign w:val="bottom"/>
          </w:tcPr>
          <w:p>
            <w:pPr>
              <w:spacing w:after="0"/>
              <w:rPr>
                <w:sz w:val="1"/>
                <w:szCs w:val="1"/>
                <w:color w:val="auto"/>
              </w:rPr>
            </w:pPr>
          </w:p>
        </w:tc>
      </w:tr>
      <w:tr>
        <w:trPr>
          <w:trHeight w:val="236"/>
        </w:trPr>
        <w:tc>
          <w:tcPr>
            <w:tcW w:w="3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12,774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$ 12,159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24,933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15,230</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(2,456)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20" w:type="dxa"/>
            <w:vAlign w:val="bottom"/>
            <w:gridSpan w:val="2"/>
          </w:tcPr>
          <w:p>
            <w:pPr>
              <w:spacing w:after="0" w:line="202" w:lineRule="exact"/>
              <w:rPr>
                <w:sz w:val="20"/>
                <w:szCs w:val="20"/>
                <w:color w:val="auto"/>
              </w:rPr>
            </w:pPr>
            <w:r>
              <w:rPr>
                <w:rFonts w:ascii="Arial" w:cs="Arial" w:eastAsia="Arial" w:hAnsi="Arial"/>
                <w:sz w:val="18"/>
                <w:szCs w:val="18"/>
                <w:color w:val="auto"/>
              </w:rPr>
              <w:t>Adjustment for Special Items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(18,206)</w:t>
            </w:r>
          </w:p>
        </w:tc>
        <w:tc>
          <w:tcPr>
            <w:tcW w:w="2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(8,665)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(26,871)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Operating Income (Loss)</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(5,432)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3,494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(1,938)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4"/>
              </w:rPr>
              <w:t>%</w:t>
            </w:r>
          </w:p>
        </w:tc>
        <w:tc>
          <w:tcPr>
            <w:tcW w:w="6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4"/>
              </w:rPr>
              <w:t>%</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w:t>
            </w: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Adjusted Operating Margin %</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b w:val="1"/>
                <w:bCs w:val="1"/>
                <w:color w:val="auto"/>
              </w:rPr>
              <w:t>(5)</w:t>
            </w:r>
          </w:p>
        </w:tc>
        <w:tc>
          <w:tcPr>
            <w:tcW w:w="2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b w:val="1"/>
                <w:bCs w:val="1"/>
                <w:color w:val="auto"/>
              </w:rPr>
              <w:t>16</w:t>
            </w:r>
          </w:p>
        </w:tc>
        <w:tc>
          <w:tcPr>
            <w:tcW w:w="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b w:val="1"/>
                <w:bCs w:val="1"/>
                <w:color w:val="auto"/>
              </w:rPr>
              <w:t>(2)</w:t>
            </w: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As air cargo operations commenced in May 2020, there is no comparable prior period information.</w:t>
      </w:r>
    </w:p>
    <w:p>
      <w:pPr>
        <w:spacing w:after="0" w:line="194"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decreased by $2,456, or 16%, to $12,774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from $15,230 for the three months ended March 31, 2020. For more information on the changes in the components of operating income for the passenger segment, refer to the consolidated results of operations discussion above.</w:t>
      </w:r>
    </w:p>
    <w:p>
      <w:pPr>
        <w:spacing w:after="0" w:line="18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operating income was $12,159 for the three months ended March 31, 2021. As air cargo</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commenced in May 2020, the cargo segment had no comparable operations for any other prior period presented.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guidance. The tables below show a reconciliation of non-GAAP financial measures used in this report to the most directly comparable GAAP financial measures.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Operating Income Margin and Adjusted Net Income</w:t>
      </w:r>
    </w:p>
    <w:p>
      <w:pPr>
        <w:spacing w:after="0" w:line="12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Adjusted Operating Income Margin and Adjusted Net Income have limitations as analytical tools. Some of the limitations applicable to these measures include: Adjusted Operating Income Margin and Adjusted Net Income do not reflect the impact of certain cash charges resulting from matters we consider not to be indicative of our ongoing operations; and other companies in our industry may calculate Adjusted Operating Income Margin and Adjusted Net Income differently than we do, limiting each measure’s usefulness as a comparative measure. Because of these limitations, Adjusted Operating Income Margin and Adjusted Net Income should not be considered in isolation or as a substitute for performance measures calculated in accordance with GAAP.</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a derivation of Adjusted Operating Income Margin, Adjusted Net Income is not determined in accordance with GAAP, such measure is susceptible to varying calculations and not all companies calculate the measure in the same manner. As a result, derivations of net income, including Adjusted Operating Income Margin and Adjusted Net Income, as presented may not be directly comparable to similarly titled measures presented by other companies. For the foregoing reasons, each of Adjusted Operating Income Margin and Adjusted Net Income has significant limitations which affect its use as an indicator of our profitability and valuation. Accordingly, you are cautioned not to place undue reliance on this information.</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following table presents the reconciliation of Operating Income to Adjusted Operating Income Margin for the periods presented below.</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0" w:type="dxa"/>
            <w:vAlign w:val="bottom"/>
            <w:gridSpan w:val="7"/>
          </w:tcPr>
          <w:p>
            <w:pPr>
              <w:jc w:val="right"/>
              <w:ind w:right="15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316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Operating Income Margin reconciliation:</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Operating Revenue</w:t>
            </w:r>
          </w:p>
        </w:tc>
        <w:tc>
          <w:tcPr>
            <w:tcW w:w="130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127,611</w:t>
            </w:r>
          </w:p>
        </w:tc>
        <w:tc>
          <w:tcPr>
            <w:tcW w:w="200" w:type="dxa"/>
            <w:vAlign w:val="bottom"/>
          </w:tcPr>
          <w:p>
            <w:pPr>
              <w:spacing w:after="0"/>
              <w:rPr>
                <w:sz w:val="17"/>
                <w:szCs w:val="17"/>
                <w:color w:val="auto"/>
              </w:rPr>
            </w:pPr>
          </w:p>
        </w:tc>
        <w:tc>
          <w:tcPr>
            <w:tcW w:w="26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180,330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24,933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(26,871)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compensation expense</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Tax Receivable Agreement expense </w:t>
            </w:r>
            <w:r>
              <w:rPr>
                <w:rFonts w:ascii="Arial" w:cs="Arial" w:eastAsia="Arial" w:hAnsi="Arial"/>
                <w:sz w:val="23"/>
                <w:szCs w:val="23"/>
                <w:color w:val="auto"/>
                <w:vertAlign w:val="superscript"/>
              </w:rPr>
              <w:t>(b)</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Operating Income</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15,599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19.5</w:t>
            </w:r>
          </w:p>
        </w:tc>
        <w:tc>
          <w:tcPr>
            <w:tcW w:w="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8.4</w:t>
            </w: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Margin</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0.9 %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8.7 %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46"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quarter ended March 31, 2021, the adjustments include Special Items, net, as presented in Note 11 of the Company’s Condensed Consolidated Financial Statements.</w:t>
      </w:r>
    </w:p>
    <w:p>
      <w:pPr>
        <w:spacing w:after="0" w:line="196"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 See Note 10 of the Company’s Condensed Consolidated Financial Statements.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4400" w:hanging="106"/>
        <w:spacing w:after="0"/>
        <w:tabs>
          <w:tab w:leader="none" w:pos="4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following tables present the reconciliation of Net Income to Adjusted Net Income (Loss) for the periods presented below.</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720" w:type="dxa"/>
            <w:vAlign w:val="bottom"/>
            <w:gridSpan w:val="7"/>
          </w:tcPr>
          <w:p>
            <w:pPr>
              <w:ind w:left="15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296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Net Income (Loss) reconciliation:</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740" w:type="dxa"/>
            <w:vAlign w:val="bottom"/>
            <w:gridSpan w:val="2"/>
          </w:tcPr>
          <w:p>
            <w:pPr>
              <w:ind w:left="15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12,416</w:t>
            </w:r>
          </w:p>
        </w:tc>
        <w:tc>
          <w:tcPr>
            <w:tcW w:w="180" w:type="dxa"/>
            <w:vAlign w:val="bottom"/>
          </w:tcPr>
          <w:p>
            <w:pPr>
              <w:spacing w:after="0"/>
              <w:rPr>
                <w:sz w:val="17"/>
                <w:szCs w:val="17"/>
                <w:color w:val="auto"/>
              </w:rPr>
            </w:pPr>
          </w:p>
        </w:tc>
        <w:tc>
          <w:tcPr>
            <w:tcW w:w="22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7,251</w:t>
            </w: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(26,871)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5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Stock compensation expense</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asset transactions, net</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r>
      <w:tr>
        <w:trPr>
          <w:trHeight w:val="203"/>
        </w:trPr>
        <w:tc>
          <w:tcPr>
            <w:tcW w:w="20" w:type="dxa"/>
            <w:vAlign w:val="bottom"/>
          </w:tcPr>
          <w:p>
            <w:pPr>
              <w:spacing w:after="0"/>
              <w:rPr>
                <w:sz w:val="17"/>
                <w:szCs w:val="17"/>
                <w:color w:val="auto"/>
              </w:rPr>
            </w:pPr>
          </w:p>
        </w:tc>
        <w:tc>
          <w:tcPr>
            <w:tcW w:w="5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Early pay-off of US Treasury loan</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6"/>
                <w:szCs w:val="16"/>
                <w:color w:val="auto"/>
              </w:rPr>
              <w:t xml:space="preserve">Tax Receivable Agreement expense </w:t>
            </w:r>
            <w:r>
              <w:rPr>
                <w:rFonts w:ascii="Arial" w:cs="Arial" w:eastAsia="Arial" w:hAnsi="Arial"/>
                <w:sz w:val="23"/>
                <w:szCs w:val="23"/>
                <w:color w:val="auto"/>
                <w:vertAlign w:val="superscript"/>
              </w:rPr>
              <w:t>(b)</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Loss on refinancing credit facility</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6"/>
                <w:szCs w:val="16"/>
                <w:color w:val="auto"/>
              </w:rPr>
              <w:t xml:space="preserve">Income tax effect of adjusting items, net </w:t>
            </w:r>
            <w:r>
              <w:rPr>
                <w:rFonts w:ascii="Arial" w:cs="Arial" w:eastAsia="Arial" w:hAnsi="Arial"/>
                <w:sz w:val="23"/>
                <w:szCs w:val="23"/>
                <w:color w:val="auto"/>
                <w:vertAlign w:val="superscript"/>
              </w:rPr>
              <w:t>(c)</w:t>
            </w:r>
          </w:p>
        </w:tc>
        <w:tc>
          <w:tcPr>
            <w:tcW w:w="1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5,178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196"/>
        </w:trPr>
        <w:tc>
          <w:tcPr>
            <w:tcW w:w="20" w:type="dxa"/>
            <w:vAlign w:val="bottom"/>
          </w:tcPr>
          <w:p>
            <w:pPr>
              <w:spacing w:after="0"/>
              <w:rPr>
                <w:sz w:val="17"/>
                <w:szCs w:val="17"/>
                <w:color w:val="auto"/>
              </w:rPr>
            </w:pPr>
          </w:p>
        </w:tc>
        <w:tc>
          <w:tcPr>
            <w:tcW w:w="51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Adjusted Net Income (Loss)</w:t>
            </w:r>
          </w:p>
        </w:tc>
        <w:tc>
          <w:tcPr>
            <w:tcW w:w="154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(4,919)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7,591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80" w:lineRule="exact"/>
        <w:rPr>
          <w:sz w:val="20"/>
          <w:szCs w:val="20"/>
          <w:color w:val="auto"/>
        </w:rPr>
      </w:pPr>
    </w:p>
    <w:p>
      <w:pPr>
        <w:ind w:left="380" w:right="79" w:hanging="330"/>
        <w:spacing w:after="0" w:line="246"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quarter ended March 31, 2021, the adjustments include Special Items, net, as presented in Note 11 of the Company’s Condensed Consolidated Financial Statements.</w:t>
      </w:r>
    </w:p>
    <w:p>
      <w:pPr>
        <w:spacing w:after="0" w:line="196"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 See Note 10 of the Company’s Condensed Consolidated Financial Statements.</w:t>
      </w:r>
    </w:p>
    <w:p>
      <w:pPr>
        <w:spacing w:after="0" w:line="196" w:lineRule="exact"/>
        <w:rPr>
          <w:rFonts w:ascii="Arial" w:cs="Arial" w:eastAsia="Arial" w:hAnsi="Arial"/>
          <w:sz w:val="18"/>
          <w:szCs w:val="18"/>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tax effect of adjusting items, net is calculated at the Company’s statutory rate for the applicable period.</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EBITDAR</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aircraft.</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Adjusted EBITDAR has limitations as an analytical tool. Some of the limitations applicable to this measure include: Adjusted EBITDAR does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it does not reflect the interest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EBITDAR differently than we do, limiting each measure’s usefulness as a comparative measure. Because of these limitations, Adjusted EBITDAR should not be considered in isolation or as a substitute for performance measures calculated in accordance with GAAP.</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following tables present the reconciliation of Net Income (Loss) to Adjusted EBITDAR for the periods presented below.</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2240" w:type="dxa"/>
            <w:vAlign w:val="bottom"/>
            <w:tcBorders>
              <w:bottom w:val="single" w:sz="8" w:color="CCEEFF"/>
            </w:tcBorders>
          </w:tcPr>
          <w:p>
            <w:pPr>
              <w:spacing w:after="0"/>
              <w:rPr>
                <w:sz w:val="13"/>
                <w:szCs w:val="13"/>
                <w:color w:val="auto"/>
              </w:rPr>
            </w:pPr>
          </w:p>
        </w:tc>
        <w:tc>
          <w:tcPr>
            <w:tcW w:w="45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7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EBITDAR Reconciliation: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12,416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7,251</w:t>
            </w:r>
          </w:p>
        </w:tc>
      </w:tr>
      <w:tr>
        <w:trPr>
          <w:trHeight w:val="203"/>
        </w:trPr>
        <w:tc>
          <w:tcPr>
            <w:tcW w:w="67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(26,871)</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Loss on asset transactions, net</w:t>
            </w:r>
          </w:p>
        </w:tc>
        <w:tc>
          <w:tcPr>
            <w:tcW w:w="20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r>
      <w:tr>
        <w:trPr>
          <w:trHeight w:val="203"/>
        </w:trPr>
        <w:tc>
          <w:tcPr>
            <w:tcW w:w="67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5,616</w:t>
            </w:r>
          </w:p>
        </w:tc>
      </w:tr>
      <w:tr>
        <w:trPr>
          <w:trHeight w:val="203"/>
        </w:trPr>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Compensation expense</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2,870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r>
      <w:tr>
        <w:trPr>
          <w:trHeight w:val="203"/>
        </w:trPr>
        <w:tc>
          <w:tcPr>
            <w:tcW w:w="67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Tax Receivable Agreement expense </w:t>
            </w:r>
            <w:r>
              <w:rPr>
                <w:rFonts w:ascii="Arial" w:cs="Arial" w:eastAsia="Arial" w:hAnsi="Arial"/>
                <w:sz w:val="23"/>
                <w:szCs w:val="23"/>
                <w:color w:val="auto"/>
                <w:vertAlign w:val="superscript"/>
              </w:rPr>
              <w:t>(b)</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r>
      <w:tr>
        <w:trPr>
          <w:trHeight w:val="203"/>
        </w:trPr>
        <w:tc>
          <w:tcPr>
            <w:tcW w:w="67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2,445</w:t>
            </w:r>
          </w:p>
        </w:tc>
      </w:tr>
      <w:tr>
        <w:trPr>
          <w:trHeight w:val="203"/>
        </w:trPr>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12,615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10,527</w:t>
            </w:r>
          </w:p>
        </w:tc>
      </w:tr>
      <w:tr>
        <w:trPr>
          <w:trHeight w:val="203"/>
        </w:trPr>
        <w:tc>
          <w:tcPr>
            <w:tcW w:w="67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Aircraft rent</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5,599</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11,032</w:t>
            </w:r>
          </w:p>
        </w:tc>
      </w:tr>
      <w:tr>
        <w:trPr>
          <w:trHeight w:val="196"/>
        </w:trPr>
        <w:tc>
          <w:tcPr>
            <w:tcW w:w="674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Adjusted EBITDAR</w:t>
            </w: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19,405</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37,061</w:t>
            </w: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80" w:lineRule="exact"/>
        <w:rPr>
          <w:sz w:val="20"/>
          <w:szCs w:val="20"/>
          <w:color w:val="auto"/>
        </w:rPr>
      </w:pPr>
    </w:p>
    <w:p>
      <w:pPr>
        <w:ind w:left="380" w:right="79" w:hanging="330"/>
        <w:spacing w:after="0" w:line="246"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quarter ended March 31, 2021, the adjustments include Special Items, net, as presented in Note 11 of the Company’s Condensed Consolidated Financial Statements.</w:t>
      </w:r>
    </w:p>
    <w:p>
      <w:pPr>
        <w:spacing w:after="0" w:line="196"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 See Note 10 of the Company’s Condensed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CASM and Adjusted CASM</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0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Adjusted CASM is one of the most important measures used by management and by our board of directors in assessing quarterly and annual cost performance.</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600"/>
              <w:spacing w:after="0" w:line="143" w:lineRule="exact"/>
              <w:rPr>
                <w:sz w:val="20"/>
                <w:szCs w:val="20"/>
                <w:color w:val="auto"/>
              </w:rPr>
            </w:pPr>
            <w:r>
              <w:rPr>
                <w:rFonts w:ascii="Arial" w:cs="Arial" w:eastAsia="Arial" w:hAnsi="Arial"/>
                <w:sz w:val="14"/>
                <w:szCs w:val="14"/>
                <w:b w:val="1"/>
                <w:bCs w:val="1"/>
                <w:color w:val="auto"/>
              </w:rPr>
              <w:t>In</w:t>
            </w: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Per ASM</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6"/>
              </w:rPr>
              <w:t>In</w:t>
            </w: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Per ASM</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thousands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 cents)</w:t>
            </w: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thousands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(in cents)</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CASM</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102,678</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165,100</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Less: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Aircraft fuel</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24,274</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55,561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Stock Compensation expense</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2,870</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(26,871)</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6"/>
                <w:szCs w:val="16"/>
                <w:color w:val="auto"/>
              </w:rPr>
              <w:t>Tax Receivable Agreement Expense</w:t>
            </w:r>
            <w:r>
              <w:rPr>
                <w:rFonts w:ascii="Arial" w:cs="Arial" w:eastAsia="Arial" w:hAnsi="Arial"/>
                <w:sz w:val="23"/>
                <w:szCs w:val="23"/>
                <w:color w:val="auto"/>
                <w:vertAlign w:val="superscript"/>
              </w:rPr>
              <w:t>(b)</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Cargo expenses, not already adjusted above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17,195</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Sun Country Vacations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w:t>
            </w: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CASM</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84,732</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6.15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108,982</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6.20</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8"/>
                <w:szCs w:val="18"/>
                <w:color w:val="auto"/>
              </w:rPr>
              <w:t>Available Seat Miles (ASMs)</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1,376,796</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1,757,067</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1" w:lineRule="exact"/>
        <w:rPr>
          <w:sz w:val="20"/>
          <w:szCs w:val="20"/>
          <w:color w:val="auto"/>
        </w:rPr>
      </w:pPr>
    </w:p>
    <w:p>
      <w:pPr>
        <w:ind w:left="380" w:right="79" w:hanging="330"/>
        <w:spacing w:after="0" w:line="246"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quarter ended March 31, 2021, the adjustments include Special Items, net, as presented in Note 11 of the Company’s Condensed Consolidated Financial Statements.</w:t>
      </w:r>
    </w:p>
    <w:p>
      <w:pPr>
        <w:spacing w:after="0" w:line="196"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 See Note 10 of the Company’s Condensed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stockholders’ capital contributions, the issuance of promissory notes and our 2019-1 EETC financing. In March 2021, the Company offered 9,090,909 shares of common stock to the public at $24.00 per share. The underwriters had an option to purchase an additional 1,363,636 shares from the Company at the public offering price, which they exercised. In total, all 10,454,545 shares were issued and the net proceeds to the company were $224,657 after deducting underwriting discounts and commissions, and other offering expenses.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primary sources of liquidity as of March 31, 2021 included our existing cash and equivalents of $269,599 and short-term investments of $5,777, our expected cash generated from operations and our $25,000 Revolving Credit Facility, which had availability of $25,000 as of March 31, 2021. In addition, we had restricted cash of $6,019 as of March 31, 2021,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received a total of $62,312 in assistance from Treasury in 2020 as part of the Payroll Support Program under the CARES Act in response to the extensive impact of the COVID-19 pandemic on the U.S. airline industry. In accordance with any grants and/or loans received under the CARES Act, we are required to comply with the relevant provisions of the CARES Act and the related implementing agreements which, among other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which was extended to September 30, 2022 under PSP3; and restrictions on the payment of certain executive compensation until the October 1, 2022, which was extended to April 1, 2023 under PSP3. A portion of the proceeds from our initial public offering was used to repay in full all amounts outstanding under the CARES Act Loan.</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the first quarter of 2021, we received a grant of $32,208 under PSP2. On April 22, 2021, we received a PSP2 top-off grant of $4,831. All funds provided by Treasury to PSP2 participants may only be used for the continuation of payment of employee wages, salaries, and benefits. Further, we were notified on April 15, 2021 that we would receive a grant of approximately $34,547 under PSP3, of which $17,274 was received on April 29, 2021.</w:t>
      </w:r>
    </w:p>
    <w:p>
      <w:pPr>
        <w:spacing w:after="0" w:line="202"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On February 10, 2021, Sun Country, Inc., our wholly-owned subsidiary (the “Borrower”), entered into the Credit Agreement, which provides for a $25,000 Revolving Credit Facility and a $ 90,000 Delayed Draw Term Loan 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w:t>
      </w:r>
    </w:p>
    <w:p>
      <w:pPr>
        <w:spacing w:after="0" w:line="3" w:lineRule="exact"/>
        <w:rPr>
          <w:sz w:val="20"/>
          <w:szCs w:val="20"/>
          <w:color w:val="auto"/>
        </w:rPr>
      </w:pPr>
    </w:p>
    <w:p>
      <w:pPr>
        <w:jc w:val="both"/>
        <w:ind w:left="60" w:right="59" w:hanging="10"/>
        <w:spacing w:after="0" w:line="237" w:lineRule="auto"/>
        <w:tabs>
          <w:tab w:leader="none" w:pos="3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loans under the Delayed Draw Term Loan Facility exceeds $25,000 on such date, the date that is 180 days prior to February 10, 2026. The Delayed Draw Term Loan Facility matures on February 10, 2026. The Delayed Draw Term Loan Facility is available only to finance the acquisition of aircraft and engines and is not available for working capital or other general corporate purposes. Only the $25,000 Revolving Credit Facility portion of the Credit Facilities is available for general corporate purposes and as a general source of liquidity.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and finance leases and debt.</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Condensed Consolidated Balance Sheet. A portion of our deposits is therefore unavailable until after we have completed the scheduled maintenance in accordance with the terms of the aircraft leases.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2021  December 31, 2020</w:t>
            </w:r>
          </w:p>
        </w:tc>
      </w:tr>
      <w:tr>
        <w:trPr>
          <w:trHeight w:val="196"/>
        </w:trPr>
        <w:tc>
          <w:tcPr>
            <w:tcW w:w="6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Equivalents</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269,599</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62,028</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5,777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5,624</w:t>
            </w: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303,341</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282,463</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103,288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107,170</w:t>
            </w: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Capitalized Operating Leases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98,512</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147,199</w:t>
            </w:r>
          </w:p>
        </w:tc>
      </w:tr>
      <w:tr>
        <w:trPr>
          <w:trHeight w:val="196"/>
        </w:trPr>
        <w:tc>
          <w:tcPr>
            <w:tcW w:w="6400" w:type="dxa"/>
            <w:vAlign w:val="bottom"/>
          </w:tcPr>
          <w:p>
            <w:pPr>
              <w:ind w:left="120"/>
              <w:spacing w:after="0" w:line="196" w:lineRule="exact"/>
              <w:rPr>
                <w:sz w:val="20"/>
                <w:szCs w:val="20"/>
                <w:color w:val="auto"/>
              </w:rPr>
            </w:pPr>
            <w:r>
              <w:rPr>
                <w:rFonts w:ascii="Arial" w:cs="Arial" w:eastAsia="Arial" w:hAnsi="Arial"/>
                <w:sz w:val="18"/>
                <w:szCs w:val="18"/>
                <w:color w:val="auto"/>
              </w:rPr>
              <w:t>Total Debt and Lease obligations</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505,141</w:t>
            </w:r>
          </w:p>
        </w:tc>
        <w:tc>
          <w:tcPr>
            <w:tcW w:w="160" w:type="dxa"/>
            <w:vAlign w:val="bottom"/>
          </w:tcPr>
          <w:p>
            <w:pPr>
              <w:spacing w:after="0"/>
              <w:rPr>
                <w:sz w:val="17"/>
                <w:szCs w:val="17"/>
                <w:color w:val="auto"/>
              </w:rPr>
            </w:pP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536,832</w:t>
            </w: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409,960</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283,817</w:t>
            </w:r>
          </w:p>
        </w:tc>
      </w:tr>
      <w:tr>
        <w:trPr>
          <w:trHeight w:val="236"/>
        </w:trPr>
        <w:tc>
          <w:tcPr>
            <w:tcW w:w="64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Invested Capital</w:t>
            </w: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915,101</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820,649</w:t>
            </w:r>
          </w:p>
        </w:tc>
      </w:tr>
      <w:tr>
        <w:trPr>
          <w:trHeight w:val="183"/>
        </w:trPr>
        <w:tc>
          <w:tcPr>
            <w:tcW w:w="64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Debt-to-Capital</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0.65</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and Uses of Liquidity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Operating activities in the three months ended March 31, 2021 provided $15,839 compared to providing $13,858 in the three months ended March 31, 2020.</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194"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w:t>
      </w:r>
      <w:r>
        <w:rPr>
          <w:rFonts w:ascii="Arial" w:cs="Arial" w:eastAsia="Arial" w:hAnsi="Arial"/>
          <w:sz w:val="18"/>
          <w:szCs w:val="18"/>
          <w:i w:val="1"/>
          <w:iCs w:val="1"/>
          <w:color w:val="auto"/>
        </w:rPr>
        <w:t xml:space="preserve"> </w:t>
      </w:r>
      <w:r>
        <w:rPr>
          <w:rFonts w:ascii="Arial" w:cs="Arial" w:eastAsia="Arial" w:hAnsi="Arial"/>
          <w:sz w:val="18"/>
          <w:szCs w:val="18"/>
          <w:color w:val="auto"/>
        </w:rPr>
        <w:t>When we receive a cash payment at the time of sale, we record the cash received on advance sales as deferred revenue in air traffic liabilities. Air traffic liabilities typically increase during the winter and spring months as advanced ticket sales grow prior to the summer peak travel season and decrease during the summer and fall months. The outlook for the remainder of the year is unclear, but we are currently planning for modest demand recovery to continue in the fourth quarter of 2021.</w:t>
      </w:r>
    </w:p>
    <w:p>
      <w:pPr>
        <w:spacing w:after="0" w:line="18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Fuel expense represented approximately 24% and 34% of our total operating expense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and 2020, respectively. The market price for jet fuel is volatile, which can impact the comparability of our periodic cash flows from operations. We expect fuel consumption to increase through the end of 2021 compared to prior year periods consistent with increased passengers as the impact of the pandemic subsides.</w:t>
      </w:r>
    </w:p>
    <w:p>
      <w:pPr>
        <w:spacing w:after="0" w:line="185"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 xml:space="preserve">CARES Act. </w:t>
      </w:r>
      <w:r>
        <w:rPr>
          <w:rFonts w:ascii="Arial" w:cs="Arial" w:eastAsia="Arial" w:hAnsi="Arial"/>
          <w:sz w:val="18"/>
          <w:szCs w:val="18"/>
          <w:color w:val="auto"/>
        </w:rPr>
        <w:t>During the three months ended March 31, 2021 we received $32,208 in CARES Act grants. We did</w:t>
      </w:r>
      <w:r>
        <w:rPr>
          <w:rFonts w:ascii="Arial" w:cs="Arial" w:eastAsia="Arial" w:hAnsi="Arial"/>
          <w:sz w:val="18"/>
          <w:szCs w:val="18"/>
          <w:i w:val="1"/>
          <w:iCs w:val="1"/>
          <w:color w:val="auto"/>
        </w:rPr>
        <w:t xml:space="preserve"> </w:t>
      </w:r>
      <w:r>
        <w:rPr>
          <w:rFonts w:ascii="Arial" w:cs="Arial" w:eastAsia="Arial" w:hAnsi="Arial"/>
          <w:sz w:val="18"/>
          <w:szCs w:val="18"/>
          <w:color w:val="auto"/>
        </w:rPr>
        <w:t>not receive a grant in the first quarter of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$54,399 and $75,250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and 2020, respectively. Our capital expenditures during the three months ended March 31, 2021 were primarily related to the purchases of aircraft and technology enhancements. We invested $52,810 to purchase five aircraft in the first quarter of 2021 as compared to investing $72,519 on three aircraft and one engine in the first quarter of 2020.</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March 31, 2021, we were in the process of closing on the purchase of one additional aircraft, which closed on April 6, 2021. To finance this purchase, we drew down an additional $12,500 the Delayed Draw Term Loan Facility.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IPO. </w:t>
      </w:r>
      <w:r>
        <w:rPr>
          <w:rFonts w:ascii="Arial" w:cs="Arial" w:eastAsia="Arial" w:hAnsi="Arial"/>
          <w:sz w:val="18"/>
          <w:szCs w:val="18"/>
          <w:color w:val="auto"/>
        </w:rPr>
        <w:t>On March 16, 2021, the Company offered 9,090,909 shares of common stock to the public at $24.00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The underwriters had an option to purchase an additional 1,363,636 shares from the Company at the public offering price, which they exercised. In total, all 10,454,545 shares were issued and the net proceeds to the company were $224,657 after deducting underwriting discounts and commissions, and other offering expenses.</w:t>
      </w:r>
    </w:p>
    <w:p>
      <w:pPr>
        <w:spacing w:after="0" w:line="185"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In the three months ended March 31, 2021, we incurred $68,000 in new debt, primarily to purchase five</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In the first quarter of 2020 we incurred $ 108,777 in debt, primarily to purchase three aircraft and to refinance three others. In the first quarter of 2021, we repaid our $45,000 loan with the Treasury, plus interest. In the first quarter of 2020 we repaid $47,255 in debt, primarily related to the refinancing of three aircraft.</w:t>
      </w:r>
    </w:p>
    <w:p>
      <w:pPr>
        <w:spacing w:after="0" w:line="19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For additional information regarding these financing arrangements, see Note 7 of the Notes to the Condensed Consolidated Financial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Undrawn Lines of Credit</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February 10, 2021, we executed a new five-year credit agreement that provides for a $25,000 Revolving Credit Facility and a $90,000 Delayed Draw Term Loan Facility, which are collectively referred to as the “Credit Facilities.” During the three months ended March 31, 2021, the Company drew $68,000 on the Delayed Draw Term Loan Facility to purchase five aircraft. These activities resulted in approximately $47,000 undrawn on the Credit Facilities as of March 31, 2021. The Delayed Draw Term Loan Facility is available only to finance the acquisition of aircraft and engines and is not available for working capital or other general corporate purposes. Only the $25,000 Revolving Credit Facility portion of the Credit Facilities is available for general corporate purposes and as a general source of liquidity.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a description of certain covenants of our debt agreements, see Note 7 of the Notes to the Condensed Consolidated Financial Statements. We were in compliance with all covenants in these debt agreements at March 31,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requiring us, as the lessee, to 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Generally,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Through June 2020, we purchased 13 aircraft utilizing these certificates and the obligations are listed in Note 7 – Debt.</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Minneapolis-Saint Paul International Airport, Las</w:t>
      </w:r>
      <w:r>
        <w:rPr>
          <w:rFonts w:ascii="Arial" w:cs="Arial" w:eastAsia="Arial" w:hAnsi="Arial"/>
          <w:sz w:val="18"/>
          <w:szCs w:val="18"/>
          <w:i w:val="1"/>
          <w:iCs w:val="1"/>
          <w:color w:val="auto"/>
        </w:rPr>
        <w:t xml:space="preserve"> </w:t>
      </w:r>
      <w:r>
        <w:rPr>
          <w:rFonts w:ascii="Arial" w:cs="Arial" w:eastAsia="Arial" w:hAnsi="Arial"/>
          <w:sz w:val="18"/>
          <w:szCs w:val="18"/>
          <w:color w:val="auto"/>
        </w:rPr>
        <w:t>Vegas 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There are no assets or liabilities on our balance sheets related to these VIEs, since our participation is limited to purchasing aircraft fuel.</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other off-balance sheet arrangements.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contractual obligations comprised of aircraft leases and supplemental maintenance reserves, payment of debt and interest and other lease arrangements. As of March 31, 2021 we also have a contractual obligation to pay our pre-IPO stockholders under the terms of the Tax Receivable Agreement.</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additional information, refer to Note 12 Commitments and Contingencies to our unaudited condensed consolidated financial statements included elsewhere in this Quarterly Report on Form 10-Q. Except as described herein, there have been no material change in our contractual obligations and commitments other than in the ordinary course of business since our fiscal year ended December 31, 2020. Also, see our Final Prospectus for additional information regarding our contractual obligations.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connection with the Company’s IPO, we entered into an income tax receivable agreement with our pre-IPO stockholders. The agreement provides for the payment by the Company to the pre-IPO stockholders of 85% of the amount of cash savings, if any, in U.S. federal, state, local, and foreign income tax that the Company realizes. For additional information regarding this agreement, see Note 7 of the Notes to the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18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We do not hold or issue option or swap contracts for trading purposes. We expect to continue to enter into these types of contracts prospectively, although significant changes in market conditions could affect our decisions. Based on our 2021 forecasted fuel consumption as of December 31, 2020, we estimate that a one cent per gallon increase in average aircraft fuel price would increase our 2021 annual aircraft fuel expense by $600, excluding any impact associated with fuel derivative instruments held and reimbursed cargo fuel.</w:t>
      </w:r>
    </w:p>
    <w:p>
      <w:pPr>
        <w:spacing w:after="0" w:line="193"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 We have exposure to market risk associated with changes in interest rates related to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from our variable-rate debt. A change in market interest rates would impact interest expense under the Credit Facilities. Assuming the Credit Facilities are fully drawn, a 100 basis point increase in interest rates would result in a corresponding increase in interest expense of approximately $1,200 annually.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March 31, 2021, under the supervision and with the participation of our management, including our chief executive officer (“CEO”) and chief financial officer (“CFO”), we evaluated the design and operation of our disclosure controls and procedures (as defined in Rules 13a-15(e) and 15d-15(e) of the Securities Exchange Act of 1934, as amended, or the “Exchange Act”) as of the end of the period covered by this report. Based on that evaluation, management, including our CEO and CFO, has concluded that our disclosure controls and procedures are designed, and are effective, to give reasonable assurance that the information we are required to disclose is recorded, processed, summarized and reported within the time periods specified in the SEC’s rules and forms and is accumulated and communicated to the Company’s management, including the CEO and the CFO, as appropriate to allow timely decisions regarding required disclosure.</w:t>
      </w:r>
    </w:p>
    <w:p>
      <w:pPr>
        <w:spacing w:after="0" w:line="20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three months ended March 31, 2021, we did not make any changes in our internal control over financial reporting that have materially affected, or are reasonably likely to materially affect, our internal control over financial reporting.</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disclosed under the heading “Risk Factors” in our Registration Statement on Form S-1 (File No. 333-252858), as amended, and the Final Prospectus included therein, the risk factors which materially affect our business, financial condition or results of operations. There have been no material changes from the risk factors previously disclosed. You should carefully consider the risk factors set forth in the Registration Statement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During the three months ended March 31, 2021, we did not conduct any sales of equity securities that were not registered under the Securities Act of 1933, as amended.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3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The Registration Statement on Form S-1 (File No. 333-252858) for our initial public offering (“IPO”) of our common stock, par value $0.01 per share was declared effective by the SEC on March 16, 2021, pursuant to which we issued and sold 10,454,545 shares of our common stock at $24.00 per share, which included 1,363,636 shares issued upon the exercise of the underwriters’ over-allotment option to purchase additional shares. We received net proceeds of $224,657 after deducting underwriting discounts and commissions, and other offering expenses. The managing underwriters for our IPO were Barclays Capital Inc. and Morgan Stanley</w:t>
      </w:r>
    </w:p>
    <w:p>
      <w:pPr>
        <w:spacing w:after="0" w:line="4" w:lineRule="exact"/>
        <w:rPr>
          <w:sz w:val="20"/>
          <w:szCs w:val="20"/>
          <w:color w:val="auto"/>
        </w:rPr>
      </w:pPr>
    </w:p>
    <w:p>
      <w:pPr>
        <w:jc w:val="both"/>
        <w:ind w:left="60" w:right="59" w:hanging="10"/>
        <w:spacing w:after="0" w:line="238"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 LLC. Shares of our common stock began trading on the NASDAQ on March 17, 2021. We used approximately $46,260 of the proceeds from the IPO to repay all amounts outstanding under the CARES Act Loan. A portion of the proceeds were used to pay fees and expenses in connection with the IPO and the remainder will be used for general corporate purposes, including the acquisition of additional aircraft. At March 31, 2021, $1,829 of expenses incurred in connection with our IPO had not yet been paid.</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management team will retain broad discretion to allocate the net proceeds of the IPO for general corporate purposes. Pending use as described above, we may invest the net proceeds from the IPO in short-term, investment-grade, interest-bearing securities, such as money market accounts, certificates of deposit, commercial paper and guaranteed obligations of the U.S. government.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does not have a share repurchase program and no shares were repurchased during the three months ended March 31, 2021. Under the CARES Act, we are restricted from conducting certain share repurchases through the later of March 31, 2022 and one year following repayment.</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On February 5, 2021, we accepted 140,737 total shares from two stockholders, valued at $24.87 per share, in settlement of $3,500 principal outstanding under promissory notes.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Exhibits</w:t>
      </w:r>
    </w:p>
    <w:p>
      <w:pPr>
        <w:spacing w:after="0" w:line="212" w:lineRule="exact"/>
        <w:rPr>
          <w:sz w:val="20"/>
          <w:szCs w:val="20"/>
          <w:color w:val="auto"/>
        </w:rPr>
      </w:pPr>
    </w:p>
    <w:p>
      <w:pPr>
        <w:jc w:val="both"/>
        <w:ind w:left="1040" w:right="79" w:hanging="984"/>
        <w:spacing w:after="0"/>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01">
        <w:r>
          <w:rPr>
            <w:rFonts w:ascii="Arial" w:cs="Arial" w:eastAsia="Arial" w:hAnsi="Arial"/>
            <w:sz w:val="18"/>
            <w:szCs w:val="18"/>
            <w:u w:val="single" w:color="auto"/>
            <w:color w:val="0000EE"/>
          </w:rPr>
          <w:t>Payroll Support Program Extension Agreement, dated as of January 29, 2021, by and between</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Sun Country, Inc. and the Department of the Treasury (incorporated by reference to Exhibit 10.8 to</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Sun Country Airlines Holdings, Inc.’s Registration Statement on Form S-1 (File No. 333-252858)).</w:t>
        </w:r>
      </w:hyperlink>
    </w:p>
    <w:p>
      <w:pPr>
        <w:spacing w:after="0" w:line="189" w:lineRule="exact"/>
        <w:rPr>
          <w:rFonts w:ascii="Arial" w:cs="Arial" w:eastAsia="Arial" w:hAnsi="Arial"/>
          <w:sz w:val="18"/>
          <w:szCs w:val="18"/>
          <w:u w:val="single" w:color="auto"/>
          <w:color w:val="0000EE"/>
        </w:rPr>
      </w:pPr>
    </w:p>
    <w:p>
      <w:pPr>
        <w:jc w:val="both"/>
        <w:ind w:left="1040" w:right="79" w:hanging="984"/>
        <w:spacing w:after="0" w:line="238"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02">
        <w:r>
          <w:rPr>
            <w:rFonts w:ascii="Arial" w:cs="Arial" w:eastAsia="Arial" w:hAnsi="Arial"/>
            <w:sz w:val="18"/>
            <w:szCs w:val="18"/>
            <w:u w:val="single" w:color="auto"/>
            <w:color w:val="0000EE"/>
          </w:rPr>
          <w:t>Credit Agreement, dated as of February 10, 2021, among SCA Acquisition, LLC, Sun Country, Inc.,</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the lenders and issuing banks party thereto and Barclays Bank PLC, as administrative agent</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(incorporated by reference to Exhibit 10.47 to Sun Country Airlines Holdings, Inc.’s Registration</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Statement on Form S-1 (File No. 333-252858)).</w:t>
        </w:r>
      </w:hyperlink>
    </w:p>
    <w:p>
      <w:pPr>
        <w:spacing w:after="0" w:line="191" w:lineRule="exact"/>
        <w:rPr>
          <w:rFonts w:ascii="Arial" w:cs="Arial" w:eastAsia="Arial" w:hAnsi="Arial"/>
          <w:sz w:val="18"/>
          <w:szCs w:val="18"/>
          <w:u w:val="single" w:color="auto"/>
          <w:color w:val="0000EE"/>
        </w:rPr>
      </w:pPr>
    </w:p>
    <w:p>
      <w:pPr>
        <w:jc w:val="both"/>
        <w:ind w:left="1040" w:right="79" w:hanging="984"/>
        <w:spacing w:after="0" w:line="238"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03">
        <w:r>
          <w:rPr>
            <w:rFonts w:ascii="Arial" w:cs="Arial" w:eastAsia="Arial" w:hAnsi="Arial"/>
            <w:sz w:val="18"/>
            <w:szCs w:val="18"/>
            <w:u w:val="single" w:color="auto"/>
            <w:color w:val="0000EE"/>
          </w:rPr>
          <w:t>Securities Purchase Agreement, dated March 7, 2021, among Sun Country Airlines Holdings, Inc.,</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SCA Horus Holdings, LLC and PAR Investment Partners, L.P. (incorporated by reference to Exhibit</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10.48 to Sun Country Airlines Holdings, Inc.’s Registration Statement on Form S-1 (File</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No. 333-252858)).</w:t>
        </w:r>
      </w:hyperlink>
    </w:p>
    <w:p>
      <w:pPr>
        <w:spacing w:after="0" w:line="191" w:lineRule="exact"/>
        <w:rPr>
          <w:rFonts w:ascii="Arial" w:cs="Arial" w:eastAsia="Arial" w:hAnsi="Arial"/>
          <w:sz w:val="18"/>
          <w:szCs w:val="18"/>
          <w:u w:val="single" w:color="auto"/>
          <w:color w:val="0000EE"/>
        </w:rPr>
      </w:pPr>
    </w:p>
    <w:p>
      <w:pPr>
        <w:jc w:val="both"/>
        <w:ind w:left="1040" w:right="79" w:hanging="984"/>
        <w:spacing w:after="0" w:line="238"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04">
        <w:r>
          <w:rPr>
            <w:rFonts w:ascii="Arial" w:cs="Arial" w:eastAsia="Arial" w:hAnsi="Arial"/>
            <w:sz w:val="18"/>
            <w:szCs w:val="18"/>
            <w:u w:val="single" w:color="auto"/>
            <w:color w:val="0000EE"/>
          </w:rPr>
          <w:t>Securities Purchase Agreement, dated March 7, 2021, among Sun Country Airlines Holdings, Inc.,</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SCA Horus Holdings, LLC and the Blackrock Entities party thereto (incorporated by reference to</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Exhibit 10.49 to Sun Country Airlines Holdings, Inc.’s Registration Statement on Form S-1 (File No.</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333-252858)).</w:t>
        </w:r>
      </w:hyperlink>
    </w:p>
    <w:p>
      <w:pPr>
        <w:spacing w:after="0" w:line="191" w:lineRule="exact"/>
        <w:rPr>
          <w:rFonts w:ascii="Arial" w:cs="Arial" w:eastAsia="Arial" w:hAnsi="Arial"/>
          <w:sz w:val="18"/>
          <w:szCs w:val="18"/>
          <w:u w:val="single" w:color="auto"/>
          <w:color w:val="0000EE"/>
        </w:rPr>
      </w:pPr>
    </w:p>
    <w:p>
      <w:pPr>
        <w:jc w:val="both"/>
        <w:ind w:left="1040" w:right="79" w:hanging="984"/>
        <w:spacing w:after="0" w:line="238"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05">
        <w:r>
          <w:rPr>
            <w:rFonts w:ascii="Arial" w:cs="Arial" w:eastAsia="Arial" w:hAnsi="Arial"/>
            <w:sz w:val="18"/>
            <w:szCs w:val="18"/>
            <w:u w:val="single" w:color="auto"/>
            <w:color w:val="0000EE"/>
          </w:rPr>
          <w:t>Registration Rights Agreement, dated as of March 19, 2021, among Sun Country Airlines Holdings,</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Inc. and the Holders party thereto (incorporated by reference to Exhibit 10.1 to Sun Country</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Airlines Holdings, Inc.’s Current Report on Form 8-K filed with the Securities and Exchange</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Commission on March 22, 2021).</w:t>
        </w:r>
      </w:hyperlink>
    </w:p>
    <w:p>
      <w:pPr>
        <w:spacing w:after="0" w:line="191" w:lineRule="exact"/>
        <w:rPr>
          <w:rFonts w:ascii="Arial" w:cs="Arial" w:eastAsia="Arial" w:hAnsi="Arial"/>
          <w:sz w:val="18"/>
          <w:szCs w:val="18"/>
          <w:u w:val="single" w:color="auto"/>
          <w:color w:val="0000EE"/>
        </w:rPr>
      </w:pPr>
    </w:p>
    <w:p>
      <w:pPr>
        <w:jc w:val="both"/>
        <w:ind w:left="1040" w:right="79" w:hanging="984"/>
        <w:spacing w:after="0" w:line="238"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06">
        <w:r>
          <w:rPr>
            <w:rFonts w:ascii="Arial" w:cs="Arial" w:eastAsia="Arial" w:hAnsi="Arial"/>
            <w:sz w:val="18"/>
            <w:szCs w:val="18"/>
            <w:u w:val="single" w:color="auto"/>
            <w:color w:val="0000EE"/>
          </w:rPr>
          <w:t>Third Amended and Restated Stockholders’ Agreement, dated as of March 19, 2021, by and</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among Sun Country Airlines Holdings, Inc. and the stockholders party thereto (incorporated by</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reference to Exhibit 10.2 to Sun Country Airlines Holdings, Inc.’s Current Report on Form 8-K filed</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with the Securities and Exchange Commission on March 22, 2021).</w:t>
        </w:r>
      </w:hyperlink>
    </w:p>
    <w:p>
      <w:pPr>
        <w:spacing w:after="0" w:line="191" w:lineRule="exact"/>
        <w:rPr>
          <w:rFonts w:ascii="Arial" w:cs="Arial" w:eastAsia="Arial" w:hAnsi="Arial"/>
          <w:sz w:val="18"/>
          <w:szCs w:val="18"/>
          <w:u w:val="single" w:color="auto"/>
          <w:color w:val="0000EE"/>
        </w:rPr>
      </w:pPr>
    </w:p>
    <w:p>
      <w:pPr>
        <w:jc w:val="both"/>
        <w:ind w:left="1040" w:right="79" w:hanging="984"/>
        <w:spacing w:after="0" w:line="238"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07">
        <w:r>
          <w:rPr>
            <w:rFonts w:ascii="Arial" w:cs="Arial" w:eastAsia="Arial" w:hAnsi="Arial"/>
            <w:sz w:val="18"/>
            <w:szCs w:val="18"/>
            <w:u w:val="single" w:color="auto"/>
            <w:color w:val="0000EE"/>
          </w:rPr>
          <w:t>Income Tax Receivable Agreement, dated as of March 19, 2021, by and among Sun Country</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Airlines Holdings, Inc. and the other parties thereto (incorporated by reference to Exhibit 10.3 to</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Sun Country Airlines Holdings, Inc.’s Current Report on Form 8-K filed with the Securities and</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Exchange Commission on March 22, 2021).</w:t>
        </w:r>
      </w:hyperlink>
    </w:p>
    <w:p>
      <w:pPr>
        <w:spacing w:after="0" w:line="191" w:lineRule="exact"/>
        <w:rPr>
          <w:rFonts w:ascii="Arial" w:cs="Arial" w:eastAsia="Arial" w:hAnsi="Arial"/>
          <w:sz w:val="18"/>
          <w:szCs w:val="18"/>
          <w:u w:val="single" w:color="auto"/>
          <w:color w:val="0000EE"/>
        </w:rPr>
      </w:pPr>
    </w:p>
    <w:p>
      <w:pPr>
        <w:jc w:val="both"/>
        <w:ind w:left="1040" w:right="79" w:hanging="984"/>
        <w:spacing w:after="0"/>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08">
        <w:r>
          <w:rPr>
            <w:rFonts w:ascii="Arial" w:cs="Arial" w:eastAsia="Arial" w:hAnsi="Arial"/>
            <w:sz w:val="18"/>
            <w:szCs w:val="18"/>
            <w:u w:val="single" w:color="auto"/>
            <w:color w:val="0000EE"/>
          </w:rPr>
          <w:t>Sun Country Airlines Holdings, Inc. 2021 Omnibus Incentive Plan (incorporated by reference to</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Exhibit 4.2 to Sun Country Airlines Holdings, Inc.’s Registration Statement on Form S-8 (File</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No. 333-254371)).</w:t>
        </w:r>
      </w:hyperlink>
    </w:p>
    <w:p>
      <w:pPr>
        <w:spacing w:after="0" w:line="200" w:lineRule="exact"/>
        <w:rPr>
          <w:rFonts w:ascii="Arial" w:cs="Arial" w:eastAsia="Arial" w:hAnsi="Arial"/>
          <w:sz w:val="18"/>
          <w:szCs w:val="18"/>
          <w:u w:val="single" w:color="auto"/>
          <w:color w:val="0000EE"/>
        </w:rPr>
      </w:pPr>
    </w:p>
    <w:p>
      <w:pPr>
        <w:spacing w:after="0" w:line="38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40" w:right="79" w:hanging="984"/>
        <w:spacing w:after="0" w:line="246"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49">
        <w:r>
          <w:rPr>
            <w:rFonts w:ascii="Arial" w:cs="Arial" w:eastAsia="Arial" w:hAnsi="Arial"/>
            <w:sz w:val="18"/>
            <w:szCs w:val="18"/>
            <w:u w:val="single" w:color="auto"/>
            <w:color w:val="0000EE"/>
          </w:rPr>
          <w:t>Certification by Sun Country's Chief Executive Officer with respect to Sun Country's Quarterly</w:t>
        </w:r>
      </w:hyperlink>
      <w:r>
        <w:rPr>
          <w:rFonts w:ascii="Arial" w:cs="Arial" w:eastAsia="Arial" w:hAnsi="Arial"/>
          <w:sz w:val="18"/>
          <w:szCs w:val="18"/>
          <w:u w:val="single" w:color="auto"/>
          <w:color w:val="0000EE"/>
        </w:rPr>
        <w:t xml:space="preserve"> </w:t>
      </w:r>
      <w:hyperlink w:anchor="page49">
        <w:r>
          <w:rPr>
            <w:rFonts w:ascii="Arial" w:cs="Arial" w:eastAsia="Arial" w:hAnsi="Arial"/>
            <w:sz w:val="18"/>
            <w:szCs w:val="18"/>
            <w:u w:val="single" w:color="auto"/>
            <w:color w:val="0000EE"/>
          </w:rPr>
          <w:t>Report on Form 10-Q for the quarterly period ended March 31, 2021</w:t>
        </w:r>
      </w:hyperlink>
    </w:p>
    <w:p>
      <w:pPr>
        <w:spacing w:after="0" w:line="183" w:lineRule="exact"/>
        <w:rPr>
          <w:sz w:val="20"/>
          <w:szCs w:val="20"/>
          <w:color w:val="auto"/>
        </w:rPr>
      </w:pPr>
    </w:p>
    <w:p>
      <w:pPr>
        <w:ind w:left="1040" w:right="79" w:hanging="984"/>
        <w:spacing w:after="0" w:line="246"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50">
        <w:r>
          <w:rPr>
            <w:rFonts w:ascii="Arial" w:cs="Arial" w:eastAsia="Arial" w:hAnsi="Arial"/>
            <w:sz w:val="18"/>
            <w:szCs w:val="18"/>
            <w:u w:val="single" w:color="auto"/>
            <w:color w:val="0000EE"/>
          </w:rPr>
          <w:t>Certification by Sun Country’s President and Chief Financial Officer with respect to Sun Country's</w:t>
        </w:r>
      </w:hyperlink>
      <w:r>
        <w:rPr>
          <w:rFonts w:ascii="Arial" w:cs="Arial" w:eastAsia="Arial" w:hAnsi="Arial"/>
          <w:sz w:val="18"/>
          <w:szCs w:val="18"/>
          <w:u w:val="single" w:color="auto"/>
          <w:color w:val="0000EE"/>
        </w:rPr>
        <w:t xml:space="preserve"> </w:t>
      </w:r>
      <w:hyperlink w:anchor="page50">
        <w:r>
          <w:rPr>
            <w:rFonts w:ascii="Arial" w:cs="Arial" w:eastAsia="Arial" w:hAnsi="Arial"/>
            <w:sz w:val="18"/>
            <w:szCs w:val="18"/>
            <w:u w:val="single" w:color="auto"/>
            <w:color w:val="0000EE"/>
          </w:rPr>
          <w:t>Quarterly Report on Form 10-Q for the quarterly period ended March 31, 2021</w:t>
        </w:r>
      </w:hyperlink>
    </w:p>
    <w:p>
      <w:pPr>
        <w:spacing w:after="0" w:line="183" w:lineRule="exact"/>
        <w:rPr>
          <w:sz w:val="20"/>
          <w:szCs w:val="20"/>
          <w:color w:val="auto"/>
        </w:rPr>
      </w:pPr>
    </w:p>
    <w:p>
      <w:pPr>
        <w:jc w:val="both"/>
        <w:ind w:left="1040" w:right="79" w:hanging="981"/>
        <w:spacing w:after="0" w:line="238" w:lineRule="auto"/>
        <w:tabs>
          <w:tab w:leader="none" w:pos="1040" w:val="left"/>
        </w:tabs>
        <w:numPr>
          <w:ilvl w:val="0"/>
          <w:numId w:val="25"/>
        </w:numPr>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Certification pursuant to Section 1350 of Chapter 63 of Title 18 of the United States Code by Sun</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Country Airlines Holdings, Inc.’s Chief Executive Officer and President and Chief Financial Officer</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with respect to Sun Country's Quarterly Report on Form 10-Q for the quarterly period ended</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March 31, 2021</w:t>
        </w:r>
      </w:hyperlink>
    </w:p>
    <w:p>
      <w:pPr>
        <w:spacing w:after="0" w:line="187" w:lineRule="exact"/>
        <w:rPr>
          <w:rFonts w:ascii="Arial" w:cs="Arial" w:eastAsia="Arial" w:hAnsi="Arial"/>
          <w:sz w:val="18"/>
          <w:szCs w:val="18"/>
          <w:u w:val="single" w:color="auto"/>
          <w:color w:val="0000EE"/>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8000" w:type="dxa"/>
            <w:vAlign w:val="bottom"/>
          </w:tcPr>
          <w:p>
            <w:pPr>
              <w:ind w:left="120"/>
              <w:spacing w:after="0"/>
              <w:rPr>
                <w:sz w:val="20"/>
                <w:szCs w:val="20"/>
                <w:color w:val="auto"/>
              </w:rPr>
            </w:pPr>
            <w:r>
              <w:rPr>
                <w:rFonts w:ascii="Arial" w:cs="Arial" w:eastAsia="Arial" w:hAnsi="Arial"/>
                <w:sz w:val="18"/>
                <w:szCs w:val="18"/>
                <w:color w:val="auto"/>
              </w:rPr>
              <w:t>Inline XBRL Instance Document - The instance document does not appear in the interactive data</w:t>
            </w:r>
          </w:p>
        </w:tc>
      </w:tr>
      <w:tr>
        <w:trPr>
          <w:trHeight w:val="217"/>
        </w:trPr>
        <w:tc>
          <w:tcPr>
            <w:tcW w:w="860" w:type="dxa"/>
            <w:vAlign w:val="bottom"/>
          </w:tcPr>
          <w:p>
            <w:pPr>
              <w:spacing w:after="0"/>
              <w:rPr>
                <w:sz w:val="18"/>
                <w:szCs w:val="18"/>
                <w:color w:val="auto"/>
              </w:rPr>
            </w:pPr>
          </w:p>
        </w:tc>
        <w:tc>
          <w:tcPr>
            <w:tcW w:w="8000" w:type="dxa"/>
            <w:vAlign w:val="bottom"/>
          </w:tcPr>
          <w:p>
            <w:pPr>
              <w:ind w:left="120"/>
              <w:spacing w:after="0"/>
              <w:rPr>
                <w:sz w:val="20"/>
                <w:szCs w:val="20"/>
                <w:color w:val="auto"/>
              </w:rPr>
            </w:pPr>
            <w:r>
              <w:rPr>
                <w:rFonts w:ascii="Arial" w:cs="Arial" w:eastAsia="Arial" w:hAnsi="Arial"/>
                <w:sz w:val="18"/>
                <w:szCs w:val="18"/>
                <w:color w:val="auto"/>
              </w:rPr>
              <w:t>file because its XBRL tags are embedded within the Inline XBRL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8000" w:type="dxa"/>
            <w:vAlign w:val="bottom"/>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800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800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8000" w:type="dxa"/>
            <w:vAlign w:val="bottom"/>
          </w:tcPr>
          <w:p>
            <w:pPr>
              <w:ind w:left="120"/>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800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88" w:lineRule="exact"/>
        <w:rPr>
          <w:rFonts w:ascii="Arial" w:cs="Arial" w:eastAsia="Arial" w:hAnsi="Arial"/>
          <w:sz w:val="18"/>
          <w:szCs w:val="18"/>
          <w:u w:val="single" w:color="auto"/>
          <w:color w:val="0000EE"/>
        </w:rPr>
      </w:pPr>
    </w:p>
    <w:p>
      <w:pPr>
        <w:ind w:left="1040" w:hanging="98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 Page Interactive Data Files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4400" w:hanging="106"/>
        <w:spacing w:after="0"/>
        <w:tabs>
          <w:tab w:leader="none" w:pos="44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Sun Country Airlines Holdings, Inc.</w:t>
      </w:r>
    </w:p>
    <w:p>
      <w:pPr>
        <w:ind w:left="44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-1905</wp:posOffset>
            </wp:positionV>
            <wp:extent cx="28721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8"/>
          <w:szCs w:val="18"/>
          <w:color w:val="auto"/>
        </w:rPr>
        <w:t>Dave Davis</w:t>
      </w:r>
    </w:p>
    <w:p>
      <w:pPr>
        <w:ind w:left="4440"/>
        <w:spacing w:after="0" w:line="234" w:lineRule="auto"/>
        <w:rPr>
          <w:sz w:val="20"/>
          <w:szCs w:val="20"/>
          <w:color w:val="auto"/>
        </w:rPr>
      </w:pPr>
      <w:r>
        <w:rPr>
          <w:rFonts w:ascii="Arial" w:cs="Arial" w:eastAsia="Arial" w:hAnsi="Arial"/>
          <w:sz w:val="18"/>
          <w:szCs w:val="18"/>
          <w:color w:val="auto"/>
        </w:rPr>
        <w:t>President and Chief Financial Officer</w:t>
      </w:r>
    </w:p>
    <w:p>
      <w:pPr>
        <w:ind w:left="4440"/>
        <w:spacing w:after="0" w:line="235" w:lineRule="auto"/>
        <w:rPr>
          <w:sz w:val="20"/>
          <w:szCs w:val="20"/>
          <w:color w:val="auto"/>
        </w:rPr>
      </w:pPr>
      <w:r>
        <w:rPr>
          <w:rFonts w:ascii="Arial" w:cs="Arial" w:eastAsia="Arial" w:hAnsi="Arial"/>
          <w:sz w:val="18"/>
          <w:szCs w:val="18"/>
          <w:color w:val="auto"/>
        </w:rPr>
        <w:t>(Principal Financial and Accounting Officer)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Jude Bricker, certify that:</w:t>
      </w:r>
    </w:p>
    <w:p>
      <w:pPr>
        <w:spacing w:after="0" w:line="225" w:lineRule="exact"/>
        <w:rPr>
          <w:sz w:val="20"/>
          <w:szCs w:val="20"/>
          <w:color w:val="auto"/>
        </w:rPr>
      </w:pPr>
    </w:p>
    <w:p>
      <w:pPr>
        <w:ind w:left="580" w:right="340" w:hanging="315"/>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Country Airlines Holdings, Inc. ("Sun Country") for the quarterly period ended March 31, 2021;</w:t>
      </w:r>
    </w:p>
    <w:p>
      <w:pPr>
        <w:spacing w:after="0" w:line="170" w:lineRule="exact"/>
        <w:rPr>
          <w:rFonts w:ascii="Arial" w:cs="Arial" w:eastAsia="Arial" w:hAnsi="Arial"/>
          <w:sz w:val="18"/>
          <w:szCs w:val="18"/>
          <w:color w:val="auto"/>
        </w:rPr>
      </w:pPr>
    </w:p>
    <w:p>
      <w:pPr>
        <w:ind w:left="580" w:right="280" w:hanging="315"/>
        <w:spacing w:after="0" w:line="263"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20" w:hanging="315"/>
        <w:spacing w:after="0" w:line="263"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83" w:lineRule="exact"/>
        <w:rPr>
          <w:rFonts w:ascii="Arial" w:cs="Arial" w:eastAsia="Arial" w:hAnsi="Arial"/>
          <w:sz w:val="18"/>
          <w:szCs w:val="18"/>
          <w:color w:val="auto"/>
        </w:rPr>
      </w:pPr>
    </w:p>
    <w:p>
      <w:pPr>
        <w:ind w:left="580" w:right="180" w:hanging="315"/>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Sun Country's other certifying officer and I are responsible for establishing and maintaining disclosure controls and procedures (as defined in Exchange Act Rules 13a-15(e) and 15d-15(e)) for Sun Country and have:</w:t>
      </w:r>
    </w:p>
    <w:p>
      <w:pPr>
        <w:spacing w:after="0" w:line="170" w:lineRule="exact"/>
        <w:rPr>
          <w:rFonts w:ascii="Arial" w:cs="Arial" w:eastAsia="Arial" w:hAnsi="Arial"/>
          <w:sz w:val="18"/>
          <w:szCs w:val="18"/>
          <w:color w:val="auto"/>
        </w:rPr>
      </w:pPr>
    </w:p>
    <w:p>
      <w:pPr>
        <w:ind w:left="980" w:right="40" w:hanging="324"/>
        <w:spacing w:after="0" w:line="311" w:lineRule="auto"/>
        <w:tabs>
          <w:tab w:leader="none" w:pos="980" w:val="left"/>
        </w:tabs>
        <w:numPr>
          <w:ilvl w:val="2"/>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ind w:left="980" w:right="280" w:hanging="324"/>
        <w:spacing w:after="0" w:line="263" w:lineRule="auto"/>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80" w:hanging="324"/>
        <w:spacing w:after="0" w:line="263" w:lineRule="auto"/>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83" w:lineRule="exact"/>
        <w:rPr>
          <w:rFonts w:ascii="Arial" w:cs="Arial" w:eastAsia="Arial" w:hAnsi="Arial"/>
          <w:sz w:val="18"/>
          <w:szCs w:val="18"/>
          <w:color w:val="auto"/>
        </w:rPr>
      </w:pPr>
    </w:p>
    <w:p>
      <w:pPr>
        <w:jc w:val="both"/>
        <w:ind w:left="660" w:right="640" w:hanging="328"/>
        <w:spacing w:after="0" w:line="263"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83" w:lineRule="exact"/>
        <w:rPr>
          <w:rFonts w:ascii="Arial" w:cs="Arial" w:eastAsia="Arial" w:hAnsi="Arial"/>
          <w:sz w:val="18"/>
          <w:szCs w:val="18"/>
          <w:color w:val="auto"/>
        </w:rPr>
      </w:pPr>
    </w:p>
    <w:p>
      <w:pPr>
        <w:ind w:left="980" w:right="520" w:hanging="324"/>
        <w:spacing w:after="0" w:line="277" w:lineRule="auto"/>
        <w:tabs>
          <w:tab w:leader="none" w:pos="9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Sun Country's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Jude Bricker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Dave Davis, certify that:</w:t>
      </w:r>
    </w:p>
    <w:p>
      <w:pPr>
        <w:spacing w:after="0" w:line="225" w:lineRule="exact"/>
        <w:rPr>
          <w:sz w:val="20"/>
          <w:szCs w:val="20"/>
          <w:color w:val="auto"/>
        </w:rPr>
      </w:pPr>
    </w:p>
    <w:p>
      <w:pPr>
        <w:ind w:left="660" w:right="2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Country Airlines Holdings, Inc. ("Sun Country") for the quarterly period ended March 31, 2021;</w:t>
      </w:r>
    </w:p>
    <w:p>
      <w:pPr>
        <w:spacing w:after="0" w:line="170"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Sun Country's other certifying officer and I are responsible for establishing and maintaining disclosure controls and procedures (as defined in Exchange Act Rules 13a-15(e) and 15d-15(e)) for Sun Country and have:</w:t>
      </w:r>
    </w:p>
    <w:p>
      <w:pPr>
        <w:spacing w:after="0" w:line="170" w:lineRule="exact"/>
        <w:rPr>
          <w:rFonts w:ascii="Arial" w:cs="Arial" w:eastAsia="Arial" w:hAnsi="Arial"/>
          <w:sz w:val="18"/>
          <w:szCs w:val="18"/>
          <w:color w:val="auto"/>
        </w:rPr>
      </w:pPr>
    </w:p>
    <w:p>
      <w:pPr>
        <w:ind w:left="980" w:right="40" w:hanging="324"/>
        <w:spacing w:after="0" w:line="311" w:lineRule="auto"/>
        <w:tabs>
          <w:tab w:leader="none" w:pos="9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ind w:left="980" w:right="280" w:hanging="324"/>
        <w:spacing w:after="0" w:line="263"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80" w:hanging="324"/>
        <w:spacing w:after="0" w:line="263"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83" w:lineRule="exact"/>
        <w:rPr>
          <w:rFonts w:ascii="Arial" w:cs="Arial" w:eastAsia="Arial" w:hAnsi="Arial"/>
          <w:sz w:val="18"/>
          <w:szCs w:val="18"/>
          <w:color w:val="auto"/>
        </w:rPr>
      </w:pPr>
    </w:p>
    <w:p>
      <w:pPr>
        <w:jc w:val="both"/>
        <w:ind w:left="660" w:right="64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83" w:lineRule="exact"/>
        <w:rPr>
          <w:rFonts w:ascii="Arial" w:cs="Arial" w:eastAsia="Arial" w:hAnsi="Arial"/>
          <w:sz w:val="18"/>
          <w:szCs w:val="18"/>
          <w:color w:val="auto"/>
        </w:rPr>
      </w:pPr>
    </w:p>
    <w:p>
      <w:pPr>
        <w:ind w:left="980" w:right="52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Sun Country's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5715</wp:posOffset>
            </wp:positionV>
            <wp:extent cx="31375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Dave Davis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March 31, 2021 (the "Report").</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of the undersigned, the Chief Executive Officer and the President and Chief Financial Officer, respectively, of Sun Country, hereby certifies that, as of the end of the period covered by the Report:</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Sun Country.</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Jude Bricker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Dave Davis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lvl w:ilvl="1">
      <w:lvlJc w:val="left"/>
      <w:lvlText w:val="-"/>
      <w:numFmt w:val="bullet"/>
      <w:start w:val="1"/>
    </w:lvl>
  </w:abstractNum>
  <w:abstractNum w:abstractNumId="3">
    <w:nsid w:val="4E6AFB66"/>
    <w:multiLevelType w:val="hybridMultilevel"/>
    <w:lvl w:ilvl="0">
      <w:lvlJc w:val="left"/>
      <w:lvlText w:val="%1."/>
      <w:numFmt w:val="decimal"/>
      <w:start w:val="2"/>
    </w:lvl>
    <w:lvl w:ilvl="1">
      <w:lvlJc w:val="left"/>
      <w:lvlText w:val="-"/>
      <w:numFmt w:val="bullet"/>
      <w:start w:val="1"/>
    </w:lvl>
  </w:abstractNum>
  <w:abstractNum w:abstractNumId="4">
    <w:nsid w:val="25E45D32"/>
    <w:multiLevelType w:val="hybridMultilevel"/>
    <w:lvl w:ilvl="0">
      <w:lvlJc w:val="left"/>
      <w:lvlText w:val="%1."/>
      <w:numFmt w:val="decimal"/>
      <w:start w:val="3"/>
    </w:lvl>
    <w:lvl w:ilvl="1">
      <w:lvlJc w:val="left"/>
      <w:lvlText w:val="-"/>
      <w:numFmt w:val="bullet"/>
      <w:start w:val="1"/>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6"/>
    </w:lvl>
  </w:abstractNum>
  <w:abstractNum w:abstractNumId="10">
    <w:nsid w:val="62BBD95A"/>
    <w:multiLevelType w:val="hybridMultilevel"/>
    <w:lvl w:ilvl="0">
      <w:lvlJc w:val="left"/>
      <w:lvlText w:val="%1."/>
      <w:numFmt w:val="decimal"/>
      <w:start w:val="7"/>
    </w:lvl>
    <w:lvl w:ilvl="1">
      <w:lvlJc w:val="left"/>
      <w:lvlText w:val="-"/>
      <w:numFmt w:val="bullet"/>
      <w:start w:val="1"/>
    </w:lvl>
  </w:abstractNum>
  <w:abstractNum w:abstractNumId="11">
    <w:nsid w:val="436C6125"/>
    <w:multiLevelType w:val="hybridMultilevel"/>
    <w:lvl w:ilvl="0">
      <w:lvlJc w:val="left"/>
      <w:lvlText w:val="%1."/>
      <w:numFmt w:val="decimal"/>
      <w:start w:val="8"/>
    </w:lvl>
  </w:abstractNum>
  <w:abstractNum w:abstractNumId="12">
    <w:nsid w:val="628C895D"/>
    <w:multiLevelType w:val="hybridMultilevel"/>
    <w:lvl w:ilvl="0">
      <w:lvlJc w:val="left"/>
      <w:lvlText w:val="%1."/>
      <w:numFmt w:val="decimal"/>
      <w:start w:val="10"/>
    </w:lvl>
    <w:lvl w:ilvl="1">
      <w:lvlJc w:val="left"/>
      <w:lvlText w:val="-"/>
      <w:numFmt w:val="bullet"/>
      <w:start w:val="1"/>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5">
    <w:nsid w:val="2443A858"/>
    <w:multiLevelType w:val="hybridMultilevel"/>
    <w:lvl w:ilvl="0">
      <w:lvlJc w:val="left"/>
      <w:lvlText w:val="%1."/>
      <w:numFmt w:val="decimal"/>
      <w:start w:val="12"/>
    </w:lvl>
    <w:lvl w:ilvl="1">
      <w:lvlJc w:val="left"/>
      <w:lvlText w:val="%2"/>
      <w:numFmt w:val="decimal"/>
      <w:start w:val="1"/>
    </w:lvl>
    <w:lvl w:ilvl="2">
      <w:lvlJc w:val="left"/>
      <w:lvlText w:val="-"/>
      <w:numFmt w:val="bullet"/>
      <w:start w:val="1"/>
    </w:lvl>
  </w:abstractNum>
  <w:abstractNum w:abstractNumId="16">
    <w:nsid w:val="2D1D5AE9"/>
    <w:multiLevelType w:val="hybridMultilevel"/>
    <w:lvl w:ilvl="0">
      <w:lvlJc w:val="left"/>
      <w:lvlText w:val="%1."/>
      <w:numFmt w:val="decimal"/>
      <w:start w:val="14"/>
    </w:lvl>
  </w:abstractNum>
  <w:abstractNum w:abstractNumId="17">
    <w:nsid w:val="6763845E"/>
    <w:multiLevelType w:val="hybridMultilevel"/>
    <w:lvl w:ilvl="0">
      <w:lvlJc w:val="left"/>
      <w:lvlText w:val="(%1)"/>
      <w:numFmt w:val="decimal"/>
      <w:start w:val="1"/>
    </w:lvl>
    <w:lvl w:ilvl="1">
      <w:lvlJc w:val="left"/>
      <w:lvlText w:val="-"/>
      <w:numFmt w:val="bullet"/>
      <w:start w:val="1"/>
    </w:lvl>
  </w:abstractNum>
  <w:abstractNum w:abstractNumId="18">
    <w:nsid w:val="75A2A8D4"/>
    <w:multiLevelType w:val="hybridMultilevel"/>
    <w:lvl w:ilvl="0">
      <w:lvlJc w:val="left"/>
      <w:lvlText w:val="(%1)"/>
      <w:numFmt w:val="lowerLetter"/>
      <w:start w:val="1"/>
    </w:lvl>
    <w:lvl w:ilvl="1">
      <w:lvlJc w:val="left"/>
      <w:lvlText w:val="-"/>
      <w:numFmt w:val="bullet"/>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25"/>
    </w:lvl>
  </w:abstractNum>
  <w:abstractNum w:abstractNumId="23">
    <w:nsid w:val="189A769B"/>
    <w:multiLevelType w:val="hybridMultilevel"/>
    <w:lvl w:ilvl="0">
      <w:lvlJc w:val="left"/>
      <w:lvlText w:val="&amp;"/>
      <w:numFmt w:val="bullet"/>
      <w:start w:val="1"/>
    </w:lvl>
  </w:abstractNum>
  <w:abstractNum w:abstractNumId="24">
    <w:nsid w:val="54E49EB4"/>
    <w:multiLevelType w:val="hybridMultilevel"/>
    <w:lvl w:ilvl="0">
      <w:lvlJc w:val="left"/>
      <w:lvlText w:val="%1"/>
      <w:numFmt w:val="decimal"/>
      <w:start w:val="32"/>
    </w:lvl>
  </w:abstractNum>
  <w:abstractNum w:abstractNumId="25">
    <w:nsid w:val="71F32454"/>
    <w:multiLevelType w:val="hybridMultilevel"/>
    <w:lvl w:ilvl="0">
      <w:lvlJc w:val="left"/>
      <w:lvlText w:val="%1"/>
      <w:numFmt w:val="decimal"/>
      <w:start w:val="104"/>
    </w:lvl>
    <w:lvl w:ilvl="1">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01" Type="http://schemas.openxmlformats.org/officeDocument/2006/relationships/hyperlink" Target="https://www.sec.gov/Archives/edgar/data/1743907/000119312521032486/d71456dex108.htm" TargetMode="External"/><Relationship Id="rId102" Type="http://schemas.openxmlformats.org/officeDocument/2006/relationships/hyperlink" Target="https://www.sec.gov/Archives/edgar/data/1743907/000119312521051676/d71456dex1047.htm" TargetMode="External"/><Relationship Id="rId103" Type="http://schemas.openxmlformats.org/officeDocument/2006/relationships/hyperlink" Target="https://www.sec.gov/Archives/edgar/data/1743907/000119312521072301/d71456dex1048.htm" TargetMode="External"/><Relationship Id="rId104" Type="http://schemas.openxmlformats.org/officeDocument/2006/relationships/hyperlink" Target="https://www.sec.gov/Archives/edgar/data/1743907/000119312521072301/d71456dex1049.htm" TargetMode="External"/><Relationship Id="rId105" Type="http://schemas.openxmlformats.org/officeDocument/2006/relationships/hyperlink" Target="https://www.sec.gov/Archives/edgar/data/1743907/000119312521089702/d151286dex101.htm" TargetMode="External"/><Relationship Id="rId106" Type="http://schemas.openxmlformats.org/officeDocument/2006/relationships/hyperlink" Target="https://www.sec.gov/Archives/edgar/data/1743907/000119312521089702/d151286dex102.htm" TargetMode="External"/><Relationship Id="rId107" Type="http://schemas.openxmlformats.org/officeDocument/2006/relationships/hyperlink" Target="https://www.sec.gov/Archives/edgar/data/1743907/000119312521089702/d151286dex103.htm" TargetMode="External"/><Relationship Id="rId108" Type="http://schemas.openxmlformats.org/officeDocument/2006/relationships/hyperlink" Target="https://www.sec.gov/Archives/edgar/data/1743907/000119312521083088/d54989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2021-05-06T14:43:36Z</dcterms:created>
  <dcterms:modified xsi:type="dcterms:W3CDTF">2021-05-06T14:43:36Z</dcterms:modified>
</cp:coreProperties>
</file>