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989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98983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844"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Mangione Christopher Michael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80"/>
        <w:spacing w:after="0" w:line="337" w:lineRule="auto"/>
        <w:rPr>
          <w:sz w:val="20"/>
          <w:szCs w:val="20"/>
          <w:color w:val="auto"/>
        </w:rPr>
      </w:pPr>
      <w:r>
        <w:rPr>
          <w:rFonts w:ascii="Times New Roman" w:cs="Times New Roman" w:eastAsia="Times New Roman" w:hAnsi="Times New Roman"/>
          <w:sz w:val="17"/>
          <w:szCs w:val="17"/>
          <w:color w:val="0000FF"/>
        </w:rPr>
        <w:t>C/O SUN COUNTRY AIRLINES HOLDINGS, INC. 2005 CARGO ROAD</w:t>
      </w:r>
    </w:p>
    <w:p>
      <w:pPr>
        <w:spacing w:after="0" w:line="177"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8"/>
              </w:rPr>
              <w:t>MINNEAPOLIS</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MN</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46"/>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8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Sun Country Airlines Holdings, LLC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SNCY</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2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0" w:type="dxa"/>
            <w:vAlign w:val="bottom"/>
            <w:gridSpan w:val="2"/>
            <w:vMerge w:val="continue"/>
          </w:tcPr>
          <w:p>
            <w:pPr>
              <w:spacing w:after="0"/>
              <w:rPr>
                <w:sz w:val="11"/>
                <w:szCs w:val="11"/>
                <w:color w:val="auto"/>
              </w:rPr>
            </w:pPr>
          </w:p>
        </w:tc>
        <w:tc>
          <w:tcPr>
            <w:tcW w:w="2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2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820" w:type="dxa"/>
            <w:vAlign w:val="bottom"/>
          </w:tcPr>
          <w:p>
            <w:pPr>
              <w:ind w:left="58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7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280" w:type="dxa"/>
            <w:vAlign w:val="bottom"/>
            <w:gridSpan w:val="2"/>
          </w:tcPr>
          <w:p>
            <w:pPr>
              <w:ind w:left="600"/>
              <w:spacing w:after="0" w:line="178" w:lineRule="exact"/>
              <w:rPr>
                <w:sz w:val="20"/>
                <w:szCs w:val="20"/>
                <w:color w:val="auto"/>
              </w:rPr>
            </w:pPr>
            <w:r>
              <w:rPr>
                <w:rFonts w:ascii="Times New Roman" w:cs="Times New Roman" w:eastAsia="Times New Roman" w:hAnsi="Times New Roman"/>
                <w:sz w:val="17"/>
                <w:szCs w:val="17"/>
                <w:color w:val="0000FF"/>
              </w:rPr>
              <w:t>Chief Acct. Off. &amp; VP, Finance</w:t>
            </w:r>
          </w:p>
        </w:tc>
        <w:tc>
          <w:tcPr>
            <w:tcW w:w="0" w:type="dxa"/>
            <w:vAlign w:val="bottom"/>
          </w:tcPr>
          <w:p>
            <w:pPr>
              <w:spacing w:after="0"/>
              <w:rPr>
                <w:sz w:val="1"/>
                <w:szCs w:val="1"/>
                <w:color w:val="auto"/>
              </w:rPr>
            </w:pPr>
          </w:p>
        </w:tc>
      </w:tr>
      <w:tr>
        <w:trPr>
          <w:trHeight w:val="215"/>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05/13/2026</w:t>
            </w:r>
          </w:p>
        </w:tc>
        <w:tc>
          <w:tcPr>
            <w:tcW w:w="7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328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85" w:lineRule="exact"/>
        <w:rPr>
          <w:sz w:val="24"/>
          <w:szCs w:val="24"/>
          <w:color w:val="auto"/>
        </w:rPr>
      </w:pPr>
    </w:p>
    <w:p>
      <w:pPr>
        <w:sectPr>
          <w:pgSz w:w="11900" w:h="16838" w:orient="portrait"/>
          <w:cols w:equalWidth="0" w:num="2">
            <w:col w:w="3760" w:space="80"/>
            <w:col w:w="7240"/>
          </w:cols>
          <w:pgMar w:left="460" w:top="216" w:right="359" w:bottom="84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46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1"/>
                <w:szCs w:val="11"/>
                <w:b w:val="1"/>
                <w:bCs w:val="1"/>
                <w:color w:val="auto"/>
              </w:rPr>
              <w:t>3.</w:t>
            </w:r>
          </w:p>
        </w:tc>
        <w:tc>
          <w:tcPr>
            <w:tcW w:w="600" w:type="dxa"/>
            <w:vAlign w:val="bottom"/>
          </w:tcPr>
          <w:p>
            <w:pPr>
              <w:spacing w:after="0"/>
              <w:rPr>
                <w:sz w:val="13"/>
                <w:szCs w:val="13"/>
                <w:color w:val="auto"/>
              </w:rPr>
            </w:pPr>
          </w:p>
        </w:tc>
        <w:tc>
          <w:tcPr>
            <w:tcW w:w="206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tcPr>
          <w:p>
            <w:pPr>
              <w:ind w:left="460"/>
              <w:spacing w:after="0"/>
              <w:rPr>
                <w:sz w:val="20"/>
                <w:szCs w:val="20"/>
                <w:color w:val="auto"/>
              </w:rPr>
            </w:pPr>
            <w:r>
              <w:rPr>
                <w:rFonts w:ascii="Arial" w:cs="Arial" w:eastAsia="Arial" w:hAnsi="Arial"/>
                <w:sz w:val="11"/>
                <w:szCs w:val="11"/>
                <w:b w:val="1"/>
                <w:bCs w:val="1"/>
                <w:color w:val="auto"/>
              </w:rPr>
              <w:t>Date</w:t>
            </w:r>
          </w:p>
        </w:tc>
        <w:tc>
          <w:tcPr>
            <w:tcW w:w="420" w:type="dxa"/>
            <w:vAlign w:val="bottom"/>
          </w:tcPr>
          <w:p>
            <w:pPr>
              <w:spacing w:after="0"/>
              <w:rPr>
                <w:sz w:val="10"/>
                <w:szCs w:val="10"/>
                <w:color w:val="auto"/>
              </w:rPr>
            </w:pPr>
          </w:p>
        </w:tc>
        <w:tc>
          <w:tcPr>
            <w:tcW w:w="1120" w:type="dxa"/>
            <w:vAlign w:val="bottom"/>
            <w:gridSpan w:val="4"/>
          </w:tcPr>
          <w:p>
            <w:pPr>
              <w:ind w:left="6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Transaction</w:t>
            </w:r>
          </w:p>
        </w:tc>
        <w:tc>
          <w:tcPr>
            <w:tcW w:w="2060" w:type="dxa"/>
            <w:vAlign w:val="bottom"/>
            <w:gridSpan w:val="4"/>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4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80" w:type="dxa"/>
            <w:vAlign w:val="bottom"/>
            <w:gridSpan w:val="2"/>
          </w:tcPr>
          <w:p>
            <w:pPr>
              <w:ind w:left="46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Code (Instr.</w:t>
            </w: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120" w:type="dxa"/>
            <w:vAlign w:val="bottom"/>
          </w:tcPr>
          <w:p>
            <w:pPr>
              <w:spacing w:after="0"/>
              <w:rPr>
                <w:sz w:val="20"/>
                <w:szCs w:val="20"/>
                <w:color w:val="auto"/>
              </w:rPr>
            </w:pPr>
            <w:r>
              <w:rPr>
                <w:rFonts w:ascii="Arial" w:cs="Arial" w:eastAsia="Arial" w:hAnsi="Arial"/>
                <w:sz w:val="11"/>
                <w:szCs w:val="11"/>
                <w:b w:val="1"/>
                <w:bCs w:val="1"/>
                <w:color w:val="auto"/>
              </w:rPr>
              <w:t>8)</w:t>
            </w: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jc w:val="right"/>
              <w:ind w:right="101"/>
              <w:spacing w:after="0"/>
              <w:rPr>
                <w:sz w:val="20"/>
                <w:szCs w:val="20"/>
                <w:color w:val="auto"/>
              </w:rPr>
            </w:pPr>
            <w:r>
              <w:rPr>
                <w:rFonts w:ascii="Times New Roman" w:cs="Times New Roman" w:eastAsia="Times New Roman" w:hAnsi="Times New Roman"/>
                <w:sz w:val="17"/>
                <w:szCs w:val="17"/>
                <w:color w:val="0000FF"/>
              </w:rPr>
              <w:t>05/13/2026</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D</w:t>
            </w:r>
          </w:p>
        </w:tc>
        <w:tc>
          <w:tcPr>
            <w:tcW w:w="1020" w:type="dxa"/>
            <w:vAlign w:val="bottom"/>
            <w:tcBorders>
              <w:bottom w:val="single" w:sz="8" w:color="2C2C2C"/>
            </w:tcBorders>
            <w:gridSpan w:val="2"/>
          </w:tcPr>
          <w:p>
            <w:pPr>
              <w:ind w:left="60"/>
              <w:spacing w:after="0" w:line="306" w:lineRule="exact"/>
              <w:rPr>
                <w:sz w:val="20"/>
                <w:szCs w:val="20"/>
                <w:color w:val="auto"/>
              </w:rPr>
            </w:pPr>
            <w:r>
              <w:rPr>
                <w:rFonts w:ascii="Times New Roman" w:cs="Times New Roman" w:eastAsia="Times New Roman" w:hAnsi="Times New Roman"/>
                <w:sz w:val="33"/>
                <w:szCs w:val="33"/>
                <w:color w:val="0000FF"/>
                <w:w w:val="84"/>
                <w:vertAlign w:val="subscript"/>
              </w:rPr>
              <w:t>10,682</w:t>
            </w:r>
            <w:r>
              <w:rPr>
                <w:rFonts w:ascii="Times New Roman" w:cs="Times New Roman" w:eastAsia="Times New Roman" w:hAnsi="Times New Roman"/>
                <w:sz w:val="11"/>
                <w:szCs w:val="11"/>
                <w:color w:val="008000"/>
                <w:w w:val="84"/>
              </w:rPr>
              <w:t>(1)(2)(3)(4)</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1"/>
                <w:szCs w:val="11"/>
                <w:color w:val="008000"/>
              </w:rPr>
              <w:t>(1)(2)(3)(4)</w:t>
            </w:r>
          </w:p>
        </w:tc>
        <w:tc>
          <w:tcPr>
            <w:tcW w:w="5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1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80" w:type="dxa"/>
            <w:vAlign w:val="bottom"/>
            <w:gridSpan w:val="12"/>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4"/>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840" w:type="dxa"/>
            <w:vAlign w:val="bottom"/>
            <w:gridSpan w:val="4"/>
          </w:tcPr>
          <w:p>
            <w:pPr>
              <w:ind w:left="6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960" w:type="dxa"/>
            <w:vAlign w:val="bottom"/>
            <w:gridSpan w:val="2"/>
          </w:tcPr>
          <w:p>
            <w:pPr>
              <w:ind w:left="10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1"/>
                <w:szCs w:val="11"/>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Securities</w:t>
            </w:r>
          </w:p>
        </w:tc>
        <w:tc>
          <w:tcPr>
            <w:tcW w:w="120" w:type="dxa"/>
            <w:vAlign w:val="bottom"/>
          </w:tcPr>
          <w:p>
            <w:pPr>
              <w:spacing w:after="0"/>
              <w:rPr>
                <w:sz w:val="11"/>
                <w:szCs w:val="11"/>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840" w:type="dxa"/>
            <w:vAlign w:val="bottom"/>
            <w:gridSpan w:val="4"/>
          </w:tcPr>
          <w:p>
            <w:pPr>
              <w:ind w:left="60"/>
              <w:spacing w:after="0"/>
              <w:rPr>
                <w:sz w:val="20"/>
                <w:szCs w:val="20"/>
                <w:color w:val="auto"/>
              </w:rPr>
            </w:pPr>
            <w:r>
              <w:rPr>
                <w:rFonts w:ascii="Arial" w:cs="Arial" w:eastAsia="Arial" w:hAnsi="Arial"/>
                <w:sz w:val="11"/>
                <w:szCs w:val="11"/>
                <w:b w:val="1"/>
                <w:bCs w:val="1"/>
                <w:color w:val="auto"/>
              </w:rPr>
              <w:t>Acquired (A)</w:t>
            </w: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960" w:type="dxa"/>
            <w:vAlign w:val="bottom"/>
            <w:gridSpan w:val="2"/>
          </w:tcPr>
          <w:p>
            <w:pPr>
              <w:ind w:left="10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860" w:type="dxa"/>
            <w:vAlign w:val="bottom"/>
          </w:tcPr>
          <w:p>
            <w:pPr>
              <w:ind w:left="24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V</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320" w:type="dxa"/>
            <w:vAlign w:val="bottom"/>
            <w:gridSpan w:val="2"/>
          </w:tcPr>
          <w:p>
            <w:pPr>
              <w:ind w:left="80"/>
              <w:spacing w:after="0"/>
              <w:rPr>
                <w:sz w:val="20"/>
                <w:szCs w:val="20"/>
                <w:color w:val="auto"/>
              </w:rPr>
            </w:pPr>
            <w:r>
              <w:rPr>
                <w:rFonts w:ascii="Arial" w:cs="Arial" w:eastAsia="Arial" w:hAnsi="Arial"/>
                <w:sz w:val="11"/>
                <w:szCs w:val="11"/>
                <w:b w:val="1"/>
                <w:bCs w:val="1"/>
                <w:color w:val="auto"/>
              </w:rPr>
              <w:t>(D)</w:t>
            </w:r>
          </w:p>
        </w:tc>
        <w:tc>
          <w:tcPr>
            <w:tcW w:w="120" w:type="dxa"/>
            <w:vAlign w:val="bottom"/>
          </w:tcPr>
          <w:p>
            <w:pPr>
              <w:spacing w:after="0"/>
              <w:rPr>
                <w:sz w:val="13"/>
                <w:szCs w:val="13"/>
                <w:color w:val="auto"/>
              </w:rPr>
            </w:pP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  Date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1"/>
                <w:szCs w:val="11"/>
                <w:color w:val="008000"/>
              </w:rPr>
              <w:t>(1)(2)(5)</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ind w:left="200"/>
              <w:spacing w:after="0"/>
              <w:rPr>
                <w:sz w:val="20"/>
                <w:szCs w:val="20"/>
                <w:color w:val="auto"/>
              </w:rPr>
            </w:pPr>
            <w:r>
              <w:rPr>
                <w:rFonts w:ascii="Times New Roman" w:cs="Times New Roman" w:eastAsia="Times New Roman" w:hAnsi="Times New Roman"/>
                <w:sz w:val="11"/>
                <w:szCs w:val="11"/>
                <w:color w:val="008000"/>
                <w:w w:val="98"/>
              </w:rPr>
              <w:t>(1)(2)(5)</w:t>
            </w:r>
          </w:p>
        </w:tc>
        <w:tc>
          <w:tcPr>
            <w:tcW w:w="86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(1)(2)(5)</w:t>
            </w: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5,176</w:t>
            </w:r>
          </w:p>
        </w:tc>
        <w:tc>
          <w:tcPr>
            <w:tcW w:w="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008000"/>
              </w:rPr>
              <w:t>(1)(2)(5)</w:t>
            </w: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continue"/>
          </w:tcPr>
          <w:p>
            <w:pPr>
              <w:spacing w:after="0"/>
              <w:rPr>
                <w:sz w:val="11"/>
                <w:szCs w:val="11"/>
                <w:color w:val="auto"/>
              </w:rPr>
            </w:pPr>
          </w:p>
        </w:tc>
        <w:tc>
          <w:tcPr>
            <w:tcW w:w="1080" w:type="dxa"/>
            <w:vAlign w:val="bottom"/>
          </w:tcPr>
          <w:p>
            <w:pPr>
              <w:jc w:val="right"/>
              <w:ind w:right="176"/>
              <w:spacing w:after="0" w:line="128" w:lineRule="exact"/>
              <w:rPr>
                <w:sz w:val="20"/>
                <w:szCs w:val="20"/>
                <w:color w:val="auto"/>
              </w:rPr>
            </w:pPr>
            <w:r>
              <w:rPr>
                <w:rFonts w:ascii="Times New Roman" w:cs="Times New Roman" w:eastAsia="Times New Roman" w:hAnsi="Times New Roman"/>
                <w:sz w:val="13"/>
                <w:szCs w:val="13"/>
                <w:color w:val="0000FF"/>
              </w:rPr>
              <w:t>05/13/2026</w:t>
            </w:r>
          </w:p>
        </w:tc>
        <w:tc>
          <w:tcPr>
            <w:tcW w:w="1060" w:type="dxa"/>
            <w:vAlign w:val="bottom"/>
          </w:tcPr>
          <w:p>
            <w:pPr>
              <w:spacing w:after="0"/>
              <w:rPr>
                <w:sz w:val="11"/>
                <w:szCs w:val="11"/>
                <w:color w:val="auto"/>
              </w:rPr>
            </w:pPr>
          </w:p>
        </w:tc>
        <w:tc>
          <w:tcPr>
            <w:tcW w:w="420" w:type="dxa"/>
            <w:vAlign w:val="bottom"/>
          </w:tcPr>
          <w:p>
            <w:pPr>
              <w:jc w:val="right"/>
              <w:ind w:right="101"/>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400" w:type="dxa"/>
            <w:vAlign w:val="bottom"/>
          </w:tcPr>
          <w:p>
            <w:pPr>
              <w:spacing w:after="0"/>
              <w:rPr>
                <w:sz w:val="11"/>
                <w:szCs w:val="11"/>
                <w:color w:val="auto"/>
              </w:rPr>
            </w:pPr>
          </w:p>
        </w:tc>
        <w:tc>
          <w:tcPr>
            <w:tcW w:w="40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5,176</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6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0000FF"/>
              </w:rPr>
              <w:t>5,176</w:t>
            </w:r>
          </w:p>
        </w:tc>
        <w:tc>
          <w:tcPr>
            <w:tcW w:w="300" w:type="dxa"/>
            <w:vAlign w:val="bottom"/>
          </w:tcPr>
          <w:p>
            <w:pPr>
              <w:spacing w:after="0"/>
              <w:rPr>
                <w:sz w:val="11"/>
                <w:szCs w:val="11"/>
                <w:color w:val="auto"/>
              </w:rPr>
            </w:pP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1"/>
                <w:szCs w:val="11"/>
                <w:color w:val="008000"/>
              </w:rPr>
              <w:t>(1)(2)(5)</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ind w:left="200"/>
              <w:spacing w:after="0"/>
              <w:rPr>
                <w:sz w:val="20"/>
                <w:szCs w:val="20"/>
                <w:color w:val="auto"/>
              </w:rPr>
            </w:pPr>
            <w:r>
              <w:rPr>
                <w:rFonts w:ascii="Times New Roman" w:cs="Times New Roman" w:eastAsia="Times New Roman" w:hAnsi="Times New Roman"/>
                <w:sz w:val="11"/>
                <w:szCs w:val="11"/>
                <w:color w:val="008000"/>
                <w:w w:val="98"/>
              </w:rPr>
              <w:t>(1)(2)(5)</w:t>
            </w:r>
          </w:p>
        </w:tc>
        <w:tc>
          <w:tcPr>
            <w:tcW w:w="86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(1)(2)(5)</w:t>
            </w: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5,176</w:t>
            </w:r>
          </w:p>
        </w:tc>
        <w:tc>
          <w:tcPr>
            <w:tcW w:w="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008000"/>
              </w:rPr>
              <w:t>(1)(2)(5)</w:t>
            </w: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continue"/>
          </w:tcPr>
          <w:p>
            <w:pPr>
              <w:spacing w:after="0"/>
              <w:rPr>
                <w:sz w:val="11"/>
                <w:szCs w:val="11"/>
                <w:color w:val="auto"/>
              </w:rPr>
            </w:pPr>
          </w:p>
        </w:tc>
        <w:tc>
          <w:tcPr>
            <w:tcW w:w="1080" w:type="dxa"/>
            <w:vAlign w:val="bottom"/>
          </w:tcPr>
          <w:p>
            <w:pPr>
              <w:jc w:val="right"/>
              <w:ind w:right="176"/>
              <w:spacing w:after="0" w:line="128" w:lineRule="exact"/>
              <w:rPr>
                <w:sz w:val="20"/>
                <w:szCs w:val="20"/>
                <w:color w:val="auto"/>
              </w:rPr>
            </w:pPr>
            <w:r>
              <w:rPr>
                <w:rFonts w:ascii="Times New Roman" w:cs="Times New Roman" w:eastAsia="Times New Roman" w:hAnsi="Times New Roman"/>
                <w:sz w:val="13"/>
                <w:szCs w:val="13"/>
                <w:color w:val="0000FF"/>
              </w:rPr>
              <w:t>05/13/2026</w:t>
            </w:r>
          </w:p>
        </w:tc>
        <w:tc>
          <w:tcPr>
            <w:tcW w:w="1060" w:type="dxa"/>
            <w:vAlign w:val="bottom"/>
          </w:tcPr>
          <w:p>
            <w:pPr>
              <w:spacing w:after="0"/>
              <w:rPr>
                <w:sz w:val="11"/>
                <w:szCs w:val="11"/>
                <w:color w:val="auto"/>
              </w:rPr>
            </w:pPr>
          </w:p>
        </w:tc>
        <w:tc>
          <w:tcPr>
            <w:tcW w:w="420" w:type="dxa"/>
            <w:vAlign w:val="bottom"/>
          </w:tcPr>
          <w:p>
            <w:pPr>
              <w:jc w:val="right"/>
              <w:ind w:right="101"/>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gridSpan w:val="3"/>
          </w:tcPr>
          <w:p>
            <w:pPr>
              <w:ind w:left="80"/>
              <w:spacing w:after="0" w:line="128" w:lineRule="exact"/>
              <w:rPr>
                <w:sz w:val="20"/>
                <w:szCs w:val="20"/>
                <w:color w:val="auto"/>
              </w:rPr>
            </w:pPr>
            <w:r>
              <w:rPr>
                <w:rFonts w:ascii="Times New Roman" w:cs="Times New Roman" w:eastAsia="Times New Roman" w:hAnsi="Times New Roman"/>
                <w:sz w:val="13"/>
                <w:szCs w:val="13"/>
                <w:color w:val="0000FF"/>
              </w:rPr>
              <w:t>5,176</w:t>
            </w:r>
          </w:p>
        </w:tc>
        <w:tc>
          <w:tcPr>
            <w:tcW w:w="60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60" w:type="dxa"/>
            <w:vAlign w:val="bottom"/>
          </w:tcPr>
          <w:p>
            <w:pPr>
              <w:jc w:val="right"/>
              <w:ind w:right="80"/>
              <w:spacing w:after="0" w:line="128"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-2171065</wp:posOffset>
            </wp:positionV>
            <wp:extent cx="28575" cy="2176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761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jc w:val="both"/>
        <w:ind w:left="40" w:right="220"/>
        <w:spacing w:after="0" w:line="255"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May 13, 2026, pursuant to the Agreement and Plan of Merger (the "Merger Agreement"), dated as of January 11, 2026, by and among Sun Country Airlines Holdings, Inc. ("Sun Country" ), Allegiant Travel Company ("Allegiant"), Mirage Merger Sub, Inc. ("Merger Sub 1") and a direct wholly owned subsidiary of Allegiant, Sawdust Merger Sub, LLC ("Merger Sub 2"), a direct wholly owned subsidiary of Allegiant:</w:t>
      </w:r>
    </w:p>
    <w:p>
      <w:pPr>
        <w:ind w:left="40" w:right="160"/>
        <w:spacing w:after="0" w:line="230" w:lineRule="auto"/>
        <w:rPr>
          <w:rFonts w:ascii="Times New Roman" w:cs="Times New Roman" w:eastAsia="Times New Roman" w:hAnsi="Times New Roman"/>
          <w:sz w:val="12"/>
          <w:szCs w:val="12"/>
          <w:color w:val="008000"/>
        </w:rPr>
      </w:pPr>
      <w:r>
        <w:rPr>
          <w:rFonts w:ascii="Times New Roman" w:cs="Times New Roman" w:eastAsia="Times New Roman" w:hAnsi="Times New Roman"/>
          <w:sz w:val="13"/>
          <w:szCs w:val="13"/>
          <w:color w:val="008000"/>
        </w:rPr>
        <w:t>(a) Merger Sub 1 merged with and into Sun Country (the "First Merger"), with Sun Country surviving the First Merger as a direct wholly owned subsidiary of Allegiant and (b) immediately after the First Merger, Sun Country merged with and into Merger Sub 2, with Merger Sub 2 surviving as a direct, wholly owned subsidiary of Allegiant (the "Second Merger" and, together with the First Merger, the "Mergers"). All terms capitalized but not defined herein shall have the meaning given to them in the Merger Agreement.</w:t>
      </w:r>
    </w:p>
    <w:p>
      <w:pPr>
        <w:spacing w:after="0" w:line="27" w:lineRule="exact"/>
        <w:rPr>
          <w:rFonts w:ascii="Times New Roman" w:cs="Times New Roman" w:eastAsia="Times New Roman" w:hAnsi="Times New Roman"/>
          <w:sz w:val="12"/>
          <w:szCs w:val="12"/>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Following consummation of the Mergers, Sun Country Airlines Holdings, Inc. is now known as Sun Country Airlines Holdings, LLC.</w:t>
      </w:r>
    </w:p>
    <w:p>
      <w:pPr>
        <w:spacing w:after="0" w:line="41" w:lineRule="exact"/>
        <w:rPr>
          <w:rFonts w:ascii="Times New Roman" w:cs="Times New Roman" w:eastAsia="Times New Roman" w:hAnsi="Times New Roman"/>
          <w:sz w:val="13"/>
          <w:szCs w:val="13"/>
          <w:color w:val="008000"/>
        </w:rPr>
      </w:pPr>
    </w:p>
    <w:p>
      <w:pPr>
        <w:ind w:left="40" w:right="24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1,332 shares of Sun Country common stock ("Company Shares"), par value $0.01 per share, held directly by the reporting person, which, as of the effective time of the First Merger (the "First Effective Time") were converted into the right to receive (a) $4.10 in cash, without interest (the "Per Share Cash Consideration") and (b) 0.1557 (the "Merger Exchange Ratio") shares of Allegiant common stock ("Parent Shares"), par value $0.001 per share (the "Per Share Stock Consideration" and, together with the Per Share Cash Consideration, the "Merger Consideration").</w:t>
      </w:r>
    </w:p>
    <w:p>
      <w:pPr>
        <w:spacing w:after="0" w:line="26" w:lineRule="exact"/>
        <w:rPr>
          <w:rFonts w:ascii="Times New Roman" w:cs="Times New Roman" w:eastAsia="Times New Roman" w:hAnsi="Times New Roman"/>
          <w:sz w:val="13"/>
          <w:szCs w:val="13"/>
          <w:color w:val="008000"/>
        </w:rPr>
      </w:pPr>
    </w:p>
    <w:p>
      <w:pPr>
        <w:ind w:left="40" w:right="160"/>
        <w:spacing w:after="0" w:line="235"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each outstanding Sun Country restricted stock unit award ("Company RSU Award") consisting of 9,350 restricted stock units previously granted to the reporting person, which, as of immediately prior to the First Effective Time, was assumed and converted into an Allegiant restricted stock unit award ("Parent RSU Award") covering a number of Parent Shares equal to the product of (x) the number of Company Shares underlying such Company RSU Award and (y) the quotient obtained by dividing the Merger Consideration Closing Value by the Parent Measurement Price, rounded down to the nearest whole share. The Parent RSU Awards will continue to have the same terms and conditions as the Company RSU Awards, including any double-trigger vesting protections.</w:t>
      </w:r>
    </w:p>
    <w:p>
      <w:pPr>
        <w:spacing w:after="0" w:line="25" w:lineRule="exact"/>
        <w:rPr>
          <w:rFonts w:ascii="Times New Roman" w:cs="Times New Roman" w:eastAsia="Times New Roman" w:hAnsi="Times New Roman"/>
          <w:sz w:val="13"/>
          <w:szCs w:val="13"/>
          <w:color w:val="008000"/>
        </w:rPr>
      </w:pPr>
    </w:p>
    <w:p>
      <w:pPr>
        <w:jc w:val="both"/>
        <w:ind w:left="40" w:right="220"/>
        <w:spacing w:after="0" w:line="255"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each outstanding Sun Country performance-based restricted stock unit award ("Company PRSU Award") previously granted to the reporting person, which, as of immediately prior to the First Effective Time, was assumed and converted into an Allegiant time-based restricted stock unit award ("Parent PRSU Award"), covering a number of Parent Shares equal to the quotient obtained by dividing (i) the product of</w:t>
      </w:r>
    </w:p>
    <w:p>
      <w:pPr>
        <w:ind w:left="40" w:right="300"/>
        <w:spacing w:after="0" w:line="230" w:lineRule="auto"/>
        <w:rPr>
          <w:rFonts w:ascii="Times New Roman" w:cs="Times New Roman" w:eastAsia="Times New Roman" w:hAnsi="Times New Roman"/>
          <w:sz w:val="12"/>
          <w:szCs w:val="12"/>
          <w:color w:val="008000"/>
        </w:rPr>
      </w:pPr>
      <w:r>
        <w:rPr>
          <w:rFonts w:ascii="Times New Roman" w:cs="Times New Roman" w:eastAsia="Times New Roman" w:hAnsi="Times New Roman"/>
          <w:sz w:val="13"/>
          <w:szCs w:val="13"/>
          <w:color w:val="008000"/>
        </w:rPr>
        <w:t>(A) the number of Company Shares underlying such Company PRSU Award (deemed to be equal to 125% of the 'target' amount granted) and (B) the Merger Consideration Closing Value, by (ii) the Parent Measurement Price, rounded down to the nearest whole share. The Parent PRSU Awards will continue to have the same terms and conditions as the Company PRSU Awards, including any double-trigger vesting protections, but not any performance-based vesting conditions.</w:t>
      </w:r>
    </w:p>
    <w:p>
      <w:pPr>
        <w:spacing w:after="0" w:line="3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Rose Neale, as attorney-in-</w:t>
            </w:r>
          </w:p>
        </w:tc>
        <w:tc>
          <w:tcPr>
            <w:tcW w:w="200" w:type="dxa"/>
            <w:vAlign w:val="bottom"/>
            <w:gridSpan w:val="2"/>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05/15/2026</w:t>
            </w:r>
          </w:p>
        </w:tc>
        <w:tc>
          <w:tcPr>
            <w:tcW w:w="0" w:type="dxa"/>
            <w:vAlign w:val="bottom"/>
          </w:tcPr>
          <w:p>
            <w:pPr>
              <w:spacing w:after="0"/>
              <w:rPr>
                <w:sz w:val="1"/>
                <w:szCs w:val="1"/>
                <w:color w:val="auto"/>
              </w:rPr>
            </w:pPr>
          </w:p>
        </w:tc>
      </w:tr>
      <w:tr>
        <w:trPr>
          <w:trHeight w:val="87"/>
        </w:trPr>
        <w:tc>
          <w:tcPr>
            <w:tcW w:w="2020" w:type="dxa"/>
            <w:vAlign w:val="bottom"/>
            <w:gridSpan w:val="2"/>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6"/>
              </w:rPr>
              <w:t>fact for Christopher Mangione</w:t>
            </w:r>
          </w:p>
        </w:tc>
        <w:tc>
          <w:tcPr>
            <w:tcW w:w="1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bottom w:val="single" w:sz="8" w:color="auto"/>
            </w:tcBorders>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84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03680"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2026-05-15T19:41:44Z</dcterms:created>
  <dcterms:modified xsi:type="dcterms:W3CDTF">2026-05-15T19:41:44Z</dcterms:modified>
</cp:coreProperties>
</file>