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176"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QUARTERLY REPORT 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quarterly period ended March 31, 2026</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62" w:lineRule="exact"/>
        <w:rPr>
          <w:sz w:val="24"/>
          <w:szCs w:val="24"/>
          <w:color w:val="auto"/>
        </w:rPr>
      </w:pPr>
    </w:p>
    <w:p>
      <w:pPr>
        <w:ind w:left="4300" w:right="2500" w:hanging="4274"/>
        <w:spacing w:after="0" w:line="585" w:lineRule="auto"/>
        <w:tabs>
          <w:tab w:leader="none" w:pos="4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Commission File Number 001-40217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-97155</wp:posOffset>
            </wp:positionV>
            <wp:extent cx="2828925" cy="386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Sun Country Airlines Holdings,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Delaware</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720" w:type="dxa"/>
            <w:vAlign w:val="bottom"/>
          </w:tcPr>
          <w:p>
            <w:pPr>
              <w:jc w:val="right"/>
              <w:ind w:right="2028"/>
              <w:spacing w:after="0"/>
              <w:rPr>
                <w:sz w:val="20"/>
                <w:szCs w:val="20"/>
                <w:color w:val="auto"/>
              </w:rPr>
            </w:pPr>
            <w:r>
              <w:rPr>
                <w:rFonts w:ascii="Arial" w:cs="Arial" w:eastAsia="Arial" w:hAnsi="Arial"/>
                <w:sz w:val="14"/>
                <w:szCs w:val="14"/>
                <w:color w:val="auto"/>
              </w:rPr>
              <w:t>82-4092570</w:t>
            </w: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(State or other jurisdiction of incorporation or organization)</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center"/>
              <w:ind w:right="1148"/>
              <w:spacing w:after="0"/>
              <w:rPr>
                <w:sz w:val="20"/>
                <w:szCs w:val="20"/>
                <w:color w:val="auto"/>
              </w:rPr>
            </w:pPr>
            <w:r>
              <w:rPr>
                <w:rFonts w:ascii="Arial" w:cs="Arial" w:eastAsia="Arial" w:hAnsi="Arial"/>
                <w:sz w:val="14"/>
                <w:szCs w:val="14"/>
                <w:color w:val="auto"/>
              </w:rPr>
              <w:t>(I.R.S. Employer Identification No.)</w:t>
            </w:r>
          </w:p>
        </w:tc>
      </w:tr>
      <w:tr>
        <w:trPr>
          <w:trHeight w:val="378"/>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2005 Cargo Road</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Minneapolis, Minnesota</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right"/>
              <w:ind w:right="2208"/>
              <w:spacing w:after="0"/>
              <w:rPr>
                <w:sz w:val="20"/>
                <w:szCs w:val="20"/>
                <w:color w:val="auto"/>
              </w:rPr>
            </w:pPr>
            <w:r>
              <w:rPr>
                <w:rFonts w:ascii="Arial" w:cs="Arial" w:eastAsia="Arial" w:hAnsi="Arial"/>
                <w:sz w:val="14"/>
                <w:szCs w:val="14"/>
                <w:color w:val="auto"/>
              </w:rPr>
              <w:t>55450</w:t>
            </w: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(Address of principal executive offices)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center"/>
              <w:ind w:right="1168"/>
              <w:spacing w:after="0"/>
              <w:rPr>
                <w:sz w:val="20"/>
                <w:szCs w:val="20"/>
                <w:color w:val="auto"/>
              </w:rPr>
            </w:pPr>
            <w:r>
              <w:rPr>
                <w:rFonts w:ascii="Arial" w:cs="Arial" w:eastAsia="Arial" w:hAnsi="Arial"/>
                <w:sz w:val="14"/>
                <w:szCs w:val="14"/>
                <w:color w:val="auto"/>
              </w:rPr>
              <w:t>(Zip Code)</w:t>
            </w:r>
          </w:p>
        </w:tc>
      </w:tr>
      <w:tr>
        <w:trPr>
          <w:trHeight w:val="432"/>
        </w:trPr>
        <w:tc>
          <w:tcPr>
            <w:tcW w:w="11240" w:type="dxa"/>
            <w:vAlign w:val="bottom"/>
            <w:gridSpan w:val="7"/>
          </w:tcPr>
          <w:p>
            <w:pPr>
              <w:jc w:val="center"/>
              <w:spacing w:after="0"/>
              <w:rPr>
                <w:sz w:val="20"/>
                <w:szCs w:val="20"/>
                <w:color w:val="auto"/>
              </w:rPr>
            </w:pPr>
            <w:r>
              <w:rPr>
                <w:rFonts w:ascii="Arial" w:cs="Arial" w:eastAsia="Arial" w:hAnsi="Arial"/>
                <w:sz w:val="14"/>
                <w:szCs w:val="14"/>
                <w:color w:val="auto"/>
              </w:rPr>
              <w:t>Registrant’s telephone number, including area code: (651) 681-3900</w:t>
            </w:r>
          </w:p>
        </w:tc>
      </w:tr>
      <w:tr>
        <w:trPr>
          <w:trHeight w:val="553"/>
        </w:trPr>
        <w:tc>
          <w:tcPr>
            <w:tcW w:w="7520" w:type="dxa"/>
            <w:vAlign w:val="bottom"/>
            <w:gridSpan w:val="6"/>
          </w:tcPr>
          <w:p>
            <w:pPr>
              <w:jc w:val="center"/>
              <w:ind w:left="3668"/>
              <w:spacing w:after="0"/>
              <w:rPr>
                <w:sz w:val="20"/>
                <w:szCs w:val="20"/>
                <w:color w:val="auto"/>
              </w:rPr>
            </w:pPr>
            <w:r>
              <w:rPr>
                <w:rFonts w:ascii="Arial" w:cs="Arial" w:eastAsia="Arial" w:hAnsi="Arial"/>
                <w:sz w:val="14"/>
                <w:szCs w:val="14"/>
                <w:color w:val="auto"/>
              </w:rPr>
              <w:t>Securities registered pursuant to Section 12(b) of the Act:</w:t>
            </w:r>
          </w:p>
        </w:tc>
        <w:tc>
          <w:tcPr>
            <w:tcW w:w="3720" w:type="dxa"/>
            <w:vAlign w:val="bottom"/>
          </w:tcPr>
          <w:p>
            <w:pPr>
              <w:spacing w:after="0"/>
              <w:rPr>
                <w:sz w:val="24"/>
                <w:szCs w:val="24"/>
                <w:color w:val="auto"/>
              </w:rPr>
            </w:pPr>
          </w:p>
        </w:tc>
      </w:tr>
      <w:tr>
        <w:trPr>
          <w:trHeight w:val="328"/>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488"/>
              <w:spacing w:after="0"/>
              <w:rPr>
                <w:sz w:val="20"/>
                <w:szCs w:val="20"/>
                <w:color w:val="auto"/>
              </w:rPr>
            </w:pPr>
            <w:r>
              <w:rPr>
                <w:rFonts w:ascii="Arial" w:cs="Arial" w:eastAsia="Arial" w:hAnsi="Arial"/>
                <w:sz w:val="14"/>
                <w:szCs w:val="14"/>
                <w:color w:val="auto"/>
              </w:rPr>
              <w:t>Trading Symbol</w:t>
            </w: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center"/>
              <w:ind w:right="648"/>
              <w:spacing w:after="0"/>
              <w:rPr>
                <w:sz w:val="20"/>
                <w:szCs w:val="20"/>
                <w:color w:val="auto"/>
              </w:rPr>
            </w:pPr>
            <w:r>
              <w:rPr>
                <w:rFonts w:ascii="Arial" w:cs="Arial" w:eastAsia="Arial" w:hAnsi="Arial"/>
                <w:sz w:val="14"/>
                <w:szCs w:val="14"/>
                <w:color w:val="auto"/>
              </w:rPr>
              <w:t>Name of each exchange on which registered</w:t>
            </w:r>
          </w:p>
        </w:tc>
      </w:tr>
      <w:tr>
        <w:trPr>
          <w:trHeight w:val="205"/>
        </w:trPr>
        <w:tc>
          <w:tcPr>
            <w:tcW w:w="5040" w:type="dxa"/>
            <w:vAlign w:val="bottom"/>
            <w:gridSpan w:val="3"/>
          </w:tcPr>
          <w:p>
            <w:pPr>
              <w:jc w:val="center"/>
              <w:ind w:right="660"/>
              <w:spacing w:after="0"/>
              <w:rPr>
                <w:sz w:val="20"/>
                <w:szCs w:val="20"/>
                <w:color w:val="auto"/>
              </w:rPr>
            </w:pPr>
            <w:r>
              <w:rPr>
                <w:rFonts w:ascii="Arial" w:cs="Arial" w:eastAsia="Arial" w:hAnsi="Arial"/>
                <w:sz w:val="14"/>
                <w:szCs w:val="14"/>
                <w:color w:val="auto"/>
              </w:rPr>
              <w:t>Common Stock, par value $0.01 per share</w:t>
            </w:r>
          </w:p>
        </w:tc>
        <w:tc>
          <w:tcPr>
            <w:tcW w:w="2480" w:type="dxa"/>
            <w:vAlign w:val="bottom"/>
            <w:gridSpan w:val="3"/>
          </w:tcPr>
          <w:p>
            <w:pPr>
              <w:jc w:val="center"/>
              <w:ind w:right="1360"/>
              <w:spacing w:after="0"/>
              <w:rPr>
                <w:sz w:val="20"/>
                <w:szCs w:val="20"/>
                <w:color w:val="auto"/>
              </w:rPr>
            </w:pPr>
            <w:r>
              <w:rPr>
                <w:rFonts w:ascii="Arial" w:cs="Arial" w:eastAsia="Arial" w:hAnsi="Arial"/>
                <w:sz w:val="14"/>
                <w:szCs w:val="14"/>
                <w:color w:val="auto"/>
              </w:rPr>
              <w:t>SNCY</w:t>
            </w:r>
          </w:p>
        </w:tc>
        <w:tc>
          <w:tcPr>
            <w:tcW w:w="3720" w:type="dxa"/>
            <w:vAlign w:val="bottom"/>
          </w:tcPr>
          <w:p>
            <w:pPr>
              <w:jc w:val="center"/>
              <w:ind w:right="648"/>
              <w:spacing w:after="0"/>
              <w:rPr>
                <w:sz w:val="20"/>
                <w:szCs w:val="20"/>
                <w:color w:val="auto"/>
              </w:rPr>
            </w:pPr>
            <w:r>
              <w:rPr>
                <w:rFonts w:ascii="Arial" w:cs="Arial" w:eastAsia="Arial" w:hAnsi="Arial"/>
                <w:sz w:val="14"/>
                <w:szCs w:val="14"/>
                <w:color w:val="auto"/>
              </w:rPr>
              <w:t>The Nasdaq Stock Market LLC</w:t>
            </w:r>
          </w:p>
        </w:tc>
      </w:tr>
    </w:tbl>
    <w:p>
      <w:pPr>
        <w:spacing w:after="0" w:line="201" w:lineRule="exact"/>
        <w:rPr>
          <w:sz w:val="24"/>
          <w:szCs w:val="24"/>
          <w:color w:val="auto"/>
        </w:rPr>
      </w:pPr>
    </w:p>
    <w:p>
      <w:pPr>
        <w:ind w:right="180" w:firstLine="324"/>
        <w:spacing w:after="0" w:line="30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0" w:lineRule="exact"/>
        <w:rPr>
          <w:sz w:val="24"/>
          <w:szCs w:val="24"/>
          <w:color w:val="auto"/>
        </w:rPr>
      </w:pPr>
    </w:p>
    <w:p>
      <w:pPr>
        <w:ind w:right="360" w:firstLine="324"/>
        <w:spacing w:after="0" w:line="305"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8"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ind w:right="140" w:firstLine="324"/>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2" w:right="339" w:bottom="1440" w:gutter="0" w:footer="0" w:header="0"/>
        </w:sectPr>
      </w:pPr>
    </w:p>
    <w:p>
      <w:pPr>
        <w:spacing w:after="0" w:line="59" w:lineRule="exact"/>
        <w:rPr>
          <w:sz w:val="24"/>
          <w:szCs w:val="24"/>
          <w:color w:val="auto"/>
        </w:rPr>
      </w:pPr>
    </w:p>
    <w:p>
      <w:pPr>
        <w:jc w:val="center"/>
        <w:ind w:left="6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81" w:lineRule="exact"/>
        <w:rPr>
          <w:sz w:val="24"/>
          <w:szCs w:val="24"/>
          <w:color w:val="auto"/>
        </w:rPr>
      </w:pPr>
    </w:p>
    <w:p>
      <w:pPr>
        <w:sectPr>
          <w:pgSz w:w="11900" w:h="16838" w:orient="portrait"/>
          <w:cols w:equalWidth="0" w:num="3">
            <w:col w:w="5620" w:space="720"/>
            <w:col w:w="2620" w:space="720"/>
            <w:col w:w="1560"/>
          </w:cols>
          <w:pgMar w:left="320" w:top="512" w:right="339" w:bottom="1440" w:gutter="0" w:footer="0" w:header="0"/>
          <w:type w:val="continuous"/>
        </w:sectPr>
      </w:pPr>
    </w:p>
    <w:p>
      <w:pPr>
        <w:ind w:left="570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8620" w:space="720"/>
            <w:col w:w="1900"/>
          </w:cols>
          <w:pgMar w:left="320" w:top="512" w:right="339" w:bottom="1440" w:gutter="0" w:footer="0" w:header="0"/>
          <w:type w:val="continuous"/>
        </w:sectPr>
      </w:pPr>
    </w:p>
    <w:p>
      <w:pPr>
        <w:spacing w:after="0" w:line="90" w:lineRule="exact"/>
        <w:rPr>
          <w:sz w:val="24"/>
          <w:szCs w:val="24"/>
          <w:color w:val="auto"/>
        </w:rPr>
      </w:pPr>
    </w:p>
    <w:p>
      <w:pPr>
        <w:ind w:right="540" w:firstLine="324"/>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4"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2" w:lineRule="exact"/>
        <w:rPr>
          <w:sz w:val="24"/>
          <w:szCs w:val="24"/>
          <w:color w:val="auto"/>
        </w:rPr>
      </w:pPr>
    </w:p>
    <w:p>
      <w:pPr>
        <w:ind w:left="52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Number of shares outstanding by each class of common stock, as of March 31, 2026:</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Common Stock, $0.01 par value – 54,196,458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20" w:type="dxa"/>
            <w:vAlign w:val="bottom"/>
            <w:gridSpan w:val="42"/>
          </w:tcPr>
          <w:p>
            <w:pPr>
              <w:spacing w:after="0"/>
              <w:rPr>
                <w:sz w:val="20"/>
                <w:szCs w:val="20"/>
                <w:color w:val="auto"/>
              </w:rPr>
            </w:pPr>
            <w:r>
              <w:rPr>
                <w:rFonts w:ascii="Arial" w:cs="Arial" w:eastAsia="Arial" w:hAnsi="Arial"/>
                <w:sz w:val="18"/>
                <w:szCs w:val="18"/>
                <w:color w:val="0000FF"/>
              </w:rPr>
              <w:t>Table of Contents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40" w:type="dxa"/>
            <w:vAlign w:val="bottom"/>
            <w:gridSpan w:val="9"/>
          </w:tcPr>
          <w:p>
            <w:pPr>
              <w:jc w:val="center"/>
              <w:ind w:right="2540"/>
              <w:spacing w:after="0"/>
              <w:rPr>
                <w:sz w:val="20"/>
                <w:szCs w:val="20"/>
                <w:color w:val="auto"/>
              </w:rPr>
            </w:pPr>
            <w:r>
              <w:rPr>
                <w:rFonts w:ascii="Arial" w:cs="Arial" w:eastAsia="Arial" w:hAnsi="Arial"/>
                <w:sz w:val="18"/>
                <w:szCs w:val="18"/>
                <w:b w:val="1"/>
                <w:bCs w:val="1"/>
                <w:color w:val="auto"/>
                <w:w w:val="99"/>
              </w:rPr>
              <w:t>Sun Country Airlines Holdings, Inc.</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0" w:type="dxa"/>
            <w:vAlign w:val="bottom"/>
            <w:gridSpan w:val="6"/>
          </w:tcPr>
          <w:p>
            <w:pPr>
              <w:jc w:val="center"/>
              <w:ind w:right="3980"/>
              <w:spacing w:after="0"/>
              <w:rPr>
                <w:sz w:val="20"/>
                <w:szCs w:val="20"/>
                <w:color w:val="auto"/>
              </w:rPr>
            </w:pPr>
            <w:r>
              <w:rPr>
                <w:rFonts w:ascii="Arial" w:cs="Arial" w:eastAsia="Arial" w:hAnsi="Arial"/>
                <w:sz w:val="18"/>
                <w:szCs w:val="18"/>
                <w:b w:val="1"/>
                <w:bCs w:val="1"/>
                <w:color w:val="auto"/>
                <w:w w:val="99"/>
              </w:rPr>
              <w:t>Form 10-Q</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0" w:type="dxa"/>
            <w:vAlign w:val="bottom"/>
            <w:gridSpan w:val="7"/>
          </w:tcPr>
          <w:p>
            <w:pPr>
              <w:jc w:val="center"/>
              <w:ind w:right="3380"/>
              <w:spacing w:after="0"/>
              <w:rPr>
                <w:sz w:val="20"/>
                <w:szCs w:val="20"/>
                <w:color w:val="auto"/>
              </w:rPr>
            </w:pPr>
            <w:r>
              <w:rPr>
                <w:rFonts w:ascii="Arial" w:cs="Arial" w:eastAsia="Arial" w:hAnsi="Arial"/>
                <w:sz w:val="18"/>
                <w:szCs w:val="18"/>
                <w:b w:val="1"/>
                <w:bCs w:val="1"/>
                <w:color w:val="auto"/>
                <w:w w:val="98"/>
              </w:rPr>
              <w:t>Table of Contents</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380" w:type="dxa"/>
            <w:vAlign w:val="bottom"/>
            <w:gridSpan w:val="24"/>
            <w:vMerge w:val="restart"/>
          </w:tcPr>
          <w:p>
            <w:pPr>
              <w:spacing w:after="0"/>
              <w:rPr>
                <w:sz w:val="20"/>
                <w:szCs w:val="20"/>
                <w:color w:val="auto"/>
              </w:rPr>
            </w:pPr>
            <w:r>
              <w:rPr>
                <w:rFonts w:ascii="Arial" w:cs="Arial" w:eastAsia="Arial" w:hAnsi="Arial"/>
                <w:sz w:val="18"/>
                <w:szCs w:val="18"/>
                <w:b w:val="1"/>
                <w:bCs w:val="1"/>
                <w:color w:val="0000FF"/>
                <w:w w:val="99"/>
              </w:rPr>
              <w:t>Part I. Financial Information</w:t>
            </w:r>
          </w:p>
        </w:tc>
        <w:tc>
          <w:tcPr>
            <w:tcW w:w="7820" w:type="dxa"/>
            <w:vAlign w:val="bottom"/>
            <w:gridSpan w:val="17"/>
            <w:vMerge w:val="restart"/>
          </w:tcPr>
          <w:p>
            <w:pPr>
              <w:spacing w:after="0"/>
              <w:rPr>
                <w:sz w:val="21"/>
                <w:szCs w:val="21"/>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2380" w:type="dxa"/>
            <w:vAlign w:val="bottom"/>
            <w:tcBorders>
              <w:bottom w:val="single" w:sz="8" w:color="0000FF"/>
            </w:tcBorders>
            <w:gridSpan w:val="24"/>
            <w:vMerge w:val="continue"/>
          </w:tcPr>
          <w:p>
            <w:pPr>
              <w:spacing w:after="0"/>
              <w:rPr>
                <w:sz w:val="14"/>
                <w:szCs w:val="14"/>
                <w:color w:val="auto"/>
              </w:rPr>
            </w:pPr>
          </w:p>
        </w:tc>
        <w:tc>
          <w:tcPr>
            <w:tcW w:w="7820" w:type="dxa"/>
            <w:vAlign w:val="bottom"/>
            <w:gridSpan w:val="17"/>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9"/>
              </w:rPr>
              <w:t>Item 1. Financial Statements</w:t>
            </w:r>
          </w:p>
        </w:tc>
        <w:tc>
          <w:tcPr>
            <w:tcW w:w="7800" w:type="dxa"/>
            <w:vAlign w:val="bottom"/>
            <w:gridSpan w:val="16"/>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Borders>
              <w:bottom w:val="single" w:sz="8" w:color="0000FF"/>
            </w:tcBorders>
            <w:gridSpan w:val="30"/>
          </w:tcPr>
          <w:p>
            <w:pPr>
              <w:spacing w:after="0"/>
              <w:rPr>
                <w:sz w:val="20"/>
                <w:szCs w:val="20"/>
                <w:color w:val="auto"/>
              </w:rPr>
            </w:pPr>
            <w:r>
              <w:rPr>
                <w:rFonts w:ascii="Arial" w:cs="Arial" w:eastAsia="Arial" w:hAnsi="Arial"/>
                <w:sz w:val="18"/>
                <w:szCs w:val="18"/>
                <w:color w:val="0000FF"/>
                <w:w w:val="99"/>
              </w:rPr>
              <w:t>Condensed Consolidated Balance Sheets</w:t>
            </w:r>
          </w:p>
        </w:tc>
        <w:tc>
          <w:tcPr>
            <w:tcW w:w="6640" w:type="dxa"/>
            <w:vAlign w:val="bottom"/>
            <w:gridSpan w:val="9"/>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2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5860" w:type="dxa"/>
            <w:vAlign w:val="bottom"/>
            <w:gridSpan w:val="8"/>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Borders>
              <w:bottom w:val="single" w:sz="8" w:color="0000FF"/>
            </w:tcBorders>
            <w:gridSpan w:val="34"/>
          </w:tcPr>
          <w:p>
            <w:pPr>
              <w:spacing w:after="0"/>
              <w:rPr>
                <w:sz w:val="20"/>
                <w:szCs w:val="20"/>
                <w:color w:val="auto"/>
              </w:rPr>
            </w:pPr>
            <w:r>
              <w:rPr>
                <w:rFonts w:ascii="Arial" w:cs="Arial" w:eastAsia="Arial" w:hAnsi="Arial"/>
                <w:sz w:val="18"/>
                <w:szCs w:val="18"/>
                <w:color w:val="0000FF"/>
                <w:w w:val="99"/>
              </w:rPr>
              <w:t>Condensed Consolidated Statements of Comprehensive Income</w:t>
            </w:r>
          </w:p>
        </w:tc>
        <w:tc>
          <w:tcPr>
            <w:tcW w:w="4840" w:type="dxa"/>
            <w:vAlign w:val="bottom"/>
            <w:gridSpan w:val="5"/>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gridSpan w:val="39"/>
          </w:tcPr>
          <w:p>
            <w:pPr>
              <w:spacing w:after="0"/>
              <w:rPr>
                <w:sz w:val="20"/>
                <w:szCs w:val="20"/>
                <w:color w:val="auto"/>
              </w:rPr>
            </w:pPr>
            <w:r>
              <w:rPr>
                <w:rFonts w:ascii="Arial" w:cs="Arial" w:eastAsia="Arial" w:hAnsi="Arial"/>
                <w:sz w:val="18"/>
                <w:szCs w:val="18"/>
                <w:color w:val="0000FF"/>
              </w:rPr>
              <w:t>Condensed Consolidated Statements of Changes in Stockholders’ Equity</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Borders>
              <w:top w:val="single" w:sz="8" w:color="0000FF"/>
              <w:bottom w:val="single" w:sz="8" w:color="0000FF"/>
            </w:tcBorders>
            <w:gridSpan w:val="32"/>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1640" w:type="dxa"/>
            <w:vAlign w:val="bottom"/>
            <w:tcBorders>
              <w:top w:val="single" w:sz="8" w:color="0000FF"/>
            </w:tcBorders>
            <w:gridSpan w:val="5"/>
          </w:tcPr>
          <w:p>
            <w:pPr>
              <w:spacing w:after="0"/>
              <w:rPr>
                <w:sz w:val="18"/>
                <w:szCs w:val="18"/>
                <w:color w:val="auto"/>
              </w:rPr>
            </w:pPr>
          </w:p>
        </w:tc>
        <w:tc>
          <w:tcPr>
            <w:tcW w:w="4160" w:type="dxa"/>
            <w:vAlign w:val="bottom"/>
            <w:gridSpan w:val="2"/>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80" w:type="dxa"/>
            <w:vAlign w:val="bottom"/>
            <w:tcBorders>
              <w:bottom w:val="single" w:sz="8" w:color="0000FF"/>
            </w:tcBorders>
            <w:gridSpan w:val="33"/>
          </w:tcPr>
          <w:p>
            <w:pPr>
              <w:spacing w:after="0"/>
              <w:rPr>
                <w:sz w:val="20"/>
                <w:szCs w:val="20"/>
                <w:color w:val="auto"/>
              </w:rPr>
            </w:pPr>
            <w:r>
              <w:rPr>
                <w:rFonts w:ascii="Arial" w:cs="Arial" w:eastAsia="Arial" w:hAnsi="Arial"/>
                <w:sz w:val="18"/>
                <w:szCs w:val="18"/>
                <w:color w:val="0000FF"/>
                <w:w w:val="99"/>
              </w:rPr>
              <w:t>Notes to the Condensed Consolidated Financial Statements</w:t>
            </w:r>
          </w:p>
        </w:tc>
        <w:tc>
          <w:tcPr>
            <w:tcW w:w="520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4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24"/>
                <w:szCs w:val="24"/>
                <w:color w:val="auto"/>
              </w:rPr>
            </w:pPr>
          </w:p>
        </w:tc>
        <w:tc>
          <w:tcPr>
            <w:tcW w:w="9460" w:type="dxa"/>
            <w:vAlign w:val="bottom"/>
            <w:gridSpan w:val="34"/>
          </w:tcPr>
          <w:p>
            <w:pPr>
              <w:spacing w:after="0"/>
              <w:rPr>
                <w:sz w:val="20"/>
                <w:szCs w:val="20"/>
                <w:color w:val="auto"/>
              </w:rPr>
            </w:pPr>
            <w:r>
              <w:rPr>
                <w:rFonts w:ascii="Arial" w:cs="Arial" w:eastAsia="Arial" w:hAnsi="Arial"/>
                <w:sz w:val="18"/>
                <w:szCs w:val="18"/>
                <w:color w:val="0000FF"/>
              </w:rPr>
              <w:t>Basis of Presentation</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
        </w:trPr>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2</w:t>
            </w:r>
          </w:p>
        </w:tc>
        <w:tc>
          <w:tcPr>
            <w:tcW w:w="100" w:type="dxa"/>
            <w:vAlign w:val="bottom"/>
          </w:tcPr>
          <w:p>
            <w:pPr>
              <w:spacing w:after="0"/>
              <w:rPr>
                <w:sz w:val="18"/>
                <w:szCs w:val="18"/>
                <w:color w:val="auto"/>
              </w:rPr>
            </w:pPr>
          </w:p>
        </w:tc>
        <w:tc>
          <w:tcPr>
            <w:tcW w:w="9460" w:type="dxa"/>
            <w:vAlign w:val="bottom"/>
            <w:gridSpan w:val="34"/>
          </w:tcPr>
          <w:p>
            <w:pPr>
              <w:spacing w:after="0"/>
              <w:rPr>
                <w:sz w:val="20"/>
                <w:szCs w:val="20"/>
                <w:color w:val="auto"/>
              </w:rPr>
            </w:pPr>
            <w:r>
              <w:rPr>
                <w:rFonts w:ascii="Arial" w:cs="Arial" w:eastAsia="Arial" w:hAnsi="Arial"/>
                <w:sz w:val="18"/>
                <w:szCs w:val="18"/>
                <w:color w:val="0000FF"/>
              </w:rPr>
              <w:t>Merger Agreement with Allegiant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0"/>
        </w:trPr>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gridSpan w:val="3"/>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 w:type="dxa"/>
            <w:vAlign w:val="bottom"/>
            <w:gridSpan w:val="6"/>
          </w:tcPr>
          <w:p>
            <w:pPr>
              <w:spacing w:after="0"/>
              <w:rPr>
                <w:sz w:val="17"/>
                <w:szCs w:val="17"/>
                <w:color w:val="auto"/>
              </w:rPr>
            </w:pPr>
          </w:p>
        </w:tc>
        <w:tc>
          <w:tcPr>
            <w:tcW w:w="10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3</w:t>
            </w:r>
          </w:p>
        </w:tc>
        <w:tc>
          <w:tcPr>
            <w:tcW w:w="100" w:type="dxa"/>
            <w:vAlign w:val="bottom"/>
          </w:tcPr>
          <w:p>
            <w:pPr>
              <w:spacing w:after="0"/>
              <w:rPr>
                <w:sz w:val="17"/>
                <w:szCs w:val="17"/>
                <w:color w:val="auto"/>
              </w:rPr>
            </w:pPr>
          </w:p>
        </w:tc>
        <w:tc>
          <w:tcPr>
            <w:tcW w:w="72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7"/>
              </w:rPr>
              <w:t>Revenue</w:t>
            </w:r>
          </w:p>
        </w:tc>
        <w:tc>
          <w:tcPr>
            <w:tcW w:w="8740" w:type="dxa"/>
            <w:vAlign w:val="bottom"/>
            <w:gridSpan w:val="28"/>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4</w:t>
            </w:r>
          </w:p>
        </w:tc>
        <w:tc>
          <w:tcPr>
            <w:tcW w:w="100" w:type="dxa"/>
            <w:vAlign w:val="bottom"/>
          </w:tcPr>
          <w:p>
            <w:pPr>
              <w:spacing w:after="0"/>
              <w:rPr>
                <w:sz w:val="18"/>
                <w:szCs w:val="18"/>
                <w:color w:val="auto"/>
              </w:rPr>
            </w:pPr>
          </w:p>
        </w:tc>
        <w:tc>
          <w:tcPr>
            <w:tcW w:w="9460" w:type="dxa"/>
            <w:vAlign w:val="bottom"/>
            <w:gridSpan w:val="34"/>
          </w:tcPr>
          <w:p>
            <w:pPr>
              <w:spacing w:after="0"/>
              <w:rPr>
                <w:sz w:val="20"/>
                <w:szCs w:val="20"/>
                <w:color w:val="auto"/>
              </w:rPr>
            </w:pPr>
            <w:r>
              <w:rPr>
                <w:rFonts w:ascii="Arial" w:cs="Arial" w:eastAsia="Arial" w:hAnsi="Arial"/>
                <w:sz w:val="18"/>
                <w:szCs w:val="18"/>
                <w:color w:val="0000FF"/>
              </w:rPr>
              <w:t>Earnings per Share</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10"/>
        </w:trPr>
        <w:tc>
          <w:tcPr>
            <w:tcW w:w="560" w:type="dxa"/>
            <w:vAlign w:val="bottom"/>
            <w:gridSpan w:val="6"/>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8"/>
                <w:szCs w:val="18"/>
                <w:color w:val="auto"/>
              </w:rPr>
            </w:pPr>
          </w:p>
        </w:tc>
        <w:tc>
          <w:tcPr>
            <w:tcW w:w="154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Aircraft</w:t>
            </w:r>
          </w:p>
        </w:tc>
        <w:tc>
          <w:tcPr>
            <w:tcW w:w="7920" w:type="dxa"/>
            <w:vAlign w:val="bottom"/>
            <w:gridSpan w:val="20"/>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18"/>
                <w:szCs w:val="18"/>
                <w:color w:val="auto"/>
              </w:rPr>
            </w:pPr>
          </w:p>
        </w:tc>
        <w:tc>
          <w:tcPr>
            <w:tcW w:w="3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4"/>
              </w:rPr>
              <w:t>Debt</w:t>
            </w:r>
          </w:p>
        </w:tc>
        <w:tc>
          <w:tcPr>
            <w:tcW w:w="180" w:type="dxa"/>
            <w:vAlign w:val="bottom"/>
            <w:tcBorders>
              <w:top w:val="single" w:sz="8" w:color="0000FF"/>
            </w:tcBorders>
          </w:tcPr>
          <w:p>
            <w:pPr>
              <w:spacing w:after="0"/>
              <w:rPr>
                <w:sz w:val="18"/>
                <w:szCs w:val="18"/>
                <w:color w:val="auto"/>
              </w:rPr>
            </w:pPr>
          </w:p>
        </w:tc>
        <w:tc>
          <w:tcPr>
            <w:tcW w:w="8900" w:type="dxa"/>
            <w:vAlign w:val="bottom"/>
            <w:gridSpan w:val="31"/>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10"/>
        </w:trPr>
        <w:tc>
          <w:tcPr>
            <w:tcW w:w="560" w:type="dxa"/>
            <w:vAlign w:val="bottom"/>
            <w:gridSpan w:val="6"/>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7</w:t>
            </w:r>
          </w:p>
        </w:tc>
        <w:tc>
          <w:tcPr>
            <w:tcW w:w="100" w:type="dxa"/>
            <w:vAlign w:val="bottom"/>
          </w:tcPr>
          <w:p>
            <w:pPr>
              <w:spacing w:after="0"/>
              <w:rPr>
                <w:sz w:val="18"/>
                <w:szCs w:val="18"/>
                <w:color w:val="auto"/>
              </w:rPr>
            </w:pPr>
          </w:p>
        </w:tc>
        <w:tc>
          <w:tcPr>
            <w:tcW w:w="9460" w:type="dxa"/>
            <w:vAlign w:val="bottom"/>
            <w:gridSpan w:val="34"/>
          </w:tcPr>
          <w:p>
            <w:pPr>
              <w:spacing w:after="0"/>
              <w:rPr>
                <w:sz w:val="20"/>
                <w:szCs w:val="20"/>
                <w:color w:val="auto"/>
              </w:rPr>
            </w:pPr>
            <w:r>
              <w:rPr>
                <w:rFonts w:ascii="Arial" w:cs="Arial" w:eastAsia="Arial" w:hAnsi="Arial"/>
                <w:sz w:val="18"/>
                <w:szCs w:val="18"/>
                <w:color w:val="0000FF"/>
              </w:rPr>
              <w:t>Investments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0"/>
        </w:trPr>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8</w:t>
            </w:r>
          </w:p>
        </w:tc>
        <w:tc>
          <w:tcPr>
            <w:tcW w:w="100" w:type="dxa"/>
            <w:vAlign w:val="bottom"/>
          </w:tcPr>
          <w:p>
            <w:pPr>
              <w:spacing w:after="0"/>
              <w:rPr>
                <w:sz w:val="18"/>
                <w:szCs w:val="18"/>
                <w:color w:val="auto"/>
              </w:rPr>
            </w:pPr>
          </w:p>
        </w:tc>
        <w:tc>
          <w:tcPr>
            <w:tcW w:w="9460" w:type="dxa"/>
            <w:vAlign w:val="bottom"/>
            <w:gridSpan w:val="34"/>
          </w:tcPr>
          <w:p>
            <w:pPr>
              <w:spacing w:after="0"/>
              <w:rPr>
                <w:sz w:val="20"/>
                <w:szCs w:val="20"/>
                <w:color w:val="auto"/>
              </w:rPr>
            </w:pPr>
            <w:r>
              <w:rPr>
                <w:rFonts w:ascii="Arial" w:cs="Arial" w:eastAsia="Arial" w:hAnsi="Arial"/>
                <w:sz w:val="18"/>
                <w:szCs w:val="18"/>
                <w:color w:val="0000FF"/>
              </w:rPr>
              <w:t>Fair Value Measurements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10"/>
        </w:trPr>
        <w:tc>
          <w:tcPr>
            <w:tcW w:w="560" w:type="dxa"/>
            <w:vAlign w:val="bottom"/>
            <w:gridSpan w:val="6"/>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9</w:t>
            </w:r>
          </w:p>
        </w:tc>
        <w:tc>
          <w:tcPr>
            <w:tcW w:w="100" w:type="dxa"/>
            <w:vAlign w:val="bottom"/>
          </w:tcPr>
          <w:p>
            <w:pPr>
              <w:spacing w:after="0"/>
              <w:rPr>
                <w:sz w:val="18"/>
                <w:szCs w:val="18"/>
                <w:color w:val="auto"/>
              </w:rPr>
            </w:pPr>
          </w:p>
        </w:tc>
        <w:tc>
          <w:tcPr>
            <w:tcW w:w="112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7"/>
              </w:rPr>
              <w:t>Income Taxes</w:t>
            </w:r>
          </w:p>
        </w:tc>
        <w:tc>
          <w:tcPr>
            <w:tcW w:w="920" w:type="dxa"/>
            <w:vAlign w:val="bottom"/>
            <w:tcBorders>
              <w:top w:val="single" w:sz="8" w:color="0000FF"/>
            </w:tcBorders>
            <w:gridSpan w:val="11"/>
          </w:tcPr>
          <w:p>
            <w:pPr>
              <w:spacing w:after="0"/>
              <w:rPr>
                <w:sz w:val="18"/>
                <w:szCs w:val="18"/>
                <w:color w:val="auto"/>
              </w:rPr>
            </w:pPr>
          </w:p>
        </w:tc>
        <w:tc>
          <w:tcPr>
            <w:tcW w:w="7420" w:type="dxa"/>
            <w:vAlign w:val="bottom"/>
            <w:gridSpan w:val="13"/>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10"/>
        </w:trPr>
        <w:tc>
          <w:tcPr>
            <w:tcW w:w="460" w:type="dxa"/>
            <w:vAlign w:val="bottom"/>
            <w:gridSpan w:val="4"/>
          </w:tcPr>
          <w:p>
            <w:pPr>
              <w:spacing w:after="0"/>
              <w:rPr>
                <w:sz w:val="18"/>
                <w:szCs w:val="18"/>
                <w:color w:val="auto"/>
              </w:rPr>
            </w:pP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89"/>
              </w:rPr>
              <w:t>10</w:t>
            </w:r>
          </w:p>
        </w:tc>
        <w:tc>
          <w:tcPr>
            <w:tcW w:w="100" w:type="dxa"/>
            <w:vAlign w:val="bottom"/>
          </w:tcPr>
          <w:p>
            <w:pPr>
              <w:spacing w:after="0"/>
              <w:rPr>
                <w:sz w:val="18"/>
                <w:szCs w:val="18"/>
                <w:color w:val="auto"/>
              </w:rPr>
            </w:pPr>
          </w:p>
        </w:tc>
        <w:tc>
          <w:tcPr>
            <w:tcW w:w="10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8"/>
              </w:rPr>
              <w:t>Special Items</w:t>
            </w:r>
          </w:p>
        </w:tc>
        <w:tc>
          <w:tcPr>
            <w:tcW w:w="8380" w:type="dxa"/>
            <w:vAlign w:val="bottom"/>
            <w:gridSpan w:val="26"/>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09"/>
        </w:trPr>
        <w:tc>
          <w:tcPr>
            <w:tcW w:w="660" w:type="dxa"/>
            <w:vAlign w:val="bottom"/>
            <w:gridSpan w:val="7"/>
          </w:tcPr>
          <w:p>
            <w:pPr>
              <w:jc w:val="right"/>
              <w:spacing w:after="0"/>
              <w:rPr>
                <w:sz w:val="20"/>
                <w:szCs w:val="20"/>
                <w:color w:val="auto"/>
              </w:rPr>
            </w:pPr>
            <w:r>
              <w:rPr>
                <w:rFonts w:ascii="Arial" w:cs="Arial" w:eastAsia="Arial" w:hAnsi="Arial"/>
                <w:sz w:val="18"/>
                <w:szCs w:val="18"/>
                <w:color w:val="0000FF"/>
              </w:rPr>
              <w:t>11</w:t>
            </w:r>
          </w:p>
        </w:tc>
        <w:tc>
          <w:tcPr>
            <w:tcW w:w="100" w:type="dxa"/>
            <w:vAlign w:val="bottom"/>
          </w:tcPr>
          <w:p>
            <w:pPr>
              <w:spacing w:after="0"/>
              <w:rPr>
                <w:sz w:val="18"/>
                <w:szCs w:val="18"/>
                <w:color w:val="auto"/>
              </w:rPr>
            </w:pPr>
          </w:p>
        </w:tc>
        <w:tc>
          <w:tcPr>
            <w:tcW w:w="16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8"/>
              </w:rPr>
              <w:t>Stockholders' Equity</w:t>
            </w:r>
          </w:p>
        </w:tc>
        <w:tc>
          <w:tcPr>
            <w:tcW w:w="7840" w:type="dxa"/>
            <w:vAlign w:val="bottom"/>
            <w:gridSpan w:val="18"/>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10"/>
        </w:trPr>
        <w:tc>
          <w:tcPr>
            <w:tcW w:w="460" w:type="dxa"/>
            <w:vAlign w:val="bottom"/>
            <w:gridSpan w:val="4"/>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0000FF"/>
                <w:w w:val="89"/>
              </w:rPr>
              <w:t>12</w:t>
            </w:r>
          </w:p>
        </w:tc>
        <w:tc>
          <w:tcPr>
            <w:tcW w:w="100" w:type="dxa"/>
            <w:vAlign w:val="bottom"/>
          </w:tcPr>
          <w:p>
            <w:pPr>
              <w:spacing w:after="0"/>
              <w:rPr>
                <w:sz w:val="18"/>
                <w:szCs w:val="18"/>
                <w:color w:val="auto"/>
              </w:rPr>
            </w:pPr>
          </w:p>
        </w:tc>
        <w:tc>
          <w:tcPr>
            <w:tcW w:w="9460" w:type="dxa"/>
            <w:vAlign w:val="bottom"/>
            <w:gridSpan w:val="34"/>
          </w:tcPr>
          <w:p>
            <w:pPr>
              <w:spacing w:after="0"/>
              <w:rPr>
                <w:sz w:val="20"/>
                <w:szCs w:val="20"/>
                <w:color w:val="auto"/>
              </w:rPr>
            </w:pPr>
            <w:r>
              <w:rPr>
                <w:rFonts w:ascii="Arial" w:cs="Arial" w:eastAsia="Arial" w:hAnsi="Arial"/>
                <w:sz w:val="18"/>
                <w:szCs w:val="18"/>
                <w:color w:val="0000FF"/>
              </w:rPr>
              <w:t>Commitments and Contingencies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10"/>
        </w:trPr>
        <w:tc>
          <w:tcPr>
            <w:tcW w:w="460" w:type="dxa"/>
            <w:vAlign w:val="bottom"/>
            <w:gridSpan w:val="4"/>
          </w:tcPr>
          <w:p>
            <w:pPr>
              <w:spacing w:after="0"/>
              <w:rPr>
                <w:sz w:val="18"/>
                <w:szCs w:val="18"/>
                <w:color w:val="auto"/>
              </w:rPr>
            </w:pPr>
          </w:p>
        </w:tc>
        <w:tc>
          <w:tcPr>
            <w:tcW w:w="20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color w:val="0000FF"/>
                <w:w w:val="89"/>
              </w:rPr>
              <w:t>13</w:t>
            </w:r>
          </w:p>
        </w:tc>
        <w:tc>
          <w:tcPr>
            <w:tcW w:w="100" w:type="dxa"/>
            <w:vAlign w:val="bottom"/>
          </w:tcPr>
          <w:p>
            <w:pPr>
              <w:spacing w:after="0"/>
              <w:rPr>
                <w:sz w:val="18"/>
                <w:szCs w:val="18"/>
                <w:color w:val="auto"/>
              </w:rPr>
            </w:pPr>
          </w:p>
        </w:tc>
        <w:tc>
          <w:tcPr>
            <w:tcW w:w="2640" w:type="dxa"/>
            <w:vAlign w:val="bottom"/>
            <w:tcBorders>
              <w:top w:val="single" w:sz="8" w:color="0000FF"/>
            </w:tcBorders>
            <w:gridSpan w:val="24"/>
          </w:tcPr>
          <w:p>
            <w:pPr>
              <w:spacing w:after="0"/>
              <w:rPr>
                <w:sz w:val="20"/>
                <w:szCs w:val="20"/>
                <w:color w:val="auto"/>
              </w:rPr>
            </w:pPr>
            <w:r>
              <w:rPr>
                <w:rFonts w:ascii="Arial" w:cs="Arial" w:eastAsia="Arial" w:hAnsi="Arial"/>
                <w:sz w:val="18"/>
                <w:szCs w:val="18"/>
                <w:color w:val="0000FF"/>
              </w:rPr>
              <w:t>Operating Segments</w:t>
            </w:r>
          </w:p>
        </w:tc>
        <w:tc>
          <w:tcPr>
            <w:tcW w:w="6820" w:type="dxa"/>
            <w:vAlign w:val="bottom"/>
            <w:gridSpan w:val="10"/>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210"/>
        </w:trPr>
        <w:tc>
          <w:tcPr>
            <w:tcW w:w="460" w:type="dxa"/>
            <w:vAlign w:val="bottom"/>
            <w:gridSpan w:val="4"/>
          </w:tcPr>
          <w:p>
            <w:pPr>
              <w:spacing w:after="0"/>
              <w:rPr>
                <w:sz w:val="18"/>
                <w:szCs w:val="18"/>
                <w:color w:val="auto"/>
              </w:rPr>
            </w:pPr>
          </w:p>
        </w:tc>
        <w:tc>
          <w:tcPr>
            <w:tcW w:w="20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89"/>
              </w:rPr>
              <w:t>14</w:t>
            </w:r>
          </w:p>
        </w:tc>
        <w:tc>
          <w:tcPr>
            <w:tcW w:w="100" w:type="dxa"/>
            <w:vAlign w:val="bottom"/>
          </w:tcPr>
          <w:p>
            <w:pPr>
              <w:spacing w:after="0"/>
              <w:rPr>
                <w:sz w:val="18"/>
                <w:szCs w:val="18"/>
                <w:color w:val="auto"/>
              </w:rPr>
            </w:pPr>
          </w:p>
        </w:tc>
        <w:tc>
          <w:tcPr>
            <w:tcW w:w="156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8"/>
              </w:rPr>
              <w:t>Subsequent Events</w:t>
            </w:r>
          </w:p>
        </w:tc>
        <w:tc>
          <w:tcPr>
            <w:tcW w:w="80" w:type="dxa"/>
            <w:vAlign w:val="bottom"/>
            <w:tcBorders>
              <w:top w:val="single" w:sz="8" w:color="0000FF"/>
            </w:tcBorders>
            <w:gridSpan w:val="2"/>
          </w:tcPr>
          <w:p>
            <w:pPr>
              <w:spacing w:after="0"/>
              <w:rPr>
                <w:sz w:val="18"/>
                <w:szCs w:val="18"/>
                <w:color w:val="auto"/>
              </w:rPr>
            </w:pPr>
          </w:p>
        </w:tc>
        <w:tc>
          <w:tcPr>
            <w:tcW w:w="7820" w:type="dxa"/>
            <w:vAlign w:val="bottom"/>
            <w:gridSpan w:val="17"/>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80" w:type="dxa"/>
            <w:vAlign w:val="bottom"/>
            <w:tcBorders>
              <w:bottom w:val="single" w:sz="8" w:color="0000FF"/>
            </w:tcBorders>
            <w:gridSpan w:val="39"/>
          </w:tcPr>
          <w:p>
            <w:pPr>
              <w:spacing w:after="0"/>
              <w:rPr>
                <w:sz w:val="20"/>
                <w:szCs w:val="20"/>
                <w:color w:val="auto"/>
              </w:rPr>
            </w:pPr>
            <w:r>
              <w:rPr>
                <w:rFonts w:ascii="Arial" w:cs="Arial" w:eastAsia="Arial" w:hAnsi="Arial"/>
                <w:sz w:val="18"/>
                <w:szCs w:val="18"/>
                <w:color w:val="0000FF"/>
                <w:w w:val="99"/>
              </w:rPr>
              <w:t>Item 2. Management’s Discussion and Analysis of Financial Condition and Results of Operations</w:t>
            </w:r>
          </w:p>
        </w:tc>
        <w:tc>
          <w:tcPr>
            <w:tcW w:w="24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40"/>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tcBorders>
              <w:top w:val="single" w:sz="8" w:color="0000FF"/>
            </w:tcBorders>
            <w:gridSpan w:val="36"/>
          </w:tcPr>
          <w:p>
            <w:pPr>
              <w:spacing w:after="0"/>
              <w:rPr>
                <w:sz w:val="20"/>
                <w:szCs w:val="20"/>
                <w:color w:val="auto"/>
              </w:rPr>
            </w:pPr>
            <w:r>
              <w:rPr>
                <w:rFonts w:ascii="Arial" w:cs="Arial" w:eastAsia="Arial" w:hAnsi="Arial"/>
                <w:sz w:val="18"/>
                <w:szCs w:val="18"/>
                <w:color w:val="0000FF"/>
              </w:rPr>
              <w:t>Item 4. Controls and Procedures</w:t>
            </w:r>
          </w:p>
        </w:tc>
        <w:tc>
          <w:tcPr>
            <w:tcW w:w="4780" w:type="dxa"/>
            <w:vAlign w:val="bottom"/>
            <w:gridSpan w:val="4"/>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7"/>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7"/>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21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b w:val="1"/>
                <w:bCs w:val="1"/>
                <w:color w:val="0000FF"/>
                <w:w w:val="99"/>
              </w:rPr>
              <w:t>Part II. Other Information</w:t>
            </w:r>
          </w:p>
        </w:tc>
        <w:tc>
          <w:tcPr>
            <w:tcW w:w="8060" w:type="dxa"/>
            <w:vAlign w:val="bottom"/>
            <w:gridSpan w:val="22"/>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40"/>
          </w:tcPr>
          <w:p>
            <w:pPr>
              <w:spacing w:after="0"/>
              <w:rPr>
                <w:sz w:val="20"/>
                <w:szCs w:val="20"/>
                <w:color w:val="auto"/>
              </w:rPr>
            </w:pPr>
            <w:r>
              <w:rPr>
                <w:rFonts w:ascii="Arial" w:cs="Arial" w:eastAsia="Arial" w:hAnsi="Arial"/>
                <w:sz w:val="18"/>
                <w:szCs w:val="18"/>
                <w:color w:val="0000FF"/>
              </w:rPr>
              <w:t>Item 1. Legal Proceedings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8"/>
              </w:rPr>
              <w:t>Item 1A. Risk Factors</w:t>
            </w:r>
          </w:p>
        </w:tc>
        <w:tc>
          <w:tcPr>
            <w:tcW w:w="360" w:type="dxa"/>
            <w:vAlign w:val="bottom"/>
            <w:tcBorders>
              <w:top w:val="single" w:sz="8" w:color="0000FF"/>
            </w:tcBorders>
            <w:gridSpan w:val="4"/>
          </w:tcPr>
          <w:p>
            <w:pPr>
              <w:spacing w:after="0"/>
              <w:rPr>
                <w:sz w:val="18"/>
                <w:szCs w:val="18"/>
                <w:color w:val="auto"/>
              </w:rPr>
            </w:pPr>
          </w:p>
        </w:tc>
        <w:tc>
          <w:tcPr>
            <w:tcW w:w="8000" w:type="dxa"/>
            <w:vAlign w:val="bottom"/>
            <w:gridSpan w:val="21"/>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40"/>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tcBorders>
              <w:top w:val="single" w:sz="8" w:color="0000FF"/>
            </w:tcBorders>
            <w:gridSpan w:val="37"/>
          </w:tcPr>
          <w:p>
            <w:pPr>
              <w:spacing w:after="0"/>
              <w:rPr>
                <w:sz w:val="20"/>
                <w:szCs w:val="20"/>
                <w:color w:val="auto"/>
              </w:rPr>
            </w:pPr>
            <w:r>
              <w:rPr>
                <w:rFonts w:ascii="Arial" w:cs="Arial" w:eastAsia="Arial" w:hAnsi="Arial"/>
                <w:sz w:val="18"/>
                <w:szCs w:val="18"/>
                <w:color w:val="0000FF"/>
              </w:rPr>
              <w:t>Item 3. Defaults Upon Senior Securities</w:t>
            </w:r>
          </w:p>
        </w:tc>
        <w:tc>
          <w:tcPr>
            <w:tcW w:w="4640" w:type="dxa"/>
            <w:vAlign w:val="bottom"/>
            <w:gridSpan w:val="3"/>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Borders>
              <w:top w:val="single" w:sz="8" w:color="0000FF"/>
            </w:tcBorders>
            <w:gridSpan w:val="28"/>
          </w:tcPr>
          <w:p>
            <w:pPr>
              <w:spacing w:after="0"/>
              <w:rPr>
                <w:sz w:val="20"/>
                <w:szCs w:val="20"/>
                <w:color w:val="auto"/>
              </w:rPr>
            </w:pPr>
            <w:r>
              <w:rPr>
                <w:rFonts w:ascii="Arial" w:cs="Arial" w:eastAsia="Arial" w:hAnsi="Arial"/>
                <w:sz w:val="18"/>
                <w:szCs w:val="18"/>
                <w:color w:val="0000FF"/>
              </w:rPr>
              <w:t>Item 4. Mine Safety Disclosures</w:t>
            </w:r>
          </w:p>
        </w:tc>
        <w:tc>
          <w:tcPr>
            <w:tcW w:w="6940" w:type="dxa"/>
            <w:vAlign w:val="bottom"/>
            <w:gridSpan w:val="12"/>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8"/>
                <w:szCs w:val="18"/>
                <w:color w:val="0000FF"/>
                <w:w w:val="98"/>
              </w:rPr>
              <w:t>Item 5. Other Information</w:t>
            </w:r>
          </w:p>
        </w:tc>
        <w:tc>
          <w:tcPr>
            <w:tcW w:w="580" w:type="dxa"/>
            <w:vAlign w:val="bottom"/>
            <w:tcBorders>
              <w:top w:val="single" w:sz="8" w:color="0000FF"/>
            </w:tcBorders>
            <w:gridSpan w:val="9"/>
          </w:tcPr>
          <w:p>
            <w:pPr>
              <w:spacing w:after="0"/>
              <w:rPr>
                <w:sz w:val="18"/>
                <w:szCs w:val="18"/>
                <w:color w:val="auto"/>
              </w:rPr>
            </w:pPr>
          </w:p>
        </w:tc>
        <w:tc>
          <w:tcPr>
            <w:tcW w:w="7500" w:type="dxa"/>
            <w:vAlign w:val="bottom"/>
            <w:gridSpan w:val="14"/>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40"/>
          </w:tcPr>
          <w:p>
            <w:pPr>
              <w:spacing w:after="0"/>
              <w:rPr>
                <w:sz w:val="20"/>
                <w:szCs w:val="20"/>
                <w:color w:val="auto"/>
              </w:rPr>
            </w:pPr>
            <w:r>
              <w:rPr>
                <w:rFonts w:ascii="Arial" w:cs="Arial" w:eastAsia="Arial" w:hAnsi="Arial"/>
                <w:sz w:val="18"/>
                <w:szCs w:val="18"/>
                <w:color w:val="0000FF"/>
              </w:rPr>
              <w:t>Item 6. Exhibits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7"/>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860" w:type="dxa"/>
            <w:vAlign w:val="bottom"/>
            <w:gridSpan w:val="3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200" w:type="dxa"/>
            <w:vAlign w:val="bottom"/>
            <w:gridSpan w:val="41"/>
          </w:tcPr>
          <w:p>
            <w:pPr>
              <w:spacing w:after="0"/>
              <w:rPr>
                <w:sz w:val="20"/>
                <w:szCs w:val="20"/>
                <w:color w:val="auto"/>
              </w:rPr>
            </w:pPr>
            <w:r>
              <w:rPr>
                <w:rFonts w:ascii="Arial" w:cs="Arial" w:eastAsia="Arial" w:hAnsi="Arial"/>
                <w:sz w:val="18"/>
                <w:szCs w:val="18"/>
                <w:color w:val="0000FF"/>
              </w:rPr>
              <w:t>Signatures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929"/>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gridSpan w:val="2"/>
          </w:tcPr>
          <w:p>
            <w:pPr>
              <w:spacing w:after="0"/>
              <w:rPr>
                <w:sz w:val="24"/>
                <w:szCs w:val="24"/>
                <w:color w:val="auto"/>
              </w:rPr>
            </w:pPr>
          </w:p>
        </w:tc>
        <w:tc>
          <w:tcPr>
            <w:tcW w:w="5180" w:type="dxa"/>
            <w:vAlign w:val="bottom"/>
            <w:gridSpan w:val="31"/>
          </w:tcPr>
          <w:p>
            <w:pPr>
              <w:jc w:val="center"/>
              <w:ind w:left="4230"/>
              <w:spacing w:after="0"/>
              <w:rPr>
                <w:sz w:val="20"/>
                <w:szCs w:val="20"/>
                <w:color w:val="auto"/>
              </w:rPr>
            </w:pPr>
            <w:r>
              <w:rPr>
                <w:rFonts w:ascii="Arial" w:cs="Arial" w:eastAsia="Arial" w:hAnsi="Arial"/>
                <w:sz w:val="18"/>
                <w:szCs w:val="18"/>
                <w:color w:val="auto"/>
                <w:w w:val="99"/>
              </w:rPr>
              <w:t>-2-</w:t>
            </w: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March 31, 2026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December 31, 2025</w:t>
            </w:r>
          </w:p>
        </w:tc>
      </w:tr>
      <w:tr>
        <w:trPr>
          <w:trHeight w:val="196"/>
        </w:trPr>
        <w:tc>
          <w:tcPr>
            <w:tcW w:w="7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7"/>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54"/>
        </w:trPr>
        <w:tc>
          <w:tcPr>
            <w:tcW w:w="7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722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153,729</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144,684</w:t>
            </w:r>
          </w:p>
        </w:tc>
      </w:tr>
      <w:tr>
        <w:trPr>
          <w:trHeight w:val="217"/>
        </w:trPr>
        <w:tc>
          <w:tcPr>
            <w:tcW w:w="7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Restricted Cash</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21,357</w:t>
            </w:r>
          </w:p>
        </w:tc>
      </w:tr>
      <w:tr>
        <w:trPr>
          <w:trHeight w:val="215"/>
        </w:trPr>
        <w:tc>
          <w:tcPr>
            <w:tcW w:w="7220" w:type="dxa"/>
            <w:vAlign w:val="bottom"/>
          </w:tcPr>
          <w:p>
            <w:pPr>
              <w:ind w:left="100"/>
              <w:spacing w:after="0"/>
              <w:rPr>
                <w:sz w:val="20"/>
                <w:szCs w:val="20"/>
                <w:color w:val="auto"/>
              </w:rPr>
            </w:pPr>
            <w:r>
              <w:rPr>
                <w:rFonts w:ascii="Arial" w:cs="Arial" w:eastAsia="Arial" w:hAnsi="Arial"/>
                <w:sz w:val="16"/>
                <w:szCs w:val="16"/>
                <w:color w:val="auto"/>
              </w:rPr>
              <w:t>Investments</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66,029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89,629</w:t>
            </w:r>
          </w:p>
        </w:tc>
      </w:tr>
      <w:tr>
        <w:trPr>
          <w:trHeight w:val="217"/>
        </w:trPr>
        <w:tc>
          <w:tcPr>
            <w:tcW w:w="7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Receivable, net of an allowance for credit losses of $404 and $408, respectively</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53,722</w:t>
            </w:r>
          </w:p>
        </w:tc>
      </w:tr>
      <w:tr>
        <w:trPr>
          <w:trHeight w:val="215"/>
        </w:trPr>
        <w:tc>
          <w:tcPr>
            <w:tcW w:w="7220" w:type="dxa"/>
            <w:vAlign w:val="bottom"/>
          </w:tcPr>
          <w:p>
            <w:pPr>
              <w:ind w:left="100"/>
              <w:spacing w:after="0"/>
              <w:rPr>
                <w:sz w:val="20"/>
                <w:szCs w:val="20"/>
                <w:color w:val="auto"/>
              </w:rPr>
            </w:pPr>
            <w:r>
              <w:rPr>
                <w:rFonts w:ascii="Arial" w:cs="Arial" w:eastAsia="Arial" w:hAnsi="Arial"/>
                <w:sz w:val="16"/>
                <w:szCs w:val="16"/>
                <w:color w:val="auto"/>
              </w:rPr>
              <w:t>Short-term Lessor Maintenance Deposits</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23,759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22,738</w:t>
            </w:r>
          </w:p>
        </w:tc>
      </w:tr>
      <w:tr>
        <w:trPr>
          <w:trHeight w:val="217"/>
        </w:trPr>
        <w:tc>
          <w:tcPr>
            <w:tcW w:w="7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Inventory, net of a reserve for obsolescence of $1,509 and $1,214, respectively</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11,844</w:t>
            </w:r>
          </w:p>
        </w:tc>
      </w:tr>
      <w:tr>
        <w:trPr>
          <w:trHeight w:val="215"/>
        </w:trPr>
        <w:tc>
          <w:tcPr>
            <w:tcW w:w="7220" w:type="dxa"/>
            <w:vAlign w:val="bottom"/>
          </w:tcPr>
          <w:p>
            <w:pPr>
              <w:ind w:left="100"/>
              <w:spacing w:after="0"/>
              <w:rPr>
                <w:sz w:val="20"/>
                <w:szCs w:val="20"/>
                <w:color w:val="auto"/>
              </w:rPr>
            </w:pPr>
            <w:r>
              <w:rPr>
                <w:rFonts w:ascii="Arial" w:cs="Arial" w:eastAsia="Arial" w:hAnsi="Arial"/>
                <w:sz w:val="16"/>
                <w:szCs w:val="16"/>
                <w:color w:val="auto"/>
              </w:rPr>
              <w:t>Prepaid Expenses</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20,064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17,667</w:t>
            </w:r>
          </w:p>
        </w:tc>
      </w:tr>
      <w:tr>
        <w:trPr>
          <w:trHeight w:val="217"/>
        </w:trPr>
        <w:tc>
          <w:tcPr>
            <w:tcW w:w="7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6,575</w:t>
            </w:r>
          </w:p>
        </w:tc>
      </w:tr>
      <w:tr>
        <w:trPr>
          <w:trHeight w:val="248"/>
        </w:trPr>
        <w:tc>
          <w:tcPr>
            <w:tcW w:w="72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355,436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368,216</w:t>
            </w:r>
          </w:p>
        </w:tc>
      </w:tr>
      <w:tr>
        <w:trPr>
          <w:trHeight w:val="216"/>
        </w:trPr>
        <w:tc>
          <w:tcPr>
            <w:tcW w:w="722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Property &amp; Equipment, net:</w:t>
            </w:r>
          </w:p>
        </w:tc>
        <w:tc>
          <w:tcPr>
            <w:tcW w:w="2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r>
      <w:tr>
        <w:trPr>
          <w:trHeight w:val="216"/>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Aircraft and Flight Equipment</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891,023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861,100</w:t>
            </w:r>
          </w:p>
        </w:tc>
      </w:tr>
      <w:tr>
        <w:trPr>
          <w:trHeight w:val="215"/>
        </w:trPr>
        <w:tc>
          <w:tcPr>
            <w:tcW w:w="7220" w:type="dxa"/>
            <w:vAlign w:val="bottom"/>
          </w:tcPr>
          <w:p>
            <w:pPr>
              <w:ind w:left="140"/>
              <w:spacing w:after="0"/>
              <w:rPr>
                <w:sz w:val="20"/>
                <w:szCs w:val="20"/>
                <w:color w:val="auto"/>
              </w:rPr>
            </w:pPr>
            <w:r>
              <w:rPr>
                <w:rFonts w:ascii="Arial" w:cs="Arial" w:eastAsia="Arial" w:hAnsi="Arial"/>
                <w:sz w:val="16"/>
                <w:szCs w:val="16"/>
                <w:color w:val="auto"/>
              </w:rPr>
              <w:t>Aircraft and Flight Equipment Held for Operating Lease</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62,923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62,923</w:t>
            </w:r>
          </w:p>
        </w:tc>
      </w:tr>
      <w:tr>
        <w:trPr>
          <w:trHeight w:val="217"/>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Ground Equipment and Leasehold Improvements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50,765</w:t>
            </w:r>
          </w:p>
        </w:tc>
      </w:tr>
      <w:tr>
        <w:trPr>
          <w:trHeight w:val="215"/>
        </w:trPr>
        <w:tc>
          <w:tcPr>
            <w:tcW w:w="7220" w:type="dxa"/>
            <w:vAlign w:val="bottom"/>
          </w:tcPr>
          <w:p>
            <w:pPr>
              <w:ind w:left="140"/>
              <w:spacing w:after="0"/>
              <w:rPr>
                <w:sz w:val="20"/>
                <w:szCs w:val="20"/>
                <w:color w:val="auto"/>
              </w:rPr>
            </w:pPr>
            <w:r>
              <w:rPr>
                <w:rFonts w:ascii="Arial" w:cs="Arial" w:eastAsia="Arial" w:hAnsi="Arial"/>
                <w:sz w:val="16"/>
                <w:szCs w:val="16"/>
                <w:color w:val="auto"/>
              </w:rPr>
              <w:t>Computer Hardware and Software</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25,391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24,926</w:t>
            </w:r>
          </w:p>
        </w:tc>
      </w:tr>
      <w:tr>
        <w:trPr>
          <w:trHeight w:val="217"/>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 Assets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309,877</w:t>
            </w:r>
          </w:p>
        </w:tc>
      </w:tr>
      <w:tr>
        <w:trPr>
          <w:trHeight w:val="215"/>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Rotable Parts</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31,879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31,676</w:t>
            </w:r>
          </w:p>
        </w:tc>
      </w:tr>
      <w:tr>
        <w:trPr>
          <w:trHeight w:val="210"/>
        </w:trPr>
        <w:tc>
          <w:tcPr>
            <w:tcW w:w="7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Property &amp; Equipment</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1,373,760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1,341,267</w:t>
            </w:r>
          </w:p>
        </w:tc>
      </w:tr>
      <w:tr>
        <w:trPr>
          <w:trHeight w:val="215"/>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Depreciation &amp; Amortization</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(431,521)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(414,246)</w:t>
            </w:r>
          </w:p>
        </w:tc>
      </w:tr>
      <w:tr>
        <w:trPr>
          <w:trHeight w:val="210"/>
        </w:trPr>
        <w:tc>
          <w:tcPr>
            <w:tcW w:w="7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Property &amp; Equipment, net</w:t>
            </w: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942,239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927,021</w:t>
            </w:r>
          </w:p>
        </w:tc>
      </w:tr>
      <w:tr>
        <w:trPr>
          <w:trHeight w:val="34"/>
        </w:trPr>
        <w:tc>
          <w:tcPr>
            <w:tcW w:w="7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7220" w:type="dxa"/>
            <w:vAlign w:val="bottom"/>
          </w:tcPr>
          <w:p>
            <w:pPr>
              <w:ind w:left="1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222,223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222,223</w:t>
            </w:r>
          </w:p>
        </w:tc>
      </w:tr>
      <w:tr>
        <w:trPr>
          <w:trHeight w:val="217"/>
        </w:trPr>
        <w:tc>
          <w:tcPr>
            <w:tcW w:w="7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Intangible Assets, net of accumulated amortization of $35,522 and $34,480, respectively</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73,261</w:t>
            </w:r>
          </w:p>
        </w:tc>
      </w:tr>
      <w:tr>
        <w:trPr>
          <w:trHeight w:val="215"/>
        </w:trPr>
        <w:tc>
          <w:tcPr>
            <w:tcW w:w="7220" w:type="dxa"/>
            <w:vAlign w:val="bottom"/>
          </w:tcPr>
          <w:p>
            <w:pPr>
              <w:ind w:left="14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13,589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14,257</w:t>
            </w:r>
          </w:p>
        </w:tc>
      </w:tr>
      <w:tr>
        <w:trPr>
          <w:trHeight w:val="217"/>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Aircraft Deposits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5,575</w:t>
            </w:r>
          </w:p>
        </w:tc>
      </w:tr>
      <w:tr>
        <w:trPr>
          <w:trHeight w:val="215"/>
        </w:trPr>
        <w:tc>
          <w:tcPr>
            <w:tcW w:w="7220" w:type="dxa"/>
            <w:vAlign w:val="bottom"/>
          </w:tcPr>
          <w:p>
            <w:pPr>
              <w:ind w:left="140"/>
              <w:spacing w:after="0"/>
              <w:rPr>
                <w:sz w:val="20"/>
                <w:szCs w:val="20"/>
                <w:color w:val="auto"/>
              </w:rPr>
            </w:pPr>
            <w:r>
              <w:rPr>
                <w:rFonts w:ascii="Arial" w:cs="Arial" w:eastAsia="Arial" w:hAnsi="Arial"/>
                <w:sz w:val="16"/>
                <w:szCs w:val="16"/>
                <w:color w:val="auto"/>
              </w:rPr>
              <w:t>Long-term Lessor Maintenance Deposits</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48,210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45,361</w:t>
            </w:r>
          </w:p>
        </w:tc>
      </w:tr>
      <w:tr>
        <w:trPr>
          <w:trHeight w:val="217"/>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24,116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24,550</w:t>
            </w:r>
          </w:p>
        </w:tc>
      </w:tr>
      <w:tr>
        <w:trPr>
          <w:trHeight w:val="209"/>
        </w:trPr>
        <w:tc>
          <w:tcPr>
            <w:tcW w:w="72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Other Assets</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385,932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385,227</w:t>
            </w:r>
          </w:p>
        </w:tc>
      </w:tr>
      <w:tr>
        <w:trPr>
          <w:trHeight w:val="235"/>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1,683,607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1,680,464</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March 31, 2026</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December 31, 2025</w:t>
            </w:r>
          </w:p>
        </w:tc>
      </w:tr>
      <w:tr>
        <w:trPr>
          <w:trHeight w:val="196"/>
        </w:trPr>
        <w:tc>
          <w:tcPr>
            <w:tcW w:w="3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7"/>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54"/>
        </w:trPr>
        <w:tc>
          <w:tcPr>
            <w:tcW w:w="3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16"/>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83,573</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57,628</w:t>
            </w: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Accrued Salaries, Wages, and Benefits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45,531</w:t>
            </w: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Accrued Transportation Taxes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18,117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22,923</w:t>
            </w: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Air Traffic Liabilities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167,024</w:t>
            </w: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Finance Lease Obligations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60,205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61,616</w:t>
            </w: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Loyalty Program Liabilities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10,233</w:t>
            </w: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Operating Lease Obligations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3,685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3,601</w:t>
            </w: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 net</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68,017</w:t>
            </w:r>
          </w:p>
        </w:tc>
      </w:tr>
      <w:tr>
        <w:trPr>
          <w:trHeight w:val="215"/>
        </w:trPr>
        <w:tc>
          <w:tcPr>
            <w:tcW w:w="732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13,290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14,530</w:t>
            </w:r>
          </w:p>
        </w:tc>
      </w:tr>
      <w:tr>
        <w:trPr>
          <w:trHeight w:val="210"/>
        </w:trPr>
        <w:tc>
          <w:tcPr>
            <w:tcW w:w="73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429,793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451,103</w:t>
            </w:r>
          </w:p>
        </w:tc>
      </w:tr>
      <w:tr>
        <w:trPr>
          <w:trHeight w:val="34"/>
        </w:trPr>
        <w:tc>
          <w:tcPr>
            <w:tcW w:w="3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Finance Lease Obligations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185,633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189,471</w:t>
            </w: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Loyalty Program Liabilities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4,613</w:t>
            </w: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Operating Lease Obligations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12,878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13,792</w:t>
            </w: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244,766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255,329</w:t>
            </w: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Deferred Tax Liability</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46,902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40,761</w:t>
            </w: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Income Tax Receivable Agreement Liability</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87,169</w:t>
            </w:r>
          </w:p>
        </w:tc>
      </w:tr>
      <w:tr>
        <w:trPr>
          <w:trHeight w:val="215"/>
        </w:trPr>
        <w:tc>
          <w:tcPr>
            <w:tcW w:w="732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13,070</w:t>
            </w:r>
          </w:p>
        </w:tc>
      </w:tr>
      <w:tr>
        <w:trPr>
          <w:trHeight w:val="210"/>
        </w:trPr>
        <w:tc>
          <w:tcPr>
            <w:tcW w:w="73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Total Long-term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594,388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604,205</w:t>
            </w:r>
          </w:p>
        </w:tc>
      </w:tr>
      <w:tr>
        <w:trPr>
          <w:trHeight w:val="248"/>
        </w:trPr>
        <w:tc>
          <w:tcPr>
            <w:tcW w:w="73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1,024,181</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1,055,308</w:t>
            </w:r>
          </w:p>
        </w:tc>
      </w:tr>
      <w:tr>
        <w:trPr>
          <w:trHeight w:val="175"/>
        </w:trPr>
        <w:tc>
          <w:tcPr>
            <w:tcW w:w="7320" w:type="dxa"/>
            <w:vAlign w:val="bottom"/>
            <w:tcBorders>
              <w:top w:val="single" w:sz="8" w:color="CCEEFF"/>
            </w:tcBorders>
            <w:gridSpan w:val="3"/>
          </w:tcPr>
          <w:p>
            <w:pPr>
              <w:ind w:left="20"/>
              <w:spacing w:after="0" w:line="175" w:lineRule="exact"/>
              <w:rPr>
                <w:sz w:val="20"/>
                <w:szCs w:val="20"/>
                <w:color w:val="auto"/>
              </w:rPr>
            </w:pPr>
            <w:r>
              <w:rPr>
                <w:rFonts w:ascii="Arial" w:cs="Arial" w:eastAsia="Arial" w:hAnsi="Arial"/>
                <w:sz w:val="16"/>
                <w:szCs w:val="16"/>
                <w:b w:val="1"/>
                <w:bCs w:val="1"/>
                <w:color w:val="auto"/>
              </w:rPr>
              <w:t xml:space="preserve">Commitments and Contingencies (see </w:t>
            </w:r>
            <w:r>
              <w:rPr>
                <w:rFonts w:ascii="Arial" w:cs="Arial" w:eastAsia="Arial" w:hAnsi="Arial"/>
                <w:sz w:val="16"/>
                <w:szCs w:val="16"/>
                <w:b w:val="1"/>
                <w:bCs w:val="1"/>
                <w:color w:val="0000FF"/>
              </w:rPr>
              <w:t>Note 12</w:t>
            </w:r>
            <w:r>
              <w:rPr>
                <w:rFonts w:ascii="Arial" w:cs="Arial" w:eastAsia="Arial" w:hAnsi="Arial"/>
                <w:sz w:val="16"/>
                <w:szCs w:val="16"/>
                <w:b w:val="1"/>
                <w:bCs w:val="1"/>
                <w:color w:val="auto"/>
              </w:rPr>
              <w:t>)</w:t>
            </w:r>
          </w:p>
        </w:tc>
        <w:tc>
          <w:tcPr>
            <w:tcW w:w="260" w:type="dxa"/>
            <w:vAlign w:val="bottom"/>
            <w:tcBorders>
              <w:top w:val="single" w:sz="8" w:color="CCEEFF"/>
            </w:tcBorders>
          </w:tcPr>
          <w:p>
            <w:pPr>
              <w:spacing w:after="0"/>
              <w:rPr>
                <w:sz w:val="15"/>
                <w:szCs w:val="15"/>
                <w:color w:val="auto"/>
              </w:rPr>
            </w:pPr>
          </w:p>
        </w:tc>
        <w:tc>
          <w:tcPr>
            <w:tcW w:w="16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700" w:type="dxa"/>
            <w:vAlign w:val="bottom"/>
            <w:tcBorders>
              <w:top w:val="single" w:sz="8" w:color="CCEEFF"/>
            </w:tcBorders>
          </w:tcPr>
          <w:p>
            <w:pPr>
              <w:spacing w:after="0"/>
              <w:rPr>
                <w:sz w:val="15"/>
                <w:szCs w:val="15"/>
                <w:color w:val="auto"/>
              </w:rPr>
            </w:pPr>
          </w:p>
        </w:tc>
      </w:tr>
      <w:tr>
        <w:trPr>
          <w:trHeight w:val="55"/>
        </w:trPr>
        <w:tc>
          <w:tcPr>
            <w:tcW w:w="3020" w:type="dxa"/>
            <w:vAlign w:val="bottom"/>
            <w:tcBorders>
              <w:bottom w:val="single" w:sz="8" w:color="CCEEFF"/>
            </w:tcBorders>
          </w:tcPr>
          <w:p>
            <w:pPr>
              <w:spacing w:after="0"/>
              <w:rPr>
                <w:sz w:val="4"/>
                <w:szCs w:val="4"/>
                <w:color w:val="auto"/>
              </w:rPr>
            </w:pPr>
          </w:p>
        </w:tc>
        <w:tc>
          <w:tcPr>
            <w:tcW w:w="580" w:type="dxa"/>
            <w:vAlign w:val="bottom"/>
            <w:tcBorders>
              <w:top w:val="single" w:sz="8" w:color="0000FF"/>
              <w:bottom w:val="single" w:sz="8" w:color="CCEEFF"/>
            </w:tcBorders>
          </w:tcPr>
          <w:p>
            <w:pPr>
              <w:spacing w:after="0"/>
              <w:rPr>
                <w:sz w:val="4"/>
                <w:szCs w:val="4"/>
                <w:color w:val="auto"/>
              </w:rPr>
            </w:pPr>
          </w:p>
        </w:tc>
        <w:tc>
          <w:tcPr>
            <w:tcW w:w="37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6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r>
      <w:tr>
        <w:trPr>
          <w:trHeight w:val="216"/>
        </w:trPr>
        <w:tc>
          <w:tcPr>
            <w:tcW w:w="7320" w:type="dxa"/>
            <w:vAlign w:val="bottom"/>
            <w:gridSpan w:val="3"/>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02"/>
        </w:trPr>
        <w:tc>
          <w:tcPr>
            <w:tcW w:w="73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Common stock, with $0.01 par value, 995,000,000 shares authorized, 62,013,485 and 61,040,329</w:t>
            </w: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03"/>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issued and 54,196,458 and 53,223,302 outstanding at March 31, 2026 and December 31, 2025,</w:t>
            </w: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30"/>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respectively</w:t>
            </w:r>
          </w:p>
        </w:tc>
        <w:tc>
          <w:tcPr>
            <w:tcW w:w="26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r>
      <w:tr>
        <w:trPr>
          <w:trHeight w:val="202"/>
        </w:trPr>
        <w:tc>
          <w:tcPr>
            <w:tcW w:w="7320" w:type="dxa"/>
            <w:vAlign w:val="bottom"/>
            <w:gridSpan w:val="3"/>
          </w:tcPr>
          <w:p>
            <w:pPr>
              <w:ind w:left="100"/>
              <w:spacing w:after="0"/>
              <w:rPr>
                <w:sz w:val="20"/>
                <w:szCs w:val="20"/>
                <w:color w:val="auto"/>
              </w:rPr>
            </w:pPr>
            <w:r>
              <w:rPr>
                <w:rFonts w:ascii="Arial" w:cs="Arial" w:eastAsia="Arial" w:hAnsi="Arial"/>
                <w:sz w:val="16"/>
                <w:szCs w:val="16"/>
                <w:color w:val="auto"/>
              </w:rPr>
              <w:t>Preferred stock, with $0.01 par value, 5,000,000 shares authorized, no shares issued and</w:t>
            </w: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43"/>
        </w:trPr>
        <w:tc>
          <w:tcPr>
            <w:tcW w:w="7320" w:type="dxa"/>
            <w:vAlign w:val="bottom"/>
            <w:gridSpan w:val="3"/>
          </w:tcPr>
          <w:p>
            <w:pPr>
              <w:ind w:left="180"/>
              <w:spacing w:after="0"/>
              <w:rPr>
                <w:sz w:val="20"/>
                <w:szCs w:val="20"/>
                <w:color w:val="auto"/>
              </w:rPr>
            </w:pPr>
            <w:r>
              <w:rPr>
                <w:rFonts w:ascii="Arial" w:cs="Arial" w:eastAsia="Arial" w:hAnsi="Arial"/>
                <w:sz w:val="16"/>
                <w:szCs w:val="16"/>
                <w:color w:val="auto"/>
              </w:rPr>
              <w:t>outstanding at March 31, 2026 and December 31, 2025, respectively</w:t>
            </w:r>
          </w:p>
        </w:tc>
        <w:tc>
          <w:tcPr>
            <w:tcW w:w="260" w:type="dxa"/>
            <w:vAlign w:val="bottom"/>
          </w:tcPr>
          <w:p>
            <w:pPr>
              <w:spacing w:after="0"/>
              <w:rPr>
                <w:sz w:val="21"/>
                <w:szCs w:val="21"/>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3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Treasury stock, at cost, 7,817,027 shares held at March 31, 2026 and December 31, 2025</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(125,881)</w:t>
            </w: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560,680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550,471</w:t>
            </w: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224,047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199,941</w:t>
            </w:r>
          </w:p>
        </w:tc>
      </w:tr>
      <w:tr>
        <w:trPr>
          <w:trHeight w:val="215"/>
        </w:trPr>
        <w:tc>
          <w:tcPr>
            <w:tcW w:w="7320" w:type="dxa"/>
            <w:vAlign w:val="bottom"/>
            <w:tcBorders>
              <w:bottom w:val="single" w:sz="8" w:color="CCEEFF"/>
            </w:tcBorders>
            <w:gridSpan w:val="3"/>
          </w:tcPr>
          <w:p>
            <w:pPr>
              <w:ind w:left="100"/>
              <w:spacing w:after="0"/>
              <w:rPr>
                <w:sz w:val="20"/>
                <w:szCs w:val="20"/>
                <w:color w:val="auto"/>
              </w:rPr>
            </w:pPr>
            <w:r>
              <w:rPr>
                <w:rFonts w:ascii="Arial" w:cs="Arial" w:eastAsia="Arial" w:hAnsi="Arial"/>
                <w:sz w:val="16"/>
                <w:szCs w:val="16"/>
                <w:color w:val="auto"/>
              </w:rPr>
              <w:t>Accumulated Other Comprehensive (Loss) Income</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73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659,426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625,156</w:t>
            </w:r>
          </w:p>
        </w:tc>
      </w:tr>
      <w:tr>
        <w:trPr>
          <w:trHeight w:val="210"/>
        </w:trPr>
        <w:tc>
          <w:tcPr>
            <w:tcW w:w="7320" w:type="dxa"/>
            <w:vAlign w:val="bottom"/>
            <w:gridSpan w:val="3"/>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1,683,607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1,680,464</w:t>
            </w:r>
          </w:p>
        </w:tc>
      </w:tr>
      <w:tr>
        <w:trPr>
          <w:trHeight w:val="20"/>
        </w:trPr>
        <w:tc>
          <w:tcPr>
            <w:tcW w:w="3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0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2025</w:t>
            </w:r>
          </w:p>
        </w:tc>
      </w:tr>
      <w:tr>
        <w:trPr>
          <w:trHeight w:val="211"/>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Passenger</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285,259</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285,888</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Cargo</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28,157</w:t>
            </w:r>
          </w:p>
        </w:tc>
      </w:tr>
      <w:tr>
        <w:trPr>
          <w:trHeight w:val="230"/>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12,604</w:t>
            </w:r>
          </w:p>
        </w:tc>
      </w:tr>
      <w:tr>
        <w:trPr>
          <w:trHeight w:val="223"/>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Revenues</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338,366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326,649</w:t>
            </w:r>
          </w:p>
        </w:tc>
      </w:tr>
      <w:tr>
        <w:trPr>
          <w:trHeight w:val="34"/>
        </w:trPr>
        <w:tc>
          <w:tcPr>
            <w:tcW w:w="7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Aircraft Fuel</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72,901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64,619</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Wages, and Benefits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92,845</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Maintenance</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20,423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18,862</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10,395</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25,157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24,804</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Ground Handling</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11,407</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Landing Fees and Airport Rent</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17,722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16,833</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 Items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r>
      <w:tr>
        <w:trPr>
          <w:trHeight w:val="229"/>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net</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28,839</w:t>
            </w:r>
          </w:p>
        </w:tc>
      </w:tr>
      <w:tr>
        <w:trPr>
          <w:trHeight w:val="223"/>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301,489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270,403</w:t>
            </w:r>
          </w:p>
        </w:tc>
      </w:tr>
      <w:tr>
        <w:trPr>
          <w:trHeight w:val="262"/>
        </w:trPr>
        <w:tc>
          <w:tcPr>
            <w:tcW w:w="7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Operating Income</w:t>
            </w: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56,246</w:t>
            </w:r>
          </w:p>
        </w:tc>
      </w:tr>
      <w:tr>
        <w:trPr>
          <w:trHeight w:val="230"/>
        </w:trPr>
        <w:tc>
          <w:tcPr>
            <w:tcW w:w="702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48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(8,851)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(9,625)</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23"/>
        </w:trPr>
        <w:tc>
          <w:tcPr>
            <w:tcW w:w="702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(6,614)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(8,108)</w:t>
            </w:r>
          </w:p>
        </w:tc>
      </w:tr>
      <w:tr>
        <w:trPr>
          <w:trHeight w:val="270"/>
        </w:trPr>
        <w:tc>
          <w:tcPr>
            <w:tcW w:w="70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30"/>
        </w:trPr>
        <w:tc>
          <w:tcPr>
            <w:tcW w:w="7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Before Income Tax</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48,138</w:t>
            </w:r>
          </w:p>
        </w:tc>
      </w:tr>
      <w:tr>
        <w:trPr>
          <w:trHeight w:val="223"/>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11,603</w:t>
            </w:r>
          </w:p>
        </w:tc>
      </w:tr>
      <w:tr>
        <w:trPr>
          <w:trHeight w:val="223"/>
        </w:trPr>
        <w:tc>
          <w:tcPr>
            <w:tcW w:w="70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36,535</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0"/>
        </w:trPr>
        <w:tc>
          <w:tcPr>
            <w:tcW w:w="70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Net Income per share to common stockholders:</w:t>
            </w: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54"/>
        </w:trPr>
        <w:tc>
          <w:tcPr>
            <w:tcW w:w="7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02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4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0.43</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0.66</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6"/>
        </w:trPr>
        <w:tc>
          <w:tcPr>
            <w:tcW w:w="7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Shares used for computation:</w:t>
            </w:r>
          </w:p>
        </w:tc>
        <w:tc>
          <w:tcPr>
            <w:tcW w:w="4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Basic</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53,954,956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53,342,226</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56,374,418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55,508,359</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348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2026</w:t>
            </w: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2025</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320" w:type="dxa"/>
            <w:vAlign w:val="bottom"/>
            <w:tcBorders>
              <w:bottom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36,535</w:t>
            </w: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(Loss) Income</w:t>
            </w:r>
          </w:p>
        </w:tc>
        <w:tc>
          <w:tcPr>
            <w:tcW w:w="1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020" w:type="dxa"/>
            <w:vAlign w:val="bottom"/>
          </w:tcPr>
          <w:p>
            <w:pPr>
              <w:ind w:left="240"/>
              <w:spacing w:after="0" w:line="183" w:lineRule="exact"/>
              <w:rPr>
                <w:sz w:val="20"/>
                <w:szCs w:val="20"/>
                <w:color w:val="auto"/>
              </w:rPr>
            </w:pPr>
            <w:r>
              <w:rPr>
                <w:rFonts w:ascii="Arial" w:cs="Arial" w:eastAsia="Arial" w:hAnsi="Arial"/>
                <w:sz w:val="18"/>
                <w:szCs w:val="18"/>
                <w:color w:val="auto"/>
              </w:rPr>
              <w:t>Net unrealized (losses) gains on Available-for-Sale securities, net of deferred tax</w:t>
            </w:r>
          </w:p>
        </w:tc>
        <w:tc>
          <w:tcPr>
            <w:tcW w:w="13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5"/>
        </w:trPr>
        <w:tc>
          <w:tcPr>
            <w:tcW w:w="7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(benefit) expense of $(16) and $17, respectively</w:t>
            </w:r>
          </w:p>
        </w:tc>
        <w:tc>
          <w:tcPr>
            <w:tcW w:w="1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1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320" w:type="dxa"/>
            <w:vAlign w:val="bottom"/>
            <w:tcBorders>
              <w:bottom w:val="single" w:sz="8" w:color="auto"/>
            </w:tcBorders>
          </w:tcPr>
          <w:p>
            <w:pPr>
              <w:jc w:val="right"/>
              <w:ind w:right="111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36,592</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3560"/>
        <w:spacing w:after="0" w:line="284" w:lineRule="auto"/>
        <w:rPr>
          <w:sz w:val="20"/>
          <w:szCs w:val="20"/>
          <w:color w:val="auto"/>
        </w:rPr>
      </w:pPr>
      <w:r>
        <w:rPr>
          <w:rFonts w:ascii="Arial" w:cs="Arial" w:eastAsia="Arial" w:hAnsi="Arial"/>
          <w:sz w:val="18"/>
          <w:szCs w:val="18"/>
          <w:b w:val="1"/>
          <w:bCs w:val="1"/>
          <w:color w:val="auto"/>
        </w:rPr>
        <w:t>CONDENSED CONSOLIDATED STATEMENTS OF CHANGES IN STOCKHOLDERS’ EQUITY (Dollars in thousands, except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8"/>
          </w:tcPr>
          <w:p>
            <w:pPr>
              <w:ind w:left="760"/>
              <w:spacing w:after="0"/>
              <w:rPr>
                <w:sz w:val="20"/>
                <w:szCs w:val="20"/>
                <w:color w:val="auto"/>
              </w:rPr>
            </w:pPr>
            <w:r>
              <w:rPr>
                <w:rFonts w:ascii="Arial" w:cs="Arial" w:eastAsia="Arial" w:hAnsi="Arial"/>
                <w:sz w:val="9"/>
                <w:szCs w:val="9"/>
                <w:b w:val="1"/>
                <w:bCs w:val="1"/>
                <w:color w:val="auto"/>
              </w:rPr>
              <w:t>Three Months Ended March 31, 2026</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5"/>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5"/>
          </w:tcPr>
          <w:p>
            <w:pPr>
              <w:ind w:left="600"/>
              <w:spacing w:after="0"/>
              <w:rPr>
                <w:sz w:val="20"/>
                <w:szCs w:val="20"/>
                <w:color w:val="auto"/>
              </w:rPr>
            </w:pPr>
            <w:r>
              <w:rPr>
                <w:rFonts w:ascii="Arial" w:cs="Arial" w:eastAsia="Arial" w:hAnsi="Arial"/>
                <w:sz w:val="9"/>
                <w:szCs w:val="9"/>
                <w:b w:val="1"/>
                <w:bCs w:val="1"/>
                <w:color w:val="auto"/>
              </w:rPr>
              <w:t>Common Stock</w:t>
            </w:r>
          </w:p>
        </w:tc>
        <w:tc>
          <w:tcPr>
            <w:tcW w:w="1260" w:type="dxa"/>
            <w:vAlign w:val="bottom"/>
            <w:gridSpan w:val="3"/>
          </w:tcPr>
          <w:p>
            <w:pPr>
              <w:jc w:val="right"/>
              <w:spacing w:after="0"/>
              <w:rPr>
                <w:sz w:val="20"/>
                <w:szCs w:val="20"/>
                <w:color w:val="auto"/>
              </w:rPr>
            </w:pPr>
            <w:r>
              <w:rPr>
                <w:rFonts w:ascii="Arial" w:cs="Arial" w:eastAsia="Arial" w:hAnsi="Arial"/>
                <w:sz w:val="9"/>
                <w:szCs w:val="9"/>
                <w:b w:val="1"/>
                <w:bCs w:val="1"/>
                <w:color w:val="auto"/>
              </w:rPr>
              <w:t>Treasury Stock</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Accumulated Other</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3"/>
            <w:vMerge w:val="restart"/>
          </w:tcPr>
          <w:p>
            <w:pPr>
              <w:jc w:val="center"/>
              <w:ind w:right="80"/>
              <w:spacing w:after="0" w:line="95" w:lineRule="exact"/>
              <w:rPr>
                <w:sz w:val="20"/>
                <w:szCs w:val="20"/>
                <w:color w:val="auto"/>
              </w:rPr>
            </w:pPr>
            <w:r>
              <w:rPr>
                <w:rFonts w:ascii="Arial" w:cs="Arial" w:eastAsia="Arial" w:hAnsi="Arial"/>
                <w:sz w:val="9"/>
                <w:szCs w:val="9"/>
                <w:b w:val="1"/>
                <w:bCs w:val="1"/>
                <w:color w:val="auto"/>
              </w:rPr>
              <w:t>Additional Paid-in</w:t>
            </w:r>
          </w:p>
        </w:tc>
        <w:tc>
          <w:tcPr>
            <w:tcW w:w="160" w:type="dxa"/>
            <w:vAlign w:val="bottom"/>
          </w:tcPr>
          <w:p>
            <w:pPr>
              <w:spacing w:after="0"/>
              <w:rPr>
                <w:sz w:val="3"/>
                <w:szCs w:val="3"/>
                <w:color w:val="auto"/>
              </w:rPr>
            </w:pPr>
          </w:p>
        </w:tc>
        <w:tc>
          <w:tcPr>
            <w:tcW w:w="800" w:type="dxa"/>
            <w:vAlign w:val="bottom"/>
            <w:gridSpan w:val="2"/>
            <w:vMerge w:val="restart"/>
          </w:tcPr>
          <w:p>
            <w:pPr>
              <w:ind w:left="100"/>
              <w:spacing w:after="0" w:line="95" w:lineRule="exact"/>
              <w:rPr>
                <w:sz w:val="20"/>
                <w:szCs w:val="20"/>
                <w:color w:val="auto"/>
              </w:rPr>
            </w:pPr>
            <w:r>
              <w:rPr>
                <w:rFonts w:ascii="Arial" w:cs="Arial" w:eastAsia="Arial" w:hAnsi="Arial"/>
                <w:sz w:val="9"/>
                <w:szCs w:val="9"/>
                <w:b w:val="1"/>
                <w:bCs w:val="1"/>
                <w:color w:val="auto"/>
              </w:rPr>
              <w:t>Retained</w:t>
            </w:r>
          </w:p>
        </w:tc>
        <w:tc>
          <w:tcPr>
            <w:tcW w:w="1240" w:type="dxa"/>
            <w:vAlign w:val="bottom"/>
            <w:gridSpan w:val="3"/>
            <w:vMerge w:val="restart"/>
          </w:tcPr>
          <w:p>
            <w:pPr>
              <w:jc w:val="center"/>
              <w:ind w:right="80"/>
              <w:spacing w:after="0" w:line="95" w:lineRule="exact"/>
              <w:rPr>
                <w:sz w:val="20"/>
                <w:szCs w:val="20"/>
                <w:color w:val="auto"/>
              </w:rPr>
            </w:pPr>
            <w:r>
              <w:rPr>
                <w:rFonts w:ascii="Arial" w:cs="Arial" w:eastAsia="Arial" w:hAnsi="Arial"/>
                <w:sz w:val="9"/>
                <w:szCs w:val="9"/>
                <w:b w:val="1"/>
                <w:bCs w:val="1"/>
                <w:color w:val="auto"/>
                <w:w w:val="98"/>
              </w:rPr>
              <w:t>Comprehensive Income</w:t>
            </w: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
        </w:trPr>
        <w:tc>
          <w:tcPr>
            <w:tcW w:w="2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2160" w:type="dxa"/>
            <w:vAlign w:val="bottom"/>
          </w:tcPr>
          <w:p>
            <w:pPr>
              <w:spacing w:after="0"/>
              <w:rPr>
                <w:sz w:val="12"/>
                <w:szCs w:val="12"/>
                <w:color w:val="auto"/>
              </w:rPr>
            </w:pPr>
          </w:p>
        </w:tc>
        <w:tc>
          <w:tcPr>
            <w:tcW w:w="1040" w:type="dxa"/>
            <w:vAlign w:val="bottom"/>
            <w:gridSpan w:val="2"/>
          </w:tcPr>
          <w:p>
            <w:pPr>
              <w:ind w:left="280"/>
              <w:spacing w:after="0"/>
              <w:rPr>
                <w:sz w:val="20"/>
                <w:szCs w:val="20"/>
                <w:color w:val="auto"/>
              </w:rPr>
            </w:pPr>
            <w:r>
              <w:rPr>
                <w:rFonts w:ascii="Arial" w:cs="Arial" w:eastAsia="Arial" w:hAnsi="Arial"/>
                <w:sz w:val="9"/>
                <w:szCs w:val="9"/>
                <w:b w:val="1"/>
                <w:bCs w:val="1"/>
                <w:color w:val="auto"/>
              </w:rPr>
              <w:t>Warrants</w:t>
            </w:r>
          </w:p>
        </w:tc>
        <w:tc>
          <w:tcPr>
            <w:tcW w:w="98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18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9"/>
                <w:szCs w:val="9"/>
                <w:b w:val="1"/>
                <w:bCs w:val="1"/>
                <w:color w:val="auto"/>
              </w:rPr>
              <w:t>Amount</w:t>
            </w:r>
          </w:p>
        </w:tc>
        <w:tc>
          <w:tcPr>
            <w:tcW w:w="98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18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9"/>
              </w:rPr>
              <w:t>Capital</w:t>
            </w:r>
          </w:p>
        </w:tc>
        <w:tc>
          <w:tcPr>
            <w:tcW w:w="16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9"/>
                <w:szCs w:val="9"/>
                <w:b w:val="1"/>
                <w:bCs w:val="1"/>
                <w:color w:val="auto"/>
              </w:rPr>
              <w:t>Earnings</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(Loss)</w:t>
            </w:r>
          </w:p>
        </w:tc>
        <w:tc>
          <w:tcPr>
            <w:tcW w:w="220" w:type="dxa"/>
            <w:vAlign w:val="bottom"/>
          </w:tcPr>
          <w:p>
            <w:pPr>
              <w:spacing w:after="0"/>
              <w:rPr>
                <w:sz w:val="12"/>
                <w:szCs w:val="12"/>
                <w:color w:val="auto"/>
              </w:rPr>
            </w:pPr>
          </w:p>
        </w:tc>
        <w:tc>
          <w:tcPr>
            <w:tcW w:w="720" w:type="dxa"/>
            <w:vAlign w:val="bottom"/>
          </w:tcPr>
          <w:p>
            <w:pPr>
              <w:jc w:val="right"/>
              <w:ind w:right="31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60"/>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December 31, 2025</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5,373,482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61,040,329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610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7,817,027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CCEEFF"/>
            </w:tcBorders>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(125,881)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550,471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199,941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625,156</w:t>
            </w:r>
          </w:p>
        </w:tc>
        <w:tc>
          <w:tcPr>
            <w:tcW w:w="0" w:type="dxa"/>
            <w:vAlign w:val="bottom"/>
          </w:tcPr>
          <w:p>
            <w:pPr>
              <w:spacing w:after="0"/>
              <w:rPr>
                <w:sz w:val="1"/>
                <w:szCs w:val="1"/>
                <w:color w:val="auto"/>
              </w:rPr>
            </w:pPr>
          </w:p>
        </w:tc>
      </w:tr>
      <w:tr>
        <w:trPr>
          <w:trHeight w:val="133"/>
        </w:trPr>
        <w:tc>
          <w:tcPr>
            <w:tcW w:w="2160" w:type="dxa"/>
            <w:vAlign w:val="bottom"/>
          </w:tcPr>
          <w:p>
            <w:pPr>
              <w:ind w:left="20"/>
              <w:spacing w:after="0"/>
              <w:rPr>
                <w:sz w:val="20"/>
                <w:szCs w:val="20"/>
                <w:color w:val="auto"/>
              </w:rPr>
            </w:pPr>
            <w:r>
              <w:rPr>
                <w:rFonts w:ascii="Arial" w:cs="Arial" w:eastAsia="Arial" w:hAnsi="Arial"/>
                <w:sz w:val="10"/>
                <w:szCs w:val="10"/>
                <w:color w:val="auto"/>
              </w:rPr>
              <w:t>Stock Issued for Stock-Based Awards</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973,156</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1"/>
                <w:szCs w:val="11"/>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5,779</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5,789</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Income</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24,106</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24,106</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Amazon Warrants</w:t>
            </w:r>
          </w:p>
        </w:tc>
        <w:tc>
          <w:tcPr>
            <w:tcW w:w="940" w:type="dxa"/>
            <w:vAlign w:val="bottom"/>
          </w:tcPr>
          <w:p>
            <w:pPr>
              <w:jc w:val="right"/>
              <w:ind w:right="11"/>
              <w:spacing w:after="0"/>
              <w:rPr>
                <w:sz w:val="20"/>
                <w:szCs w:val="20"/>
                <w:color w:val="auto"/>
              </w:rPr>
            </w:pPr>
            <w:r>
              <w:rPr>
                <w:rFonts w:ascii="Arial" w:cs="Arial" w:eastAsia="Arial" w:hAnsi="Arial"/>
                <w:sz w:val="10"/>
                <w:szCs w:val="10"/>
                <w:color w:val="auto"/>
              </w:rPr>
              <w:t>379,304</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2,800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2,800</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Stock-based Compensation</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1,630</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1,630</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Other Comprehensive Loss</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(55)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(55)</w:t>
            </w:r>
          </w:p>
        </w:tc>
        <w:tc>
          <w:tcPr>
            <w:tcW w:w="0" w:type="dxa"/>
            <w:vAlign w:val="bottom"/>
          </w:tcPr>
          <w:p>
            <w:pPr>
              <w:spacing w:after="0"/>
              <w:rPr>
                <w:sz w:val="1"/>
                <w:szCs w:val="1"/>
                <w:color w:val="auto"/>
              </w:rPr>
            </w:pPr>
          </w:p>
        </w:tc>
      </w:tr>
      <w:tr>
        <w:trPr>
          <w:trHeight w:val="22"/>
        </w:trPr>
        <w:tc>
          <w:tcPr>
            <w:tcW w:w="2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March 31, 2026</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5,752,786</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62,013,485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620</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7,817,027</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(125,881)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560,680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224,047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659,426</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8"/>
          </w:tcPr>
          <w:p>
            <w:pPr>
              <w:ind w:left="760"/>
              <w:spacing w:after="0"/>
              <w:rPr>
                <w:sz w:val="20"/>
                <w:szCs w:val="20"/>
                <w:color w:val="auto"/>
              </w:rPr>
            </w:pPr>
            <w:r>
              <w:rPr>
                <w:rFonts w:ascii="Arial" w:cs="Arial" w:eastAsia="Arial" w:hAnsi="Arial"/>
                <w:sz w:val="9"/>
                <w:szCs w:val="9"/>
                <w:b w:val="1"/>
                <w:bCs w:val="1"/>
                <w:color w:val="auto"/>
              </w:rPr>
              <w:t>Three Months Ended March 31, 2025</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5"/>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5"/>
          </w:tcPr>
          <w:p>
            <w:pPr>
              <w:ind w:left="600"/>
              <w:spacing w:after="0"/>
              <w:rPr>
                <w:sz w:val="20"/>
                <w:szCs w:val="20"/>
                <w:color w:val="auto"/>
              </w:rPr>
            </w:pPr>
            <w:r>
              <w:rPr>
                <w:rFonts w:ascii="Arial" w:cs="Arial" w:eastAsia="Arial" w:hAnsi="Arial"/>
                <w:sz w:val="9"/>
                <w:szCs w:val="9"/>
                <w:b w:val="1"/>
                <w:bCs w:val="1"/>
                <w:color w:val="auto"/>
              </w:rPr>
              <w:t>Common Stock</w:t>
            </w:r>
          </w:p>
        </w:tc>
        <w:tc>
          <w:tcPr>
            <w:tcW w:w="1260" w:type="dxa"/>
            <w:vAlign w:val="bottom"/>
            <w:gridSpan w:val="3"/>
          </w:tcPr>
          <w:p>
            <w:pPr>
              <w:jc w:val="right"/>
              <w:spacing w:after="0"/>
              <w:rPr>
                <w:sz w:val="20"/>
                <w:szCs w:val="20"/>
                <w:color w:val="auto"/>
              </w:rPr>
            </w:pPr>
            <w:r>
              <w:rPr>
                <w:rFonts w:ascii="Arial" w:cs="Arial" w:eastAsia="Arial" w:hAnsi="Arial"/>
                <w:sz w:val="9"/>
                <w:szCs w:val="9"/>
                <w:b w:val="1"/>
                <w:bCs w:val="1"/>
                <w:color w:val="auto"/>
              </w:rPr>
              <w:t>Treasury Stock</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Accumulated Other</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3"/>
            <w:vMerge w:val="restart"/>
          </w:tcPr>
          <w:p>
            <w:pPr>
              <w:jc w:val="center"/>
              <w:ind w:right="80"/>
              <w:spacing w:after="0" w:line="95" w:lineRule="exact"/>
              <w:rPr>
                <w:sz w:val="20"/>
                <w:szCs w:val="20"/>
                <w:color w:val="auto"/>
              </w:rPr>
            </w:pPr>
            <w:r>
              <w:rPr>
                <w:rFonts w:ascii="Arial" w:cs="Arial" w:eastAsia="Arial" w:hAnsi="Arial"/>
                <w:sz w:val="9"/>
                <w:szCs w:val="9"/>
                <w:b w:val="1"/>
                <w:bCs w:val="1"/>
                <w:color w:val="auto"/>
              </w:rPr>
              <w:t>Additional Paid-in</w:t>
            </w:r>
          </w:p>
        </w:tc>
        <w:tc>
          <w:tcPr>
            <w:tcW w:w="160" w:type="dxa"/>
            <w:vAlign w:val="bottom"/>
          </w:tcPr>
          <w:p>
            <w:pPr>
              <w:spacing w:after="0"/>
              <w:rPr>
                <w:sz w:val="3"/>
                <w:szCs w:val="3"/>
                <w:color w:val="auto"/>
              </w:rPr>
            </w:pPr>
          </w:p>
        </w:tc>
        <w:tc>
          <w:tcPr>
            <w:tcW w:w="800" w:type="dxa"/>
            <w:vAlign w:val="bottom"/>
            <w:gridSpan w:val="2"/>
            <w:vMerge w:val="restart"/>
          </w:tcPr>
          <w:p>
            <w:pPr>
              <w:ind w:left="100"/>
              <w:spacing w:after="0" w:line="95" w:lineRule="exact"/>
              <w:rPr>
                <w:sz w:val="20"/>
                <w:szCs w:val="20"/>
                <w:color w:val="auto"/>
              </w:rPr>
            </w:pPr>
            <w:r>
              <w:rPr>
                <w:rFonts w:ascii="Arial" w:cs="Arial" w:eastAsia="Arial" w:hAnsi="Arial"/>
                <w:sz w:val="9"/>
                <w:szCs w:val="9"/>
                <w:b w:val="1"/>
                <w:bCs w:val="1"/>
                <w:color w:val="auto"/>
              </w:rPr>
              <w:t>Retained</w:t>
            </w:r>
          </w:p>
        </w:tc>
        <w:tc>
          <w:tcPr>
            <w:tcW w:w="1240" w:type="dxa"/>
            <w:vAlign w:val="bottom"/>
            <w:gridSpan w:val="3"/>
            <w:vMerge w:val="restart"/>
          </w:tcPr>
          <w:p>
            <w:pPr>
              <w:jc w:val="center"/>
              <w:ind w:right="80"/>
              <w:spacing w:after="0" w:line="95" w:lineRule="exact"/>
              <w:rPr>
                <w:sz w:val="20"/>
                <w:szCs w:val="20"/>
                <w:color w:val="auto"/>
              </w:rPr>
            </w:pPr>
            <w:r>
              <w:rPr>
                <w:rFonts w:ascii="Arial" w:cs="Arial" w:eastAsia="Arial" w:hAnsi="Arial"/>
                <w:sz w:val="9"/>
                <w:szCs w:val="9"/>
                <w:b w:val="1"/>
                <w:bCs w:val="1"/>
                <w:color w:val="auto"/>
                <w:w w:val="98"/>
              </w:rPr>
              <w:t>Comprehensive Income</w:t>
            </w: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
        </w:trPr>
        <w:tc>
          <w:tcPr>
            <w:tcW w:w="2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2160" w:type="dxa"/>
            <w:vAlign w:val="bottom"/>
          </w:tcPr>
          <w:p>
            <w:pPr>
              <w:spacing w:after="0"/>
              <w:rPr>
                <w:sz w:val="12"/>
                <w:szCs w:val="12"/>
                <w:color w:val="auto"/>
              </w:rPr>
            </w:pPr>
          </w:p>
        </w:tc>
        <w:tc>
          <w:tcPr>
            <w:tcW w:w="1040" w:type="dxa"/>
            <w:vAlign w:val="bottom"/>
            <w:gridSpan w:val="2"/>
          </w:tcPr>
          <w:p>
            <w:pPr>
              <w:ind w:left="280"/>
              <w:spacing w:after="0"/>
              <w:rPr>
                <w:sz w:val="20"/>
                <w:szCs w:val="20"/>
                <w:color w:val="auto"/>
              </w:rPr>
            </w:pPr>
            <w:r>
              <w:rPr>
                <w:rFonts w:ascii="Arial" w:cs="Arial" w:eastAsia="Arial" w:hAnsi="Arial"/>
                <w:sz w:val="9"/>
                <w:szCs w:val="9"/>
                <w:b w:val="1"/>
                <w:bCs w:val="1"/>
                <w:color w:val="auto"/>
              </w:rPr>
              <w:t>Warrants</w:t>
            </w:r>
          </w:p>
        </w:tc>
        <w:tc>
          <w:tcPr>
            <w:tcW w:w="98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18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9"/>
                <w:szCs w:val="9"/>
                <w:b w:val="1"/>
                <w:bCs w:val="1"/>
                <w:color w:val="auto"/>
              </w:rPr>
              <w:t>Amount</w:t>
            </w:r>
          </w:p>
        </w:tc>
        <w:tc>
          <w:tcPr>
            <w:tcW w:w="98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18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9"/>
              </w:rPr>
              <w:t>Capital</w:t>
            </w:r>
          </w:p>
        </w:tc>
        <w:tc>
          <w:tcPr>
            <w:tcW w:w="16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9"/>
                <w:szCs w:val="9"/>
                <w:b w:val="1"/>
                <w:bCs w:val="1"/>
                <w:color w:val="auto"/>
              </w:rPr>
              <w:t>Earnings</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(Loss)</w:t>
            </w:r>
          </w:p>
        </w:tc>
        <w:tc>
          <w:tcPr>
            <w:tcW w:w="220" w:type="dxa"/>
            <w:vAlign w:val="bottom"/>
          </w:tcPr>
          <w:p>
            <w:pPr>
              <w:spacing w:after="0"/>
              <w:rPr>
                <w:sz w:val="12"/>
                <w:szCs w:val="12"/>
                <w:color w:val="auto"/>
              </w:rPr>
            </w:pPr>
          </w:p>
        </w:tc>
        <w:tc>
          <w:tcPr>
            <w:tcW w:w="720" w:type="dxa"/>
            <w:vAlign w:val="bottom"/>
          </w:tcPr>
          <w:p>
            <w:pPr>
              <w:jc w:val="right"/>
              <w:ind w:right="31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60"/>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December 31, 2024</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4,109,135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59,500,970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595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6,343,006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CCEEFF"/>
            </w:tcBorders>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(105,866)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528,604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147,132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570,373</w:t>
            </w:r>
          </w:p>
        </w:tc>
        <w:tc>
          <w:tcPr>
            <w:tcW w:w="0" w:type="dxa"/>
            <w:vAlign w:val="bottom"/>
          </w:tcPr>
          <w:p>
            <w:pPr>
              <w:spacing w:after="0"/>
              <w:rPr>
                <w:sz w:val="1"/>
                <w:szCs w:val="1"/>
                <w:color w:val="auto"/>
              </w:rPr>
            </w:pPr>
          </w:p>
        </w:tc>
      </w:tr>
      <w:tr>
        <w:trPr>
          <w:trHeight w:val="133"/>
        </w:trPr>
        <w:tc>
          <w:tcPr>
            <w:tcW w:w="2160" w:type="dxa"/>
            <w:vAlign w:val="bottom"/>
          </w:tcPr>
          <w:p>
            <w:pPr>
              <w:ind w:left="20"/>
              <w:spacing w:after="0"/>
              <w:rPr>
                <w:sz w:val="20"/>
                <w:szCs w:val="20"/>
                <w:color w:val="auto"/>
              </w:rPr>
            </w:pPr>
            <w:r>
              <w:rPr>
                <w:rFonts w:ascii="Arial" w:cs="Arial" w:eastAsia="Arial" w:hAnsi="Arial"/>
                <w:sz w:val="10"/>
                <w:szCs w:val="10"/>
                <w:color w:val="auto"/>
              </w:rPr>
              <w:t>Stock Issued for Stock-Based Awards</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673,953</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2,483</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2,490</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Common Stock Repurchases and Excise Tax</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630,914</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(10,000)</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(10,000)</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36,535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36,535</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Amazon Warrants</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252,869</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1,867</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1,867</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1,695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1,695</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Other Comprehensive Income</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57</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57</w:t>
            </w:r>
          </w:p>
        </w:tc>
        <w:tc>
          <w:tcPr>
            <w:tcW w:w="0" w:type="dxa"/>
            <w:vAlign w:val="bottom"/>
          </w:tcPr>
          <w:p>
            <w:pPr>
              <w:spacing w:after="0"/>
              <w:rPr>
                <w:sz w:val="1"/>
                <w:szCs w:val="1"/>
                <w:color w:val="auto"/>
              </w:rPr>
            </w:pPr>
          </w:p>
        </w:tc>
      </w:tr>
      <w:tr>
        <w:trPr>
          <w:trHeight w:val="155"/>
        </w:trPr>
        <w:tc>
          <w:tcPr>
            <w:tcW w:w="2160" w:type="dxa"/>
            <w:vAlign w:val="bottom"/>
          </w:tcPr>
          <w:p>
            <w:pPr>
              <w:ind w:left="20"/>
              <w:spacing w:after="0"/>
              <w:rPr>
                <w:sz w:val="20"/>
                <w:szCs w:val="20"/>
                <w:color w:val="auto"/>
              </w:rPr>
            </w:pPr>
            <w:r>
              <w:rPr>
                <w:rFonts w:ascii="Arial" w:cs="Arial" w:eastAsia="Arial" w:hAnsi="Arial"/>
                <w:sz w:val="10"/>
                <w:szCs w:val="10"/>
                <w:color w:val="auto"/>
              </w:rPr>
              <w:t>March 31, 2025</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4,362,004</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60,174,923</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602</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6,973,920</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(115,866)</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534,649</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183,667</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(35)</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603,017</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8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r>
      <w:tr>
        <w:trPr>
          <w:trHeight w:val="196"/>
        </w:trPr>
        <w:tc>
          <w:tcPr>
            <w:tcW w:w="76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7"/>
                <w:szCs w:val="17"/>
                <w:color w:val="auto"/>
              </w:rPr>
            </w:pPr>
          </w:p>
        </w:tc>
      </w:tr>
      <w:tr>
        <w:trPr>
          <w:trHeight w:val="197"/>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24,106</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36,535</w:t>
            </w:r>
          </w:p>
        </w:tc>
      </w:tr>
      <w:tr>
        <w:trPr>
          <w:trHeight w:val="202"/>
        </w:trPr>
        <w:tc>
          <w:tcPr>
            <w:tcW w:w="7680" w:type="dxa"/>
            <w:vAlign w:val="bottom"/>
          </w:tcPr>
          <w:p>
            <w:pPr>
              <w:ind w:left="140"/>
              <w:spacing w:after="0"/>
              <w:rPr>
                <w:sz w:val="20"/>
                <w:szCs w:val="20"/>
                <w:color w:val="auto"/>
              </w:rPr>
            </w:pPr>
            <w:r>
              <w:rPr>
                <w:rFonts w:ascii="Arial" w:cs="Arial" w:eastAsia="Arial" w:hAnsi="Arial"/>
                <w:sz w:val="14"/>
                <w:szCs w:val="14"/>
                <w:b w:val="1"/>
                <w:bCs w:val="1"/>
                <w:color w:val="auto"/>
              </w:rPr>
              <w:t>Adjustments to reconcile Net Income to Cash Provided by Operating Activities:</w:t>
            </w: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Depreciation and Amortization</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25,157</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24,804</w:t>
            </w:r>
          </w:p>
        </w:tc>
      </w:tr>
      <w:tr>
        <w:trPr>
          <w:trHeight w:val="198"/>
        </w:trPr>
        <w:tc>
          <w:tcPr>
            <w:tcW w:w="7680" w:type="dxa"/>
            <w:vAlign w:val="bottom"/>
          </w:tcPr>
          <w:p>
            <w:pPr>
              <w:ind w:left="240"/>
              <w:spacing w:after="0"/>
              <w:rPr>
                <w:sz w:val="20"/>
                <w:szCs w:val="20"/>
                <w:color w:val="auto"/>
              </w:rPr>
            </w:pPr>
            <w:r>
              <w:rPr>
                <w:rFonts w:ascii="Arial" w:cs="Arial" w:eastAsia="Arial" w:hAnsi="Arial"/>
                <w:sz w:val="14"/>
                <w:szCs w:val="14"/>
                <w:color w:val="auto"/>
              </w:rPr>
              <w:t>Deferred Income Taxes</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6,157</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8,542</w:t>
            </w:r>
          </w:p>
        </w:tc>
      </w:tr>
      <w:tr>
        <w:trPr>
          <w:trHeight w:val="207"/>
        </w:trPr>
        <w:tc>
          <w:tcPr>
            <w:tcW w:w="7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net</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w:t>
            </w:r>
          </w:p>
        </w:tc>
      </w:tr>
      <w:tr>
        <w:trPr>
          <w:trHeight w:val="202"/>
        </w:trPr>
        <w:tc>
          <w:tcPr>
            <w:tcW w:w="7680" w:type="dxa"/>
            <w:vAlign w:val="bottom"/>
          </w:tcPr>
          <w:p>
            <w:pPr>
              <w:ind w:left="140"/>
              <w:spacing w:after="0"/>
              <w:rPr>
                <w:sz w:val="20"/>
                <w:szCs w:val="20"/>
                <w:color w:val="auto"/>
              </w:rPr>
            </w:pPr>
            <w:r>
              <w:rPr>
                <w:rFonts w:ascii="Arial" w:cs="Arial" w:eastAsia="Arial" w:hAnsi="Arial"/>
                <w:sz w:val="14"/>
                <w:szCs w:val="14"/>
                <w:b w:val="1"/>
                <w:bCs w:val="1"/>
                <w:color w:val="auto"/>
              </w:rPr>
              <w:t>Changes in Operating Assets and Liabilities:</w:t>
            </w: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Receivable</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(4,062)</w:t>
            </w:r>
          </w:p>
        </w:tc>
      </w:tr>
      <w:tr>
        <w:trPr>
          <w:trHeight w:val="198"/>
        </w:trPr>
        <w:tc>
          <w:tcPr>
            <w:tcW w:w="7680" w:type="dxa"/>
            <w:vAlign w:val="bottom"/>
          </w:tcPr>
          <w:p>
            <w:pPr>
              <w:ind w:left="240"/>
              <w:spacing w:after="0"/>
              <w:rPr>
                <w:sz w:val="20"/>
                <w:szCs w:val="20"/>
                <w:color w:val="auto"/>
              </w:rPr>
            </w:pPr>
            <w:r>
              <w:rPr>
                <w:rFonts w:ascii="Arial" w:cs="Arial" w:eastAsia="Arial" w:hAnsi="Arial"/>
                <w:sz w:val="14"/>
                <w:szCs w:val="14"/>
                <w:color w:val="auto"/>
              </w:rPr>
              <w:t>Inventory</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(1,105)</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(772)</w:t>
            </w:r>
          </w:p>
        </w:tc>
      </w:tr>
      <w:tr>
        <w:trPr>
          <w:trHeight w:val="207"/>
        </w:trPr>
        <w:tc>
          <w:tcPr>
            <w:tcW w:w="7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(2,397)</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w:t>
            </w:r>
          </w:p>
        </w:tc>
      </w:tr>
      <w:tr>
        <w:trPr>
          <w:trHeight w:val="198"/>
        </w:trPr>
        <w:tc>
          <w:tcPr>
            <w:tcW w:w="7680" w:type="dxa"/>
            <w:vAlign w:val="bottom"/>
          </w:tcPr>
          <w:p>
            <w:pPr>
              <w:ind w:left="240"/>
              <w:spacing w:after="0"/>
              <w:rPr>
                <w:sz w:val="20"/>
                <w:szCs w:val="20"/>
                <w:color w:val="auto"/>
              </w:rPr>
            </w:pPr>
            <w:r>
              <w:rPr>
                <w:rFonts w:ascii="Arial" w:cs="Arial" w:eastAsia="Arial" w:hAnsi="Arial"/>
                <w:sz w:val="14"/>
                <w:szCs w:val="14"/>
                <w:color w:val="auto"/>
              </w:rPr>
              <w:t>Lessor Maintenance Deposits</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(3,869)</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(2,713)</w:t>
            </w:r>
          </w:p>
        </w:tc>
      </w:tr>
      <w:tr>
        <w:trPr>
          <w:trHeight w:val="207"/>
        </w:trPr>
        <w:tc>
          <w:tcPr>
            <w:tcW w:w="7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Assets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1,393</w:t>
            </w:r>
          </w:p>
        </w:tc>
      </w:tr>
      <w:tr>
        <w:trPr>
          <w:trHeight w:val="198"/>
        </w:trPr>
        <w:tc>
          <w:tcPr>
            <w:tcW w:w="768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23,939</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2,730</w:t>
            </w:r>
          </w:p>
        </w:tc>
      </w:tr>
      <w:tr>
        <w:trPr>
          <w:trHeight w:val="207"/>
        </w:trPr>
        <w:tc>
          <w:tcPr>
            <w:tcW w:w="7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Transportation Taxes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(4,806)</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(3,821)</w:t>
            </w:r>
          </w:p>
        </w:tc>
      </w:tr>
      <w:tr>
        <w:trPr>
          <w:trHeight w:val="198"/>
        </w:trPr>
        <w:tc>
          <w:tcPr>
            <w:tcW w:w="7680" w:type="dxa"/>
            <w:vAlign w:val="bottom"/>
          </w:tcPr>
          <w:p>
            <w:pPr>
              <w:ind w:left="240"/>
              <w:spacing w:after="0"/>
              <w:rPr>
                <w:sz w:val="20"/>
                <w:szCs w:val="20"/>
                <w:color w:val="auto"/>
              </w:rPr>
            </w:pPr>
            <w:r>
              <w:rPr>
                <w:rFonts w:ascii="Arial" w:cs="Arial" w:eastAsia="Arial" w:hAnsi="Arial"/>
                <w:sz w:val="14"/>
                <w:szCs w:val="14"/>
                <w:color w:val="auto"/>
              </w:rPr>
              <w:t>Air Traffic Liabilities</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(28,804)</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(46,428)</w:t>
            </w:r>
          </w:p>
        </w:tc>
      </w:tr>
      <w:tr>
        <w:trPr>
          <w:trHeight w:val="207"/>
        </w:trPr>
        <w:tc>
          <w:tcPr>
            <w:tcW w:w="7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Loyalty Program Liabilities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w:t>
            </w:r>
          </w:p>
        </w:tc>
      </w:tr>
      <w:tr>
        <w:trPr>
          <w:trHeight w:val="198"/>
        </w:trPr>
        <w:tc>
          <w:tcPr>
            <w:tcW w:w="7680" w:type="dxa"/>
            <w:vAlign w:val="bottom"/>
          </w:tcPr>
          <w:p>
            <w:pPr>
              <w:ind w:left="240"/>
              <w:spacing w:after="0"/>
              <w:rPr>
                <w:sz w:val="20"/>
                <w:szCs w:val="20"/>
                <w:color w:val="auto"/>
              </w:rPr>
            </w:pPr>
            <w:r>
              <w:rPr>
                <w:rFonts w:ascii="Arial" w:cs="Arial" w:eastAsia="Arial" w:hAnsi="Arial"/>
                <w:sz w:val="14"/>
                <w:szCs w:val="14"/>
                <w:color w:val="auto"/>
              </w:rPr>
              <w:t>Operating Lease Obligations</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(876)</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(798)</w:t>
            </w:r>
          </w:p>
        </w:tc>
      </w:tr>
      <w:tr>
        <w:trPr>
          <w:trHeight w:val="207"/>
        </w:trPr>
        <w:tc>
          <w:tcPr>
            <w:tcW w:w="7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Liabilities</w:t>
            </w: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(6,220)</w:t>
            </w:r>
          </w:p>
        </w:tc>
        <w:tc>
          <w:tcPr>
            <w:tcW w:w="12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w:t>
            </w:r>
          </w:p>
        </w:tc>
      </w:tr>
      <w:tr>
        <w:trPr>
          <w:trHeight w:val="195"/>
        </w:trPr>
        <w:tc>
          <w:tcPr>
            <w:tcW w:w="7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b w:val="1"/>
                <w:bCs w:val="1"/>
                <w:color w:val="auto"/>
              </w:rPr>
              <w:t>Net Cash Provided by Operating Activities</w:t>
            </w: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29,711</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16,431</w:t>
            </w:r>
          </w:p>
        </w:tc>
      </w:tr>
      <w:tr>
        <w:trPr>
          <w:trHeight w:val="197"/>
        </w:trPr>
        <w:tc>
          <w:tcPr>
            <w:tcW w:w="76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Cash Flows Used in Investing Activities: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8"/>
        </w:trPr>
        <w:tc>
          <w:tcPr>
            <w:tcW w:w="7680" w:type="dxa"/>
            <w:vAlign w:val="bottom"/>
          </w:tcPr>
          <w:p>
            <w:pPr>
              <w:ind w:left="240"/>
              <w:spacing w:after="0"/>
              <w:rPr>
                <w:sz w:val="20"/>
                <w:szCs w:val="20"/>
                <w:color w:val="auto"/>
              </w:rPr>
            </w:pPr>
            <w:r>
              <w:rPr>
                <w:rFonts w:ascii="Arial" w:cs="Arial" w:eastAsia="Arial" w:hAnsi="Arial"/>
                <w:sz w:val="14"/>
                <w:szCs w:val="14"/>
                <w:color w:val="auto"/>
              </w:rPr>
              <w:t>Purchases of Property &amp; Equipment</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(40,512)</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(15,409)</w:t>
            </w:r>
          </w:p>
        </w:tc>
      </w:tr>
      <w:tr>
        <w:trPr>
          <w:trHeight w:val="207"/>
        </w:trPr>
        <w:tc>
          <w:tcPr>
            <w:tcW w:w="7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the Sale of Property &amp; Equipment</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9,618</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6,004</w:t>
            </w:r>
          </w:p>
        </w:tc>
      </w:tr>
      <w:tr>
        <w:trPr>
          <w:trHeight w:val="198"/>
        </w:trPr>
        <w:tc>
          <w:tcPr>
            <w:tcW w:w="7680" w:type="dxa"/>
            <w:vAlign w:val="bottom"/>
          </w:tcPr>
          <w:p>
            <w:pPr>
              <w:ind w:left="240"/>
              <w:spacing w:after="0"/>
              <w:rPr>
                <w:sz w:val="20"/>
                <w:szCs w:val="20"/>
                <w:color w:val="auto"/>
              </w:rPr>
            </w:pPr>
            <w:r>
              <w:rPr>
                <w:rFonts w:ascii="Arial" w:cs="Arial" w:eastAsia="Arial" w:hAnsi="Arial"/>
                <w:sz w:val="14"/>
                <w:szCs w:val="14"/>
                <w:color w:val="auto"/>
              </w:rPr>
              <w:t>Purchases of Investments</w:t>
            </w:r>
          </w:p>
        </w:tc>
        <w:tc>
          <w:tcPr>
            <w:tcW w:w="10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(19,092)</w:t>
            </w:r>
          </w:p>
        </w:tc>
      </w:tr>
      <w:tr>
        <w:trPr>
          <w:trHeight w:val="207"/>
        </w:trPr>
        <w:tc>
          <w:tcPr>
            <w:tcW w:w="7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the Maturities of Investments</w:t>
            </w: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23,585</w:t>
            </w:r>
          </w:p>
        </w:tc>
        <w:tc>
          <w:tcPr>
            <w:tcW w:w="12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17,925</w:t>
            </w:r>
          </w:p>
        </w:tc>
      </w:tr>
      <w:tr>
        <w:trPr>
          <w:trHeight w:val="195"/>
        </w:trPr>
        <w:tc>
          <w:tcPr>
            <w:tcW w:w="7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b w:val="1"/>
                <w:bCs w:val="1"/>
                <w:color w:val="auto"/>
              </w:rPr>
              <w:t>Net Cash Used in Investing Activities</w:t>
            </w: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(7,309)</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(10,572)</w:t>
            </w:r>
          </w:p>
        </w:tc>
      </w:tr>
      <w:tr>
        <w:trPr>
          <w:trHeight w:val="197"/>
        </w:trPr>
        <w:tc>
          <w:tcPr>
            <w:tcW w:w="76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Cash Flows Used in Financing Activities: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9"/>
        </w:trPr>
        <w:tc>
          <w:tcPr>
            <w:tcW w:w="7680" w:type="dxa"/>
            <w:vAlign w:val="bottom"/>
          </w:tcPr>
          <w:p>
            <w:pPr>
              <w:ind w:left="240"/>
              <w:spacing w:after="0"/>
              <w:rPr>
                <w:sz w:val="20"/>
                <w:szCs w:val="20"/>
                <w:color w:val="auto"/>
              </w:rPr>
            </w:pPr>
            <w:r>
              <w:rPr>
                <w:rFonts w:ascii="Arial" w:cs="Arial" w:eastAsia="Arial" w:hAnsi="Arial"/>
                <w:sz w:val="14"/>
                <w:szCs w:val="14"/>
                <w:color w:val="auto"/>
              </w:rPr>
              <w:t>Common Stock Repurchases</w:t>
            </w:r>
          </w:p>
        </w:tc>
        <w:tc>
          <w:tcPr>
            <w:tcW w:w="10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(10,000)</w:t>
            </w:r>
          </w:p>
        </w:tc>
      </w:tr>
      <w:tr>
        <w:trPr>
          <w:trHeight w:val="206"/>
        </w:trPr>
        <w:tc>
          <w:tcPr>
            <w:tcW w:w="7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Repayment of Finance Lease Obligations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(5,248)</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(4,923)</w:t>
            </w:r>
          </w:p>
        </w:tc>
      </w:tr>
      <w:tr>
        <w:trPr>
          <w:trHeight w:val="198"/>
        </w:trPr>
        <w:tc>
          <w:tcPr>
            <w:tcW w:w="7680" w:type="dxa"/>
            <w:vAlign w:val="bottom"/>
          </w:tcPr>
          <w:p>
            <w:pPr>
              <w:ind w:left="240"/>
              <w:spacing w:after="0"/>
              <w:rPr>
                <w:sz w:val="20"/>
                <w:szCs w:val="20"/>
                <w:color w:val="auto"/>
              </w:rPr>
            </w:pPr>
            <w:r>
              <w:rPr>
                <w:rFonts w:ascii="Arial" w:cs="Arial" w:eastAsia="Arial" w:hAnsi="Arial"/>
                <w:sz w:val="14"/>
                <w:szCs w:val="14"/>
                <w:color w:val="auto"/>
              </w:rPr>
              <w:t>Repayment of Borrowings</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(16,776)</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(14,829)</w:t>
            </w:r>
          </w:p>
        </w:tc>
      </w:tr>
      <w:tr>
        <w:trPr>
          <w:trHeight w:val="207"/>
        </w:trPr>
        <w:tc>
          <w:tcPr>
            <w:tcW w:w="7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net</w:t>
            </w: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5,452</w:t>
            </w:r>
          </w:p>
        </w:tc>
        <w:tc>
          <w:tcPr>
            <w:tcW w:w="12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(9,450)</w:t>
            </w:r>
          </w:p>
        </w:tc>
      </w:tr>
      <w:tr>
        <w:trPr>
          <w:trHeight w:val="235"/>
        </w:trPr>
        <w:tc>
          <w:tcPr>
            <w:tcW w:w="7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b w:val="1"/>
                <w:bCs w:val="1"/>
                <w:color w:val="auto"/>
              </w:rPr>
              <w:t>Net Cash Used in Financing Activities</w:t>
            </w:r>
          </w:p>
        </w:tc>
        <w:tc>
          <w:tcPr>
            <w:tcW w:w="10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(16,572)</w:t>
            </w: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(39,202)</w:t>
            </w:r>
          </w:p>
        </w:tc>
      </w:tr>
      <w:tr>
        <w:trPr>
          <w:trHeight w:val="237"/>
        </w:trPr>
        <w:tc>
          <w:tcPr>
            <w:tcW w:w="768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1080" w:type="dxa"/>
            <w:vAlign w:val="bottom"/>
            <w:tcBorders>
              <w:top w:val="single" w:sz="8" w:color="CCEEFF"/>
              <w:bottom w:val="single" w:sz="8" w:color="CCEEFF"/>
            </w:tcBorders>
          </w:tcPr>
          <w:p>
            <w:pPr>
              <w:spacing w:after="0"/>
              <w:rPr>
                <w:sz w:val="20"/>
                <w:szCs w:val="20"/>
                <w:color w:val="auto"/>
              </w:rPr>
            </w:pPr>
          </w:p>
        </w:tc>
        <w:tc>
          <w:tcPr>
            <w:tcW w:w="6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4"/>
                <w:szCs w:val="14"/>
                <w:color w:val="auto"/>
              </w:rPr>
              <w:t>5,830</w:t>
            </w:r>
          </w:p>
        </w:tc>
        <w:tc>
          <w:tcPr>
            <w:tcW w:w="120" w:type="dxa"/>
            <w:vAlign w:val="bottom"/>
            <w:tcBorders>
              <w:top w:val="single" w:sz="8" w:color="CCEEFF"/>
              <w:bottom w:val="single" w:sz="8" w:color="CCEEFF"/>
            </w:tcBorders>
          </w:tcPr>
          <w:p>
            <w:pPr>
              <w:spacing w:after="0"/>
              <w:rPr>
                <w:sz w:val="20"/>
                <w:szCs w:val="20"/>
                <w:color w:val="auto"/>
              </w:rPr>
            </w:pPr>
          </w:p>
        </w:tc>
        <w:tc>
          <w:tcPr>
            <w:tcW w:w="1080" w:type="dxa"/>
            <w:vAlign w:val="bottom"/>
            <w:tcBorders>
              <w:top w:val="single" w:sz="8" w:color="CCEEFF"/>
              <w:bottom w:val="single" w:sz="8" w:color="CCEEFF"/>
            </w:tcBorders>
          </w:tcPr>
          <w:p>
            <w:pPr>
              <w:spacing w:after="0"/>
              <w:rPr>
                <w:sz w:val="20"/>
                <w:szCs w:val="20"/>
                <w:color w:val="auto"/>
              </w:rPr>
            </w:pPr>
          </w:p>
        </w:tc>
        <w:tc>
          <w:tcPr>
            <w:tcW w:w="6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4"/>
                <w:szCs w:val="14"/>
                <w:color w:val="auto"/>
              </w:rPr>
              <w:t>(33,343)</w:t>
            </w:r>
          </w:p>
        </w:tc>
      </w:tr>
      <w:tr>
        <w:trPr>
          <w:trHeight w:val="256"/>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Cash Equivalents and Restricted Cash--Beginning of the Period</w:t>
            </w:r>
          </w:p>
        </w:tc>
        <w:tc>
          <w:tcPr>
            <w:tcW w:w="10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166,041</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100,471</w:t>
            </w:r>
          </w:p>
        </w:tc>
      </w:tr>
      <w:tr>
        <w:trPr>
          <w:trHeight w:val="196"/>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Cash--End of the Period</w:t>
            </w:r>
          </w:p>
        </w:tc>
        <w:tc>
          <w:tcPr>
            <w:tcW w:w="1080" w:type="dxa"/>
            <w:vAlign w:val="bottom"/>
            <w:tcBorders>
              <w:top w:val="single" w:sz="8" w:color="auto"/>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171,871</w:t>
            </w:r>
          </w:p>
        </w:tc>
        <w:tc>
          <w:tcPr>
            <w:tcW w:w="12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67,128</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
        </w:trPr>
        <w:tc>
          <w:tcPr>
            <w:tcW w:w="76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following provides a reconciliation of Cash, Cash Equivalents and Restricted Cash to the amounts reported on the Condensed Consolidated Balance Sheets: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2026</w:t>
            </w:r>
          </w:p>
        </w:tc>
        <w:tc>
          <w:tcPr>
            <w:tcW w:w="220" w:type="dxa"/>
            <w:vAlign w:val="bottom"/>
          </w:tcPr>
          <w:p>
            <w:pPr>
              <w:spacing w:after="0"/>
              <w:rPr>
                <w:sz w:val="17"/>
                <w:szCs w:val="17"/>
                <w:color w:val="auto"/>
              </w:rPr>
            </w:pPr>
          </w:p>
        </w:tc>
        <w:tc>
          <w:tcPr>
            <w:tcW w:w="1500" w:type="dxa"/>
            <w:vAlign w:val="bottom"/>
          </w:tcPr>
          <w:p>
            <w:pPr>
              <w:jc w:val="right"/>
              <w:ind w:right="288"/>
              <w:spacing w:after="0"/>
              <w:rPr>
                <w:sz w:val="20"/>
                <w:szCs w:val="20"/>
                <w:color w:val="auto"/>
              </w:rPr>
            </w:pPr>
            <w:r>
              <w:rPr>
                <w:rFonts w:ascii="Arial" w:cs="Arial" w:eastAsia="Arial" w:hAnsi="Arial"/>
                <w:sz w:val="14"/>
                <w:szCs w:val="14"/>
                <w:b w:val="1"/>
                <w:bCs w:val="1"/>
                <w:color w:val="auto"/>
              </w:rPr>
              <w:t>March 31, 2025</w:t>
            </w:r>
          </w:p>
        </w:tc>
      </w:tr>
      <w:tr>
        <w:trPr>
          <w:trHeight w:val="197"/>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153,729</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53,391</w:t>
            </w:r>
          </w:p>
        </w:tc>
      </w:tr>
      <w:tr>
        <w:trPr>
          <w:trHeight w:val="198"/>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18,142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13,737</w:t>
            </w:r>
          </w:p>
        </w:tc>
      </w:tr>
      <w:tr>
        <w:trPr>
          <w:trHeight w:val="225"/>
        </w:trPr>
        <w:tc>
          <w:tcPr>
            <w:tcW w:w="7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Cash, Cash Equivalents and Restricted Cash</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171,871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67,128</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Sun Country Airlines Holdings, Inc. (together with its consolidated subsidiaries, "Sun Country" or the "Company") is the parent company of Sun Country, Inc., which is a certificated air carrier providing scheduled passenger service, air cargo service, charter air transportation and related services.</w:t>
      </w:r>
    </w:p>
    <w:p>
      <w:pPr>
        <w:spacing w:after="0" w:line="17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Company has prepared the unaudited Condensed Consolidated Financial Statements according to U.S. Generally Accepted Accounting Principles (“GAAP”) and has included the accounts of Sun Country Airlines Holdings, Inc. and its subsidiaries. Certain information and footnote disclosures normally included in the audited annual financial statements prepared in accordance with GAAP have been condensed or omitted pursuant to the rules and regulations of the U.S. Securities and Exchange Commission ("SEC") for Form 10-Q. Therefore, the accompanying unaudited Condensed Consolidated Financial Statements of Sun Country Airlines Holdings, Inc. should be read in conjunction with the Consolidated Financial Statements contained in the Company's Annual Report on Form 10-K for the year ended December 31, 2025 as filed with the SEC ("2025 10-K"). These unaudited Condensed Consolidated Financial Statements reflect all normal recurring adjustments that are necessary for the fair presentation of the Company’s financial position, results of operations, and cash flows for the respective periods presented. All material intercompany balances and transactions have been eliminated in consolidation.</w:t>
      </w:r>
    </w:p>
    <w:p>
      <w:pPr>
        <w:spacing w:after="0" w:line="18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the reported amounts of assets and liabilities, revenues and expenses, and the disclosure of contingent assets and liabilities at the date of the financial statements. Actual results could differ from those estimates.</w:t>
      </w:r>
    </w:p>
    <w:p>
      <w:pPr>
        <w:spacing w:after="0" w:line="171"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Due to impacts from seasonal variations in the demand for air travel, the volatility of aircraft fuel prices, the impact of macroeconomic conditions, geopolitical events, and other factors, operating results for the three months ended March 31, 2026 are not necessarily indicative of operating results for other interim periods or for the full year ending December 31, 2026.</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November 2024, the FASB issued ASU 2024-03, Disaggregation of Income Statement Expenses. This ASU requires disaggregated disclosure of income statement expenses for public business entities. The ASU does not change the expense captions an entity presents on the face of the Statement of Operations; rather, it requires disaggregation of certain expense captions into specified categories in disclosures within the footnotes of the financial statements. The ASU is effective for public business entities for fiscal years beginning after December 15, 2026, and interim periods within fiscal years beginning after December 15, 2027, with early adoption permitted. The Company continues to assess the impact of this ASU on its Consolidated Financial Statements.</w:t>
      </w:r>
    </w:p>
    <w:p>
      <w:pPr>
        <w:spacing w:after="0" w:line="18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May 2025, the FASB issued ASU 2025-04, Clarifications to Share-Based Consideration Payable to a Customer. This ASU clarifies the definition of "performance condition" and in cases of awards with service conditions, eliminates the policy election permitting a grantor to account for forfeitures as they occur. The ASU is effective for public business entities for fiscal years beginning after December 15, 2026, and interim periods within those fiscal years, with early adoption permitted. The Company continues to assess the impact of this ASU on its Consolidated Financial Statements.</w:t>
      </w:r>
    </w:p>
    <w:p>
      <w:pPr>
        <w:spacing w:after="0" w:line="179"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In September 2025, the FASB issued ASU 2025-06, Targeted Improvements to the Accounting for Internal-Use Software. This ASU requires entities to capitalize software costs when both of the following occur: management has authorized and committed to funding the software project, and it is probable that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project will be completed and the software will be used to perform the function intended. Entities may adopt this standard using one of three approaches: a prospective transition, a modified transition based on the status of the project and whether software costs were capitalized before the date of adoption, or a retrospective transition. The ASU is effective for public business entities for fiscal years beginning after December 15, 2027, and interim periods within those fiscal years, with early adoption permitted as of the beginning of an annual reporting period. The Company continues to assess the impact of this ASU on its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MERGER AGREEMENT WITH ALLEGIANT</w:t>
      </w:r>
    </w:p>
    <w:p>
      <w:pPr>
        <w:spacing w:after="0" w:line="225"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On January 11, 2026, the Company entered into the Merger Agreement with Allegiant Travel Company, a Nevada corporation (“Allegiant”), under which Allegiant will acquire the Company. Pursuant to the Merger Agreement, each existing share of Sun Country Common Stock will be converted into the right to receive (i) $4.10 in cash, without interest and (ii) 0.1557 shares of Allegiant Common Stock.</w:t>
      </w:r>
    </w:p>
    <w:p>
      <w:pPr>
        <w:spacing w:after="0" w:line="17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Completion of the Merger is subject to the satisfaction or waiver of certain closing conditions, including, among other things, (1) adoption of the Merger Agreement by Sun Country stockholders, (2) approval of the issuance of shares of Allegiant Common Stock pursuant to the Merger Agreement by Allegiant stockholders, (3) receipt of applicable regulatory approvals, including approvals from the U.S. Federal Aviation Administration, the U.S. Department of Transportation and the U.S. Department of Homeland Security, including the TSA, and the expiration or early termination of the statutory waiting period under the Hart-Scott-Rodino Antitrust Improvements Act of 1976, as amended; (4) the absence of any law or order prohibiting the consummation of the transactions; (5) the effectiveness of the registration statement to be filed by Allegiant and Sun Country with the SEC pursuant to the Merger Agreement; and (6) the authorization and approval for listing on NASDAQ of the shares of Allegiant Common Stock to be issued to holders of Sun Country Common Stock in the Merger.</w:t>
      </w:r>
    </w:p>
    <w:p>
      <w:pPr>
        <w:spacing w:after="0" w:line="18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March 16, 2026, the Department of Justice granted early termination of the statutory waiting period under the Hart-Scott-Rodino Antitrust Improvements Act of 1976 with respect to the Merger. On April 15, 2026, the Department of Transportation ("DOT") approved the joint interim exemption application that will allow both Allegiant and Sun Country to continue operating as separate carriers under common ownership after closing, pending further action by the DOT, satisfying the last remaining regulatory approval-related condition to the closing of the proposed Merger.</w:t>
      </w:r>
    </w:p>
    <w:p>
      <w:pPr>
        <w:spacing w:after="0" w:line="179"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On March 31, 2026, notice was given that a special meeting of stockholders (the “Special Meeting”) of the Company will be held on May 8, 2026, to consider and vote on a proposal to adopt the Merger Agreement and a proposal to approve, on an advisory basis, the compensation that will or may become payable by the Company to its named executive officers in connection with the Merger.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is expected to close as early as May 13, 2026, subject to satisfaction or waiver of the remaining conditions to closing.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2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Sun Country is a certificated air carrier generating Operating Revenues from Passenger (consisting of Scheduled Service, Charter, and Ancillary), Cargo and Other revenue. Scheduled Service revenue mainly consists of base fares. Charter revenue is primarily generated through service provided to the U.S. Department of War ("DoW"), collegiate and professional sports teams, and casinos. Ancillary revenue consists of revenue earned from air travel-related services, such as: baggage fees, seat selection fees, other fees and on-board sales. Cargo consists of revenue earned from flying cargo aircraft for Amazon.com Services, Inc. (together with its affiliates, “Amazon”) under the Amended and Restated Air Transportation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Services Agreement (the “A&amp;R ATSA”). Other revenue consists primarily of revenue from services in connection with Sun Country Vacations products, rental revenue related to certain transactions where the Company serves as a lessor, and revenue for the brand and marketing performance obligation related to the Company's co-branded credit card program. The Company recognized rental revenue of $3,350 and $8,636, during the three months ended March 31, 2026 and 2025, respectively.</w:t>
      </w:r>
    </w:p>
    <w:p>
      <w:pPr>
        <w:spacing w:after="0" w:line="176" w:lineRule="exact"/>
        <w:rPr>
          <w:sz w:val="20"/>
          <w:szCs w:val="20"/>
          <w:color w:val="auto"/>
        </w:rPr>
      </w:pPr>
    </w:p>
    <w:p>
      <w:pPr>
        <w:jc w:val="both"/>
        <w:ind w:left="34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In June 2024, the Company entered into the A&amp;R ATSA with Amazon that increased the number of Boeing 737-800 cargo aircraft that Sun Country operates on behalf of Amazon from 12 to 20 in 2025. During the three months ended March 31, 2026, the Company agreed to operate two additional cargo aircraft, which will increase the total from 20 to 22 once the aircraft are placed in-service. The two additional cargo aircraft were received as of March 31, 2026 and are expected to be in-service by the third quarter of 2026. For more information on the A&amp;R ATSA, see Note 2, "Basis of Presentation and Summary of Significant Accounting Policies" included within Part II, </w:t>
      </w:r>
      <w:hyperlink r:id="rId34">
        <w:r>
          <w:rPr>
            <w:rFonts w:ascii="Arial" w:cs="Arial" w:eastAsia="Arial" w:hAnsi="Arial"/>
            <w:sz w:val="18"/>
            <w:szCs w:val="18"/>
            <w:u w:val="single" w:color="auto"/>
            <w:color w:val="0000FF"/>
          </w:rPr>
          <w:t>Item 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2025 10-K.</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categories comprising Operating Revenues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6400" w:type="dxa"/>
            <w:vAlign w:val="bottom"/>
          </w:tcPr>
          <w:p>
            <w:pPr>
              <w:spacing w:after="0"/>
              <w:rPr>
                <w:sz w:val="17"/>
                <w:szCs w:val="17"/>
                <w:color w:val="auto"/>
              </w:rPr>
            </w:pPr>
          </w:p>
        </w:tc>
        <w:tc>
          <w:tcPr>
            <w:tcW w:w="330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March 31,</w:t>
            </w:r>
          </w:p>
        </w:tc>
        <w:tc>
          <w:tcPr>
            <w:tcW w:w="800" w:type="dxa"/>
            <w:vAlign w:val="bottom"/>
            <w:tcBorders>
              <w:bottom w:val="single" w:sz="8" w:color="auto"/>
            </w:tcBorders>
          </w:tcPr>
          <w:p>
            <w:pPr>
              <w:spacing w:after="0"/>
              <w:rPr>
                <w:sz w:val="17"/>
                <w:szCs w:val="17"/>
                <w:color w:val="auto"/>
              </w:rPr>
            </w:pPr>
          </w:p>
        </w:tc>
      </w:tr>
      <w:tr>
        <w:trPr>
          <w:trHeight w:val="196"/>
        </w:trPr>
        <w:tc>
          <w:tcPr>
            <w:tcW w:w="64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auto"/>
            </w:tcBorders>
          </w:tcPr>
          <w:p>
            <w:pPr>
              <w:spacing w:after="0"/>
              <w:rPr>
                <w:sz w:val="17"/>
                <w:szCs w:val="17"/>
                <w:color w:val="auto"/>
              </w:rPr>
            </w:pPr>
          </w:p>
        </w:tc>
      </w:tr>
      <w:tr>
        <w:trPr>
          <w:trHeight w:val="224"/>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Scheduled Service</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146,551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143,522</w:t>
            </w:r>
          </w:p>
        </w:tc>
      </w:tr>
      <w:tr>
        <w:trPr>
          <w:trHeight w:val="229"/>
        </w:trPr>
        <w:tc>
          <w:tcPr>
            <w:tcW w:w="6400" w:type="dxa"/>
            <w:vAlign w:val="bottom"/>
          </w:tcPr>
          <w:p>
            <w:pPr>
              <w:ind w:left="120"/>
              <w:spacing w:after="0"/>
              <w:rPr>
                <w:sz w:val="20"/>
                <w:szCs w:val="20"/>
                <w:color w:val="auto"/>
              </w:rPr>
            </w:pPr>
            <w:r>
              <w:rPr>
                <w:rFonts w:ascii="Arial" w:cs="Arial" w:eastAsia="Arial" w:hAnsi="Arial"/>
                <w:sz w:val="18"/>
                <w:szCs w:val="18"/>
                <w:color w:val="auto"/>
              </w:rPr>
              <w:t>Charter</w:t>
            </w: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57,245</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54,692</w:t>
            </w:r>
          </w:p>
        </w:tc>
      </w:tr>
      <w:tr>
        <w:trPr>
          <w:trHeight w:val="230"/>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Ancillary</w:t>
            </w:r>
          </w:p>
        </w:tc>
        <w:tc>
          <w:tcPr>
            <w:tcW w:w="1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81,463</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87,674</w:t>
            </w:r>
          </w:p>
        </w:tc>
      </w:tr>
      <w:tr>
        <w:trPr>
          <w:trHeight w:val="223"/>
        </w:trPr>
        <w:tc>
          <w:tcPr>
            <w:tcW w:w="6400" w:type="dxa"/>
            <w:vAlign w:val="bottom"/>
          </w:tcPr>
          <w:p>
            <w:pPr>
              <w:ind w:left="260"/>
              <w:spacing w:after="0"/>
              <w:rPr>
                <w:sz w:val="20"/>
                <w:szCs w:val="20"/>
                <w:color w:val="auto"/>
              </w:rPr>
            </w:pPr>
            <w:r>
              <w:rPr>
                <w:rFonts w:ascii="Arial" w:cs="Arial" w:eastAsia="Arial" w:hAnsi="Arial"/>
                <w:sz w:val="18"/>
                <w:szCs w:val="18"/>
                <w:color w:val="auto"/>
              </w:rPr>
              <w:t>Passenger</w:t>
            </w: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285,259</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285,888</w:t>
            </w:r>
          </w:p>
        </w:tc>
      </w:tr>
      <w:tr>
        <w:trPr>
          <w:trHeight w:val="230"/>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Cargo</w:t>
            </w: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28,157</w:t>
            </w:r>
          </w:p>
        </w:tc>
      </w:tr>
      <w:tr>
        <w:trPr>
          <w:trHeight w:val="230"/>
        </w:trPr>
        <w:tc>
          <w:tcPr>
            <w:tcW w:w="6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7,018</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12,604</w:t>
            </w:r>
          </w:p>
        </w:tc>
      </w:tr>
      <w:tr>
        <w:trPr>
          <w:trHeight w:val="248"/>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Revenues</w:t>
            </w: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338,366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326,649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Company attributes and measures its Operating Revenues by geographic region as defined by the DOT for airline reporting based upon the origin of each passenger and cargo flight segment.</w:t>
      </w:r>
    </w:p>
    <w:p>
      <w:pPr>
        <w:spacing w:after="0" w:line="153"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Company’s operations are highly concentrated in the U.S., but include service to many international locations, primarily consisting of Scheduled Service to Latin America and military Charter service to various international destinations.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Operating Revenues by geographic region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6400" w:type="dxa"/>
            <w:vAlign w:val="bottom"/>
          </w:tcPr>
          <w:p>
            <w:pPr>
              <w:spacing w:after="0"/>
              <w:rPr>
                <w:sz w:val="17"/>
                <w:szCs w:val="17"/>
                <w:color w:val="auto"/>
              </w:rPr>
            </w:pPr>
          </w:p>
        </w:tc>
        <w:tc>
          <w:tcPr>
            <w:tcW w:w="330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March 31,</w:t>
            </w:r>
          </w:p>
        </w:tc>
        <w:tc>
          <w:tcPr>
            <w:tcW w:w="800" w:type="dxa"/>
            <w:vAlign w:val="bottom"/>
            <w:tcBorders>
              <w:bottom w:val="single" w:sz="8" w:color="auto"/>
            </w:tcBorders>
          </w:tcPr>
          <w:p>
            <w:pPr>
              <w:spacing w:after="0"/>
              <w:rPr>
                <w:sz w:val="17"/>
                <w:szCs w:val="17"/>
                <w:color w:val="auto"/>
              </w:rPr>
            </w:pPr>
          </w:p>
        </w:tc>
      </w:tr>
      <w:tr>
        <w:trPr>
          <w:trHeight w:val="196"/>
        </w:trPr>
        <w:tc>
          <w:tcPr>
            <w:tcW w:w="64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auto"/>
            </w:tcBorders>
          </w:tcPr>
          <w:p>
            <w:pPr>
              <w:spacing w:after="0"/>
              <w:rPr>
                <w:sz w:val="17"/>
                <w:szCs w:val="17"/>
                <w:color w:val="auto"/>
              </w:rPr>
            </w:pP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317,161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301,374</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21,205</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25,176</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6400" w:type="dxa"/>
            <w:vAlign w:val="bottom"/>
          </w:tcPr>
          <w:p>
            <w:pPr>
              <w:ind w:left="120"/>
              <w:spacing w:after="0"/>
              <w:rPr>
                <w:sz w:val="20"/>
                <w:szCs w:val="20"/>
                <w:color w:val="auto"/>
              </w:rPr>
            </w:pPr>
            <w:r>
              <w:rPr>
                <w:rFonts w:ascii="Arial" w:cs="Arial" w:eastAsia="Arial" w:hAnsi="Arial"/>
                <w:sz w:val="18"/>
                <w:szCs w:val="18"/>
                <w:color w:val="auto"/>
              </w:rPr>
              <w:t>Total Operating Revenues</w:t>
            </w:r>
          </w:p>
        </w:tc>
        <w:tc>
          <w:tcPr>
            <w:tcW w:w="120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338,366</w:t>
            </w: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326,649</w:t>
            </w:r>
          </w:p>
        </w:tc>
      </w:tr>
      <w:tr>
        <w:trPr>
          <w:trHeight w:val="21"/>
        </w:trPr>
        <w:tc>
          <w:tcPr>
            <w:tcW w:w="64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 Balances</w:t>
      </w:r>
    </w:p>
    <w:p>
      <w:pPr>
        <w:spacing w:after="0" w:line="225"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Company’s contract assets primarily relate to costs incurred to prepare the Amazon cargo aircraft for service under the original ATSA and the A&amp;R ATSA, as well as warrants that have vested and will be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amortized against Cargo revenue over the remaining term of the A&amp;R ATSA. The balances are included in Other Current Assets and Other Assets on the Condensed Consolidated Balance Sheets.</w:t>
      </w:r>
    </w:p>
    <w:p>
      <w:pPr>
        <w:spacing w:after="0" w:line="153"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The Company’s contract liabilities are primarily comprised of: 1) ticket sales for transportation that have not yet been provided (reported as Air Traffic Liabilities on the Condensed Consolidated Balance Sheets), 2) outstanding loyalty points that may be redeemed for future travel and other non-air travel awards (reported as Loyalty Program Liabilities on the Condensed Consolidated Balance Sheets), 3) the Amazon Deferred Up-front Payment received under the original ATSA (reported within Other Current Liabilities and Other Long-term Liabilities on the Condensed Consolidated Balance Sheets), and 4) a one-time payment received upon launch of the co-branded Credit Card Program (reported within Other Current Liabilities and Other Long-term Liabilities on the Condensed Consolidated Balance Sheets).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 Assets and Liabilities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2026</w:t>
            </w:r>
          </w:p>
        </w:tc>
        <w:tc>
          <w:tcPr>
            <w:tcW w:w="220" w:type="dxa"/>
            <w:vAlign w:val="bottom"/>
          </w:tcPr>
          <w:p>
            <w:pPr>
              <w:spacing w:after="0"/>
              <w:rPr>
                <w:sz w:val="17"/>
                <w:szCs w:val="17"/>
                <w:color w:val="auto"/>
              </w:rPr>
            </w:pPr>
          </w:p>
        </w:tc>
        <w:tc>
          <w:tcPr>
            <w:tcW w:w="1720" w:type="dxa"/>
            <w:vAlign w:val="bottom"/>
          </w:tcPr>
          <w:p>
            <w:pPr>
              <w:jc w:val="right"/>
              <w:ind w:right="232"/>
              <w:spacing w:after="0"/>
              <w:rPr>
                <w:sz w:val="20"/>
                <w:szCs w:val="20"/>
                <w:color w:val="auto"/>
              </w:rPr>
            </w:pPr>
            <w:r>
              <w:rPr>
                <w:rFonts w:ascii="Arial" w:cs="Arial" w:eastAsia="Arial" w:hAnsi="Arial"/>
                <w:sz w:val="14"/>
                <w:szCs w:val="14"/>
                <w:b w:val="1"/>
                <w:bCs w:val="1"/>
                <w:color w:val="auto"/>
              </w:rPr>
              <w:t>December 31, 2025</w:t>
            </w:r>
          </w:p>
        </w:tc>
      </w:tr>
      <w:tr>
        <w:trPr>
          <w:trHeight w:val="210"/>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Contract Assets</w:t>
            </w:r>
          </w:p>
        </w:tc>
        <w:tc>
          <w:tcPr>
            <w:tcW w:w="2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Amazon Contract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13,347</w:t>
            </w:r>
          </w:p>
        </w:tc>
      </w:tr>
      <w:tr>
        <w:trPr>
          <w:trHeight w:val="248"/>
        </w:trPr>
        <w:tc>
          <w:tcPr>
            <w:tcW w:w="6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Contract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13,347</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Air Traffic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138,220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167,024</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Liabilities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14,846</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Amazon Contract</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1,686</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Card Program</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r>
      <w:tr>
        <w:trPr>
          <w:trHeight w:val="223"/>
        </w:trPr>
        <w:tc>
          <w:tcPr>
            <w:tcW w:w="6560" w:type="dxa"/>
            <w:vAlign w:val="bottom"/>
          </w:tcPr>
          <w:p>
            <w:pPr>
              <w:ind w:left="120"/>
              <w:spacing w:after="0"/>
              <w:rPr>
                <w:sz w:val="20"/>
                <w:szCs w:val="20"/>
                <w:color w:val="auto"/>
              </w:rPr>
            </w:pPr>
            <w:r>
              <w:rPr>
                <w:rFonts w:ascii="Arial" w:cs="Arial" w:eastAsia="Arial" w:hAnsi="Arial"/>
                <w:sz w:val="18"/>
                <w:szCs w:val="18"/>
                <w:color w:val="auto"/>
              </w:rPr>
              <w:t>Total Contract Liabilities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155,127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184,532</w:t>
            </w:r>
          </w:p>
        </w:tc>
      </w:tr>
      <w:tr>
        <w:trPr>
          <w:trHeight w:val="20"/>
        </w:trPr>
        <w:tc>
          <w:tcPr>
            <w:tcW w:w="6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The balance in the Air Traffic Liabilities fluctuates with seasonal travel patterns. Most tickets can be purchased no more than 12 months in advance, therefore any revenue associated with tickets sold for future travel will be recognized within that timeframe. For the three months ended March 31, 2026, $134,824 of revenue was recognized in Passenger revenue that was included in the Air Traffic Liabilities as of December 31, 2025.</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Loyalty Program</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Sun Country Rewards program provides loyalty awards to program members based on accumulated loyalty points. The Company records a liability for loyalty points earned by passengers under the Sun Country Rewards program using two methods: 1) a liability for points that are earned by passengers on purchases of the Company’s services is established by deferring revenue based on the redemption value, net of estimated loyalty points that will expire unused, or breakage; and 2) a liability for points attributed to loyalty points issued to the Company’s co-branded credit card holders is established by deferring a portion of payments received from the Company’s co-branded agreement. The balance of the Loyalty Program Liabilities fluctuates based on seasonal patterns, which impacts the volume of loyalty points awarded through travel or issued to co-branded credit card and other partners (deferral of revenue) and loyalty points redeemed (recognition of revenue). Due to these reasons, the timing of loyalty point redemptions can vary significantly.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49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Loyalty Program Liabilities are as follows:</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65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2025</w:t>
            </w:r>
          </w:p>
        </w:tc>
      </w:tr>
      <w:tr>
        <w:trPr>
          <w:trHeight w:val="224"/>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January 1</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14,601</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Loyalty Points Earned</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2,635</w:t>
            </w:r>
          </w:p>
        </w:tc>
      </w:tr>
      <w:tr>
        <w:trPr>
          <w:trHeight w:val="230"/>
        </w:trPr>
        <w:tc>
          <w:tcPr>
            <w:tcW w:w="6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Loyalty Points Redeemed </w:t>
            </w:r>
            <w:r>
              <w:rPr>
                <w:rFonts w:ascii="Arial" w:cs="Arial" w:eastAsia="Arial" w:hAnsi="Arial"/>
                <w:sz w:val="23"/>
                <w:szCs w:val="23"/>
                <w:color w:val="auto"/>
                <w:vertAlign w:val="superscript"/>
              </w:rPr>
              <w:t>(1)</w:t>
            </w:r>
          </w:p>
        </w:tc>
        <w:tc>
          <w:tcPr>
            <w:tcW w:w="1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w:t>
            </w: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Balance – March 31</w:t>
            </w:r>
          </w:p>
        </w:tc>
        <w:tc>
          <w:tcPr>
            <w:tcW w:w="1200" w:type="dxa"/>
            <w:vAlign w:val="bottom"/>
            <w:tcBorders>
              <w:bottom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14,100</w:t>
            </w:r>
          </w:p>
        </w:tc>
      </w:tr>
      <w:tr>
        <w:trPr>
          <w:trHeight w:val="21"/>
        </w:trPr>
        <w:tc>
          <w:tcPr>
            <w:tcW w:w="6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______________________</w:t>
      </w:r>
    </w:p>
    <w:p>
      <w:pPr>
        <w:spacing w:after="0" w:line="61" w:lineRule="exact"/>
        <w:rPr>
          <w:sz w:val="20"/>
          <w:szCs w:val="20"/>
          <w:color w:val="auto"/>
        </w:rPr>
      </w:pPr>
    </w:p>
    <w:p>
      <w:pPr>
        <w:jc w:val="both"/>
        <w:ind w:left="900" w:right="100" w:hanging="550"/>
        <w:spacing w:after="0" w:line="263" w:lineRule="auto"/>
        <w:tabs>
          <w:tab w:leader="none" w:pos="900" w:val="left"/>
        </w:tabs>
        <w:numPr>
          <w:ilvl w:val="1"/>
          <w:numId w:val="3"/>
        </w:numPr>
        <w:rPr>
          <w:rFonts w:ascii="Arial" w:cs="Arial" w:eastAsia="Arial" w:hAnsi="Arial"/>
          <w:sz w:val="14"/>
          <w:szCs w:val="14"/>
          <w:color w:val="auto"/>
        </w:rPr>
      </w:pPr>
      <w:r>
        <w:rPr>
          <w:rFonts w:ascii="Arial" w:cs="Arial" w:eastAsia="Arial" w:hAnsi="Arial"/>
          <w:sz w:val="14"/>
          <w:szCs w:val="14"/>
          <w:color w:val="auto"/>
        </w:rPr>
        <w:t>Loyalty points are combined in one homogenous pool, which includes both air and non-air travel awards. Individual points are not separately identifiable. As such, the revenue recognized is comprised of points that were part of the Loyalty Program Liabilities balance at the beginning of the period, as well as points that were earned during the period.</w:t>
      </w:r>
    </w:p>
    <w:p>
      <w:pPr>
        <w:spacing w:after="0" w:line="284" w:lineRule="exact"/>
        <w:rPr>
          <w:rFonts w:ascii="Arial" w:cs="Arial" w:eastAsia="Arial" w:hAnsi="Arial"/>
          <w:sz w:val="14"/>
          <w:szCs w:val="14"/>
          <w:color w:val="auto"/>
        </w:rPr>
      </w:pPr>
    </w:p>
    <w:p>
      <w:pPr>
        <w:ind w:left="200" w:hanging="192"/>
        <w:spacing w:after="0"/>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63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63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73"/>
              <w:spacing w:after="0"/>
              <w:rPr>
                <w:sz w:val="20"/>
                <w:szCs w:val="20"/>
                <w:color w:val="auto"/>
              </w:rPr>
            </w:pPr>
            <w:r>
              <w:rPr>
                <w:rFonts w:ascii="Arial" w:cs="Arial" w:eastAsia="Arial" w:hAnsi="Arial"/>
                <w:sz w:val="14"/>
                <w:szCs w:val="14"/>
                <w:b w:val="1"/>
                <w:bCs w:val="1"/>
                <w:color w:val="auto"/>
              </w:rPr>
              <w:t>2025</w:t>
            </w:r>
          </w:p>
        </w:tc>
      </w:tr>
      <w:tr>
        <w:trPr>
          <w:trHeight w:val="211"/>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9"/>
        </w:trPr>
        <w:tc>
          <w:tcPr>
            <w:tcW w:w="638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24,106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36,535</w:t>
            </w:r>
          </w:p>
        </w:tc>
      </w:tr>
      <w:tr>
        <w:trPr>
          <w:trHeight w:val="257"/>
        </w:trPr>
        <w:tc>
          <w:tcPr>
            <w:tcW w:w="63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 - Basic</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53,954,956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53,342,226</w:t>
            </w:r>
          </w:p>
        </w:tc>
      </w:tr>
      <w:tr>
        <w:trPr>
          <w:trHeight w:val="230"/>
        </w:trPr>
        <w:tc>
          <w:tcPr>
            <w:tcW w:w="6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Dilutive effect of Stock Options, RSUs and Warrants</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2,419,462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2,166,133</w:t>
            </w:r>
          </w:p>
        </w:tc>
      </w:tr>
      <w:tr>
        <w:trPr>
          <w:trHeight w:val="248"/>
        </w:trPr>
        <w:tc>
          <w:tcPr>
            <w:tcW w:w="6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 - Diluted</w:t>
            </w:r>
          </w:p>
        </w:tc>
        <w:tc>
          <w:tcPr>
            <w:tcW w:w="4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56,374,418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55,508,359</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r>
      <w:tr>
        <w:trPr>
          <w:trHeight w:val="239"/>
        </w:trPr>
        <w:tc>
          <w:tcPr>
            <w:tcW w:w="638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0.66</w:t>
            </w:r>
          </w:p>
        </w:tc>
      </w:tr>
    </w:tbl>
    <w:p>
      <w:pPr>
        <w:spacing w:after="0" w:line="269" w:lineRule="exact"/>
        <w:rPr>
          <w:sz w:val="20"/>
          <w:szCs w:val="20"/>
          <w:color w:val="auto"/>
        </w:rPr>
      </w:pPr>
    </w:p>
    <w:p>
      <w:pPr>
        <w:ind w:left="340" w:right="500"/>
        <w:spacing w:after="0" w:line="287" w:lineRule="auto"/>
        <w:rPr>
          <w:sz w:val="20"/>
          <w:szCs w:val="20"/>
          <w:color w:val="auto"/>
        </w:rPr>
      </w:pPr>
      <w:r>
        <w:rPr>
          <w:rFonts w:ascii="Arial" w:cs="Arial" w:eastAsia="Arial" w:hAnsi="Arial"/>
          <w:sz w:val="18"/>
          <w:szCs w:val="18"/>
          <w:color w:val="auto"/>
        </w:rPr>
        <w:t>The Company's anti-dilutive shares for the three months ended March 31, 2026 and 2025 were not material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30" w:right="7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AIRCRAFT</w:t>
      </w:r>
    </w:p>
    <w:p>
      <w:pPr>
        <w:spacing w:after="0" w:line="225"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As of March 31, 2026, Sun Country's fleet consisted of 72 Boeing 737-NG aircraft, comprised of 67 Boeing 737-800s and five Boeing 737-900ERs.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Company’s aircraft fleet activity for the three months ended March 31, 2026 and 2025, respectively:</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2420" w:type="dxa"/>
            <w:vAlign w:val="bottom"/>
          </w:tcPr>
          <w:p>
            <w:pPr>
              <w:spacing w:after="0"/>
              <w:rPr>
                <w:sz w:val="17"/>
                <w:szCs w:val="17"/>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2025</w:t>
            </w: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Additions</w:t>
            </w: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Reclassifications</w:t>
            </w: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Removals</w:t>
            </w:r>
          </w:p>
        </w:tc>
        <w:tc>
          <w:tcPr>
            <w:tcW w:w="1780" w:type="dxa"/>
            <w:vAlign w:val="bottom"/>
          </w:tcPr>
          <w:p>
            <w:pPr>
              <w:jc w:val="right"/>
              <w:ind w:right="292"/>
              <w:spacing w:after="0"/>
              <w:rPr>
                <w:sz w:val="20"/>
                <w:szCs w:val="20"/>
                <w:color w:val="auto"/>
              </w:rPr>
            </w:pPr>
            <w:r>
              <w:rPr>
                <w:rFonts w:ascii="Arial" w:cs="Arial" w:eastAsia="Arial" w:hAnsi="Arial"/>
                <w:sz w:val="14"/>
                <w:szCs w:val="14"/>
                <w:b w:val="1"/>
                <w:bCs w:val="1"/>
                <w:color w:val="auto"/>
              </w:rPr>
              <w:t>March 31, 2026</w:t>
            </w:r>
          </w:p>
        </w:tc>
        <w:tc>
          <w:tcPr>
            <w:tcW w:w="0" w:type="dxa"/>
            <w:vAlign w:val="bottom"/>
          </w:tcPr>
          <w:p>
            <w:pPr>
              <w:spacing w:after="0"/>
              <w:rPr>
                <w:sz w:val="1"/>
                <w:szCs w:val="1"/>
                <w:color w:val="auto"/>
              </w:rPr>
            </w:pPr>
          </w:p>
        </w:tc>
      </w:tr>
      <w:tr>
        <w:trPr>
          <w:trHeight w:val="238"/>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6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7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420" w:type="dxa"/>
            <w:vAlign w:val="bottom"/>
          </w:tcPr>
          <w:p>
            <w:pPr>
              <w:ind w:left="80"/>
              <w:spacing w:after="0"/>
              <w:rPr>
                <w:sz w:val="20"/>
                <w:szCs w:val="20"/>
                <w:color w:val="auto"/>
              </w:rPr>
            </w:pPr>
            <w:r>
              <w:rPr>
                <w:rFonts w:ascii="Arial" w:cs="Arial" w:eastAsia="Arial" w:hAnsi="Arial"/>
                <w:sz w:val="18"/>
                <w:szCs w:val="18"/>
                <w:color w:val="auto"/>
              </w:rPr>
              <w:t>Owned</w:t>
            </w:r>
          </w:p>
        </w:tc>
        <w:tc>
          <w:tcPr>
            <w:tcW w:w="16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Finance leases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2420" w:type="dxa"/>
            <w:vAlign w:val="bottom"/>
          </w:tcPr>
          <w:p>
            <w:pPr>
              <w:ind w:left="180"/>
              <w:spacing w:after="0"/>
              <w:rPr>
                <w:sz w:val="20"/>
                <w:szCs w:val="20"/>
                <w:color w:val="auto"/>
              </w:rPr>
            </w:pPr>
            <w:r>
              <w:rPr>
                <w:rFonts w:ascii="Arial" w:cs="Arial" w:eastAsia="Arial" w:hAnsi="Arial"/>
                <w:sz w:val="18"/>
                <w:szCs w:val="18"/>
                <w:color w:val="auto"/>
              </w:rPr>
              <w:t>Sun Country Airlines’ Fleet</w:t>
            </w:r>
          </w:p>
        </w:tc>
        <w:tc>
          <w:tcPr>
            <w:tcW w:w="16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40"/>
              <w:spacing w:after="0" w:line="176" w:lineRule="exact"/>
              <w:rPr>
                <w:sz w:val="20"/>
                <w:szCs w:val="20"/>
                <w:color w:val="auto"/>
              </w:rPr>
            </w:pPr>
            <w:r>
              <w:rPr>
                <w:rFonts w:ascii="Arial" w:cs="Arial" w:eastAsia="Arial" w:hAnsi="Arial"/>
                <w:sz w:val="18"/>
                <w:szCs w:val="18"/>
                <w:color w:val="auto"/>
              </w:rPr>
              <w:t>Aircraft Operated for Amazon</w:t>
            </w: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740" w:type="dxa"/>
            <w:vAlign w:val="bottom"/>
            <w:gridSpan w:val="2"/>
            <w:vMerge w:val="restart"/>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vMerge w:val="restart"/>
          </w:tcPr>
          <w:p>
            <w:pPr>
              <w:ind w:left="1040"/>
              <w:spacing w:after="0"/>
              <w:rPr>
                <w:sz w:val="20"/>
                <w:szCs w:val="20"/>
                <w:color w:val="auto"/>
              </w:rPr>
            </w:pPr>
            <w:r>
              <w:rPr>
                <w:rFonts w:ascii="Arial" w:cs="Arial" w:eastAsia="Arial" w:hAnsi="Arial"/>
                <w:sz w:val="18"/>
                <w:szCs w:val="18"/>
                <w:color w:val="auto"/>
              </w:rPr>
              <w:t>—</w:t>
            </w: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68"/>
        </w:trPr>
        <w:tc>
          <w:tcPr>
            <w:tcW w:w="2420" w:type="dxa"/>
            <w:vAlign w:val="bottom"/>
            <w:vMerge w:val="restart"/>
          </w:tcPr>
          <w:p>
            <w:pPr>
              <w:ind w:left="120"/>
              <w:spacing w:after="0"/>
              <w:rPr>
                <w:sz w:val="20"/>
                <w:szCs w:val="20"/>
                <w:color w:val="auto"/>
              </w:rPr>
            </w:pPr>
            <w:r>
              <w:rPr>
                <w:rFonts w:ascii="Arial" w:cs="Arial" w:eastAsia="Arial" w:hAnsi="Arial"/>
                <w:sz w:val="12"/>
                <w:szCs w:val="12"/>
                <w:color w:val="auto"/>
              </w:rPr>
              <w:t>(1)</w:t>
            </w:r>
          </w:p>
        </w:tc>
        <w:tc>
          <w:tcPr>
            <w:tcW w:w="1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740" w:type="dxa"/>
            <w:vAlign w:val="bottom"/>
            <w:gridSpan w:val="2"/>
            <w:vMerge w:val="continue"/>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42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tcPr>
          <w:p>
            <w:pPr>
              <w:ind w:left="100"/>
              <w:spacing w:after="0"/>
              <w:rPr>
                <w:sz w:val="20"/>
                <w:szCs w:val="20"/>
                <w:color w:val="auto"/>
              </w:rPr>
            </w:pPr>
            <w:r>
              <w:rPr>
                <w:rFonts w:ascii="Arial" w:cs="Arial" w:eastAsia="Arial" w:hAnsi="Arial"/>
                <w:sz w:val="18"/>
                <w:szCs w:val="18"/>
                <w:color w:val="auto"/>
              </w:rPr>
              <w:t>Owned Aircraft Held for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180"/>
              <w:spacing w:after="0"/>
              <w:rPr>
                <w:sz w:val="20"/>
                <w:szCs w:val="20"/>
                <w:color w:val="auto"/>
              </w:rPr>
            </w:pPr>
            <w:r>
              <w:rPr>
                <w:rFonts w:ascii="Arial" w:cs="Arial" w:eastAsia="Arial" w:hAnsi="Arial"/>
                <w:sz w:val="18"/>
                <w:szCs w:val="18"/>
                <w:color w:val="auto"/>
              </w:rPr>
              <w:t>Operating Lease</w:t>
            </w:r>
          </w:p>
        </w:tc>
        <w:tc>
          <w:tcPr>
            <w:tcW w:w="1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ind w:left="80"/>
              <w:spacing w:after="0" w:line="256" w:lineRule="exact"/>
              <w:rPr>
                <w:sz w:val="20"/>
                <w:szCs w:val="20"/>
                <w:color w:val="auto"/>
              </w:rPr>
            </w:pPr>
            <w:r>
              <w:rPr>
                <w:rFonts w:ascii="Arial" w:cs="Arial" w:eastAsia="Arial" w:hAnsi="Arial"/>
                <w:sz w:val="18"/>
                <w:szCs w:val="18"/>
                <w:color w:val="auto"/>
              </w:rPr>
              <w:t xml:space="preserve">Subleased Aircraft </w:t>
            </w:r>
            <w:r>
              <w:rPr>
                <w:rFonts w:ascii="Arial" w:cs="Arial" w:eastAsia="Arial" w:hAnsi="Arial"/>
                <w:sz w:val="23"/>
                <w:szCs w:val="23"/>
                <w:color w:val="auto"/>
                <w:vertAlign w:val="superscript"/>
              </w:rPr>
              <w:t>(2)</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420" w:type="dxa"/>
            <w:vAlign w:val="bottom"/>
          </w:tcPr>
          <w:p>
            <w:pPr>
              <w:ind w:left="180"/>
              <w:spacing w:after="0"/>
              <w:rPr>
                <w:sz w:val="20"/>
                <w:szCs w:val="20"/>
                <w:color w:val="auto"/>
              </w:rPr>
            </w:pPr>
            <w:r>
              <w:rPr>
                <w:rFonts w:ascii="Arial" w:cs="Arial" w:eastAsia="Arial" w:hAnsi="Arial"/>
                <w:sz w:val="18"/>
                <w:szCs w:val="18"/>
                <w:color w:val="auto"/>
              </w:rPr>
              <w:t>Total Aircraft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40" w:type="dxa"/>
            <w:vAlign w:val="bottom"/>
            <w:tcBorders>
              <w:top w:val="single" w:sz="8" w:color="auto"/>
              <w:bottom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42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2024</w:t>
            </w: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Additions</w:t>
            </w: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Reclassifications</w:t>
            </w: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Removals</w:t>
            </w:r>
          </w:p>
        </w:tc>
        <w:tc>
          <w:tcPr>
            <w:tcW w:w="1780" w:type="dxa"/>
            <w:vAlign w:val="bottom"/>
          </w:tcPr>
          <w:p>
            <w:pPr>
              <w:jc w:val="right"/>
              <w:ind w:right="292"/>
              <w:spacing w:after="0"/>
              <w:rPr>
                <w:sz w:val="20"/>
                <w:szCs w:val="20"/>
                <w:color w:val="auto"/>
              </w:rPr>
            </w:pPr>
            <w:r>
              <w:rPr>
                <w:rFonts w:ascii="Arial" w:cs="Arial" w:eastAsia="Arial" w:hAnsi="Arial"/>
                <w:sz w:val="14"/>
                <w:szCs w:val="14"/>
                <w:b w:val="1"/>
                <w:bCs w:val="1"/>
                <w:color w:val="auto"/>
              </w:rPr>
              <w:t>March 31, 2025</w:t>
            </w: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20"/>
              <w:spacing w:after="0"/>
              <w:rPr>
                <w:sz w:val="20"/>
                <w:szCs w:val="20"/>
                <w:color w:val="auto"/>
              </w:rPr>
            </w:pPr>
            <w:r>
              <w:rPr>
                <w:rFonts w:ascii="Arial" w:cs="Arial" w:eastAsia="Arial" w:hAnsi="Arial"/>
                <w:sz w:val="18"/>
                <w:szCs w:val="18"/>
                <w:color w:val="auto"/>
              </w:rPr>
              <w:t>Owned</w:t>
            </w:r>
          </w:p>
        </w:tc>
        <w:tc>
          <w:tcPr>
            <w:tcW w:w="16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420" w:type="dxa"/>
            <w:vAlign w:val="bottom"/>
          </w:tcPr>
          <w:p>
            <w:pPr>
              <w:ind w:left="260"/>
              <w:spacing w:after="0"/>
              <w:rPr>
                <w:sz w:val="20"/>
                <w:szCs w:val="20"/>
                <w:color w:val="auto"/>
              </w:rPr>
            </w:pPr>
            <w:r>
              <w:rPr>
                <w:rFonts w:ascii="Arial" w:cs="Arial" w:eastAsia="Arial" w:hAnsi="Arial"/>
                <w:sz w:val="18"/>
                <w:szCs w:val="18"/>
                <w:color w:val="auto"/>
              </w:rPr>
              <w:t>Sun Country Airlines’ Fleet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40" w:type="dxa"/>
            <w:vAlign w:val="bottom"/>
            <w:tcBorders>
              <w:top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100"/>
              <w:spacing w:after="0" w:line="176" w:lineRule="exact"/>
              <w:rPr>
                <w:sz w:val="20"/>
                <w:szCs w:val="20"/>
                <w:color w:val="auto"/>
              </w:rPr>
            </w:pPr>
            <w:r>
              <w:rPr>
                <w:rFonts w:ascii="Arial" w:cs="Arial" w:eastAsia="Arial" w:hAnsi="Arial"/>
                <w:sz w:val="18"/>
                <w:szCs w:val="18"/>
                <w:color w:val="auto"/>
              </w:rPr>
              <w:t>Aircraft Operated for</w:t>
            </w: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1740" w:type="dxa"/>
            <w:vAlign w:val="bottom"/>
            <w:gridSpan w:val="2"/>
            <w:vMerge w:val="restart"/>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vMerge w:val="restart"/>
          </w:tcPr>
          <w:p>
            <w:pPr>
              <w:ind w:left="1040"/>
              <w:spacing w:after="0"/>
              <w:rPr>
                <w:sz w:val="20"/>
                <w:szCs w:val="20"/>
                <w:color w:val="auto"/>
              </w:rPr>
            </w:pPr>
            <w:r>
              <w:rPr>
                <w:rFonts w:ascii="Arial" w:cs="Arial" w:eastAsia="Arial" w:hAnsi="Arial"/>
                <w:sz w:val="18"/>
                <w:szCs w:val="18"/>
                <w:color w:val="auto"/>
              </w:rPr>
              <w:t>—</w:t>
            </w: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line="243" w:lineRule="exact"/>
              <w:rPr>
                <w:sz w:val="20"/>
                <w:szCs w:val="20"/>
                <w:color w:val="auto"/>
              </w:rPr>
            </w:pPr>
            <w:r>
              <w:rPr>
                <w:rFonts w:ascii="Arial" w:cs="Arial" w:eastAsia="Arial" w:hAnsi="Arial"/>
                <w:sz w:val="18"/>
                <w:szCs w:val="18"/>
                <w:color w:val="auto"/>
              </w:rPr>
              <w:t xml:space="preserve">Amazon </w:t>
            </w:r>
            <w:r>
              <w:rPr>
                <w:rFonts w:ascii="Arial" w:cs="Arial" w:eastAsia="Arial" w:hAnsi="Arial"/>
                <w:sz w:val="23"/>
                <w:szCs w:val="23"/>
                <w:color w:val="auto"/>
                <w:vertAlign w:val="superscript"/>
              </w:rPr>
              <w:t>(1)</w:t>
            </w:r>
          </w:p>
        </w:tc>
        <w:tc>
          <w:tcPr>
            <w:tcW w:w="16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2"/>
            <w:vMerge w:val="continue"/>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tcPr>
          <w:p>
            <w:pPr>
              <w:ind w:left="100"/>
              <w:spacing w:after="0"/>
              <w:rPr>
                <w:sz w:val="20"/>
                <w:szCs w:val="20"/>
                <w:color w:val="auto"/>
              </w:rPr>
            </w:pPr>
            <w:r>
              <w:rPr>
                <w:rFonts w:ascii="Arial" w:cs="Arial" w:eastAsia="Arial" w:hAnsi="Arial"/>
                <w:sz w:val="18"/>
                <w:szCs w:val="18"/>
                <w:color w:val="auto"/>
              </w:rPr>
              <w:t>Owned Aircraft Held for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180"/>
              <w:spacing w:after="0"/>
              <w:rPr>
                <w:sz w:val="20"/>
                <w:szCs w:val="20"/>
                <w:color w:val="auto"/>
              </w:rPr>
            </w:pPr>
            <w:r>
              <w:rPr>
                <w:rFonts w:ascii="Arial" w:cs="Arial" w:eastAsia="Arial" w:hAnsi="Arial"/>
                <w:sz w:val="18"/>
                <w:szCs w:val="18"/>
                <w:color w:val="auto"/>
              </w:rPr>
              <w:t>Operating Lease</w:t>
            </w:r>
          </w:p>
        </w:tc>
        <w:tc>
          <w:tcPr>
            <w:tcW w:w="16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ind w:left="80"/>
              <w:spacing w:after="0" w:line="256" w:lineRule="exact"/>
              <w:rPr>
                <w:sz w:val="20"/>
                <w:szCs w:val="20"/>
                <w:color w:val="auto"/>
              </w:rPr>
            </w:pPr>
            <w:r>
              <w:rPr>
                <w:rFonts w:ascii="Arial" w:cs="Arial" w:eastAsia="Arial" w:hAnsi="Arial"/>
                <w:sz w:val="18"/>
                <w:szCs w:val="18"/>
                <w:color w:val="auto"/>
              </w:rPr>
              <w:t xml:space="preserve">Subleased Aircraft </w:t>
            </w:r>
            <w:r>
              <w:rPr>
                <w:rFonts w:ascii="Arial" w:cs="Arial" w:eastAsia="Arial" w:hAnsi="Arial"/>
                <w:sz w:val="23"/>
                <w:szCs w:val="23"/>
                <w:color w:val="auto"/>
                <w:vertAlign w:val="superscript"/>
              </w:rPr>
              <w:t>(2)</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420" w:type="dxa"/>
            <w:vAlign w:val="bottom"/>
          </w:tcPr>
          <w:p>
            <w:pPr>
              <w:ind w:left="220"/>
              <w:spacing w:after="0"/>
              <w:rPr>
                <w:sz w:val="20"/>
                <w:szCs w:val="20"/>
                <w:color w:val="auto"/>
              </w:rPr>
            </w:pPr>
            <w:r>
              <w:rPr>
                <w:rFonts w:ascii="Arial" w:cs="Arial" w:eastAsia="Arial" w:hAnsi="Arial"/>
                <w:sz w:val="18"/>
                <w:szCs w:val="18"/>
                <w:color w:val="auto"/>
              </w:rPr>
              <w:t>Total Aircraft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40" w:type="dxa"/>
            <w:vAlign w:val="bottom"/>
            <w:tcBorders>
              <w:top w:val="single" w:sz="8" w:color="auto"/>
              <w:bottom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900" w:hanging="550"/>
        <w:spacing w:after="0"/>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These amounts include both aircraft in-service and aircraft received, but not in-service as of March 31, 2026 and 2025, respectively.</w:t>
      </w:r>
    </w:p>
    <w:p>
      <w:pPr>
        <w:spacing w:after="0" w:line="68" w:lineRule="exact"/>
        <w:rPr>
          <w:rFonts w:ascii="Arial" w:cs="Arial" w:eastAsia="Arial" w:hAnsi="Arial"/>
          <w:sz w:val="14"/>
          <w:szCs w:val="14"/>
          <w:color w:val="auto"/>
        </w:rPr>
      </w:pPr>
    </w:p>
    <w:p>
      <w:pPr>
        <w:ind w:left="900" w:hanging="550"/>
        <w:spacing w:after="0"/>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head leases associated with these subleases are classified as finance leases.</w:t>
      </w:r>
    </w:p>
    <w:p>
      <w:pPr>
        <w:spacing w:after="0" w:line="356"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During the three months ended March 31, 2026, the Company received two additional cargo aircraft under the A&amp;R ATSA, which are expected to be in-service by the third quarter of 2026. Additionally, an amendment was executed to extend the lease expiry terms for one of the Company's subleased aircraft, which now expires in the fourth quarter of 2026. Of the 37 Owned aircraft and Owned Aircraft Held for Operating Lease as of March 31, 2026, 29 aircraft were financed, five aircraft have been pledged to support the ability to</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color w:val="auto"/>
        </w:rPr>
        <w:t xml:space="preserve">efficiently utilize the Company's $ 75,000 revolving credit facility (“Revolving Credit Facility”) entered into in March 2025, and three aircraft were unencumbered.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for more information on the Company's Revolving Credit Facility.</w:t>
      </w:r>
    </w:p>
    <w:p>
      <w:pPr>
        <w:spacing w:after="0" w:line="99"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During the three months ended March 31, 2025, the Company received three additional cargo aircraft under the A&amp;R ATSA, of which one aircraft was in-service. Additionally, amendments were executed to extend the lease expiry terms for three of the four Owned Aircraft Held for Operating Lease.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and amortization expense on aircraft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500" w:type="dxa"/>
            <w:vAlign w:val="bottom"/>
            <w:tcBorders>
              <w:bottom w:val="single" w:sz="8" w:color="auto"/>
            </w:tcBorders>
          </w:tcPr>
          <w:p>
            <w:pPr>
              <w:spacing w:after="0"/>
              <w:rPr>
                <w:sz w:val="17"/>
                <w:szCs w:val="17"/>
                <w:color w:val="auto"/>
              </w:rPr>
            </w:pPr>
          </w:p>
        </w:tc>
      </w:tr>
      <w:tr>
        <w:trPr>
          <w:trHeight w:val="197"/>
        </w:trPr>
        <w:tc>
          <w:tcPr>
            <w:tcW w:w="2620" w:type="dxa"/>
            <w:vAlign w:val="bottom"/>
            <w:gridSpan w:val="2"/>
          </w:tcPr>
          <w:p>
            <w:pPr>
              <w:ind w:left="20"/>
              <w:spacing w:after="0"/>
              <w:rPr>
                <w:sz w:val="20"/>
                <w:szCs w:val="20"/>
                <w:color w:val="auto"/>
              </w:rPr>
            </w:pPr>
            <w:r>
              <w:rPr>
                <w:rFonts w:ascii="Arial" w:cs="Arial" w:eastAsia="Arial" w:hAnsi="Arial"/>
                <w:sz w:val="14"/>
                <w:szCs w:val="14"/>
                <w:b w:val="1"/>
                <w:bCs w:val="1"/>
                <w:color w:val="auto"/>
              </w:rPr>
              <w:t>Aircraft Status</w:t>
            </w:r>
          </w:p>
        </w:tc>
        <w:tc>
          <w:tcPr>
            <w:tcW w:w="2640" w:type="dxa"/>
            <w:vAlign w:val="bottom"/>
            <w:gridSpan w:val="2"/>
          </w:tcPr>
          <w:p>
            <w:pPr>
              <w:ind w:left="780"/>
              <w:spacing w:after="0"/>
              <w:rPr>
                <w:sz w:val="20"/>
                <w:szCs w:val="20"/>
                <w:color w:val="auto"/>
              </w:rPr>
            </w:pPr>
            <w:r>
              <w:rPr>
                <w:rFonts w:ascii="Arial" w:cs="Arial" w:eastAsia="Arial" w:hAnsi="Arial"/>
                <w:sz w:val="14"/>
                <w:szCs w:val="14"/>
                <w:b w:val="1"/>
                <w:bCs w:val="1"/>
                <w:color w:val="auto"/>
              </w:rPr>
              <w:t>Expense Type</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tcPr>
          <w:p>
            <w:pPr>
              <w:jc w:val="right"/>
              <w:ind w:right="1055"/>
              <w:spacing w:after="0"/>
              <w:rPr>
                <w:sz w:val="20"/>
                <w:szCs w:val="20"/>
                <w:color w:val="auto"/>
              </w:rPr>
            </w:pPr>
            <w:r>
              <w:rPr>
                <w:rFonts w:ascii="Arial" w:cs="Arial" w:eastAsia="Arial" w:hAnsi="Arial"/>
                <w:sz w:val="14"/>
                <w:szCs w:val="14"/>
                <w:b w:val="1"/>
                <w:bCs w:val="1"/>
                <w:color w:val="auto"/>
              </w:rPr>
              <w:t>2025</w:t>
            </w:r>
          </w:p>
        </w:tc>
      </w:tr>
      <w:tr>
        <w:trPr>
          <w:trHeight w:val="224"/>
        </w:trPr>
        <w:tc>
          <w:tcPr>
            <w:tcW w:w="2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100" w:type="dxa"/>
            <w:vAlign w:val="bottom"/>
            <w:tcBorders>
              <w:top w:val="single" w:sz="8" w:color="CCEEFF"/>
            </w:tcBorders>
            <w:shd w:val="clear" w:color="auto" w:fill="CCEEFF"/>
          </w:tcPr>
          <w:p>
            <w:pPr>
              <w:spacing w:after="0"/>
              <w:rPr>
                <w:sz w:val="19"/>
                <w:szCs w:val="19"/>
                <w:color w:val="auto"/>
              </w:rPr>
            </w:pPr>
          </w:p>
        </w:tc>
        <w:tc>
          <w:tcPr>
            <w:tcW w:w="2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129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14,353</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14,419</w:t>
            </w:r>
          </w:p>
        </w:tc>
      </w:tr>
      <w:tr>
        <w:trPr>
          <w:trHeight w:val="229"/>
        </w:trPr>
        <w:tc>
          <w:tcPr>
            <w:tcW w:w="2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Finance Leased</w:t>
            </w:r>
          </w:p>
        </w:tc>
        <w:tc>
          <w:tcPr>
            <w:tcW w:w="2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Amortization</w:t>
            </w:r>
          </w:p>
        </w:tc>
        <w:tc>
          <w:tcPr>
            <w:tcW w:w="1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5,206</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5,206</w:t>
            </w:r>
          </w:p>
        </w:tc>
      </w:tr>
      <w:tr>
        <w:trPr>
          <w:trHeight w:val="248"/>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29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19,625</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Credit Facilities</w:t>
      </w:r>
    </w:p>
    <w:p>
      <w:pPr>
        <w:spacing w:after="0" w:line="171" w:lineRule="exact"/>
        <w:rPr>
          <w:sz w:val="20"/>
          <w:szCs w:val="20"/>
          <w:color w:val="auto"/>
        </w:rPr>
      </w:pPr>
    </w:p>
    <w:p>
      <w:pPr>
        <w:jc w:val="both"/>
        <w:ind w:left="260"/>
        <w:spacing w:after="0" w:line="254" w:lineRule="auto"/>
        <w:rPr>
          <w:sz w:val="20"/>
          <w:szCs w:val="20"/>
          <w:color w:val="auto"/>
        </w:rPr>
      </w:pPr>
      <w:r>
        <w:rPr>
          <w:rFonts w:ascii="Arial" w:cs="Arial" w:eastAsia="Arial" w:hAnsi="Arial"/>
          <w:sz w:val="18"/>
          <w:szCs w:val="18"/>
          <w:color w:val="auto"/>
        </w:rPr>
        <w:t>In March 2025, the Company executed a new $75,000 Revolving Credit Facility with a group of lenders. The interest rate on borrowings is determined using a base rate plus an applicable margin of 2.5%. In addition, there is a commitment fee on the unused Revolving Credit Facility of 0.6%. The Revolving Credit Facility is guaranteed by the Company and secured by a pool of collateral. Accordingly, the Company pledged certain assets as collateral, including certain previously unencumbered aircraft, to support the ability to efficiently utilize the Revolving Credit Facility. Available funds from the Revolving Credit Facility can be used for general corporate purposes. The Revolving Credit Facility includes financial covenants that require the Company to maintain: 1) minimum liquidity, as defined within the agreement, of not less than $55,000, 2) a minimum adjusted EBITDAR of $110,000 for any four consecutive fiscal quarters and 3) a minimum ratio of the borrowing base of the collateral to outstanding obligations under the Revolving Credit Facility of not less than 1.0 to 1.0. The Company was in compliance with these financial covenants as of March 31, 2026. As of March 31, 2026, the Company had $75,000 of financing available through the Revolving Credit Facility.</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Long-term Debt</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2025 Term Loan Facility</w:t>
      </w:r>
    </w:p>
    <w:p>
      <w:pPr>
        <w:spacing w:after="0" w:line="223" w:lineRule="exact"/>
        <w:rPr>
          <w:sz w:val="20"/>
          <w:szCs w:val="20"/>
          <w:color w:val="auto"/>
        </w:rPr>
      </w:pPr>
    </w:p>
    <w:p>
      <w:pPr>
        <w:jc w:val="both"/>
        <w:ind w:left="260"/>
        <w:spacing w:after="0" w:line="255" w:lineRule="auto"/>
        <w:rPr>
          <w:sz w:val="20"/>
          <w:szCs w:val="20"/>
          <w:color w:val="auto"/>
        </w:rPr>
      </w:pPr>
      <w:r>
        <w:rPr>
          <w:rFonts w:ascii="Arial" w:cs="Arial" w:eastAsia="Arial" w:hAnsi="Arial"/>
          <w:sz w:val="18"/>
          <w:szCs w:val="18"/>
          <w:color w:val="auto"/>
        </w:rPr>
        <w:t>In September 2025, the Company executed a term loan facility with a face amount of $108,000 ("2025 Term Loan Facility") for the purpose of refinancing the Company's five Boeing 737-900ER aircraft, of which two are on lease to an unaffiliated airline. The Company's five Boeing 737-900ERs are pledged as collateral. During the year ended December 31, 2025, the Company drew the full $108,000 face amount from the 2025 Term Loan Facility. The proceeds were used to repay the remaining $20,953 of the term loan credit facility executed in March 2023 ("2023 Term Loan Credit Facility") with the remainder to be used for general corporate purposes. The 2025 Term Loan Facility is repaid quarterly through September 2032, with the remaining balance due and payable in a single payment upon maturity. The fixed interest rate on the 2025 Term Loan Facility is 5.98%, which was determined using a base rate plus an applicable margin of 2.60%.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Pass-Through Trust Certificates</w:t>
      </w:r>
    </w:p>
    <w:p>
      <w:pPr>
        <w:spacing w:after="0" w:line="223" w:lineRule="exact"/>
        <w:rPr>
          <w:sz w:val="20"/>
          <w:szCs w:val="20"/>
          <w:color w:val="auto"/>
        </w:rPr>
      </w:pPr>
    </w:p>
    <w:p>
      <w:pPr>
        <w:jc w:val="both"/>
        <w:ind w:left="260"/>
        <w:spacing w:after="0" w:line="262" w:lineRule="auto"/>
        <w:rPr>
          <w:sz w:val="20"/>
          <w:szCs w:val="20"/>
          <w:color w:val="auto"/>
        </w:rPr>
      </w:pPr>
      <w:r>
        <w:rPr>
          <w:rFonts w:ascii="Arial" w:cs="Arial" w:eastAsia="Arial" w:hAnsi="Arial"/>
          <w:sz w:val="18"/>
          <w:szCs w:val="18"/>
          <w:color w:val="auto"/>
        </w:rPr>
        <w:t>During March 2022, the Company arranged for the issuance of Class A and Class B certificates Series 2022-1 (the "2022-1 EETC") in an aggregate face amount of $188,277 for the purpose of financing or refinancing 13 aircraft. The Company is required to make bi-annual principal and interest payments each March and September, through March 2031. These notes bear interest at an annual rate between 4.84% and 5.75%. The weighted average interest rate was 5.04% as of March 31, 2026.</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December 2019, the Company arranged for the issuance of Class A, Class B and Class C trust certificates Series 2019-1 (the “2019-1</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EETC”), in an aggregate face amount of $248,587 for the purpose of financing or refinancing 13 aircraft, which was completed in 2020.</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is required to make bi-annual principal and interest payments each June and December, through December 2027.</w:t>
      </w:r>
    </w:p>
    <w:p>
      <w:pPr>
        <w:spacing w:after="0" w:line="207" w:lineRule="exact"/>
        <w:rPr>
          <w:sz w:val="20"/>
          <w:szCs w:val="20"/>
          <w:color w:val="auto"/>
        </w:rPr>
      </w:pPr>
    </w:p>
    <w:p>
      <w:pPr>
        <w:jc w:val="both"/>
        <w:ind w:left="260"/>
        <w:spacing w:after="0" w:line="262" w:lineRule="auto"/>
        <w:rPr>
          <w:sz w:val="20"/>
          <w:szCs w:val="20"/>
          <w:color w:val="auto"/>
        </w:rPr>
      </w:pPr>
      <w:r>
        <w:rPr>
          <w:rFonts w:ascii="Arial" w:cs="Arial" w:eastAsia="Arial" w:hAnsi="Arial"/>
          <w:sz w:val="18"/>
          <w:szCs w:val="18"/>
          <w:color w:val="auto"/>
        </w:rPr>
        <w:t>In December 2024, the Company reissued Class C trust certificates from the 2019-1 EETC, which had previously been repaid, in an aggregate face amount of $60,000 and concurrently applied the proceeds to repay a portion of the 2023 Term Loan Credit Facility. The reissued Class C trust certificates had no impact on the bi-annual payment schedule or the term of the 2019-1 EETC. The 2019-1 EETC notes bear interest at an annual rate between 4.13% and 7.10%. The weighted average interest rate was 5.56% as of March 31, 2026.</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includes the following:</w:t>
      </w:r>
    </w:p>
    <w:p>
      <w:pPr>
        <w:spacing w:after="0" w:line="275" w:lineRule="exact"/>
        <w:rPr>
          <w:sz w:val="20"/>
          <w:szCs w:val="20"/>
          <w:color w:val="auto"/>
        </w:rPr>
      </w:pPr>
    </w:p>
    <w:p>
      <w:pPr>
        <w:ind w:left="7400"/>
        <w:spacing w:after="0"/>
        <w:tabs>
          <w:tab w:leader="none" w:pos="9280" w:val="left"/>
        </w:tabs>
        <w:rPr>
          <w:sz w:val="20"/>
          <w:szCs w:val="20"/>
          <w:color w:val="auto"/>
        </w:rPr>
      </w:pPr>
      <w:r>
        <w:rPr>
          <w:rFonts w:ascii="Arial" w:cs="Arial" w:eastAsia="Arial" w:hAnsi="Arial"/>
          <w:sz w:val="14"/>
          <w:szCs w:val="14"/>
          <w:b w:val="1"/>
          <w:bCs w:val="1"/>
          <w:color w:val="auto"/>
        </w:rPr>
        <w:t>March 31, 2026</w:t>
      </w:r>
      <w:r>
        <w:rPr>
          <w:sz w:val="20"/>
          <w:szCs w:val="20"/>
          <w:color w:val="auto"/>
        </w:rPr>
        <w:tab/>
      </w:r>
      <w:r>
        <w:rPr>
          <w:rFonts w:ascii="Arial" w:cs="Arial" w:eastAsia="Arial" w:hAnsi="Arial"/>
          <w:sz w:val="14"/>
          <w:szCs w:val="14"/>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23495</wp:posOffset>
            </wp:positionV>
            <wp:extent cx="678053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780530" cy="15430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4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2019-1 EETC (see terms and conditions above)</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2022-1 EETC (see terms and conditions above)</w:t>
      </w:r>
    </w:p>
    <w:p>
      <w:pPr>
        <w:spacing w:after="0" w:line="23" w:lineRule="exact"/>
        <w:rPr>
          <w:sz w:val="20"/>
          <w:szCs w:val="20"/>
          <w:color w:val="auto"/>
        </w:rPr>
      </w:pPr>
    </w:p>
    <w:p>
      <w:pPr>
        <w:ind w:left="360" w:right="180" w:hanging="96"/>
        <w:spacing w:after="0" w:line="273" w:lineRule="auto"/>
        <w:rPr>
          <w:sz w:val="20"/>
          <w:szCs w:val="20"/>
          <w:color w:val="auto"/>
        </w:rPr>
      </w:pPr>
      <w:r>
        <w:rPr>
          <w:rFonts w:ascii="Arial" w:cs="Arial" w:eastAsia="Arial" w:hAnsi="Arial"/>
          <w:sz w:val="18"/>
          <w:szCs w:val="18"/>
          <w:color w:val="auto"/>
        </w:rPr>
        <w:t>2025 Term Loan Facility (see terms and conditions above) Total Debt</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Less: Unamortized debt issuance costs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Less: Current Maturities of Long-term Debt, net</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Long-term Debt, net</w:t>
      </w:r>
    </w:p>
    <w:p>
      <w:pPr>
        <w:spacing w:after="0" w:line="3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Future maturities of the outstanding Debt are as follows: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1160" w:type="dxa"/>
        <w:tblCellMar>
          <w:top w:w="0" w:type="dxa"/>
          <w:left w:w="0" w:type="dxa"/>
          <w:bottom w:w="0" w:type="dxa"/>
          <w:right w:w="0" w:type="dxa"/>
        </w:tblCellMar>
      </w:tblPr>
      <w:tr>
        <w:trPr>
          <w:trHeight w:val="220"/>
        </w:trPr>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101,512</w:t>
            </w: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101,512</w:t>
            </w:r>
          </w:p>
        </w:tc>
      </w:tr>
      <w:tr>
        <w:trPr>
          <w:trHeight w:val="229"/>
        </w:trPr>
        <w:tc>
          <w:tcPr>
            <w:tcW w:w="6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104,111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118,288</w:t>
            </w:r>
          </w:p>
        </w:tc>
      </w:tr>
      <w:tr>
        <w:trPr>
          <w:trHeight w:val="235"/>
        </w:trPr>
        <w:tc>
          <w:tcPr>
            <w:tcW w:w="6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104,012</w:t>
            </w: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106,610</w:t>
            </w:r>
          </w:p>
        </w:tc>
      </w:tr>
      <w:tr>
        <w:trPr>
          <w:trHeight w:val="218"/>
        </w:trPr>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309,635</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326,410</w:t>
            </w:r>
          </w:p>
        </w:tc>
      </w:tr>
      <w:tr>
        <w:trPr>
          <w:trHeight w:val="230"/>
        </w:trPr>
        <w:tc>
          <w:tcPr>
            <w:tcW w:w="6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(3,064)</w:t>
            </w:r>
          </w:p>
        </w:tc>
      </w:tr>
      <w:tr>
        <w:trPr>
          <w:trHeight w:val="235"/>
        </w:trPr>
        <w:tc>
          <w:tcPr>
            <w:tcW w:w="6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(62,089)</w:t>
            </w: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(68,017)</w:t>
            </w:r>
          </w:p>
        </w:tc>
      </w:tr>
      <w:tr>
        <w:trPr>
          <w:trHeight w:val="223"/>
        </w:trPr>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244,766</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255,329</w:t>
            </w:r>
          </w:p>
        </w:tc>
      </w:tr>
      <w:tr>
        <w:trPr>
          <w:trHeight w:val="21"/>
        </w:trPr>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-779145</wp:posOffset>
            </wp:positionV>
            <wp:extent cx="678053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780530" cy="14541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-479425</wp:posOffset>
            </wp:positionV>
            <wp:extent cx="678053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780530" cy="14541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-187960</wp:posOffset>
            </wp:positionV>
            <wp:extent cx="678053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7805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jc w:val="center"/>
              <w:ind w:right="268"/>
              <w:spacing w:after="0"/>
              <w:rPr>
                <w:sz w:val="20"/>
                <w:szCs w:val="20"/>
                <w:color w:val="auto"/>
              </w:rPr>
            </w:pPr>
            <w:r>
              <w:rPr>
                <w:rFonts w:ascii="Arial" w:cs="Arial" w:eastAsia="Arial" w:hAnsi="Arial"/>
                <w:sz w:val="14"/>
                <w:szCs w:val="14"/>
                <w:b w:val="1"/>
                <w:bCs w:val="1"/>
                <w:color w:val="auto"/>
              </w:rPr>
              <w:t>Debt Principal</w:t>
            </w:r>
          </w:p>
        </w:tc>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Amortization of Debt</w:t>
            </w:r>
          </w:p>
        </w:tc>
        <w:tc>
          <w:tcPr>
            <w:tcW w:w="10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Net Debt</w:t>
            </w:r>
          </w:p>
        </w:tc>
        <w:tc>
          <w:tcPr>
            <w:tcW w:w="0" w:type="dxa"/>
            <w:vAlign w:val="bottom"/>
          </w:tcPr>
          <w:p>
            <w:pPr>
              <w:spacing w:after="0"/>
              <w:rPr>
                <w:sz w:val="1"/>
                <w:szCs w:val="1"/>
                <w:color w:val="auto"/>
              </w:rPr>
            </w:pPr>
          </w:p>
        </w:tc>
      </w:tr>
      <w:tr>
        <w:trPr>
          <w:trHeight w:val="189"/>
        </w:trPr>
        <w:tc>
          <w:tcPr>
            <w:tcW w:w="1300" w:type="dxa"/>
            <w:vAlign w:val="bottom"/>
          </w:tcPr>
          <w:p>
            <w:pPr>
              <w:jc w:val="center"/>
              <w:ind w:right="268"/>
              <w:spacing w:after="0"/>
              <w:rPr>
                <w:sz w:val="20"/>
                <w:szCs w:val="20"/>
                <w:color w:val="auto"/>
              </w:rPr>
            </w:pPr>
            <w:r>
              <w:rPr>
                <w:rFonts w:ascii="Arial" w:cs="Arial" w:eastAsia="Arial" w:hAnsi="Arial"/>
                <w:sz w:val="14"/>
                <w:szCs w:val="14"/>
                <w:b w:val="1"/>
                <w:bCs w:val="1"/>
                <w:color w:val="auto"/>
              </w:rPr>
              <w:t>Payments</w:t>
            </w:r>
          </w:p>
        </w:tc>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Issuance Costs</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060" w:space="720"/>
            <w:col w:w="5460"/>
          </w:cols>
          <w:pgMar w:left="320" w:top="130" w:right="339" w:bottom="1440" w:gutter="0" w:footer="0" w:header="0"/>
          <w:type w:val="continuous"/>
        </w:sectPr>
      </w:pPr>
    </w:p>
    <w:tbl>
      <w:tblPr>
        <w:tblLayout w:type="fixed"/>
        <w:tblInd w:w="260" w:type="dxa"/>
        <w:tblCellMar>
          <w:top w:w="0" w:type="dxa"/>
          <w:left w:w="0" w:type="dxa"/>
          <w:bottom w:w="0" w:type="dxa"/>
          <w:right w:w="0" w:type="dxa"/>
        </w:tblCellMar>
      </w:tblPr>
      <w:tr>
        <w:trPr>
          <w:trHeight w:val="223"/>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2026</w:t>
            </w: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52,281</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51,524</w:t>
            </w: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2027</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97,113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96,300</w:t>
            </w: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31,513</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2029</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39,589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39,249</w:t>
            </w: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2030</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29,735</w:t>
            </w:r>
          </w:p>
        </w:tc>
      </w:tr>
      <w:tr>
        <w:trPr>
          <w:trHeight w:val="229"/>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58,705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58,534</w:t>
            </w:r>
          </w:p>
        </w:tc>
      </w:tr>
      <w:tr>
        <w:trPr>
          <w:trHeight w:val="248"/>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 of March 31, 2026</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309,635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306,855</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color w:val="auto"/>
        </w:rPr>
        <w:t>The fair value of Debt was $299,232 as of March 31, 2026 and $315,872 as of December 31, 2025. The fair value of the Company’s debt was based on the discounted amount of future cash flows using the Company’s end-of-period estimated incremental borrowing rate for similar obligations. The estimates were primarily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2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based on Level 3 inputs.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debt securities by major security type:</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4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March 31, 2026</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Gross Unrealized</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Gross Unrealized</w:t>
            </w:r>
          </w:p>
        </w:tc>
        <w:tc>
          <w:tcPr>
            <w:tcW w:w="280" w:type="dxa"/>
            <w:vAlign w:val="bottom"/>
          </w:tcPr>
          <w:p>
            <w:pPr>
              <w:spacing w:after="0"/>
              <w:rPr>
                <w:sz w:val="12"/>
                <w:szCs w:val="12"/>
                <w:color w:val="auto"/>
              </w:rPr>
            </w:pPr>
          </w:p>
        </w:tc>
        <w:tc>
          <w:tcPr>
            <w:tcW w:w="13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Losses</w:t>
            </w: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0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3,866</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37,731</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17,934</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59,531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4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December 31, 2025</w:t>
            </w: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Gross Unrealized</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Gross Unrealized</w:t>
            </w:r>
          </w:p>
        </w:tc>
        <w:tc>
          <w:tcPr>
            <w:tcW w:w="280" w:type="dxa"/>
            <w:vAlign w:val="bottom"/>
          </w:tcPr>
          <w:p>
            <w:pPr>
              <w:spacing w:after="0"/>
              <w:rPr>
                <w:sz w:val="12"/>
                <w:szCs w:val="12"/>
                <w:color w:val="auto"/>
              </w:rPr>
            </w:pPr>
          </w:p>
        </w:tc>
        <w:tc>
          <w:tcPr>
            <w:tcW w:w="13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Losses</w:t>
            </w: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10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41,367</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37,901</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83,131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680" w:right="420" w:hanging="411"/>
        <w:spacing w:after="0" w:line="285" w:lineRule="auto"/>
        <w:tabs>
          <w:tab w:leader="none" w:pos="6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 also holds Certificates of Deposit with maturities greater than 90 days that are included in Investments on the Condensed Consolidated Balance Sheets totaling $6,498 as of March 31, 2026 and December 31, 2025.</w:t>
      </w:r>
    </w:p>
    <w:p>
      <w:pPr>
        <w:spacing w:after="0" w:line="121" w:lineRule="exact"/>
        <w:rPr>
          <w:sz w:val="20"/>
          <w:szCs w:val="20"/>
          <w:color w:val="auto"/>
        </w:rPr>
      </w:pPr>
    </w:p>
    <w:p>
      <w:pPr>
        <w:ind w:left="260" w:right="60"/>
        <w:spacing w:after="0" w:line="268" w:lineRule="auto"/>
        <w:rPr>
          <w:sz w:val="20"/>
          <w:szCs w:val="20"/>
          <w:color w:val="auto"/>
        </w:rPr>
      </w:pPr>
      <w:r>
        <w:rPr>
          <w:rFonts w:ascii="Arial" w:cs="Arial" w:eastAsia="Arial" w:hAnsi="Arial"/>
          <w:sz w:val="18"/>
          <w:szCs w:val="18"/>
          <w:color w:val="auto"/>
        </w:rPr>
        <w:t>As of March 31, 2026, the unrealized losses were the result of changes in market interest rates and were not the result of a deterioration in the credit quality of the securities. As of March 31, 2026, the Company expects any unrealized losses to be recoverable prior to the investment's conversion to cash.</w:t>
      </w: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assets measured at fair value on a recurring basis: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4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March 31, 2026</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153,729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153,729</w:t>
            </w: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0" w:type="dxa"/>
            <w:vAlign w:val="bottom"/>
          </w:tcPr>
          <w:p>
            <w:pPr>
              <w:spacing w:after="0"/>
              <w:rPr>
                <w:sz w:val="1"/>
                <w:szCs w:val="1"/>
                <w:color w:val="auto"/>
              </w:rPr>
            </w:pPr>
          </w:p>
        </w:tc>
      </w:tr>
      <w:tr>
        <w:trPr>
          <w:trHeight w:val="229"/>
        </w:trPr>
        <w:tc>
          <w:tcPr>
            <w:tcW w:w="404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37,731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37,731</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Securities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17,934</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17,934</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Available-for-Sale Securities</w:t>
            </w: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59,531</w:t>
            </w:r>
          </w:p>
        </w:tc>
        <w:tc>
          <w:tcPr>
            <w:tcW w:w="8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59,531</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0" w:type="dxa"/>
            <w:vAlign w:val="bottom"/>
          </w:tcPr>
          <w:p>
            <w:pPr>
              <w:spacing w:after="0"/>
              <w:rPr>
                <w:sz w:val="1"/>
                <w:szCs w:val="1"/>
                <w:color w:val="auto"/>
              </w:rPr>
            </w:pPr>
          </w:p>
        </w:tc>
      </w:tr>
      <w:tr>
        <w:trPr>
          <w:trHeight w:val="155"/>
        </w:trPr>
        <w:tc>
          <w:tcPr>
            <w:tcW w:w="4040" w:type="dxa"/>
            <w:vAlign w:val="bottom"/>
          </w:tcPr>
          <w:p>
            <w:pPr>
              <w:ind w:left="340"/>
              <w:spacing w:after="0" w:line="156" w:lineRule="exact"/>
              <w:rPr>
                <w:sz w:val="20"/>
                <w:szCs w:val="20"/>
                <w:color w:val="auto"/>
              </w:rPr>
            </w:pPr>
            <w:r>
              <w:rPr>
                <w:rFonts w:ascii="Arial" w:cs="Arial" w:eastAsia="Arial" w:hAnsi="Arial"/>
                <w:sz w:val="18"/>
                <w:szCs w:val="18"/>
                <w:color w:val="auto"/>
              </w:rPr>
              <w:t>Total Assets Measured at Fair Value on a</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160,227</w:t>
            </w:r>
          </w:p>
        </w:tc>
        <w:tc>
          <w:tcPr>
            <w:tcW w:w="10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59,531</w:t>
            </w:r>
          </w:p>
        </w:tc>
        <w:tc>
          <w:tcPr>
            <w:tcW w:w="80" w:type="dxa"/>
            <w:vAlign w:val="bottom"/>
          </w:tcPr>
          <w:p>
            <w:pPr>
              <w:spacing w:after="0"/>
              <w:rPr>
                <w:sz w:val="13"/>
                <w:szCs w:val="13"/>
                <w:color w:val="auto"/>
              </w:rPr>
            </w:pPr>
          </w:p>
        </w:tc>
        <w:tc>
          <w:tcPr>
            <w:tcW w:w="1160" w:type="dxa"/>
            <w:vAlign w:val="bottom"/>
            <w:vMerge w:val="restart"/>
          </w:tcPr>
          <w:p>
            <w:pPr>
              <w:jc w:val="right"/>
              <w:ind w:right="956"/>
              <w:spacing w:after="0"/>
              <w:rPr>
                <w:sz w:val="20"/>
                <w:szCs w:val="20"/>
                <w:color w:val="auto"/>
              </w:rPr>
            </w:pPr>
            <w:r>
              <w:rPr>
                <w:rFonts w:ascii="Arial" w:cs="Arial" w:eastAsia="Arial" w:hAnsi="Arial"/>
                <w:sz w:val="18"/>
                <w:szCs w:val="18"/>
                <w:color w:val="auto"/>
                <w:w w:val="99"/>
              </w:rPr>
              <w:t>$</w:t>
            </w:r>
          </w:p>
        </w:tc>
        <w:tc>
          <w:tcPr>
            <w:tcW w:w="38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3"/>
                <w:szCs w:val="13"/>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219,758</w:t>
            </w:r>
          </w:p>
        </w:tc>
        <w:tc>
          <w:tcPr>
            <w:tcW w:w="0" w:type="dxa"/>
            <w:vAlign w:val="bottom"/>
          </w:tcPr>
          <w:p>
            <w:pPr>
              <w:spacing w:after="0"/>
              <w:rPr>
                <w:sz w:val="1"/>
                <w:szCs w:val="1"/>
                <w:color w:val="auto"/>
              </w:rPr>
            </w:pPr>
          </w:p>
        </w:tc>
      </w:tr>
      <w:tr>
        <w:trPr>
          <w:trHeight w:val="221"/>
        </w:trPr>
        <w:tc>
          <w:tcPr>
            <w:tcW w:w="4040" w:type="dxa"/>
            <w:vAlign w:val="bottom"/>
          </w:tcPr>
          <w:p>
            <w:pPr>
              <w:ind w:left="500"/>
              <w:spacing w:after="0"/>
              <w:rPr>
                <w:sz w:val="20"/>
                <w:szCs w:val="20"/>
                <w:color w:val="auto"/>
              </w:rPr>
            </w:pPr>
            <w:r>
              <w:rPr>
                <w:rFonts w:ascii="Arial" w:cs="Arial" w:eastAsia="Arial" w:hAnsi="Arial"/>
                <w:sz w:val="18"/>
                <w:szCs w:val="18"/>
                <w:color w:val="auto"/>
              </w:rPr>
              <w:t>Recurring Basis</w:t>
            </w:r>
          </w:p>
        </w:tc>
        <w:tc>
          <w:tcPr>
            <w:tcW w:w="32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40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December 31, 2025</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144,684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144,684</w:t>
            </w: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30"/>
        </w:trPr>
        <w:tc>
          <w:tcPr>
            <w:tcW w:w="404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41,367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41,367</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Securities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37,901</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37,901</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Available-for-Sale Securities</w:t>
            </w: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83,131</w:t>
            </w:r>
          </w:p>
        </w:tc>
        <w:tc>
          <w:tcPr>
            <w:tcW w:w="8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83,131</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0" w:type="dxa"/>
            <w:vAlign w:val="bottom"/>
          </w:tcPr>
          <w:p>
            <w:pPr>
              <w:spacing w:after="0"/>
              <w:rPr>
                <w:sz w:val="1"/>
                <w:szCs w:val="1"/>
                <w:color w:val="auto"/>
              </w:rPr>
            </w:pPr>
          </w:p>
        </w:tc>
      </w:tr>
      <w:tr>
        <w:trPr>
          <w:trHeight w:val="155"/>
        </w:trPr>
        <w:tc>
          <w:tcPr>
            <w:tcW w:w="4040" w:type="dxa"/>
            <w:vAlign w:val="bottom"/>
          </w:tcPr>
          <w:p>
            <w:pPr>
              <w:ind w:left="340"/>
              <w:spacing w:after="0" w:line="156" w:lineRule="exact"/>
              <w:rPr>
                <w:sz w:val="20"/>
                <w:szCs w:val="20"/>
                <w:color w:val="auto"/>
              </w:rPr>
            </w:pPr>
            <w:r>
              <w:rPr>
                <w:rFonts w:ascii="Arial" w:cs="Arial" w:eastAsia="Arial" w:hAnsi="Arial"/>
                <w:sz w:val="18"/>
                <w:szCs w:val="18"/>
                <w:color w:val="auto"/>
              </w:rPr>
              <w:t>Total Assets Measured at Fair Value on a</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151,182</w:t>
            </w:r>
          </w:p>
        </w:tc>
        <w:tc>
          <w:tcPr>
            <w:tcW w:w="10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83,131</w:t>
            </w:r>
          </w:p>
        </w:tc>
        <w:tc>
          <w:tcPr>
            <w:tcW w:w="80" w:type="dxa"/>
            <w:vAlign w:val="bottom"/>
          </w:tcPr>
          <w:p>
            <w:pPr>
              <w:spacing w:after="0"/>
              <w:rPr>
                <w:sz w:val="13"/>
                <w:szCs w:val="13"/>
                <w:color w:val="auto"/>
              </w:rPr>
            </w:pPr>
          </w:p>
        </w:tc>
        <w:tc>
          <w:tcPr>
            <w:tcW w:w="1160" w:type="dxa"/>
            <w:vAlign w:val="bottom"/>
            <w:vMerge w:val="restart"/>
          </w:tcPr>
          <w:p>
            <w:pPr>
              <w:jc w:val="right"/>
              <w:ind w:right="956"/>
              <w:spacing w:after="0"/>
              <w:rPr>
                <w:sz w:val="20"/>
                <w:szCs w:val="20"/>
                <w:color w:val="auto"/>
              </w:rPr>
            </w:pPr>
            <w:r>
              <w:rPr>
                <w:rFonts w:ascii="Arial" w:cs="Arial" w:eastAsia="Arial" w:hAnsi="Arial"/>
                <w:sz w:val="18"/>
                <w:szCs w:val="18"/>
                <w:color w:val="auto"/>
                <w:w w:val="99"/>
              </w:rPr>
              <w:t>$</w:t>
            </w:r>
          </w:p>
        </w:tc>
        <w:tc>
          <w:tcPr>
            <w:tcW w:w="4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234,313</w:t>
            </w:r>
          </w:p>
        </w:tc>
        <w:tc>
          <w:tcPr>
            <w:tcW w:w="0" w:type="dxa"/>
            <w:vAlign w:val="bottom"/>
          </w:tcPr>
          <w:p>
            <w:pPr>
              <w:spacing w:after="0"/>
              <w:rPr>
                <w:sz w:val="1"/>
                <w:szCs w:val="1"/>
                <w:color w:val="auto"/>
              </w:rPr>
            </w:pPr>
          </w:p>
        </w:tc>
      </w:tr>
      <w:tr>
        <w:trPr>
          <w:trHeight w:val="216"/>
        </w:trPr>
        <w:tc>
          <w:tcPr>
            <w:tcW w:w="4040" w:type="dxa"/>
            <w:vAlign w:val="bottom"/>
          </w:tcPr>
          <w:p>
            <w:pPr>
              <w:ind w:left="500"/>
              <w:spacing w:after="0"/>
              <w:rPr>
                <w:sz w:val="20"/>
                <w:szCs w:val="20"/>
                <w:color w:val="auto"/>
              </w:rPr>
            </w:pPr>
            <w:r>
              <w:rPr>
                <w:rFonts w:ascii="Arial" w:cs="Arial" w:eastAsia="Arial" w:hAnsi="Arial"/>
                <w:sz w:val="18"/>
                <w:szCs w:val="18"/>
                <w:color w:val="auto"/>
              </w:rPr>
              <w:t>Recurring Basis</w:t>
            </w:r>
          </w:p>
        </w:tc>
        <w:tc>
          <w:tcPr>
            <w:tcW w:w="3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71"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Company's effective tax rate for the three months ended March 31, 2026 and 2025 was 20.3% and 24.1%, respectively. The effective tax rate represents a blend of federal and state taxes and includes the impact of certain nondeductible or nontaxable items. The effective tax rate in both periods was impacted by permanent stock compensation items.</w:t>
      </w:r>
    </w:p>
    <w:p>
      <w:pPr>
        <w:spacing w:after="0" w:line="11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We have historically calculated the provision for income taxes during interim reporting periods by applying an estimate of the annual effective tax rate for the full year to income or loss for the reporting period. We have changed to use the discrete method to calculate income taxes for the three months ended March 31, 2026. At this time, we believe that the use of the discrete method is more appropriate than the estimated annual effective tax rate method due to the fact that small changes in projected full year income could cause material fluctuations in our annual effective tax rate applied during each quarter. Full year projections are particularly sensitive to the current volatility in the global fuel market.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Tax Receivable Agreement</w:t>
      </w:r>
    </w:p>
    <w:p>
      <w:pPr>
        <w:spacing w:after="0" w:line="225"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total Tax Receivable Agreement ("TRA") balance as of March 31, 2026 and December 31, 2025 was $87,137 and $87,169, respectively. The TRA liability is an estimate and actual amounts payable and/or the timing of TRA payments could differ from this estimate. For example, changes to full year taxable income, as well as changes in tax laws may impact the timing of TRA liability payments. During the three months ended March 31, 2025, the Company made a payment of $10,525 to the pre-IPO stockholders (the “TRA holders”), which includes certain members of the Company's management and certain members of the Company's Board of Directors. The payment to the TRA holders during the three months ended March 31, 2026 was not significant. The payment is included within Other, net in Financing Activities on the Condensed Consolidated Statements of Cash Flows. Payments will be made in future periods as attributes that existed at the time of the IPO (the “Pre-IPO Tax Attributes”) are utilized. Upon completion of a merger that constitutes a change of control, such as the Merger Agreement with Allegiant, the TRA will terminate and be settled with the TRA 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SPECIAL ITEMS</w:t>
      </w:r>
    </w:p>
    <w:p>
      <w:pPr>
        <w:spacing w:after="0" w:line="225" w:lineRule="exact"/>
        <w:rPr>
          <w:sz w:val="20"/>
          <w:szCs w:val="20"/>
          <w:color w:val="auto"/>
        </w:rPr>
      </w:pPr>
    </w:p>
    <w:p>
      <w:pPr>
        <w:ind w:left="340" w:right="580"/>
        <w:spacing w:after="0" w:line="287" w:lineRule="auto"/>
        <w:rPr>
          <w:sz w:val="20"/>
          <w:szCs w:val="20"/>
          <w:color w:val="auto"/>
        </w:rPr>
      </w:pPr>
      <w:r>
        <w:rPr>
          <w:rFonts w:ascii="Arial" w:cs="Arial" w:eastAsia="Arial" w:hAnsi="Arial"/>
          <w:sz w:val="18"/>
          <w:szCs w:val="18"/>
          <w:color w:val="auto"/>
        </w:rPr>
        <w:t>Special Items reflects expenses that are not representative of our ongoing costs for the periods presented and may vary in nature, frequency, and amount from period to period.</w:t>
      </w:r>
    </w:p>
    <w:p>
      <w:pPr>
        <w:spacing w:after="0" w:line="153" w:lineRule="exact"/>
        <w:rPr>
          <w:sz w:val="20"/>
          <w:szCs w:val="20"/>
          <w:color w:val="auto"/>
        </w:rPr>
      </w:pPr>
    </w:p>
    <w:p>
      <w:pPr>
        <w:ind w:left="340" w:right="300"/>
        <w:spacing w:after="0" w:line="287" w:lineRule="auto"/>
        <w:rPr>
          <w:sz w:val="20"/>
          <w:szCs w:val="20"/>
          <w:color w:val="auto"/>
        </w:rPr>
      </w:pPr>
      <w:r>
        <w:rPr>
          <w:rFonts w:ascii="Arial" w:cs="Arial" w:eastAsia="Arial" w:hAnsi="Arial"/>
          <w:sz w:val="18"/>
          <w:szCs w:val="18"/>
          <w:color w:val="auto"/>
        </w:rPr>
        <w:t xml:space="preserve">During the three months ended March 31, 2026, the Company recorded $9,799 of special charges for professional services and other costs related to the proposed Merger with Allegiant (see </w:t>
      </w:r>
      <w:r>
        <w:rPr>
          <w:rFonts w:ascii="Arial" w:cs="Arial" w:eastAsia="Arial" w:hAnsi="Arial"/>
          <w:sz w:val="18"/>
          <w:szCs w:val="18"/>
          <w:u w:val="single" w:color="auto"/>
          <w:color w:val="0000FF"/>
        </w:rPr>
        <w:t>Note 2</w:t>
      </w:r>
      <w:r>
        <w:rPr>
          <w:rFonts w:ascii="Arial" w:cs="Arial" w:eastAsia="Arial" w:hAnsi="Arial"/>
          <w:sz w:val="18"/>
          <w:szCs w:val="18"/>
          <w:color w:val="auto"/>
        </w:rPr>
        <w:t>).</w:t>
      </w:r>
    </w:p>
    <w:p>
      <w:pPr>
        <w:spacing w:after="0" w:line="153" w:lineRule="exact"/>
        <w:rPr>
          <w:sz w:val="20"/>
          <w:szCs w:val="20"/>
          <w:color w:val="auto"/>
        </w:rPr>
      </w:pPr>
    </w:p>
    <w:p>
      <w:pPr>
        <w:ind w:left="340" w:right="180"/>
        <w:spacing w:after="0" w:line="268" w:lineRule="auto"/>
        <w:rPr>
          <w:sz w:val="20"/>
          <w:szCs w:val="20"/>
          <w:color w:val="auto"/>
        </w:rPr>
      </w:pPr>
      <w:r>
        <w:rPr>
          <w:rFonts w:ascii="Arial" w:cs="Arial" w:eastAsia="Arial" w:hAnsi="Arial"/>
          <w:sz w:val="18"/>
          <w:szCs w:val="18"/>
          <w:color w:val="auto"/>
        </w:rPr>
        <w:t>During the three months ended March 31, 2025, the Company recognized ratification bonuses of $1,799, including $138 of payroll - related tax expense, related to a new five-year collective bargaining agreement with the Company's flight attendants. These items were included within Special Items on the Company's Condensed Consolidated Statements of Operations.</w:t>
      </w:r>
    </w:p>
    <w:p>
      <w:pPr>
        <w:spacing w:after="0" w:line="171" w:lineRule="exact"/>
        <w:rPr>
          <w:sz w:val="20"/>
          <w:szCs w:val="20"/>
          <w:color w:val="auto"/>
        </w:rPr>
      </w:pPr>
    </w:p>
    <w:p>
      <w:pPr>
        <w:ind w:left="340" w:right="8680" w:hanging="332"/>
        <w:spacing w:after="0" w:line="523" w:lineRule="auto"/>
        <w:tabs>
          <w:tab w:leader="none" w:pos="306"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Equity Transactions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Common Stock Repurchases</w:t>
      </w:r>
    </w:p>
    <w:p>
      <w:pPr>
        <w:spacing w:after="0" w:line="223"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Company may purchase shares of its Common Stock on a discretionary basis from time to time through open market repurchases, privately negotiated transactions, accelerated share repurchase, or other means, including through Rule 10b5-1 trading plans.</w:t>
      </w:r>
    </w:p>
    <w:p>
      <w:pPr>
        <w:spacing w:after="0" w:line="153"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The Company did not repurchase any shares of its Common Stock during the three months ended March 31, 2026. As of March 31, 2026, the Company had $15,000 remaining of Board authorization to repurchase shares of its Common Stock. Under the Merger Agreement with Allegiant, the Company is prohibited from repurchasing any shares of its Common Stock during the period from January 11, 2026 to the time of closing of the Merger.</w:t>
      </w:r>
    </w:p>
    <w:p>
      <w:pPr>
        <w:spacing w:after="0" w:line="176"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During the three months ended March 31, 2025, the Company announced the commencement of a secondary public offering of 6,346,105 shares of its Common Stock by the SCA Horus Stockholder. Upon completion of the secondary public offering, the SCA Horus Stockholder did not own any shares of the Company’s Common Stock. The Company did not receive any of the proceeds from the offering. The Company received authorization from its Board of Directors to repurchase up to $ 10,000 of its Common Stock in connection with this offering. The underwriters agreed to sell to the Company, and the Company agreed to purchase up to $10,000 of the Company's Common Stock from the underwriters equal to the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price at which the underwriter purchased the shares from the SCA Horus Stockholder. As part of this transaction, the Company repurchased 630,914 shares of its Common Stock, for a total cost of $10,000, or an average price of $15.85 per share. The Company incurred offering expenses of $481 in conjunction with the secondary public offering.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Amazon Agreement</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On December 13, 2019, the Company signed a six-year contract with Amazon to provide cargo services under the ATSA. In connection with the ATSA, the Company issued warrants to Amazon to purchase an aggregate of up to 9,482,606 shares of common stock at an exercise price of approximately $15.17 per share. During the three months ended March 31, 2026 and 2025, 379,304 and 252,869 warrants vested in each respective period. As of March 31, 2026 and 2025, the cumulative vested warrants held by Amazon were 5,752,786 and 4,362,004, respectively. The exercise period for these warrants extends through the eighth anniversary of the issue date. No incremental warrants were issued, nor was the original warrant agreement modified, upon the signing of the A&amp;R ATSA. Pursuant to the terms of the Sun Country Warrant, any unvested warrant shares of the Sun Country Warrant will become fully vested and immediately exercisable immediately prior to the consummation of the Merger with Allegiant.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 xml:space="preserve">The Company has contractual obligations and commitments primarily with regard to lease arrangements, repayment of debt (see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6</w:t>
      </w:r>
      <w:r>
        <w:rPr>
          <w:rFonts w:ascii="Arial" w:cs="Arial" w:eastAsia="Arial" w:hAnsi="Arial"/>
          <w:sz w:val="18"/>
          <w:szCs w:val="18"/>
          <w:color w:val="000000"/>
        </w:rPr>
        <w:t>), payments under the TRA (see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Note 9</w:t>
      </w:r>
      <w:r>
        <w:rPr>
          <w:rFonts w:ascii="Arial" w:cs="Arial" w:eastAsia="Arial" w:hAnsi="Arial"/>
          <w:sz w:val="18"/>
          <w:szCs w:val="18"/>
          <w:color w:val="000000"/>
        </w:rPr>
        <w:t>), and probable future purchases of aircraft.</w:t>
      </w:r>
    </w:p>
    <w:p>
      <w:pPr>
        <w:spacing w:after="0" w:line="15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Company is subject to an audit by the Internal Revenue Service (“IRS”) related to the collection of federal excise taxes on optional passenger seat selection charges covering the period of October 1, 2021 through June 30, 2023. During 2024, the Company received an assessment of approximately $2,700 from the IRS related to the results of the audit. As of March 31, 2026, the Company has appealed the results of the audit through a formal protest with the IRS and there has been no further change in status on this matter. The Company believes a loss in this matter is not probable and has not recognized a loss contingency as of March 31, 2026.</w:t>
      </w:r>
    </w:p>
    <w:p>
      <w:pPr>
        <w:spacing w:after="0" w:line="179"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The Company is currently undergoing a TSA audit, which includes the review of certain passenger fees and how they are remitted. This audit is in its initial stages, and the Company has not received any formal assessment or preliminary findings. Accordingly, management is unable to predict any outcome on this matter. As of the date of this filing, management does not expect that a potential loss, if any, will have a material effect on the Company's financial position, results of operations, or cash flows.</w:t>
      </w:r>
    </w:p>
    <w:p>
      <w:pPr>
        <w:spacing w:after="0" w:line="176"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June 2024, ALPA filed a grievance on behalf of the Company’s pilots for certain wages to be paid to pilot instructors during flight hours. In the third quarter of 2025, this matter moved to arbitration. During the fourth quarter of 2025, an arbitrator ruled in favor of the pilots. Prior to this ruling, the Company believed a loss on this matter was not probable. Accordingly, the Company recognized a loss contingency related to this matter of $2,718, inclusive of tax effects and 401(k) contributions, which was recorded within Salaries, Wages, and Benefits on the Company's Consolidated Statement of Operations during the fourth quarter of 2025. During the three months ended March 31, 2026, the Company paid $2,740 related to this matter.</w:t>
      </w:r>
    </w:p>
    <w:p>
      <w:pPr>
        <w:spacing w:after="0" w:line="182" w:lineRule="exact"/>
        <w:rPr>
          <w:sz w:val="20"/>
          <w:szCs w:val="20"/>
          <w:color w:val="auto"/>
        </w:rPr>
      </w:pPr>
    </w:p>
    <w:p>
      <w:pPr>
        <w:jc w:val="both"/>
        <w:ind w:left="340" w:right="20"/>
        <w:spacing w:after="0" w:line="268" w:lineRule="auto"/>
        <w:rPr>
          <w:sz w:val="20"/>
          <w:szCs w:val="20"/>
          <w:color w:val="auto"/>
        </w:rPr>
      </w:pPr>
      <w:r>
        <w:rPr>
          <w:rFonts w:ascii="Arial" w:cs="Arial" w:eastAsia="Arial" w:hAnsi="Arial"/>
          <w:sz w:val="18"/>
          <w:szCs w:val="18"/>
          <w:color w:val="auto"/>
        </w:rPr>
        <w:t>The Company is subject to various legal proceedings in the normal course of business and normal course proceedings related to a merger and expenses legal costs as incurred. Management does not believe these proceedings will have a materially adverse effect on the Company.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OPERATING SEGMENTS</w:t>
      </w:r>
    </w:p>
    <w:p>
      <w:pPr>
        <w:spacing w:after="0" w:line="225" w:lineRule="exact"/>
        <w:rPr>
          <w:sz w:val="20"/>
          <w:szCs w:val="20"/>
          <w:color w:val="auto"/>
        </w:rPr>
      </w:pPr>
    </w:p>
    <w:p>
      <w:pPr>
        <w:jc w:val="both"/>
        <w:ind w:left="340"/>
        <w:spacing w:after="0" w:line="256" w:lineRule="auto"/>
        <w:rPr>
          <w:rFonts w:ascii="Arial" w:cs="Arial" w:eastAsia="Arial" w:hAnsi="Arial"/>
          <w:sz w:val="18"/>
          <w:szCs w:val="18"/>
          <w:color w:val="0000FF"/>
        </w:rPr>
      </w:pPr>
      <w:r>
        <w:rPr>
          <w:rFonts w:ascii="Arial" w:cs="Arial" w:eastAsia="Arial" w:hAnsi="Arial"/>
          <w:sz w:val="18"/>
          <w:szCs w:val="18"/>
          <w:color w:val="auto"/>
        </w:rPr>
        <w:t xml:space="preserve">The Company has two operating and reportable segments: Passenger and Cargo, which are determined by the services provided and fleet utilized. The Chief Operating Decision Maker ("CODM") makes resource allocation decisions with the objective of generating high returns and margins and mitigating the seasonality of the Company’s route network. Operating Income is the measure of segment profit that is the most consistent with the amounts presented in the Company’s Condensed Consolidated Financial Statements, as well as the measure the CODM uses to assess segment performance. The accounting policies for the Company’s reportable segments are consistent with those described in Note 2, "Basis of Presentation and Summary of Significant Accounting Policies" included within Part II, </w:t>
      </w:r>
      <w:hyperlink r:id="rId34">
        <w:r>
          <w:rPr>
            <w:rFonts w:ascii="Arial" w:cs="Arial" w:eastAsia="Arial" w:hAnsi="Arial"/>
            <w:sz w:val="18"/>
            <w:szCs w:val="18"/>
            <w:u w:val="single" w:color="auto"/>
            <w:color w:val="0000FF"/>
          </w:rPr>
          <w:t>Item 8</w:t>
        </w:r>
        <w:r>
          <w:rPr>
            <w:rFonts w:ascii="Arial" w:cs="Arial" w:eastAsia="Arial" w:hAnsi="Arial"/>
            <w:sz w:val="18"/>
            <w:szCs w:val="18"/>
            <w:color w:val="0000FF"/>
          </w:rPr>
          <w:t xml:space="preserve"> </w:t>
        </w:r>
      </w:hyperlink>
      <w:r>
        <w:rPr>
          <w:rFonts w:ascii="Arial" w:cs="Arial" w:eastAsia="Arial" w:hAnsi="Arial"/>
          <w:sz w:val="18"/>
          <w:szCs w:val="18"/>
          <w:color w:val="000000"/>
        </w:rPr>
        <w:t>of</w:t>
      </w:r>
      <w:r>
        <w:rPr>
          <w:rFonts w:ascii="Arial" w:cs="Arial" w:eastAsia="Arial" w:hAnsi="Arial"/>
          <w:sz w:val="18"/>
          <w:szCs w:val="18"/>
          <w:color w:val="0000FF"/>
        </w:rPr>
        <w:t xml:space="preserve"> </w:t>
      </w:r>
      <w:r>
        <w:rPr>
          <w:rFonts w:ascii="Arial" w:cs="Arial" w:eastAsia="Arial" w:hAnsi="Arial"/>
          <w:sz w:val="18"/>
          <w:szCs w:val="18"/>
          <w:color w:val="000000"/>
        </w:rPr>
        <w:t>the 2025 10-K. There are no intercompany transactions between the Company’s reportable segments.</w:t>
      </w:r>
    </w:p>
    <w:p>
      <w:pPr>
        <w:spacing w:after="0" w:line="183"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The following tables present financial information for the Company’s two operating segments: Passenger and Cargo. Certain Non-Fuel operating expenses are allocated between Passenger and Cargo based on metrics such as block hours, fleet count and departures, which best align with the nature of the respective expense. Other Operating, net includes crew and other employee travel, interrupted trip expenses, information technology, property taxes and insurance, including hull-liability insurance, supplies, legal and other professional fees, facilities and all other administrative and operational overhead expenses. The CODM does not consider Interest Income, Interest Expense, and Other Income, net, in assessing the financial performance of the operating segments. Collectively, these items are included in reconciling reporting segment financial amounts to the condensed consolidated financial amounts.</w:t>
      </w:r>
    </w:p>
    <w:p>
      <w:pPr>
        <w:spacing w:after="0" w:line="183"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Nearly all of the Company’s long-lived assets are associated with the Passenger operating segment. Therefore, predominately all depreciation and amortization expense is associated with the Passenger operating segment. Substantially all the Company’s tangible assets are located in the U.S. The Company's Aircraft and Flight equipment are mobile across geographic markets. As a result, assets by segment are not reviewed by the CODM and have not been presented herein.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financial information for the Company’s two segments.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05"/>
        </w:trPr>
        <w:tc>
          <w:tcPr>
            <w:tcW w:w="29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7"/>
          </w:tcPr>
          <w:p>
            <w:pPr>
              <w:jc w:val="right"/>
              <w:ind w:right="531"/>
              <w:spacing w:after="0"/>
              <w:rPr>
                <w:sz w:val="20"/>
                <w:szCs w:val="20"/>
                <w:color w:val="auto"/>
              </w:rPr>
            </w:pPr>
            <w:r>
              <w:rPr>
                <w:rFonts w:ascii="Arial" w:cs="Arial" w:eastAsia="Arial" w:hAnsi="Arial"/>
                <w:sz w:val="14"/>
                <w:szCs w:val="14"/>
                <w:b w:val="1"/>
                <w:bCs w:val="1"/>
                <w:color w:val="auto"/>
              </w:rPr>
              <w:t>Three Months Ended March 31, 2026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7"/>
          </w:tcPr>
          <w:p>
            <w:pPr>
              <w:jc w:val="right"/>
              <w:ind w:right="551"/>
              <w:spacing w:after="0"/>
              <w:rPr>
                <w:sz w:val="20"/>
                <w:szCs w:val="20"/>
                <w:color w:val="auto"/>
              </w:rPr>
            </w:pPr>
            <w:r>
              <w:rPr>
                <w:rFonts w:ascii="Arial" w:cs="Arial" w:eastAsia="Arial" w:hAnsi="Arial"/>
                <w:sz w:val="14"/>
                <w:szCs w:val="14"/>
                <w:b w:val="1"/>
                <w:bCs w:val="1"/>
                <w:color w:val="auto"/>
              </w:rPr>
              <w:t>Three Months Ended March 31, 2025</w:t>
            </w:r>
          </w:p>
        </w:tc>
      </w:tr>
      <w:tr>
        <w:trPr>
          <w:trHeight w:val="223"/>
        </w:trPr>
        <w:tc>
          <w:tcPr>
            <w:tcW w:w="29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Passenger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Cargo</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Passenger</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Cargo</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Total</w:t>
            </w: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292,277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338,366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298,492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28,157</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326,649</w:t>
            </w:r>
          </w:p>
        </w:tc>
      </w:tr>
      <w:tr>
        <w:trPr>
          <w:trHeight w:val="250"/>
        </w:trPr>
        <w:tc>
          <w:tcPr>
            <w:tcW w:w="29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7"/>
        </w:trPr>
        <w:tc>
          <w:tcPr>
            <w:tcW w:w="294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72,574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72,901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64,619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64,619</w:t>
            </w:r>
          </w:p>
        </w:tc>
      </w:tr>
      <w:tr>
        <w:trPr>
          <w:trHeight w:val="23"/>
        </w:trPr>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Wages,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73,169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104,191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75,183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17,662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92,845</w:t>
            </w:r>
          </w:p>
        </w:tc>
      </w:tr>
      <w:tr>
        <w:trPr>
          <w:trHeight w:val="247"/>
        </w:trPr>
        <w:tc>
          <w:tcPr>
            <w:tcW w:w="2940" w:type="dxa"/>
            <w:vAlign w:val="bottom"/>
          </w:tcPr>
          <w:p>
            <w:pPr>
              <w:ind w:left="180"/>
              <w:spacing w:after="0"/>
              <w:rPr>
                <w:sz w:val="20"/>
                <w:szCs w:val="20"/>
                <w:color w:val="auto"/>
              </w:rPr>
            </w:pPr>
            <w:r>
              <w:rPr>
                <w:rFonts w:ascii="Arial" w:cs="Arial" w:eastAsia="Arial" w:hAnsi="Arial"/>
                <w:sz w:val="18"/>
                <w:szCs w:val="18"/>
                <w:color w:val="auto"/>
              </w:rPr>
              <w:t>Maintenance</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13,803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6,620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20,423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15,343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3,519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18,862</w:t>
            </w:r>
          </w:p>
        </w:tc>
      </w:tr>
      <w:tr>
        <w:trPr>
          <w:trHeight w:val="23"/>
        </w:trPr>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10,395</w:t>
            </w:r>
          </w:p>
        </w:tc>
      </w:tr>
      <w:tr>
        <w:trPr>
          <w:trHeight w:val="247"/>
        </w:trPr>
        <w:tc>
          <w:tcPr>
            <w:tcW w:w="29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25,145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25,157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24,799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24,804</w:t>
            </w:r>
          </w:p>
        </w:tc>
      </w:tr>
      <w:tr>
        <w:trPr>
          <w:trHeight w:val="23"/>
        </w:trPr>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Ground Handling</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11,407</w:t>
            </w:r>
          </w:p>
        </w:tc>
      </w:tr>
      <w:tr>
        <w:trPr>
          <w:trHeight w:val="247"/>
        </w:trPr>
        <w:tc>
          <w:tcPr>
            <w:tcW w:w="2940" w:type="dxa"/>
            <w:vAlign w:val="bottom"/>
          </w:tcPr>
          <w:p>
            <w:pPr>
              <w:ind w:left="180"/>
              <w:spacing w:after="0"/>
              <w:rPr>
                <w:sz w:val="20"/>
                <w:szCs w:val="20"/>
                <w:color w:val="auto"/>
              </w:rPr>
            </w:pPr>
            <w:r>
              <w:rPr>
                <w:rFonts w:ascii="Arial" w:cs="Arial" w:eastAsia="Arial" w:hAnsi="Arial"/>
                <w:sz w:val="18"/>
                <w:szCs w:val="18"/>
                <w:color w:val="auto"/>
              </w:rPr>
              <w:t>Landing Fees and Airport Rent</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17,515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17,722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16,684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16,833</w:t>
            </w:r>
          </w:p>
        </w:tc>
      </w:tr>
      <w:tr>
        <w:trPr>
          <w:trHeight w:val="23"/>
        </w:trPr>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 Items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1,799</w:t>
            </w:r>
          </w:p>
        </w:tc>
      </w:tr>
      <w:tr>
        <w:trPr>
          <w:trHeight w:val="247"/>
        </w:trPr>
        <w:tc>
          <w:tcPr>
            <w:tcW w:w="2940" w:type="dxa"/>
            <w:vAlign w:val="bottom"/>
          </w:tcPr>
          <w:p>
            <w:pPr>
              <w:ind w:left="180"/>
              <w:spacing w:after="0"/>
              <w:rPr>
                <w:sz w:val="20"/>
                <w:szCs w:val="20"/>
                <w:color w:val="auto"/>
              </w:rPr>
            </w:pPr>
            <w:r>
              <w:rPr>
                <w:rFonts w:ascii="Arial" w:cs="Arial" w:eastAsia="Arial" w:hAnsi="Arial"/>
                <w:sz w:val="18"/>
                <w:szCs w:val="18"/>
                <w:color w:val="auto"/>
              </w:rPr>
              <w:t>Other Operating, net</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20,446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10,297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30,743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23,543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5,296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28,839</w:t>
            </w:r>
          </w:p>
        </w:tc>
      </w:tr>
      <w:tr>
        <w:trPr>
          <w:trHeight w:val="23"/>
        </w:trPr>
        <w:tc>
          <w:tcPr>
            <w:tcW w:w="2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2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250,058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301,489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243,772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26,631</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270,403</w:t>
            </w:r>
          </w:p>
        </w:tc>
      </w:tr>
      <w:tr>
        <w:trPr>
          <w:trHeight w:val="263"/>
        </w:trPr>
        <w:tc>
          <w:tcPr>
            <w:tcW w:w="29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42,219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(5,342)</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36,877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54,720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1,526</w:t>
            </w: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56,246</w:t>
            </w:r>
          </w:p>
        </w:tc>
      </w:tr>
      <w:tr>
        <w:trPr>
          <w:trHeight w:val="45"/>
        </w:trPr>
        <w:tc>
          <w:tcPr>
            <w:tcW w:w="29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10"/>
        </w:trPr>
        <w:tc>
          <w:tcPr>
            <w:tcW w:w="29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1,995</w:t>
            </w:r>
          </w:p>
        </w:tc>
      </w:tr>
      <w:tr>
        <w:trPr>
          <w:trHeight w:val="247"/>
        </w:trPr>
        <w:tc>
          <w:tcPr>
            <w:tcW w:w="29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(8,851)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(9,625)</w:t>
            </w:r>
          </w:p>
        </w:tc>
      </w:tr>
      <w:tr>
        <w:trPr>
          <w:trHeight w:val="23"/>
        </w:trPr>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(478)</w:t>
            </w:r>
          </w:p>
        </w:tc>
      </w:tr>
      <w:tr>
        <w:trPr>
          <w:trHeight w:val="264"/>
        </w:trPr>
        <w:tc>
          <w:tcPr>
            <w:tcW w:w="2940" w:type="dxa"/>
            <w:vAlign w:val="bottom"/>
          </w:tcPr>
          <w:p>
            <w:pPr>
              <w:ind w:left="340"/>
              <w:spacing w:after="0"/>
              <w:rPr>
                <w:sz w:val="20"/>
                <w:szCs w:val="20"/>
                <w:color w:val="auto"/>
              </w:rPr>
            </w:pPr>
            <w:r>
              <w:rPr>
                <w:rFonts w:ascii="Arial" w:cs="Arial" w:eastAsia="Arial" w:hAnsi="Arial"/>
                <w:sz w:val="18"/>
                <w:szCs w:val="18"/>
                <w:color w:val="auto"/>
              </w:rPr>
              <w:t>Income Before Income Tax</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30,263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48,138</w:t>
            </w:r>
          </w:p>
        </w:tc>
      </w:tr>
      <w:tr>
        <w:trPr>
          <w:trHeight w:val="20"/>
        </w:trPr>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5"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Company evaluated subsequent events for the period from the Balance Sheet date through May 1, 2026, the date that the Condensed Consolidated Financial Statements were available to be issued.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the terms “Sun Country,” “we,” “us” and “our” refer to Sun Country Airlines Holdings, Inc.,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7" w:lineRule="exact"/>
        <w:rPr>
          <w:sz w:val="20"/>
          <w:szCs w:val="20"/>
          <w:color w:val="auto"/>
        </w:rPr>
      </w:pPr>
    </w:p>
    <w:p>
      <w:pPr>
        <w:jc w:val="both"/>
        <w:spacing w:after="0" w:line="254" w:lineRule="auto"/>
        <w:rPr>
          <w:rFonts w:ascii="Arial" w:cs="Arial" w:eastAsia="Arial" w:hAnsi="Arial"/>
          <w:sz w:val="18"/>
          <w:szCs w:val="18"/>
          <w:i w:val="1"/>
          <w:iCs w:val="1"/>
          <w:color w:val="auto"/>
        </w:rPr>
      </w:pPr>
      <w:r>
        <w:rPr>
          <w:rFonts w:ascii="Arial" w:cs="Arial" w:eastAsia="Arial" w:hAnsi="Arial"/>
          <w:sz w:val="18"/>
          <w:szCs w:val="18"/>
          <w:i w:val="1"/>
          <w:iCs w:val="1"/>
          <w:color w:val="auto"/>
        </w:rPr>
        <w:t>The following discussion and analysis presents factors that had a material effect on our results of operations during the three months ended March 31, 2026 and 2025. Also discussed is our financial position as of March 31, 2026 and December 31, 2025. This section should be read in conjunction with our unaudited Condensed Consolidated Financial Statements and related notes appearing elsewhere in this Quarterly Report on Form 10-Q and our audited Consolidated Financial Statements and related notes and discussion under the heading, “</w:t>
      </w:r>
      <w:hyperlink r:id="rId63">
        <w:r>
          <w:rPr>
            <w:rFonts w:ascii="Arial" w:cs="Arial" w:eastAsia="Arial" w:hAnsi="Arial"/>
            <w:sz w:val="18"/>
            <w:szCs w:val="18"/>
            <w:i w:val="1"/>
            <w:iCs w:val="1"/>
            <w:u w:val="single" w:color="auto"/>
            <w:color w:val="0000FF"/>
          </w:rPr>
          <w:t>Management’s Discussion and Analysis of Financial Condition and Results of Operations</w:t>
        </w:r>
      </w:hyperlink>
      <w:r>
        <w:rPr>
          <w:rFonts w:ascii="Arial" w:cs="Arial" w:eastAsia="Arial" w:hAnsi="Arial"/>
          <w:sz w:val="18"/>
          <w:szCs w:val="18"/>
          <w:i w:val="1"/>
          <w:iCs w:val="1"/>
          <w:color w:val="auto"/>
        </w:rPr>
        <w:t>” in our 2025 10-K.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report titled, “Risk Factors” and elsewhere in this report. You should carefully read the “</w:t>
      </w:r>
      <w:hyperlink r:id="rId64">
        <w:r>
          <w:rPr>
            <w:rFonts w:ascii="Arial" w:cs="Arial" w:eastAsia="Arial" w:hAnsi="Arial"/>
            <w:sz w:val="18"/>
            <w:szCs w:val="18"/>
            <w:i w:val="1"/>
            <w:iCs w:val="1"/>
            <w:u w:val="single" w:color="auto"/>
            <w:color w:val="0000FF"/>
          </w:rPr>
          <w:t>Risk Factors</w:t>
        </w:r>
      </w:hyperlink>
      <w:r>
        <w:rPr>
          <w:rFonts w:ascii="Arial" w:cs="Arial" w:eastAsia="Arial" w:hAnsi="Arial"/>
          <w:sz w:val="18"/>
          <w:szCs w:val="18"/>
          <w:i w:val="1"/>
          <w:iCs w:val="1"/>
          <w:color w:val="auto"/>
        </w:rPr>
        <w:t>” included in our 2025 10-K to gain an understanding of the important factors that could cause actual results to differ materially from our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Sun Country is a new breed of hybrid low-cost air carrier that dynamically deploys shared resources across our synergistic passenger service (including Scheduled Service and Charter), and cargo service segments. By doing so, we generate high growth, high margins and strong cash flows with greater resilience than other passenger airlines. Based in Minnesota, we focus on serving leisure and visiting friends and relatives ("VFR") passengers, Charter customers and providing crew, maintenance and insurance (“CMI”) service to Amazon, with flights throughout the U.S. and to destinations in Canada, Mexico, Central America and the Caribbean. We share resources, such as flight crews, across our Passenger and Cargo segments with the objective of generating higher returns and margins and mitigating the seasonality of our route network. We optimize capacity using an agile peak demand scheduling strategy which aims to shift flying to markets during periods of peak demand and away from markets during periods of low demand. This allows us to produce higher unit revenue with a competitive low-cost structure, in line with other ultra low-cost carriers ("ULCCs") resulting in relatively high unit profitability, while also providing greater resiliency to economic or industry downturns.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Agreement with Allegiant Travel Company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January 11, 2026, Sun Country, entered into the Merger Agreement with Allegiant Travel Company, a Nevada corporation (“Allegiant”), under which Allegiant will acquire Sun Country. Pursuant to the Merger Agreement, each existing share of Sun Country Common Stock will be converted into the right to receive (i) $4.10 in cash, without interest and (ii) 0.1557 shares of Allegiant Common Stock.</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Merger is expected to close as early as May 13, 2026, subject to shareholder approval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of the Condensed Consolidated Financial Statements included in Part I, Item 1 of this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have incurred material expenses related to the Merger which had an impact to earnings in the first quarter of 2026.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in Review</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a key component of our success is establishing Sun Country as a high growth, low-cost carrier in the U.S. by attracting customers with low fares and garnering repeat business by delivering a high-quality passenger experience, complimentary streaming of in-flight entertainment to passenger devices, seat reclining and seat-back power in all our aircraft.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air travel services has historically been affected by U.S. and global economic conditions, or other geopolitical events. Our diversified business model, which includes a focus on leisure and VFR passengers, Charter and Cargo service, all primarily within the U.S., is unique in the airline sector and helps mitigate the impact of cyclical, economic, and industry downturns on our business when compared with other large U.S. passenger airlines. Our business model is flexible, which gives us the ability to adjust our services in response to market conditions and is intended to produce the highest possible returns for Sun Country.</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Macroeconomic conditions continue to impact Sun Country, as well as the industry. Certain of our operating costs have been further impacted by inflationary pressures, geopolitical events, supply chain issues, and other macroeconomic conditions. To date, our strategy has allowed us to offset a majority of additional costs associated with the impact of macroeconomic conditions. Additionally, our Charter and Cargo businesses have the ability to pass on certain costs to customers.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accounting estimates and assumptions used in the preparation of our Condensed Consolidated Financial Statements involve financial projections or depend on factors that are inherently uncertain and challenging to estimate during periods of economic uncertainty. Should the current economic uncertainty persist or worsen, the Company may need to reevaluate these estimates and assumptions, potentially resulting in a material impact on the Company's financial position, assets, or earnings.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June 2024, we entered into the A&amp;R ATSA with Amazon that increased the number of Boeing 737-800 cargo aircraft that we operate on behalf of Amazon from 12 to 20 in 2025. In early 2026, we agreed to operate two additional cargo aircraft on behalf of Amazon. This will increase the total aircraft that Sun Country operates on behalf of Amazon from 20 to 22. The two additional cargo aircraft were received as of March 31, 2026 and are expected to be in-service by the third quarter of 2026.</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aircraft that we operate on behalf of Amazon will result in more resources being allocated to the Cargo segment. This aligns with our strategy of long-term flexibility and supports our ability to mitigate the impact of cyclical, economic, and industry downturns on our business.</w:t>
      </w:r>
    </w:p>
    <w:p>
      <w:pPr>
        <w:spacing w:after="0" w:line="171" w:lineRule="exact"/>
        <w:rPr>
          <w:sz w:val="20"/>
          <w:szCs w:val="20"/>
          <w:color w:val="auto"/>
        </w:rPr>
      </w:pPr>
    </w:p>
    <w:p>
      <w:pPr>
        <w:jc w:val="both"/>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more information on our business and strategic advantages, see the "Business" and “Management’s Discussion and Analysis of Financial Condition and Results of Operations” sections within Part I, </w:t>
      </w:r>
      <w:hyperlink r:id="rId67">
        <w:r>
          <w:rPr>
            <w:rFonts w:ascii="Arial" w:cs="Arial" w:eastAsia="Arial" w:hAnsi="Arial"/>
            <w:sz w:val="18"/>
            <w:szCs w:val="18"/>
            <w:u w:val="single" w:color="auto"/>
            <w:color w:val="0000FF"/>
          </w:rPr>
          <w:t>Item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Part II, </w:t>
      </w:r>
      <w:hyperlink r:id="rId63">
        <w:r>
          <w:rPr>
            <w:rFonts w:ascii="Arial" w:cs="Arial" w:eastAsia="Arial" w:hAnsi="Arial"/>
            <w:sz w:val="18"/>
            <w:szCs w:val="18"/>
            <w:u w:val="single" w:color="auto"/>
            <w:color w:val="0000FF"/>
          </w:rPr>
          <w:t>Item 7</w:t>
        </w:r>
      </w:hyperlink>
      <w:r>
        <w:rPr>
          <w:rFonts w:ascii="Arial" w:cs="Arial" w:eastAsia="Arial" w:hAnsi="Arial"/>
          <w:sz w:val="18"/>
          <w:szCs w:val="18"/>
          <w:color w:val="auto"/>
        </w:rPr>
        <w:t>, respectively, in our 2025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Operations</w:t>
      </w:r>
    </w:p>
    <w:p>
      <w:pPr>
        <w:spacing w:after="0" w:line="225" w:lineRule="exact"/>
        <w:rPr>
          <w:sz w:val="20"/>
          <w:szCs w:val="20"/>
          <w:color w:val="auto"/>
        </w:rPr>
      </w:pPr>
    </w:p>
    <w:p>
      <w:pPr>
        <w:jc w:val="both"/>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For a more detailed discussion on the nature of transactions included in the separate line items of our Condensed Consolidated Statement of Operations, see “Management’s Discussion and Analysis of Financial Condition and Results of Operations” in Part II, </w:t>
      </w:r>
      <w:hyperlink r:id="rId63">
        <w:r>
          <w:rPr>
            <w:rFonts w:ascii="Arial" w:cs="Arial" w:eastAsia="Arial" w:hAnsi="Arial"/>
            <w:sz w:val="18"/>
            <w:szCs w:val="18"/>
            <w:u w:val="single" w:color="auto"/>
            <w:color w:val="0000FF"/>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our 2025 10-K.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40"/>
              <w:spacing w:after="0"/>
              <w:rPr>
                <w:sz w:val="20"/>
                <w:szCs w:val="20"/>
                <w:color w:val="auto"/>
              </w:rPr>
            </w:pPr>
            <w:r>
              <w:rPr>
                <w:rFonts w:ascii="Arial" w:cs="Arial" w:eastAsia="Arial" w:hAnsi="Arial"/>
                <w:sz w:val="11"/>
                <w:szCs w:val="11"/>
                <w:b w:val="1"/>
                <w:bCs w:val="1"/>
                <w:color w:val="auto"/>
                <w:w w:val="98"/>
              </w:rPr>
              <w:t xml:space="preserve">Three Months Ended March 31, 2026 </w:t>
            </w:r>
            <w:r>
              <w:rPr>
                <w:rFonts w:ascii="Arial" w:cs="Arial" w:eastAsia="Arial" w:hAnsi="Arial"/>
                <w:sz w:val="14"/>
                <w:szCs w:val="14"/>
                <w:b w:val="1"/>
                <w:bCs w:val="1"/>
                <w:color w:val="auto"/>
                <w:w w:val="98"/>
                <w:vertAlign w:val="superscript"/>
              </w:rPr>
              <w:t>(1)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1"/>
                <w:szCs w:val="11"/>
                <w:b w:val="1"/>
                <w:bCs w:val="1"/>
                <w:color w:val="auto"/>
                <w:w w:val="97"/>
              </w:rPr>
              <w:t xml:space="preserve">Three Months Ended March 31, 2025 </w:t>
            </w:r>
            <w:r>
              <w:rPr>
                <w:rFonts w:ascii="Arial" w:cs="Arial" w:eastAsia="Arial" w:hAnsi="Arial"/>
                <w:sz w:val="14"/>
                <w:szCs w:val="14"/>
                <w:b w:val="1"/>
                <w:bCs w:val="1"/>
                <w:color w:val="auto"/>
                <w:w w:val="97"/>
                <w:vertAlign w:val="superscript"/>
              </w:rPr>
              <w:t>(1)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3"/>
          </w:tcPr>
          <w:p>
            <w:pPr>
              <w:jc w:val="center"/>
              <w:ind w:right="366"/>
              <w:spacing w:after="0" w:line="102" w:lineRule="exact"/>
              <w:rPr>
                <w:sz w:val="20"/>
                <w:szCs w:val="20"/>
                <w:color w:val="auto"/>
              </w:rPr>
            </w:pPr>
            <w:r>
              <w:rPr>
                <w:rFonts w:ascii="Arial" w:cs="Arial" w:eastAsia="Arial" w:hAnsi="Arial"/>
                <w:sz w:val="11"/>
                <w:szCs w:val="11"/>
                <w:b w:val="1"/>
                <w:bCs w:val="1"/>
                <w:color w:val="auto"/>
                <w:w w:val="96"/>
              </w:rPr>
              <w:t>Scheduled</w:t>
            </w: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Charter</w:t>
            </w:r>
          </w:p>
        </w:tc>
        <w:tc>
          <w:tcPr>
            <w:tcW w:w="104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Cargo</w:t>
            </w:r>
          </w:p>
        </w:tc>
        <w:tc>
          <w:tcPr>
            <w:tcW w:w="240" w:type="dxa"/>
            <w:vAlign w:val="bottom"/>
          </w:tcPr>
          <w:p>
            <w:pPr>
              <w:spacing w:after="0"/>
              <w:rPr>
                <w:sz w:val="8"/>
                <w:szCs w:val="8"/>
                <w:color w:val="auto"/>
              </w:rPr>
            </w:pPr>
          </w:p>
        </w:tc>
        <w:tc>
          <w:tcPr>
            <w:tcW w:w="1040" w:type="dxa"/>
            <w:vAlign w:val="bottom"/>
            <w:gridSpan w:val="3"/>
            <w:vMerge w:val="restart"/>
          </w:tcPr>
          <w:p>
            <w:pPr>
              <w:jc w:val="right"/>
              <w:ind w:right="640"/>
              <w:spacing w:after="0"/>
              <w:rPr>
                <w:sz w:val="20"/>
                <w:szCs w:val="20"/>
                <w:color w:val="auto"/>
              </w:rPr>
            </w:pPr>
            <w:r>
              <w:rPr>
                <w:rFonts w:ascii="Arial" w:cs="Arial" w:eastAsia="Arial" w:hAnsi="Arial"/>
                <w:sz w:val="11"/>
                <w:szCs w:val="11"/>
                <w:b w:val="1"/>
                <w:bCs w:val="1"/>
                <w:color w:val="auto"/>
              </w:rPr>
              <w:t>Total</w:t>
            </w:r>
          </w:p>
        </w:tc>
        <w:tc>
          <w:tcPr>
            <w:tcW w:w="1140" w:type="dxa"/>
            <w:vAlign w:val="bottom"/>
            <w:gridSpan w:val="3"/>
          </w:tcPr>
          <w:p>
            <w:pPr>
              <w:jc w:val="center"/>
              <w:ind w:right="420"/>
              <w:spacing w:after="0" w:line="102" w:lineRule="exact"/>
              <w:rPr>
                <w:sz w:val="20"/>
                <w:szCs w:val="20"/>
                <w:color w:val="auto"/>
              </w:rPr>
            </w:pPr>
            <w:r>
              <w:rPr>
                <w:rFonts w:ascii="Arial" w:cs="Arial" w:eastAsia="Arial" w:hAnsi="Arial"/>
                <w:sz w:val="11"/>
                <w:szCs w:val="11"/>
                <w:b w:val="1"/>
                <w:bCs w:val="1"/>
                <w:color w:val="auto"/>
              </w:rPr>
              <w:t>Scheduled</w:t>
            </w: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Charter</w:t>
            </w:r>
          </w:p>
        </w:tc>
        <w:tc>
          <w:tcPr>
            <w:tcW w:w="1240" w:type="dxa"/>
            <w:vAlign w:val="bottom"/>
            <w:gridSpan w:val="3"/>
            <w:vMerge w:val="restart"/>
          </w:tcPr>
          <w:p>
            <w:pPr>
              <w:jc w:val="right"/>
              <w:ind w:right="620"/>
              <w:spacing w:after="0"/>
              <w:rPr>
                <w:sz w:val="20"/>
                <w:szCs w:val="20"/>
                <w:color w:val="auto"/>
              </w:rPr>
            </w:pPr>
            <w:r>
              <w:rPr>
                <w:rFonts w:ascii="Arial" w:cs="Arial" w:eastAsia="Arial" w:hAnsi="Arial"/>
                <w:sz w:val="11"/>
                <w:szCs w:val="11"/>
                <w:b w:val="1"/>
                <w:bCs w:val="1"/>
                <w:color w:val="auto"/>
              </w:rPr>
              <w:t>Cargo</w:t>
            </w:r>
          </w:p>
        </w:tc>
        <w:tc>
          <w:tcPr>
            <w:tcW w:w="74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jc w:val="center"/>
              <w:ind w:right="366"/>
              <w:spacing w:after="0"/>
              <w:rPr>
                <w:sz w:val="20"/>
                <w:szCs w:val="20"/>
                <w:color w:val="auto"/>
              </w:rPr>
            </w:pPr>
            <w:r>
              <w:rPr>
                <w:rFonts w:ascii="Arial" w:cs="Arial" w:eastAsia="Arial" w:hAnsi="Arial"/>
                <w:sz w:val="11"/>
                <w:szCs w:val="11"/>
                <w:b w:val="1"/>
                <w:bCs w:val="1"/>
                <w:color w:val="auto"/>
                <w:w w:val="96"/>
              </w:rPr>
              <w:t>Service</w:t>
            </w:r>
          </w:p>
        </w:tc>
        <w:tc>
          <w:tcPr>
            <w:tcW w:w="86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1"/>
                <w:szCs w:val="11"/>
                <w:b w:val="1"/>
                <w:bCs w:val="1"/>
                <w:color w:val="auto"/>
              </w:rPr>
              <w:t>Service</w:t>
            </w:r>
          </w:p>
        </w:tc>
        <w:tc>
          <w:tcPr>
            <w:tcW w:w="860" w:type="dxa"/>
            <w:vAlign w:val="bottom"/>
            <w:gridSpan w:val="2"/>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 xml:space="preserve">Departures </w:t>
            </w:r>
            <w:r>
              <w:rPr>
                <w:rFonts w:ascii="Arial" w:cs="Arial" w:eastAsia="Arial" w:hAnsi="Arial"/>
                <w:sz w:val="14"/>
                <w:szCs w:val="14"/>
                <w:color w:val="auto"/>
                <w:vertAlign w:val="superscript"/>
              </w:rPr>
              <w:t>(2)</w:t>
            </w: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6,442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2,394</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4,818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13,794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7,466</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2,468</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2,926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12,964</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Block hours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23,712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5,373</w:t>
            </w: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12,321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41,973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27,242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5,424</w:t>
            </w: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7,605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40,681</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Aircraft miles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9,428,273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1,874,377</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4,611,164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16,057,284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10,863,145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1,886,746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2,868,687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15,719,114</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Available seat miles (ASMs) (thousands)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1,755,808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330,804</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2,112,944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2,020,545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331,510</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2,370,755</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Total revenue per ASM (TRASM) (cents) </w:t>
            </w:r>
            <w:r>
              <w:rPr>
                <w:rFonts w:ascii="Arial" w:cs="Arial" w:eastAsia="Arial" w:hAnsi="Arial"/>
                <w:sz w:val="14"/>
                <w:szCs w:val="14"/>
                <w:color w:val="auto"/>
                <w:vertAlign w:val="superscript"/>
              </w:rPr>
              <w:t>(3)</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17.35</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13.67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16.55</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12.23</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passenger aircraft during the period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46.1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44.0</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Passenger aircraft at end of period </w:t>
            </w:r>
            <w:r>
              <w:rPr>
                <w:rFonts w:ascii="Arial" w:cs="Arial" w:eastAsia="Arial" w:hAnsi="Arial"/>
                <w:sz w:val="14"/>
                <w:szCs w:val="14"/>
                <w:color w:val="auto"/>
                <w:vertAlign w:val="superscript"/>
              </w:rPr>
              <w:t>(4)</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Arial" w:cs="Arial" w:eastAsia="Arial" w:hAnsi="Arial"/>
                <w:sz w:val="11"/>
                <w:szCs w:val="11"/>
                <w:color w:val="auto"/>
              </w:rPr>
              <w:t>Cargo aircraft at end of period</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Leased Aircraft </w:t>
            </w:r>
            <w:r>
              <w:rPr>
                <w:rFonts w:ascii="Arial" w:cs="Arial" w:eastAsia="Arial" w:hAnsi="Arial"/>
                <w:sz w:val="14"/>
                <w:szCs w:val="14"/>
                <w:color w:val="auto"/>
                <w:vertAlign w:val="superscript"/>
              </w:rPr>
              <w:t>(5)</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daily aircraft utilization (hours)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7.2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8.4</w:t>
            </w:r>
          </w:p>
        </w:tc>
        <w:tc>
          <w:tcPr>
            <w:tcW w:w="0" w:type="dxa"/>
            <w:vAlign w:val="bottom"/>
          </w:tcPr>
          <w:p>
            <w:pPr>
              <w:spacing w:after="0"/>
              <w:rPr>
                <w:sz w:val="1"/>
                <w:szCs w:val="1"/>
                <w:color w:val="auto"/>
              </w:rPr>
            </w:pPr>
          </w:p>
        </w:tc>
      </w:tr>
      <w:tr>
        <w:trPr>
          <w:trHeight w:val="14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Average stage length (miles)</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1,279</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1,283</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Revenue passengers carried </w:t>
            </w:r>
            <w:r>
              <w:rPr>
                <w:rFonts w:ascii="Arial" w:cs="Arial" w:eastAsia="Arial" w:hAnsi="Arial"/>
                <w:sz w:val="14"/>
                <w:szCs w:val="14"/>
                <w:color w:val="auto"/>
                <w:vertAlign w:val="superscript"/>
              </w:rPr>
              <w:t>(6)</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1,027,745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1,165,073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Revenue passenger miles (RPMs) (thousands) </w:t>
            </w:r>
            <w:r>
              <w:rPr>
                <w:rFonts w:ascii="Arial" w:cs="Arial" w:eastAsia="Arial" w:hAnsi="Arial"/>
                <w:sz w:val="14"/>
                <w:szCs w:val="14"/>
                <w:color w:val="auto"/>
                <w:vertAlign w:val="superscript"/>
              </w:rPr>
              <w:t>(6)</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1,501,173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1,686,484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Load factor </w:t>
            </w:r>
            <w:r>
              <w:rPr>
                <w:rFonts w:ascii="Arial" w:cs="Arial" w:eastAsia="Arial" w:hAnsi="Arial"/>
                <w:sz w:val="14"/>
                <w:szCs w:val="14"/>
                <w:color w:val="auto"/>
                <w:vertAlign w:val="superscript"/>
              </w:rPr>
              <w:t>(6) (7)</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85.5 %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83.5 %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Average base fare per passenger </w:t>
            </w:r>
            <w:r>
              <w:rPr>
                <w:rFonts w:ascii="Arial" w:cs="Arial" w:eastAsia="Arial" w:hAnsi="Arial"/>
                <w:sz w:val="14"/>
                <w:szCs w:val="14"/>
                <w:color w:val="auto"/>
                <w:vertAlign w:val="superscript"/>
              </w:rPr>
              <w:t>(6)</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142.59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123.19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Ancillary revenue per passenger </w:t>
            </w:r>
            <w:r>
              <w:rPr>
                <w:rFonts w:ascii="Arial" w:cs="Arial" w:eastAsia="Arial" w:hAnsi="Arial"/>
                <w:sz w:val="14"/>
                <w:szCs w:val="14"/>
                <w:color w:val="auto"/>
                <w:vertAlign w:val="superscript"/>
              </w:rPr>
              <w:t>(6)</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79.26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86"/>
              <w:spacing w:after="0"/>
              <w:rPr>
                <w:sz w:val="20"/>
                <w:szCs w:val="20"/>
                <w:color w:val="auto"/>
              </w:rPr>
            </w:pPr>
            <w:r>
              <w:rPr>
                <w:rFonts w:ascii="Arial" w:cs="Arial" w:eastAsia="Arial" w:hAnsi="Arial"/>
                <w:sz w:val="11"/>
                <w:szCs w:val="11"/>
                <w:color w:val="auto"/>
              </w:rPr>
              <w:t>75.25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Total fare per passenger </w:t>
            </w:r>
            <w:r>
              <w:rPr>
                <w:rFonts w:ascii="Arial" w:cs="Arial" w:eastAsia="Arial" w:hAnsi="Arial"/>
                <w:sz w:val="14"/>
                <w:szCs w:val="14"/>
                <w:color w:val="auto"/>
                <w:vertAlign w:val="superscript"/>
              </w:rPr>
              <w:t>(6)</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221.85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198.44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Charter revenue per block hour </w:t>
            </w:r>
            <w:r>
              <w:rPr>
                <w:rFonts w:ascii="Arial" w:cs="Arial" w:eastAsia="Arial" w:hAnsi="Arial"/>
                <w:sz w:val="14"/>
                <w:szCs w:val="14"/>
                <w:color w:val="auto"/>
                <w:vertAlign w:val="superscript"/>
              </w:rPr>
              <w:t>(6)</w:t>
            </w:r>
          </w:p>
        </w:tc>
        <w:tc>
          <w:tcPr>
            <w:tcW w:w="140" w:type="dxa"/>
            <w:vAlign w:val="bottom"/>
          </w:tcPr>
          <w:p>
            <w:pPr>
              <w:spacing w:after="0"/>
              <w:rPr>
                <w:sz w:val="14"/>
                <w:szCs w:val="14"/>
                <w:color w:val="auto"/>
              </w:rPr>
            </w:pPr>
          </w:p>
        </w:tc>
        <w:tc>
          <w:tcPr>
            <w:tcW w:w="1080" w:type="dxa"/>
            <w:vAlign w:val="bottom"/>
            <w:gridSpan w:val="3"/>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10,653</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10,083</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Fuel gallons consumed (thousands)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3,756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22,636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21,289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3,699</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25,171</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Arial" w:cs="Arial" w:eastAsia="Arial" w:hAnsi="Arial"/>
                <w:sz w:val="11"/>
                <w:szCs w:val="11"/>
                <w:color w:val="auto"/>
              </w:rPr>
              <w:t>Fuel cost per gallon, excluding indirect fuel credits</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2.66</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Employees at end of period</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3,276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3,124</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Cost per available seat mile (CASM) (cents) </w:t>
            </w:r>
            <w:r>
              <w:rPr>
                <w:rFonts w:ascii="Arial" w:cs="Arial" w:eastAsia="Arial" w:hAnsi="Arial"/>
                <w:sz w:val="14"/>
                <w:szCs w:val="14"/>
                <w:color w:val="auto"/>
                <w:vertAlign w:val="superscript"/>
              </w:rPr>
              <w:t>(8)</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14.27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11.41</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Adjusted CASM (cents) </w:t>
            </w:r>
            <w:r>
              <w:rPr>
                <w:rFonts w:ascii="Arial" w:cs="Arial" w:eastAsia="Arial" w:hAnsi="Arial"/>
                <w:sz w:val="14"/>
                <w:szCs w:val="14"/>
                <w:color w:val="auto"/>
                <w:vertAlign w:val="superscript"/>
              </w:rPr>
              <w:t>(9)</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7.96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7.34</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spacing w:after="0" w:line="21"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Certain operating statistics and metrics are not presented as they are not calculable or are not utilized by management.</w:t>
      </w:r>
    </w:p>
    <w:p>
      <w:pPr>
        <w:spacing w:after="0" w:line="14" w:lineRule="exact"/>
        <w:rPr>
          <w:rFonts w:ascii="Arial" w:cs="Arial" w:eastAsia="Arial" w:hAnsi="Arial"/>
          <w:sz w:val="14"/>
          <w:szCs w:val="14"/>
          <w:color w:val="auto"/>
        </w:rPr>
      </w:pPr>
    </w:p>
    <w:p>
      <w:pPr>
        <w:ind w:left="340" w:right="20" w:hanging="332"/>
        <w:spacing w:after="0" w:line="251"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Total System operating statistics for Departures, Block hours, Aircraft miles, ASMs and Fuel gallons consumed include amounts related to flights operated for maintenance; therefore, the Total System amounts are higher than the sum of Scheduled Service, Charter and Cargo amounts.</w:t>
      </w:r>
    </w:p>
    <w:p>
      <w:pPr>
        <w:ind w:left="340" w:hanging="332"/>
        <w:spacing w:after="0" w:line="261"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Scheduled Service TRASM includes Scheduled Service revenue, Ancillary revenue, and ASM generating revenue classified within Other revenue on the Condensed Consolidated Statements of Operations.</w:t>
      </w: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Scheduled Service and Charter utilize the same fleet of aircraft. Aircraft counts and utilization metrics are shown on a system basis only.</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both our Owned Aircraft Held for Operating Lease as well as subleased aircraft. These aircraft are leased to unaffiliated third parties.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Passenger-related statistics and metrics are shown only for Scheduled Service. Charter revenue is driven by flight statistics.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Load factor is a measure of utilized available seating capacity calculated by dividing Scheduled Service RPMs by Scheduled Service ASMs for a reporting period.</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CASM is a key airline cost metric. CASM is defined as operating expenses divided by total available seat miles.</w:t>
      </w:r>
    </w:p>
    <w:p>
      <w:pPr>
        <w:spacing w:after="0" w:line="14" w:lineRule="exact"/>
        <w:rPr>
          <w:rFonts w:ascii="Arial" w:cs="Arial" w:eastAsia="Arial" w:hAnsi="Arial"/>
          <w:sz w:val="14"/>
          <w:szCs w:val="14"/>
          <w:color w:val="auto"/>
        </w:rPr>
      </w:pPr>
    </w:p>
    <w:p>
      <w:pPr>
        <w:ind w:left="340" w:right="20" w:hanging="332"/>
        <w:spacing w:after="0" w:line="284"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Adjusted CASM is a non-GAAP measure derived from CASM by excluding fuel costs, costs related to our cargo operations, and certain other costs that are unrelated to our airline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2026 and 2025</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00" w:type="dxa"/>
            <w:vAlign w:val="bottom"/>
          </w:tcPr>
          <w:p>
            <w:pPr>
              <w:spacing w:after="0"/>
              <w:rPr>
                <w:sz w:val="17"/>
                <w:szCs w:val="17"/>
                <w:color w:val="auto"/>
              </w:rPr>
            </w:pPr>
          </w:p>
        </w:tc>
        <w:tc>
          <w:tcPr>
            <w:tcW w:w="32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700" w:type="dxa"/>
            <w:vAlign w:val="bottom"/>
          </w:tcPr>
          <w:p>
            <w:pPr>
              <w:spacing w:after="0"/>
              <w:rPr>
                <w:sz w:val="4"/>
                <w:szCs w:val="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2026</w:t>
            </w: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7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Scheduled Service</w:t>
            </w:r>
          </w:p>
        </w:tc>
        <w:tc>
          <w:tcPr>
            <w:tcW w:w="1180" w:type="dxa"/>
            <w:vAlign w:val="bottom"/>
          </w:tcPr>
          <w:p>
            <w:pPr>
              <w:jc w:val="right"/>
              <w:ind w:right="979"/>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146,551</w:t>
            </w:r>
          </w:p>
        </w:tc>
        <w:tc>
          <w:tcPr>
            <w:tcW w:w="100" w:type="dxa"/>
            <w:vAlign w:val="bottom"/>
          </w:tcPr>
          <w:p>
            <w:pPr>
              <w:spacing w:after="0"/>
              <w:rPr>
                <w:sz w:val="23"/>
                <w:szCs w:val="23"/>
                <w:color w:val="auto"/>
              </w:rPr>
            </w:pPr>
          </w:p>
        </w:tc>
        <w:tc>
          <w:tcPr>
            <w:tcW w:w="1180" w:type="dxa"/>
            <w:vAlign w:val="bottom"/>
          </w:tcPr>
          <w:p>
            <w:pPr>
              <w:jc w:val="right"/>
              <w:ind w:right="97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143,522</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Charter</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57,245</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54,692</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Ancillary</w:t>
            </w:r>
          </w:p>
        </w:tc>
        <w:tc>
          <w:tcPr>
            <w:tcW w:w="1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81,463</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87,674</w:t>
            </w:r>
          </w:p>
        </w:tc>
        <w:tc>
          <w:tcPr>
            <w:tcW w:w="8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Passenger</w:t>
            </w: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285,259</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285,888</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Cargo</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46,089</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28,157</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12,604</w:t>
            </w:r>
          </w:p>
        </w:tc>
        <w:tc>
          <w:tcPr>
            <w:tcW w:w="8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Revenues</w:t>
            </w: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338,366</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326,649</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88"/>
        </w:trPr>
        <w:tc>
          <w:tcPr>
            <w:tcW w:w="57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1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72,901</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64,619</w:t>
            </w: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Salaries, Wages, and Benefits</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104,191</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92,845</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20,423</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18,862</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10,092</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10,395</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25,157</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24,804</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Ground Handling</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10,461</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11,407</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Landing Fees and Airport Rent</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17,722</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16,833</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5700" w:type="dxa"/>
            <w:vAlign w:val="bottom"/>
          </w:tcPr>
          <w:p>
            <w:pPr>
              <w:ind w:left="180"/>
              <w:spacing w:after="0"/>
              <w:rPr>
                <w:sz w:val="20"/>
                <w:szCs w:val="20"/>
                <w:color w:val="auto"/>
              </w:rPr>
            </w:pPr>
            <w:r>
              <w:rPr>
                <w:rFonts w:ascii="Arial" w:cs="Arial" w:eastAsia="Arial" w:hAnsi="Arial"/>
                <w:sz w:val="18"/>
                <w:szCs w:val="18"/>
                <w:color w:val="auto"/>
              </w:rPr>
              <w:t>Special Items</w:t>
            </w:r>
          </w:p>
        </w:tc>
        <w:tc>
          <w:tcPr>
            <w:tcW w:w="1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9,799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1,799</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net</w:t>
            </w: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30,743</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28,839</w:t>
            </w:r>
          </w:p>
        </w:tc>
        <w:tc>
          <w:tcPr>
            <w:tcW w:w="8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301,489</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270,403</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36,877</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56,246</w:t>
            </w:r>
          </w:p>
        </w:tc>
        <w:tc>
          <w:tcPr>
            <w:tcW w:w="8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88"/>
        </w:trPr>
        <w:tc>
          <w:tcPr>
            <w:tcW w:w="57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1,995</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(8,851)</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(9,625)</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1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8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Non-operating Expense, net</w:t>
            </w: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30,263</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48,138</w:t>
            </w:r>
          </w:p>
        </w:tc>
        <w:tc>
          <w:tcPr>
            <w:tcW w:w="8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Expense</w:t>
            </w: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6,157</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11,603</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36,535</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"NM" stands for not meaningful</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Total Operating Revenues increased $11,717, or 4%, to $ 338,366 for the three months ended March 31, 2026, as compared to the three months ended March 31, 2025. The increase was primarily the result of growth in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Cargo revenue due to additional aircraft received and operated, as well as contractual rate increases under the A&amp;R ATSA. These items are discussed in further detail below.</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revenue decreased $629 to $285,259 for the three months ended March 31, 2026 as compared to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2025. The table below presents select operating data for lines of revenue within Passenger, expressed as year-over-year changes: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Three Months Ended March 31,</w:t>
            </w:r>
          </w:p>
        </w:tc>
        <w:tc>
          <w:tcPr>
            <w:tcW w:w="1480" w:type="dxa"/>
            <w:vAlign w:val="bottom"/>
            <w:gridSpan w:val="2"/>
            <w:vMerge w:val="restart"/>
          </w:tcPr>
          <w:p>
            <w:pPr>
              <w:jc w:val="right"/>
              <w:ind w:right="5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59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vMerge w:val="restart"/>
          </w:tcPr>
          <w:p>
            <w:pPr>
              <w:jc w:val="right"/>
              <w:ind w:right="591"/>
              <w:spacing w:after="0"/>
              <w:rPr>
                <w:sz w:val="20"/>
                <w:szCs w:val="20"/>
                <w:color w:val="auto"/>
              </w:rPr>
            </w:pPr>
            <w:r>
              <w:rPr>
                <w:rFonts w:ascii="Arial" w:cs="Arial" w:eastAsia="Arial" w:hAnsi="Arial"/>
                <w:sz w:val="14"/>
                <w:szCs w:val="14"/>
                <w:b w:val="1"/>
                <w:bCs w:val="1"/>
                <w:color w:val="auto"/>
              </w:rPr>
              <w:t>2025</w:t>
            </w:r>
          </w:p>
        </w:tc>
        <w:tc>
          <w:tcPr>
            <w:tcW w:w="148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9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Change</w:t>
            </w:r>
          </w:p>
        </w:tc>
        <w:tc>
          <w:tcPr>
            <w:tcW w:w="3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Scheduled Service and Ancillary Statistics:</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300"/>
              <w:spacing w:after="0"/>
              <w:rPr>
                <w:sz w:val="20"/>
                <w:szCs w:val="20"/>
                <w:color w:val="auto"/>
              </w:rPr>
            </w:pPr>
            <w:r>
              <w:rPr>
                <w:rFonts w:ascii="Arial" w:cs="Arial" w:eastAsia="Arial" w:hAnsi="Arial"/>
                <w:sz w:val="18"/>
                <w:szCs w:val="18"/>
                <w:color w:val="auto"/>
              </w:rPr>
              <w:t>Departures</w:t>
            </w:r>
          </w:p>
        </w:tc>
        <w:tc>
          <w:tcPr>
            <w:tcW w:w="40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6,442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7,466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Block Hours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23,712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27,242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300"/>
              <w:spacing w:after="0"/>
              <w:rPr>
                <w:sz w:val="20"/>
                <w:szCs w:val="20"/>
                <w:color w:val="auto"/>
              </w:rPr>
            </w:pPr>
            <w:r>
              <w:rPr>
                <w:rFonts w:ascii="Arial" w:cs="Arial" w:eastAsia="Arial" w:hAnsi="Arial"/>
                <w:sz w:val="18"/>
                <w:szCs w:val="18"/>
                <w:color w:val="auto"/>
              </w:rPr>
              <w:t>Passengers</w:t>
            </w:r>
          </w:p>
        </w:tc>
        <w:tc>
          <w:tcPr>
            <w:tcW w:w="40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1,027,745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1,165,073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Average base fare per passenger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142.59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123.19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300"/>
              <w:spacing w:after="0"/>
              <w:rPr>
                <w:sz w:val="20"/>
                <w:szCs w:val="20"/>
                <w:color w:val="auto"/>
              </w:rPr>
            </w:pPr>
            <w:r>
              <w:rPr>
                <w:rFonts w:ascii="Arial" w:cs="Arial" w:eastAsia="Arial" w:hAnsi="Arial"/>
                <w:sz w:val="18"/>
                <w:szCs w:val="18"/>
                <w:color w:val="auto"/>
              </w:rPr>
              <w:t>Ancillary revenue per passenger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79.26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75.25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fare per passenger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221.85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198.44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300"/>
              <w:spacing w:after="0"/>
              <w:rPr>
                <w:sz w:val="20"/>
                <w:szCs w:val="20"/>
                <w:color w:val="auto"/>
              </w:rPr>
            </w:pPr>
            <w:r>
              <w:rPr>
                <w:rFonts w:ascii="Arial" w:cs="Arial" w:eastAsia="Arial" w:hAnsi="Arial"/>
                <w:sz w:val="18"/>
                <w:szCs w:val="18"/>
                <w:color w:val="auto"/>
              </w:rPr>
              <w:t>RPMs (thousands)</w:t>
            </w:r>
          </w:p>
        </w:tc>
        <w:tc>
          <w:tcPr>
            <w:tcW w:w="40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1,501,173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1,686,484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ASMs (thousands)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1,755,808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2,020,545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300"/>
              <w:spacing w:after="0"/>
              <w:rPr>
                <w:sz w:val="20"/>
                <w:szCs w:val="20"/>
                <w:color w:val="auto"/>
              </w:rPr>
            </w:pPr>
            <w:r>
              <w:rPr>
                <w:rFonts w:ascii="Arial" w:cs="Arial" w:eastAsia="Arial" w:hAnsi="Arial"/>
                <w:sz w:val="18"/>
                <w:szCs w:val="18"/>
                <w:color w:val="auto"/>
              </w:rPr>
              <w:t>TRASM (cents)</w:t>
            </w:r>
          </w:p>
        </w:tc>
        <w:tc>
          <w:tcPr>
            <w:tcW w:w="40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11.63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594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rPr>
              <w:t>Passenger load factor</w:t>
            </w:r>
          </w:p>
        </w:tc>
        <w:tc>
          <w:tcPr>
            <w:tcW w:w="40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85.5 %</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83.5 %</w:t>
            </w:r>
          </w:p>
        </w:tc>
        <w:tc>
          <w:tcPr>
            <w:tcW w:w="1480" w:type="dxa"/>
            <w:vAlign w:val="bottom"/>
            <w:gridSpan w:val="2"/>
            <w:vMerge w:val="restart"/>
            <w:shd w:val="clear" w:color="auto" w:fill="CCEEFF"/>
          </w:tcPr>
          <w:p>
            <w:pPr>
              <w:jc w:val="right"/>
              <w:ind w:right="148"/>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88"/>
        </w:trPr>
        <w:tc>
          <w:tcPr>
            <w:tcW w:w="5940" w:type="dxa"/>
            <w:vAlign w:val="bottom"/>
            <w:vMerge w:val="continue"/>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3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300" w:type="dxa"/>
            <w:vAlign w:val="bottom"/>
            <w:vMerge w:val="continue"/>
            <w:shd w:val="clear" w:color="auto" w:fill="CCEEFF"/>
          </w:tcPr>
          <w:p>
            <w:pPr>
              <w:spacing w:after="0"/>
              <w:rPr>
                <w:sz w:val="7"/>
                <w:szCs w:val="7"/>
                <w:color w:val="auto"/>
              </w:rPr>
            </w:pPr>
          </w:p>
        </w:tc>
        <w:tc>
          <w:tcPr>
            <w:tcW w:w="1480" w:type="dxa"/>
            <w:vAlign w:val="bottom"/>
            <w:gridSpan w:val="2"/>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Charter Statistics: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300"/>
              <w:spacing w:after="0"/>
              <w:rPr>
                <w:sz w:val="20"/>
                <w:szCs w:val="20"/>
                <w:color w:val="auto"/>
              </w:rPr>
            </w:pPr>
            <w:r>
              <w:rPr>
                <w:rFonts w:ascii="Arial" w:cs="Arial" w:eastAsia="Arial" w:hAnsi="Arial"/>
                <w:sz w:val="18"/>
                <w:szCs w:val="18"/>
                <w:color w:val="auto"/>
              </w:rPr>
              <w:t>Departures</w:t>
            </w:r>
          </w:p>
        </w:tc>
        <w:tc>
          <w:tcPr>
            <w:tcW w:w="40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2,394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2,468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Block hours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5,373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5,424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40" w:type="dxa"/>
            <w:vAlign w:val="bottom"/>
          </w:tcPr>
          <w:p>
            <w:pPr>
              <w:ind w:left="300"/>
              <w:spacing w:after="0"/>
              <w:rPr>
                <w:sz w:val="20"/>
                <w:szCs w:val="20"/>
                <w:color w:val="auto"/>
              </w:rPr>
            </w:pPr>
            <w:r>
              <w:rPr>
                <w:rFonts w:ascii="Arial" w:cs="Arial" w:eastAsia="Arial" w:hAnsi="Arial"/>
                <w:sz w:val="18"/>
                <w:szCs w:val="18"/>
                <w:color w:val="auto"/>
              </w:rPr>
              <w:t>Charter revenue per block hour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10,653</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10,083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1"/>
          <w:szCs w:val="11"/>
          <w:color w:val="auto"/>
        </w:rPr>
        <w:t>(1) Percentage point difference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Our year-over-year results were impacted by reduced capacity in the Passenger segment as we focused our operations on growth in the</w:t>
      </w:r>
    </w:p>
    <w:p>
      <w:pPr>
        <w:spacing w:after="0" w:line="5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Cargo segment. This reduced capacity led to a 12% decrease in passengers, offset by a 12% increase in total fare per passenger. The decrease in passengers also impacted Ancillary revenue, which declined 7% year-over-year.</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Passenger revenue benefited from the $2,553, or 5%, increase in Charter revenue during the three months ended March 31, 2026, as compared to the three months ended March 31, 2025. This increase was the result of a 6% increase in Charter revenue per block hour. The increase in Charter revenue per block hour was primarily driven by rate increases and higher fuel recovery revenue due to a 22% increase in the average fuel cost per gallon.</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cargo services increased $17,932, or 64%, to $ 46,089 for the three months ended March 31, 2026,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March 31, 2025. The increase was primarily due to additional aircraft and contractual rate increases. During the three months ended March 31, 2026, we agreed to operate two additional cargo aircraft on behalf of Amazon. This will increase the total aircraft that Sun Country operates on behalf of Amazon from 20 to 22. The two additional cargo aircraft were received as of March 31, 2026 and are expected to be in-service by the third quarter of 2026.</w:t>
      </w:r>
    </w:p>
    <w:p>
      <w:pPr>
        <w:spacing w:after="0" w:line="17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decreased $5,586, or 44%, to $7,018 for the three months ended March 31, 2026, as compared to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2025. The decrease was largely driven by lower aircraft lease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revenue. For the three months ended March 31, 2026 and 2025, there were an average of 3 and 6 aircraft on lease to unaffiliated airlines, respectively. For more information,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of the Condensed Consolidated Financial Statements included in Part I, Item 1 of this report.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Aircraft Fuel</w:t>
      </w:r>
      <w:r>
        <w:rPr>
          <w:rFonts w:ascii="Arial" w:cs="Arial" w:eastAsia="Arial" w:hAnsi="Arial"/>
          <w:sz w:val="18"/>
          <w:szCs w:val="18"/>
          <w:color w:val="auto"/>
        </w:rPr>
        <w:t>. We believe Aircraft Fuel expense, excluding indirect fuel credits, is the best measure of the effect of fuel prices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as it consists solely of direct fuel expenses that are related to our operations and is consistent with how management analyzes our operating performance. This measure is defined as GAAP Aircraft Fuel expense, excluding indirect fuel expenses and credits that are recognized within Aircraft Fuel expense, but are not directly related to our Fuel Cost per Gallon.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Aircraft Fuel expense are shown in the following table: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60" w:type="dxa"/>
            <w:vAlign w:val="bottom"/>
          </w:tcPr>
          <w:p>
            <w:pPr>
              <w:spacing w:after="0"/>
              <w:rPr>
                <w:sz w:val="17"/>
                <w:szCs w:val="17"/>
                <w:color w:val="auto"/>
              </w:rPr>
            </w:pPr>
          </w:p>
        </w:tc>
        <w:tc>
          <w:tcPr>
            <w:tcW w:w="3260" w:type="dxa"/>
            <w:vAlign w:val="bottom"/>
            <w:tcBorders>
              <w:bottom w:val="single" w:sz="8" w:color="auto"/>
            </w:tcBorders>
            <w:gridSpan w:val="5"/>
          </w:tcPr>
          <w:p>
            <w:pPr>
              <w:jc w:val="right"/>
              <w:ind w:right="473"/>
              <w:spacing w:after="0"/>
              <w:rPr>
                <w:sz w:val="20"/>
                <w:szCs w:val="20"/>
                <w:color w:val="auto"/>
              </w:rPr>
            </w:pPr>
            <w:r>
              <w:rPr>
                <w:rFonts w:ascii="Arial" w:cs="Arial" w:eastAsia="Arial" w:hAnsi="Arial"/>
                <w:sz w:val="14"/>
                <w:szCs w:val="14"/>
                <w:b w:val="1"/>
                <w:bCs w:val="1"/>
                <w:color w:val="auto"/>
              </w:rPr>
              <w:t>Three Months Ended March 31,</w:t>
            </w:r>
          </w:p>
        </w:tc>
        <w:tc>
          <w:tcPr>
            <w:tcW w:w="1820" w:type="dxa"/>
            <w:vAlign w:val="bottom"/>
            <w:gridSpan w:val="2"/>
            <w:vMerge w:val="restart"/>
          </w:tcPr>
          <w:p>
            <w:pPr>
              <w:jc w:val="right"/>
              <w:ind w:right="7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6160" w:type="dxa"/>
            <w:vAlign w:val="bottom"/>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2026</w:t>
            </w: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2025</w:t>
            </w:r>
          </w:p>
        </w:tc>
        <w:tc>
          <w:tcPr>
            <w:tcW w:w="1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Aircraft Fuel Expense</w:t>
            </w: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72,901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64,619</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Indirect Fuel (Expenses) Credits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Expense, Excluding Indirect Fuel (Expenses) Credits</w:t>
            </w: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73,312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66,870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Fuel Gallons Consumed (thousands)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22,636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25,171</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Fuel Cost per Gallon, Excluding Indirect Fuel (Expenses) Credits</w:t>
            </w: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Aircraft Fuel expense increased 13% year-over-year due to a 22% increase in the average fuel cost per gallon, partially offset by a 10% decrease in fuel consumption due to reduced passenger capacity as we focused our operations on growth in the Cargo segment, which benefits from pass-through fuel economics. The increase in the average fuel cost per gallon was driven by the impact of geopolitical events. We expect fuel costs to remain elevated until supply disruptions are resolved.</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Salaries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Wages, and Benefits</w:t>
      </w:r>
      <w:r>
        <w:rPr>
          <w:rFonts w:ascii="Arial" w:cs="Arial" w:eastAsia="Arial" w:hAnsi="Arial"/>
          <w:sz w:val="18"/>
          <w:szCs w:val="18"/>
          <w:color w:val="auto"/>
        </w:rPr>
        <w:t>. Salaries, Wages, and Benefits expense increased $11,346, or 12%, to $104,191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2026, as compared to the three months ended March 31, 2025. The year-over-year increase in Salaries, Wages, and Benefits was impacted by higher crew pay due to increased operational activity and contractual pay increases as a result of new collective bargaining agreements.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Maintenance</w:t>
      </w:r>
      <w:r>
        <w:rPr>
          <w:rFonts w:ascii="Arial" w:cs="Arial" w:eastAsia="Arial" w:hAnsi="Arial"/>
          <w:sz w:val="18"/>
          <w:szCs w:val="18"/>
          <w:color w:val="auto"/>
        </w:rPr>
        <w:t>. Maintenance expense increased $1,561, or 8%, to $20,423 for the three months ended March 31, 2026,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2025. The year-over-year increase in Maintenance expense was primarily driven by an increased volume of line maintenance due to operational growth, as well as an overall increase in cost per maintenance event.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Sales and Marketing expense decreased $303, or 3%, to $10,092 for the three months ended March 31, 2026,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three months ended March 31, 2025. The year-over-year decrease was primarily driven by lower booking and credit card transaction fees due to the decrease in passengers. This was partially offset by increased advertising activity.</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 increased $353, or 1%, to $25,157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2026, as compared to the three months ended March 31, 2025. The increase was primarily driven by depreciation on newly capitalized projects.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Ground Handling</w:t>
      </w:r>
      <w:r>
        <w:rPr>
          <w:rFonts w:ascii="Arial" w:cs="Arial" w:eastAsia="Arial" w:hAnsi="Arial"/>
          <w:sz w:val="18"/>
          <w:szCs w:val="18"/>
          <w:color w:val="auto"/>
        </w:rPr>
        <w:t>. Ground Handling expense decreased $946, or 8% for the three months ended March 31, 2026, as compared to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2025. The decrease was primarily driven by the 11% decrease in Passenger segment departures as we focused our operations on the growth in the Cargo segment.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Landing Fees and Airport Rent</w:t>
      </w:r>
      <w:r>
        <w:rPr>
          <w:rFonts w:ascii="Arial" w:cs="Arial" w:eastAsia="Arial" w:hAnsi="Arial"/>
          <w:sz w:val="18"/>
          <w:szCs w:val="18"/>
          <w:color w:val="auto"/>
        </w:rPr>
        <w:t>. Landing Fees and Airport Rent increased $889, or 5%, to $17,722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2026, as compared to the three months ended March 31, 2025. This year-over-year increase was driven by rate increases at airports due to market pressures, primarily at MSP, partially offset by an 11% decrease in Passenger segment departures.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Special Items. </w:t>
      </w:r>
      <w:r>
        <w:rPr>
          <w:rFonts w:ascii="Arial" w:cs="Arial" w:eastAsia="Arial" w:hAnsi="Arial"/>
          <w:sz w:val="18"/>
          <w:szCs w:val="18"/>
          <w:color w:val="auto"/>
        </w:rPr>
        <w:t>Special Items totaled $ 9,799 for the three months ended March 31, 2026, as compared to $1,799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March 31, 2025. Special Items for the three months ended March 31, 2026 consisted of professional services and other costs related to the proposed Merger with Allegiant. Special Items for the three months ended March 31, 2025 consisted of ratification bonuses for a new five-year collective bargaining agreement paid to eligible flight attendants, as well as the related payroll tax expense. For more information, see </w:t>
      </w:r>
      <w:r>
        <w:rPr>
          <w:rFonts w:ascii="Arial" w:cs="Arial" w:eastAsia="Arial" w:hAnsi="Arial"/>
          <w:sz w:val="18"/>
          <w:szCs w:val="18"/>
          <w:u w:val="single" w:color="auto"/>
          <w:color w:val="0000FF"/>
        </w:rPr>
        <w:t>Note 10</w:t>
      </w:r>
      <w:r>
        <w:rPr>
          <w:rFonts w:ascii="Arial" w:cs="Arial" w:eastAsia="Arial" w:hAnsi="Arial"/>
          <w:sz w:val="18"/>
          <w:szCs w:val="18"/>
          <w:color w:val="0000FF"/>
        </w:rPr>
        <w:t xml:space="preserve"> </w:t>
      </w:r>
      <w:r>
        <w:rPr>
          <w:rFonts w:ascii="Arial" w:cs="Arial" w:eastAsia="Arial" w:hAnsi="Arial"/>
          <w:sz w:val="18"/>
          <w:szCs w:val="18"/>
          <w:color w:val="000000"/>
        </w:rPr>
        <w:t>of the Condensed Consolidated Financial Statements included in Part I, Item 1 of this report.</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 Operating, net</w:t>
      </w:r>
      <w:r>
        <w:rPr>
          <w:rFonts w:ascii="Arial" w:cs="Arial" w:eastAsia="Arial" w:hAnsi="Arial"/>
          <w:sz w:val="18"/>
          <w:szCs w:val="18"/>
          <w:color w:val="auto"/>
        </w:rPr>
        <w:t>. Other Operating, net increased $1,904, or 7%, to $30,743 for the three months ended March 31, 2026,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three months ended March 31, 2025. The increase was primarily the result of an increase in operations due to growth in the Cargo segment, partially offset by activity from our engine parts sales programs.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increased $240, or 12%, to $ 2,235 for the three months ended March 31, 2026, as compared to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2025. The increase was primarily due to more funds being allocated to interest-generating accounts.</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decreased $774, or 8%, to $8,851 for the three months ended March 31, 2026,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three months ended March 31, 2025. The decrease was due to year-over-year decreases in debt balances, as well as a lower interest rate achieved through the 2025 Term Loan Facility, which refinanced higher interest rate debt. For more information on our Debt,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of the Condensed Consolidated Financial Statements included in Part I, Item 1 of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did not have a material impact to either period presented.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Our effective tax rate for the three months ended March 31, 2026 was 20.3% compared to 24.1%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March 31, 2025. The effective tax rate in both periods was impacted by permanent stock compensation items. For more information on the effective tax rate,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of the Condensed Consolidated Financial Statements included in Part I, Item 1 of this report.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2026 and 2025</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gridSpan w:val="7"/>
          </w:tcPr>
          <w:p>
            <w:pPr>
              <w:jc w:val="center"/>
              <w:ind w:right="111"/>
              <w:spacing w:after="0"/>
              <w:rPr>
                <w:sz w:val="20"/>
                <w:szCs w:val="20"/>
                <w:color w:val="auto"/>
              </w:rPr>
            </w:pPr>
            <w:r>
              <w:rPr>
                <w:rFonts w:ascii="Arial" w:cs="Arial" w:eastAsia="Arial" w:hAnsi="Arial"/>
                <w:sz w:val="14"/>
                <w:szCs w:val="14"/>
                <w:b w:val="1"/>
                <w:bCs w:val="1"/>
                <w:color w:val="auto"/>
              </w:rPr>
              <w:t>Three Months Ended March 31, 2026</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7"/>
          </w:tcPr>
          <w:p>
            <w:pPr>
              <w:jc w:val="center"/>
              <w:ind w:right="111"/>
              <w:spacing w:after="0"/>
              <w:rPr>
                <w:sz w:val="20"/>
                <w:szCs w:val="20"/>
                <w:color w:val="auto"/>
              </w:rPr>
            </w:pPr>
            <w:r>
              <w:rPr>
                <w:rFonts w:ascii="Arial" w:cs="Arial" w:eastAsia="Arial" w:hAnsi="Arial"/>
                <w:sz w:val="14"/>
                <w:szCs w:val="14"/>
                <w:b w:val="1"/>
                <w:bCs w:val="1"/>
                <w:color w:val="auto"/>
              </w:rPr>
              <w:t>Three Months Ended March 31, 2025</w:t>
            </w:r>
          </w:p>
        </w:tc>
      </w:tr>
      <w:tr>
        <w:trPr>
          <w:trHeight w:val="223"/>
        </w:trPr>
        <w:tc>
          <w:tcPr>
            <w:tcW w:w="3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Passenger</w:t>
            </w:r>
          </w:p>
        </w:tc>
        <w:tc>
          <w:tcPr>
            <w:tcW w:w="28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Cargo</w:t>
            </w:r>
          </w:p>
        </w:tc>
        <w:tc>
          <w:tcPr>
            <w:tcW w:w="300" w:type="dxa"/>
            <w:vAlign w:val="bottom"/>
          </w:tcPr>
          <w:p>
            <w:pPr>
              <w:spacing w:after="0"/>
              <w:rPr>
                <w:sz w:val="19"/>
                <w:szCs w:val="19"/>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Passenger</w:t>
            </w:r>
          </w:p>
        </w:tc>
        <w:tc>
          <w:tcPr>
            <w:tcW w:w="280" w:type="dxa"/>
            <w:vAlign w:val="bottom"/>
          </w:tcPr>
          <w:p>
            <w:pPr>
              <w:spacing w:after="0"/>
              <w:rPr>
                <w:sz w:val="19"/>
                <w:szCs w:val="19"/>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Cargo</w:t>
            </w:r>
          </w:p>
        </w:tc>
        <w:tc>
          <w:tcPr>
            <w:tcW w:w="300" w:type="dxa"/>
            <w:vAlign w:val="bottom"/>
          </w:tcPr>
          <w:p>
            <w:pPr>
              <w:spacing w:after="0"/>
              <w:rPr>
                <w:sz w:val="19"/>
                <w:szCs w:val="19"/>
                <w:color w:val="auto"/>
              </w:rPr>
            </w:pPr>
          </w:p>
        </w:tc>
        <w:tc>
          <w:tcPr>
            <w:tcW w:w="100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270"/>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292,277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46,089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338,366</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298,492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28,157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326,649</w:t>
            </w:r>
          </w:p>
        </w:tc>
      </w:tr>
      <w:tr>
        <w:trPr>
          <w:trHeight w:val="250"/>
        </w:trPr>
        <w:tc>
          <w:tcPr>
            <w:tcW w:w="30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7"/>
        </w:trPr>
        <w:tc>
          <w:tcPr>
            <w:tcW w:w="304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18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72,574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72,901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64,619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64,619</w:t>
            </w:r>
          </w:p>
        </w:tc>
      </w:tr>
      <w:tr>
        <w:trPr>
          <w:trHeight w:val="23"/>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Wages, and Benefits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73,169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104,191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75,183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92,845</w:t>
            </w:r>
          </w:p>
        </w:tc>
      </w:tr>
      <w:tr>
        <w:trPr>
          <w:trHeight w:val="247"/>
        </w:trPr>
        <w:tc>
          <w:tcPr>
            <w:tcW w:w="3040" w:type="dxa"/>
            <w:vAlign w:val="bottom"/>
          </w:tcPr>
          <w:p>
            <w:pPr>
              <w:ind w:left="180"/>
              <w:spacing w:after="0"/>
              <w:rPr>
                <w:sz w:val="20"/>
                <w:szCs w:val="20"/>
                <w:color w:val="auto"/>
              </w:rPr>
            </w:pPr>
            <w:r>
              <w:rPr>
                <w:rFonts w:ascii="Arial" w:cs="Arial" w:eastAsia="Arial" w:hAnsi="Arial"/>
                <w:sz w:val="18"/>
                <w:szCs w:val="18"/>
                <w:color w:val="auto"/>
              </w:rPr>
              <w:t>Maintenance</w:t>
            </w:r>
          </w:p>
        </w:tc>
        <w:tc>
          <w:tcPr>
            <w:tcW w:w="18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13,803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6,620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20,423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15,343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18,862</w:t>
            </w:r>
          </w:p>
        </w:tc>
      </w:tr>
      <w:tr>
        <w:trPr>
          <w:trHeight w:val="23"/>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10,092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10,092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10,395</w:t>
            </w:r>
          </w:p>
        </w:tc>
      </w:tr>
      <w:tr>
        <w:trPr>
          <w:trHeight w:val="247"/>
        </w:trPr>
        <w:tc>
          <w:tcPr>
            <w:tcW w:w="30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25,145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25,157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24,799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24,804</w:t>
            </w:r>
          </w:p>
        </w:tc>
      </w:tr>
      <w:tr>
        <w:trPr>
          <w:trHeight w:val="23"/>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Ground Handling</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10,461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10,461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11,407</w:t>
            </w:r>
          </w:p>
        </w:tc>
      </w:tr>
      <w:tr>
        <w:trPr>
          <w:trHeight w:val="247"/>
        </w:trPr>
        <w:tc>
          <w:tcPr>
            <w:tcW w:w="3040" w:type="dxa"/>
            <w:vAlign w:val="bottom"/>
          </w:tcPr>
          <w:p>
            <w:pPr>
              <w:ind w:left="180"/>
              <w:spacing w:after="0"/>
              <w:rPr>
                <w:sz w:val="20"/>
                <w:szCs w:val="20"/>
                <w:color w:val="auto"/>
              </w:rPr>
            </w:pPr>
            <w:r>
              <w:rPr>
                <w:rFonts w:ascii="Arial" w:cs="Arial" w:eastAsia="Arial" w:hAnsi="Arial"/>
                <w:sz w:val="18"/>
                <w:szCs w:val="18"/>
                <w:color w:val="auto"/>
              </w:rPr>
              <w:t>Landing Fees and Airport Rent</w:t>
            </w:r>
          </w:p>
        </w:tc>
        <w:tc>
          <w:tcPr>
            <w:tcW w:w="18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17,515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17,722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16,684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16,833</w:t>
            </w:r>
          </w:p>
        </w:tc>
      </w:tr>
      <w:tr>
        <w:trPr>
          <w:trHeight w:val="23"/>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 Items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6,853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9,799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1,799</w:t>
            </w:r>
          </w:p>
        </w:tc>
      </w:tr>
      <w:tr>
        <w:trPr>
          <w:trHeight w:val="247"/>
        </w:trPr>
        <w:tc>
          <w:tcPr>
            <w:tcW w:w="3040" w:type="dxa"/>
            <w:vAlign w:val="bottom"/>
          </w:tcPr>
          <w:p>
            <w:pPr>
              <w:ind w:left="180"/>
              <w:spacing w:after="0"/>
              <w:rPr>
                <w:sz w:val="20"/>
                <w:szCs w:val="20"/>
                <w:color w:val="auto"/>
              </w:rPr>
            </w:pPr>
            <w:r>
              <w:rPr>
                <w:rFonts w:ascii="Arial" w:cs="Arial" w:eastAsia="Arial" w:hAnsi="Arial"/>
                <w:sz w:val="18"/>
                <w:szCs w:val="18"/>
                <w:color w:val="auto"/>
              </w:rPr>
              <w:t>Other Operating, net</w:t>
            </w:r>
          </w:p>
        </w:tc>
        <w:tc>
          <w:tcPr>
            <w:tcW w:w="18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20,446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10,297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30,743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23,543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5,296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28,839</w:t>
            </w:r>
          </w:p>
        </w:tc>
      </w:tr>
      <w:tr>
        <w:trPr>
          <w:trHeight w:val="23"/>
        </w:trPr>
        <w:tc>
          <w:tcPr>
            <w:tcW w:w="3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3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250,058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301,489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243,772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270,403</w:t>
            </w:r>
          </w:p>
        </w:tc>
      </w:tr>
      <w:tr>
        <w:trPr>
          <w:trHeight w:val="264"/>
        </w:trPr>
        <w:tc>
          <w:tcPr>
            <w:tcW w:w="304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42,219</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(5,342)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36,877</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54,720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56,246</w:t>
            </w:r>
          </w:p>
        </w:tc>
      </w:tr>
      <w:tr>
        <w:trPr>
          <w:trHeight w:val="46"/>
        </w:trPr>
        <w:tc>
          <w:tcPr>
            <w:tcW w:w="30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70"/>
        </w:trPr>
        <w:tc>
          <w:tcPr>
            <w:tcW w:w="30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Operating Margin %</w:t>
            </w:r>
          </w:p>
        </w:tc>
        <w:tc>
          <w:tcPr>
            <w:tcW w:w="180" w:type="dxa"/>
            <w:vAlign w:val="bottom"/>
            <w:tcBorders>
              <w:top w:val="single" w:sz="8" w:color="CCEEFF"/>
              <w:bottom w:val="single" w:sz="8" w:color="auto"/>
            </w:tcBorders>
          </w:tcPr>
          <w:p>
            <w:pPr>
              <w:spacing w:after="0"/>
              <w:rPr>
                <w:sz w:val="23"/>
                <w:szCs w:val="23"/>
                <w:color w:val="auto"/>
              </w:rPr>
            </w:pPr>
          </w:p>
        </w:tc>
        <w:tc>
          <w:tcPr>
            <w:tcW w:w="1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14.4 %</w:t>
            </w:r>
          </w:p>
        </w:tc>
        <w:tc>
          <w:tcPr>
            <w:tcW w:w="80" w:type="dxa"/>
            <w:vAlign w:val="bottom"/>
            <w:tcBorders>
              <w:top w:val="single" w:sz="8" w:color="CCEEFF"/>
            </w:tcBorders>
          </w:tcPr>
          <w:p>
            <w:pPr>
              <w:spacing w:after="0"/>
              <w:rPr>
                <w:sz w:val="23"/>
                <w:szCs w:val="23"/>
                <w:color w:val="auto"/>
              </w:rPr>
            </w:pPr>
          </w:p>
        </w:tc>
        <w:tc>
          <w:tcPr>
            <w:tcW w:w="280" w:type="dxa"/>
            <w:vAlign w:val="bottom"/>
            <w:tcBorders>
              <w:top w:val="single" w:sz="8" w:color="CCEEFF"/>
              <w:bottom w:val="single" w:sz="8" w:color="auto"/>
            </w:tcBorders>
          </w:tcPr>
          <w:p>
            <w:pPr>
              <w:spacing w:after="0"/>
              <w:rPr>
                <w:sz w:val="23"/>
                <w:szCs w:val="23"/>
                <w:color w:val="auto"/>
              </w:rPr>
            </w:pPr>
          </w:p>
        </w:tc>
        <w:tc>
          <w:tcPr>
            <w:tcW w:w="10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bottom w:val="single" w:sz="8" w:color="auto"/>
            </w:tcBorders>
          </w:tcPr>
          <w:p>
            <w:pPr>
              <w:spacing w:after="0"/>
              <w:rPr>
                <w:sz w:val="23"/>
                <w:szCs w:val="23"/>
                <w:color w:val="auto"/>
              </w:rPr>
            </w:pPr>
          </w:p>
        </w:tc>
        <w:tc>
          <w:tcPr>
            <w:tcW w:w="10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10.9 %</w:t>
            </w:r>
          </w:p>
        </w:tc>
        <w:tc>
          <w:tcPr>
            <w:tcW w:w="80" w:type="dxa"/>
            <w:vAlign w:val="bottom"/>
            <w:tcBorders>
              <w:top w:val="single" w:sz="8" w:color="CCEEFF"/>
            </w:tcBorders>
          </w:tcPr>
          <w:p>
            <w:pPr>
              <w:spacing w:after="0"/>
              <w:rPr>
                <w:sz w:val="23"/>
                <w:szCs w:val="23"/>
                <w:color w:val="auto"/>
              </w:rPr>
            </w:pPr>
          </w:p>
        </w:tc>
        <w:tc>
          <w:tcPr>
            <w:tcW w:w="220" w:type="dxa"/>
            <w:vAlign w:val="bottom"/>
            <w:tcBorders>
              <w:top w:val="single" w:sz="8" w:color="CCEEFF"/>
              <w:bottom w:val="single" w:sz="8" w:color="auto"/>
            </w:tcBorders>
          </w:tcPr>
          <w:p>
            <w:pPr>
              <w:spacing w:after="0"/>
              <w:rPr>
                <w:sz w:val="23"/>
                <w:szCs w:val="23"/>
                <w:color w:val="auto"/>
              </w:rPr>
            </w:pPr>
          </w:p>
        </w:tc>
        <w:tc>
          <w:tcPr>
            <w:tcW w:w="10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18.3 %</w:t>
            </w: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bottom w:val="single" w:sz="8" w:color="auto"/>
            </w:tcBorders>
          </w:tcPr>
          <w:p>
            <w:pPr>
              <w:spacing w:after="0"/>
              <w:rPr>
                <w:sz w:val="23"/>
                <w:szCs w:val="23"/>
                <w:color w:val="auto"/>
              </w:rPr>
            </w:pPr>
          </w:p>
        </w:tc>
        <w:tc>
          <w:tcPr>
            <w:tcW w:w="9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bottom w:val="single" w:sz="8" w:color="auto"/>
            </w:tcBorders>
          </w:tcPr>
          <w:p>
            <w:pPr>
              <w:spacing w:after="0"/>
              <w:rPr>
                <w:sz w:val="23"/>
                <w:szCs w:val="23"/>
                <w:color w:val="auto"/>
              </w:rPr>
            </w:pPr>
          </w:p>
        </w:tc>
        <w:tc>
          <w:tcPr>
            <w:tcW w:w="10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17.2 %</w:t>
            </w:r>
          </w:p>
        </w:tc>
      </w:tr>
      <w:tr>
        <w:trPr>
          <w:trHeight w:val="20"/>
        </w:trPr>
        <w:tc>
          <w:tcPr>
            <w:tcW w:w="3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Operating Income decreased $12,501 to $42,219 for the three months ended March 31, 2026,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2025. The Operating Margin Percentage for the three months ended March 31, 2026 decreased by 3.9 percentage points, as compared to the three months ended March 31, 2025. Passenger revenue decreased year-over-year due to reduced capacity as we focused our operations on growth in the Cargo segment. Passenger total operating expenses increased year-over-year due to a 22% increase in the average fuel cost per gallon and special Merger-related charges allocated to the Passenger segment, partially offset by decreases in operation-driven expenses due to reduced capacity. The decrease in revenue and increase in expenses resulted in decreases in Passenger Operating Income and Operating Margin Percentage year-over-year. For more information on the changes in the components of Operating Income for the Passenger segment, refer to the Results of Operations discussion above</w:t>
      </w:r>
      <w:r>
        <w:rPr>
          <w:rFonts w:ascii="Arial" w:cs="Arial" w:eastAsia="Arial" w:hAnsi="Arial"/>
          <w:sz w:val="19"/>
          <w:szCs w:val="19"/>
          <w:color w:val="auto"/>
        </w:rPr>
        <w:t>.</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Cargo. </w:t>
      </w:r>
      <w:r>
        <w:rPr>
          <w:rFonts w:ascii="Arial" w:cs="Arial" w:eastAsia="Arial" w:hAnsi="Arial"/>
          <w:sz w:val="18"/>
          <w:szCs w:val="18"/>
          <w:color w:val="auto"/>
        </w:rPr>
        <w:t>Cargo Operating (Loss) Income changed by $6,868, to an Operating Loss of $5,342, for the three months ended March 31, 2026,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three months ended March 31, 2025. Operating Margin Percentage for the three months ended March 31, 2026 decreased by 17.0 percentage points, as compared to the three months ended March 31, 2025. The changes in both Operating (Loss) Income and Operating Margin Percentage were primarily driven by operational challenges as a result of significant growth in the segment and weather related impacts, increased maintenance for Cargo aircraft, and special Merger-related charges allocated to the Cargo segment. These expense increases were partially offset by contractual rate increases. For more information on the components of Operating (Loss) Income for the Cargo segment, refer to the Results of Operations discussion above.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sometimes use information that is derived from the Condensed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report to the most directly comparable GAAP financial measures.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Operating Income, Adjusted Operating Income Margin, Adjusted Net Income and Adjusted EBITDA</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Adjusted Operating Income, Adjusted Operating Income Margin, Adjusted Net Income, and Adjusted EBITDA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foregoing reasons, Adjusted Operating Income, Adjusted Operating Income Margin, Adjusted Net Income and Adjusted EBITDA have significant limitations which affect their use as indicators of our profitability. Accordingly, readers are cautioned not to place undue reliance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w:t>
      </w:r>
      <w:r>
        <w:rPr>
          <w:rFonts w:ascii="Arial" w:cs="Arial" w:eastAsia="Arial" w:hAnsi="Arial"/>
          <w:sz w:val="21"/>
          <w:szCs w:val="21"/>
          <w:color w:val="auto"/>
        </w:rPr>
        <w: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following table presents the reconciliation of Operating Income to Adjusted Operating Income, and Adjusted Operating Income Margin for the periods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00" w:type="dxa"/>
            <w:vAlign w:val="bottom"/>
          </w:tcPr>
          <w:p>
            <w:pPr>
              <w:spacing w:after="0"/>
              <w:rPr>
                <w:sz w:val="17"/>
                <w:szCs w:val="17"/>
                <w:color w:val="auto"/>
              </w:rPr>
            </w:pPr>
          </w:p>
        </w:tc>
        <w:tc>
          <w:tcPr>
            <w:tcW w:w="358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 March 31,</w:t>
            </w:r>
          </w:p>
        </w:tc>
        <w:tc>
          <w:tcPr>
            <w:tcW w:w="860" w:type="dxa"/>
            <w:vAlign w:val="bottom"/>
            <w:tcBorders>
              <w:bottom w:val="single" w:sz="8" w:color="auto"/>
            </w:tcBorders>
          </w:tcPr>
          <w:p>
            <w:pPr>
              <w:spacing w:after="0"/>
              <w:rPr>
                <w:sz w:val="17"/>
                <w:szCs w:val="17"/>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860" w:type="dxa"/>
            <w:vAlign w:val="bottom"/>
            <w:tcBorders>
              <w:bottom w:val="single" w:sz="8" w:color="auto"/>
            </w:tcBorders>
          </w:tcPr>
          <w:p>
            <w:pPr>
              <w:spacing w:after="0"/>
              <w:rPr>
                <w:sz w:val="17"/>
                <w:szCs w:val="17"/>
                <w:color w:val="auto"/>
              </w:rPr>
            </w:pPr>
          </w:p>
        </w:tc>
      </w:tr>
      <w:tr>
        <w:trPr>
          <w:trHeight w:val="211"/>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 Reconciliation:</w:t>
            </w:r>
          </w:p>
        </w:tc>
        <w:tc>
          <w:tcPr>
            <w:tcW w:w="1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Operating Revenue</w:t>
            </w:r>
          </w:p>
        </w:tc>
        <w:tc>
          <w:tcPr>
            <w:tcW w:w="1320" w:type="dxa"/>
            <w:vAlign w:val="bottom"/>
          </w:tcPr>
          <w:p>
            <w:pPr>
              <w:jc w:val="right"/>
              <w:ind w:right="1119"/>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338,366</w:t>
            </w:r>
          </w:p>
        </w:tc>
        <w:tc>
          <w:tcPr>
            <w:tcW w:w="80" w:type="dxa"/>
            <w:vAlign w:val="bottom"/>
          </w:tcPr>
          <w:p>
            <w:pPr>
              <w:spacing w:after="0"/>
              <w:rPr>
                <w:sz w:val="19"/>
                <w:szCs w:val="19"/>
                <w:color w:val="auto"/>
              </w:rPr>
            </w:pPr>
          </w:p>
        </w:tc>
        <w:tc>
          <w:tcPr>
            <w:tcW w:w="1320" w:type="dxa"/>
            <w:vAlign w:val="bottom"/>
          </w:tcPr>
          <w:p>
            <w:pPr>
              <w:jc w:val="right"/>
              <w:ind w:right="111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326,649</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36,877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56,246</w:t>
            </w:r>
          </w:p>
        </w:tc>
      </w:tr>
      <w:tr>
        <w:trPr>
          <w:trHeight w:val="229"/>
        </w:trPr>
        <w:tc>
          <w:tcPr>
            <w:tcW w:w="68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Special Items </w:t>
            </w:r>
            <w:r>
              <w:rPr>
                <w:rFonts w:ascii="Arial" w:cs="Arial" w:eastAsia="Arial" w:hAnsi="Arial"/>
                <w:sz w:val="23"/>
                <w:szCs w:val="23"/>
                <w:color w:val="auto"/>
                <w:vertAlign w:val="superscript"/>
              </w:rPr>
              <w:t>(1)</w:t>
            </w:r>
          </w:p>
        </w:tc>
        <w:tc>
          <w:tcPr>
            <w:tcW w:w="132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9,799</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1,799</w:t>
            </w: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 Expense</w:t>
            </w:r>
          </w:p>
        </w:tc>
        <w:tc>
          <w:tcPr>
            <w:tcW w:w="1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1,630</w:t>
            </w:r>
          </w:p>
        </w:tc>
        <w:tc>
          <w:tcPr>
            <w:tcW w:w="8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1,695</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1320" w:type="dxa"/>
            <w:vAlign w:val="bottom"/>
            <w:tcBorders>
              <w:bottom w:val="single" w:sz="8" w:color="auto"/>
            </w:tcBorders>
          </w:tcPr>
          <w:p>
            <w:pPr>
              <w:jc w:val="right"/>
              <w:ind w:right="1119"/>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48,306</w:t>
            </w:r>
          </w:p>
        </w:tc>
        <w:tc>
          <w:tcPr>
            <w:tcW w:w="80" w:type="dxa"/>
            <w:vAlign w:val="bottom"/>
          </w:tcPr>
          <w:p>
            <w:pPr>
              <w:spacing w:after="0"/>
              <w:rPr>
                <w:sz w:val="19"/>
                <w:szCs w:val="19"/>
                <w:color w:val="auto"/>
              </w:rPr>
            </w:pPr>
          </w:p>
        </w:tc>
        <w:tc>
          <w:tcPr>
            <w:tcW w:w="132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59,740</w:t>
            </w:r>
          </w:p>
        </w:tc>
      </w:tr>
      <w:tr>
        <w:trPr>
          <w:trHeight w:val="46"/>
        </w:trPr>
        <w:tc>
          <w:tcPr>
            <w:tcW w:w="68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0"/>
        </w:trPr>
        <w:tc>
          <w:tcPr>
            <w:tcW w:w="68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Operating Income Margin</w:t>
            </w:r>
          </w:p>
        </w:tc>
        <w:tc>
          <w:tcPr>
            <w:tcW w:w="13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10.9 %</w:t>
            </w:r>
          </w:p>
        </w:tc>
        <w:tc>
          <w:tcPr>
            <w:tcW w:w="8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17.2 %</w:t>
            </w: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w:t>
            </w:r>
          </w:p>
        </w:tc>
        <w:tc>
          <w:tcPr>
            <w:tcW w:w="1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18.3 %</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73" w:lineRule="exact"/>
        <w:rPr>
          <w:sz w:val="20"/>
          <w:szCs w:val="20"/>
          <w:color w:val="auto"/>
        </w:rPr>
      </w:pPr>
    </w:p>
    <w:p>
      <w:pPr>
        <w:ind w:left="580" w:hanging="554"/>
        <w:spacing w:after="0"/>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as included in </w:t>
      </w:r>
      <w:r>
        <w:rPr>
          <w:rFonts w:ascii="Arial" w:cs="Arial" w:eastAsia="Arial" w:hAnsi="Arial"/>
          <w:sz w:val="14"/>
          <w:szCs w:val="14"/>
          <w:u w:val="single" w:color="auto"/>
          <w:color w:val="auto"/>
        </w:rPr>
        <w:t>Note 10</w:t>
      </w:r>
      <w:r>
        <w:rPr>
          <w:rFonts w:ascii="Arial" w:cs="Arial" w:eastAsia="Arial" w:hAnsi="Arial"/>
          <w:sz w:val="14"/>
          <w:szCs w:val="14"/>
          <w:color w:val="auto"/>
        </w:rPr>
        <w:t xml:space="preserve"> of these Condensed Consolidated Financial Statements.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to Adjusted Net Income for the periods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348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2026</w:t>
            </w: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2025</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Reconciliation:</w:t>
            </w:r>
          </w:p>
        </w:tc>
        <w:tc>
          <w:tcPr>
            <w:tcW w:w="1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20" w:type="dxa"/>
            <w:vAlign w:val="bottom"/>
          </w:tcPr>
          <w:p>
            <w:pPr>
              <w:jc w:val="right"/>
              <w:ind w:right="1119"/>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24,106</w:t>
            </w:r>
          </w:p>
        </w:tc>
        <w:tc>
          <w:tcPr>
            <w:tcW w:w="100" w:type="dxa"/>
            <w:vAlign w:val="bottom"/>
          </w:tcPr>
          <w:p>
            <w:pPr>
              <w:spacing w:after="0"/>
              <w:rPr>
                <w:sz w:val="21"/>
                <w:szCs w:val="21"/>
                <w:color w:val="auto"/>
              </w:rPr>
            </w:pPr>
          </w:p>
        </w:tc>
        <w:tc>
          <w:tcPr>
            <w:tcW w:w="1320" w:type="dxa"/>
            <w:vAlign w:val="bottom"/>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36,535</w:t>
            </w: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180"/>
              <w:spacing w:after="0"/>
              <w:rPr>
                <w:sz w:val="20"/>
                <w:szCs w:val="20"/>
                <w:color w:val="auto"/>
              </w:rPr>
            </w:pPr>
            <w:r>
              <w:rPr>
                <w:rFonts w:ascii="Arial" w:cs="Arial" w:eastAsia="Arial" w:hAnsi="Arial"/>
                <w:sz w:val="18"/>
                <w:szCs w:val="18"/>
                <w:color w:val="auto"/>
              </w:rPr>
              <w:t xml:space="preserve">Special Items </w:t>
            </w:r>
            <w:r>
              <w:rPr>
                <w:rFonts w:ascii="Arial" w:cs="Arial" w:eastAsia="Arial" w:hAnsi="Arial"/>
                <w:sz w:val="23"/>
                <w:szCs w:val="23"/>
                <w:color w:val="auto"/>
                <w:vertAlign w:val="superscript"/>
              </w:rPr>
              <w:t>(1)</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9,799</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50"/>
        </w:trPr>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47"/>
        </w:trPr>
        <w:tc>
          <w:tcPr>
            <w:tcW w:w="7020" w:type="dxa"/>
            <w:vAlign w:val="bottom"/>
          </w:tcPr>
          <w:p>
            <w:pPr>
              <w:ind w:left="180"/>
              <w:spacing w:after="0"/>
              <w:rPr>
                <w:sz w:val="20"/>
                <w:szCs w:val="20"/>
                <w:color w:val="auto"/>
              </w:rPr>
            </w:pPr>
            <w:r>
              <w:rPr>
                <w:rFonts w:ascii="Arial" w:cs="Arial" w:eastAsia="Arial" w:hAnsi="Arial"/>
                <w:sz w:val="18"/>
                <w:szCs w:val="18"/>
                <w:color w:val="auto"/>
              </w:rPr>
              <w:t>Loss on Credit Facility</w:t>
            </w:r>
          </w:p>
        </w:tc>
        <w:tc>
          <w:tcPr>
            <w:tcW w:w="13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Secondary Offering Costs</w:t>
            </w:r>
          </w:p>
        </w:tc>
        <w:tc>
          <w:tcPr>
            <w:tcW w:w="1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0"/>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(2)</w:t>
            </w:r>
          </w:p>
        </w:tc>
        <w:tc>
          <w:tcPr>
            <w:tcW w:w="13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8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1320" w:type="dxa"/>
            <w:vAlign w:val="bottom"/>
            <w:tcBorders>
              <w:bottom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32,906</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39,739</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70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580" w:hanging="554"/>
        <w:spacing w:after="0"/>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as included in </w:t>
      </w:r>
      <w:r>
        <w:rPr>
          <w:rFonts w:ascii="Arial" w:cs="Arial" w:eastAsia="Arial" w:hAnsi="Arial"/>
          <w:sz w:val="14"/>
          <w:szCs w:val="14"/>
          <w:u w:val="single" w:color="auto"/>
          <w:color w:val="auto"/>
        </w:rPr>
        <w:t>Note 10</w:t>
      </w:r>
      <w:r>
        <w:rPr>
          <w:rFonts w:ascii="Arial" w:cs="Arial" w:eastAsia="Arial" w:hAnsi="Arial"/>
          <w:sz w:val="14"/>
          <w:szCs w:val="14"/>
          <w:color w:val="auto"/>
        </w:rPr>
        <w:t xml:space="preserve"> of these Condensed Consolidated Financial Statements.</w:t>
      </w:r>
    </w:p>
    <w:p>
      <w:pPr>
        <w:spacing w:after="0" w:line="55" w:lineRule="exact"/>
        <w:rPr>
          <w:rFonts w:ascii="Arial" w:cs="Arial" w:eastAsia="Arial" w:hAnsi="Arial"/>
          <w:sz w:val="14"/>
          <w:szCs w:val="14"/>
          <w:color w:val="auto"/>
        </w:rPr>
      </w:pPr>
    </w:p>
    <w:p>
      <w:pPr>
        <w:ind w:left="580" w:hanging="554"/>
        <w:spacing w:after="0"/>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tax effect of adjusting items, net is calculated at our statutory rate for the applicable period.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to Adjusted EBITDA for the periods presented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20" w:type="dxa"/>
            <w:vAlign w:val="bottom"/>
          </w:tcPr>
          <w:p>
            <w:pPr>
              <w:spacing w:after="0"/>
              <w:rPr>
                <w:sz w:val="17"/>
                <w:szCs w:val="17"/>
                <w:color w:val="auto"/>
              </w:rPr>
            </w:pPr>
          </w:p>
        </w:tc>
        <w:tc>
          <w:tcPr>
            <w:tcW w:w="348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2026</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2025</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Reconciliation:</w:t>
            </w:r>
          </w:p>
        </w:tc>
        <w:tc>
          <w:tcPr>
            <w:tcW w:w="1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20" w:type="dxa"/>
            <w:vAlign w:val="bottom"/>
          </w:tcPr>
          <w:p>
            <w:pPr>
              <w:jc w:val="right"/>
              <w:ind w:right="1119"/>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24,106</w:t>
            </w:r>
          </w:p>
        </w:tc>
        <w:tc>
          <w:tcPr>
            <w:tcW w:w="100" w:type="dxa"/>
            <w:vAlign w:val="bottom"/>
          </w:tcPr>
          <w:p>
            <w:pPr>
              <w:spacing w:after="0"/>
              <w:rPr>
                <w:sz w:val="21"/>
                <w:szCs w:val="21"/>
                <w:color w:val="auto"/>
              </w:rPr>
            </w:pPr>
          </w:p>
        </w:tc>
        <w:tc>
          <w:tcPr>
            <w:tcW w:w="1320" w:type="dxa"/>
            <w:vAlign w:val="bottom"/>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36,535</w:t>
            </w: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Special Items </w:t>
            </w:r>
            <w:r>
              <w:rPr>
                <w:rFonts w:ascii="Arial" w:cs="Arial" w:eastAsia="Arial" w:hAnsi="Arial"/>
                <w:sz w:val="23"/>
                <w:szCs w:val="23"/>
                <w:color w:val="auto"/>
                <w:vertAlign w:val="superscript"/>
              </w:rPr>
              <w:t>(1)</w:t>
            </w:r>
          </w:p>
        </w:tc>
        <w:tc>
          <w:tcPr>
            <w:tcW w:w="13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9,799</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47"/>
        </w:trPr>
        <w:tc>
          <w:tcPr>
            <w:tcW w:w="702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1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Secondary Offering Costs</w:t>
            </w:r>
          </w:p>
        </w:tc>
        <w:tc>
          <w:tcPr>
            <w:tcW w:w="1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47"/>
        </w:trPr>
        <w:tc>
          <w:tcPr>
            <w:tcW w:w="70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9,625</w:t>
            </w:r>
          </w:p>
        </w:tc>
        <w:tc>
          <w:tcPr>
            <w:tcW w:w="0" w:type="dxa"/>
            <w:vAlign w:val="bottom"/>
          </w:tcPr>
          <w:p>
            <w:pPr>
              <w:spacing w:after="0"/>
              <w:rPr>
                <w:sz w:val="1"/>
                <w:szCs w:val="1"/>
                <w:color w:val="auto"/>
              </w:rPr>
            </w:pPr>
          </w:p>
        </w:tc>
      </w:tr>
      <w:tr>
        <w:trPr>
          <w:trHeight w:val="247"/>
        </w:trPr>
        <w:tc>
          <w:tcPr>
            <w:tcW w:w="702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1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6,157</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11,603</w:t>
            </w: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25,157</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24,804</w:t>
            </w:r>
          </w:p>
        </w:tc>
        <w:tc>
          <w:tcPr>
            <w:tcW w:w="0" w:type="dxa"/>
            <w:vAlign w:val="bottom"/>
          </w:tcPr>
          <w:p>
            <w:pPr>
              <w:spacing w:after="0"/>
              <w:rPr>
                <w:sz w:val="1"/>
                <w:szCs w:val="1"/>
                <w:color w:val="auto"/>
              </w:rPr>
            </w:pPr>
          </w:p>
        </w:tc>
      </w:tr>
      <w:tr>
        <w:trPr>
          <w:trHeight w:val="264"/>
        </w:trPr>
        <w:tc>
          <w:tcPr>
            <w:tcW w:w="70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320" w:type="dxa"/>
            <w:vAlign w:val="bottom"/>
            <w:tcBorders>
              <w:top w:val="single" w:sz="8" w:color="auto"/>
              <w:bottom w:val="single" w:sz="8" w:color="auto"/>
            </w:tcBorders>
          </w:tcPr>
          <w:p>
            <w:pPr>
              <w:jc w:val="right"/>
              <w:ind w:right="1119"/>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73,465</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84,547</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70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580" w:hanging="554"/>
        <w:spacing w:after="0"/>
        <w:tabs>
          <w:tab w:leader="none" w:pos="5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as included in </w:t>
      </w:r>
      <w:r>
        <w:rPr>
          <w:rFonts w:ascii="Arial" w:cs="Arial" w:eastAsia="Arial" w:hAnsi="Arial"/>
          <w:sz w:val="14"/>
          <w:szCs w:val="14"/>
          <w:u w:val="single" w:color="auto"/>
          <w:color w:val="auto"/>
        </w:rPr>
        <w:t>Note 10</w:t>
      </w:r>
      <w:r>
        <w:rPr>
          <w:rFonts w:ascii="Arial" w:cs="Arial" w:eastAsia="Arial" w:hAnsi="Arial"/>
          <w:sz w:val="14"/>
          <w:szCs w:val="14"/>
          <w:color w:val="auto"/>
        </w:rPr>
        <w:t xml:space="preserve"> of these Condensed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CASM and Adjusted CASM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CASM is a key airline cost metric defined as operating expenses divided by total available seat miles. Adjusted CASM is a non-GAAP measure derived from CASM by excluding fuel costs, costs related to our Cargo operations, depreciation and amortization recognized on certain assets that generate lease income, stock-based compensation, certain commissions and other costs of selling our vacation products from this measure as these costs are unrelated to our airline operations and improve comparability to our peers. Adjusted CASM is an important measure used by management and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excluded costs related to the Cargo operations, as well as depreciation and amortization recognized on certain assets that generate lease income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We have entered into certain transactions where it serves as a lessor. As of March 31, 2026, three of our aircraft were leased or subleased.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Our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compensation strategy includes the use of stock-based compensation to attract and retain employees and executives and is principally aimed at aligning their interests with those of our stockholders and long-term employee retention, rather than to motivate or reward operational performance for any period. Thus, stock-based compensation expense varies for reasons that are generally unrelated to operational decisions and performance in any period.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reconciliation of CASM to Adjusted CASM:</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1240" w:type="dxa"/>
            <w:vAlign w:val="bottom"/>
            <w:tcBorders>
              <w:bottom w:val="single" w:sz="8" w:color="auto"/>
            </w:tcBorders>
          </w:tcPr>
          <w:p>
            <w:pPr>
              <w:spacing w:after="0"/>
              <w:rPr>
                <w:sz w:val="17"/>
                <w:szCs w:val="17"/>
                <w:color w:val="auto"/>
              </w:rPr>
            </w:pPr>
          </w:p>
        </w:tc>
      </w:tr>
      <w:tr>
        <w:trPr>
          <w:trHeight w:val="196"/>
        </w:trPr>
        <w:tc>
          <w:tcPr>
            <w:tcW w:w="4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2026</w:t>
            </w:r>
          </w:p>
        </w:tc>
        <w:tc>
          <w:tcPr>
            <w:tcW w:w="12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2025</w:t>
            </w:r>
          </w:p>
        </w:tc>
        <w:tc>
          <w:tcPr>
            <w:tcW w:w="1240" w:type="dxa"/>
            <w:vAlign w:val="bottom"/>
            <w:tcBorders>
              <w:bottom w:val="single" w:sz="8" w:color="auto"/>
            </w:tcBorders>
          </w:tcPr>
          <w:p>
            <w:pPr>
              <w:spacing w:after="0"/>
              <w:rPr>
                <w:sz w:val="17"/>
                <w:szCs w:val="17"/>
                <w:color w:val="auto"/>
              </w:rPr>
            </w:pPr>
          </w:p>
        </w:tc>
      </w:tr>
      <w:tr>
        <w:trPr>
          <w:trHeight w:val="147"/>
        </w:trPr>
        <w:tc>
          <w:tcPr>
            <w:tcW w:w="4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3"/>
          </w:tcPr>
          <w:p>
            <w:pPr>
              <w:ind w:left="140"/>
              <w:spacing w:after="0" w:line="147" w:lineRule="exact"/>
              <w:rPr>
                <w:sz w:val="20"/>
                <w:szCs w:val="20"/>
                <w:color w:val="auto"/>
              </w:rPr>
            </w:pPr>
            <w:r>
              <w:rPr>
                <w:rFonts w:ascii="Arial" w:cs="Arial" w:eastAsia="Arial" w:hAnsi="Arial"/>
                <w:sz w:val="14"/>
                <w:szCs w:val="14"/>
                <w:b w:val="1"/>
                <w:bCs w:val="1"/>
                <w:color w:val="auto"/>
              </w:rPr>
              <w:t>Operating</w:t>
            </w:r>
          </w:p>
        </w:tc>
        <w:tc>
          <w:tcPr>
            <w:tcW w:w="132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Per ASM</w:t>
            </w:r>
          </w:p>
        </w:tc>
        <w:tc>
          <w:tcPr>
            <w:tcW w:w="280" w:type="dxa"/>
            <w:vAlign w:val="bottom"/>
          </w:tcPr>
          <w:p>
            <w:pPr>
              <w:spacing w:after="0"/>
              <w:rPr>
                <w:sz w:val="12"/>
                <w:szCs w:val="12"/>
                <w:color w:val="auto"/>
              </w:rPr>
            </w:pPr>
          </w:p>
        </w:tc>
        <w:tc>
          <w:tcPr>
            <w:tcW w:w="1620" w:type="dxa"/>
            <w:vAlign w:val="bottom"/>
            <w:gridSpan w:val="3"/>
          </w:tcPr>
          <w:p>
            <w:pPr>
              <w:ind w:left="160"/>
              <w:spacing w:after="0" w:line="147" w:lineRule="exact"/>
              <w:rPr>
                <w:sz w:val="20"/>
                <w:szCs w:val="20"/>
                <w:color w:val="auto"/>
              </w:rPr>
            </w:pPr>
            <w:r>
              <w:rPr>
                <w:rFonts w:ascii="Arial" w:cs="Arial" w:eastAsia="Arial" w:hAnsi="Arial"/>
                <w:sz w:val="14"/>
                <w:szCs w:val="14"/>
                <w:b w:val="1"/>
                <w:bCs w:val="1"/>
                <w:color w:val="auto"/>
              </w:rPr>
              <w:t>Operating</w:t>
            </w:r>
          </w:p>
        </w:tc>
        <w:tc>
          <w:tcPr>
            <w:tcW w:w="1240" w:type="dxa"/>
            <w:vAlign w:val="bottom"/>
          </w:tcPr>
          <w:p>
            <w:pPr>
              <w:jc w:val="right"/>
              <w:ind w:right="374"/>
              <w:spacing w:after="0" w:line="147" w:lineRule="exact"/>
              <w:rPr>
                <w:sz w:val="20"/>
                <w:szCs w:val="20"/>
                <w:color w:val="auto"/>
              </w:rPr>
            </w:pPr>
            <w:r>
              <w:rPr>
                <w:rFonts w:ascii="Arial" w:cs="Arial" w:eastAsia="Arial" w:hAnsi="Arial"/>
                <w:sz w:val="14"/>
                <w:szCs w:val="14"/>
                <w:b w:val="1"/>
                <w:bCs w:val="1"/>
                <w:color w:val="auto"/>
              </w:rPr>
              <w:t>Per ASM</w:t>
            </w:r>
          </w:p>
        </w:tc>
      </w:tr>
      <w:tr>
        <w:trPr>
          <w:trHeight w:val="185"/>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3"/>
          </w:tcPr>
          <w:p>
            <w:pPr>
              <w:ind w:left="140"/>
              <w:spacing w:after="0"/>
              <w:rPr>
                <w:sz w:val="20"/>
                <w:szCs w:val="20"/>
                <w:color w:val="auto"/>
              </w:rPr>
            </w:pPr>
            <w:r>
              <w:rPr>
                <w:rFonts w:ascii="Arial" w:cs="Arial" w:eastAsia="Arial" w:hAnsi="Arial"/>
                <w:sz w:val="14"/>
                <w:szCs w:val="14"/>
                <w:b w:val="1"/>
                <w:bCs w:val="1"/>
                <w:color w:val="auto"/>
              </w:rPr>
              <w:t>Expenses</w:t>
            </w: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cents)</w:t>
            </w:r>
          </w:p>
        </w:tc>
        <w:tc>
          <w:tcPr>
            <w:tcW w:w="280" w:type="dxa"/>
            <w:vAlign w:val="bottom"/>
          </w:tcPr>
          <w:p>
            <w:pPr>
              <w:spacing w:after="0"/>
              <w:rPr>
                <w:sz w:val="16"/>
                <w:szCs w:val="16"/>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b w:val="1"/>
                <w:bCs w:val="1"/>
                <w:color w:val="auto"/>
              </w:rPr>
              <w:t>Expenses</w:t>
            </w:r>
          </w:p>
        </w:tc>
        <w:tc>
          <w:tcPr>
            <w:tcW w:w="1240" w:type="dxa"/>
            <w:vAlign w:val="bottom"/>
          </w:tcPr>
          <w:p>
            <w:pPr>
              <w:jc w:val="right"/>
              <w:ind w:right="354"/>
              <w:spacing w:after="0"/>
              <w:rPr>
                <w:sz w:val="20"/>
                <w:szCs w:val="20"/>
                <w:color w:val="auto"/>
              </w:rPr>
            </w:pPr>
            <w:r>
              <w:rPr>
                <w:rFonts w:ascii="Arial" w:cs="Arial" w:eastAsia="Arial" w:hAnsi="Arial"/>
                <w:sz w:val="14"/>
                <w:szCs w:val="14"/>
                <w:b w:val="1"/>
                <w:bCs w:val="1"/>
                <w:color w:val="auto"/>
              </w:rPr>
              <w:t>(in cents)</w:t>
            </w:r>
          </w:p>
        </w:tc>
      </w:tr>
      <w:tr>
        <w:trPr>
          <w:trHeight w:val="250"/>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CASM</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301,489</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270,403</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r>
      <w:tr>
        <w:trPr>
          <w:trHeight w:val="247"/>
        </w:trPr>
        <w:tc>
          <w:tcPr>
            <w:tcW w:w="4880" w:type="dxa"/>
            <w:vAlign w:val="bottom"/>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3"/>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Special Items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70"/>
        </w:trPr>
        <w:tc>
          <w:tcPr>
            <w:tcW w:w="488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72,901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64,619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70"/>
        </w:trPr>
        <w:tc>
          <w:tcPr>
            <w:tcW w:w="4880" w:type="dxa"/>
            <w:vAlign w:val="bottom"/>
          </w:tcPr>
          <w:p>
            <w:pPr>
              <w:ind w:left="180"/>
              <w:spacing w:after="0"/>
              <w:rPr>
                <w:sz w:val="20"/>
                <w:szCs w:val="20"/>
                <w:color w:val="auto"/>
              </w:rPr>
            </w:pPr>
            <w:r>
              <w:rPr>
                <w:rFonts w:ascii="Arial" w:cs="Arial" w:eastAsia="Arial" w:hAnsi="Arial"/>
                <w:sz w:val="18"/>
                <w:szCs w:val="18"/>
                <w:color w:val="auto"/>
              </w:rPr>
              <w:t>Cargo Expenses, Not Already Adjusted Above</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47,664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26,264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Sun Country Vacations</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70"/>
        </w:trPr>
        <w:tc>
          <w:tcPr>
            <w:tcW w:w="4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9"/>
              </w:rPr>
              <w:t xml:space="preserve">Leased Aircraft, Depreciation and Amortization Expense </w:t>
            </w:r>
            <w:r>
              <w:rPr>
                <w:rFonts w:ascii="Arial" w:cs="Arial" w:eastAsia="Arial" w:hAnsi="Arial"/>
                <w:sz w:val="23"/>
                <w:szCs w:val="23"/>
                <w:color w:val="auto"/>
                <w:w w:val="99"/>
                <w:vertAlign w:val="superscript"/>
              </w:rPr>
              <w:t>(2)</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r>
      <w:tr>
        <w:trPr>
          <w:trHeight w:val="289"/>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CASM</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168,282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173,917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7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ASM (thousands)</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2,112,944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2,370,755</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315"/>
        </w:trPr>
        <w:tc>
          <w:tcPr>
            <w:tcW w:w="4880" w:type="dxa"/>
            <w:vAlign w:val="bottom"/>
          </w:tcPr>
          <w:p>
            <w:pPr>
              <w:spacing w:after="0"/>
              <w:rPr>
                <w:sz w:val="20"/>
                <w:szCs w:val="20"/>
                <w:color w:val="auto"/>
              </w:rPr>
            </w:pPr>
            <w:r>
              <w:rPr>
                <w:rFonts w:ascii="Arial" w:cs="Arial" w:eastAsia="Arial" w:hAnsi="Arial"/>
                <w:sz w:val="18"/>
                <w:szCs w:val="18"/>
                <w:color w:val="auto"/>
              </w:rPr>
              <w:t>________________________</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41" w:lineRule="exact"/>
        <w:rPr>
          <w:sz w:val="20"/>
          <w:szCs w:val="20"/>
          <w:color w:val="auto"/>
        </w:rPr>
      </w:pPr>
    </w:p>
    <w:p>
      <w:pPr>
        <w:ind w:left="580" w:hanging="554"/>
        <w:spacing w:after="0"/>
        <w:tabs>
          <w:tab w:leader="none" w:pos="5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as included in </w:t>
      </w:r>
      <w:r>
        <w:rPr>
          <w:rFonts w:ascii="Arial" w:cs="Arial" w:eastAsia="Arial" w:hAnsi="Arial"/>
          <w:sz w:val="14"/>
          <w:szCs w:val="14"/>
          <w:u w:val="single" w:color="auto"/>
          <w:color w:val="auto"/>
        </w:rPr>
        <w:t>Note 10</w:t>
      </w:r>
      <w:r>
        <w:rPr>
          <w:rFonts w:ascii="Arial" w:cs="Arial" w:eastAsia="Arial" w:hAnsi="Arial"/>
          <w:sz w:val="14"/>
          <w:szCs w:val="14"/>
          <w:color w:val="auto"/>
        </w:rPr>
        <w:t xml:space="preserve"> of these Condensed Consolidated Financial Statements.</w:t>
      </w:r>
    </w:p>
    <w:p>
      <w:pPr>
        <w:spacing w:after="0" w:line="55" w:lineRule="exact"/>
        <w:rPr>
          <w:rFonts w:ascii="Arial" w:cs="Arial" w:eastAsia="Arial" w:hAnsi="Arial"/>
          <w:sz w:val="14"/>
          <w:szCs w:val="14"/>
          <w:color w:val="auto"/>
        </w:rPr>
      </w:pPr>
    </w:p>
    <w:p>
      <w:pPr>
        <w:ind w:left="580" w:hanging="554"/>
        <w:spacing w:after="0"/>
        <w:tabs>
          <w:tab w:leader="none" w:pos="5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both our Owned Aircraft Held for Operating Lease as well as subleased aircraft. These aircraft are leased to unaffiliated third parties.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sources of liquidity as of March 31, 2026 included our existing cash and cash equivalents of $153,729 and short-term investments of $66,029, our expected cash generated from operations, and the $ 75,000 of available funds under the Revolving Credit Facility. We invest cash and cash equivalents in highly liquid securities with strong credit ratings. We classify our investments as current assets because of their highly liquid nature and availability to be converted into cash to fund current operations. Given the significant portion of our portfolio held in cash and cash equivalents and the high credit quality of our debt security investments, we do not anticipate fluctuations in the aggregate fair value of our investments to have a material impact on our liquidity or capital position.</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we had restricted cash of $18,142 as of March 31, 2026, which generally consists of cash received as prepayment for chartered flights that is maintained in separate escrow accounts prior to the date of</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transportation in accordance with DOT regulations. The restrictions are released once the charter transportation is provided.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our unrestricted cash and cash equivalents, short-term investments, and availability under our Revolving Credit Facility, combined with expected future cash flows from operations, will be sufficient to fund our operations and meet our debt payment obligations for at least the next 12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geopolitical factors, regulations, or acts of terrorism.</w:t>
      </w:r>
    </w:p>
    <w:p>
      <w:pPr>
        <w:spacing w:after="0" w:line="182" w:lineRule="exact"/>
        <w:rPr>
          <w:sz w:val="20"/>
          <w:szCs w:val="20"/>
          <w:color w:val="auto"/>
        </w:rPr>
      </w:pPr>
    </w:p>
    <w:p>
      <w:pPr>
        <w:jc w:val="both"/>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a more detailed discussion on our Liquidity and Capital Resources, see “Management’s Discussion and Analysis of Financial Condition and Results of Operations” in Part II, </w:t>
      </w:r>
      <w:hyperlink r:id="rId63">
        <w:r>
          <w:rPr>
            <w:rFonts w:ascii="Arial" w:cs="Arial" w:eastAsia="Arial" w:hAnsi="Arial"/>
            <w:sz w:val="18"/>
            <w:szCs w:val="18"/>
            <w:u w:val="single" w:color="auto"/>
            <w:color w:val="0000FF"/>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our 2025 10-K.</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Aircraft </w:t>
      </w:r>
      <w:r>
        <w:rPr>
          <w:rFonts w:ascii="Arial" w:cs="Arial" w:eastAsia="Arial" w:hAnsi="Arial"/>
          <w:sz w:val="18"/>
          <w:szCs w:val="18"/>
          <w:color w:val="auto"/>
        </w:rPr>
        <w:t>– We do not maintain an aircraft order book; instead, we enter into aircraft transactions on an opportunistic basis based on 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our prevailing level of liquidity and capital market availability. As a result, we are not locked into large future capital expenditures. We have historically financed aircraft through debt and finance leases. As of March 31, 2026, our fleet consisted of 72 Boeing 737-NG aircraft. This includes 47 aircraft in the passenger fleet, 22 cargo aircraft operated pursuant to the A&amp;R ATSA, and three aircraft currently on lease to unaffiliated airlines.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During the three months ended March 31, 2026, we agreed to operate two additional cargo aircraft on behalf of Amazon under the A&amp;R ATSA. This will increase the total aircraft that Sun Country operates on behalf of Amazon from 20 to 22. The two additional cargo aircraft were received as of March 31, 2026 and are expected to be in-service by the third quarter of 2026. For more information on our fleet, see </w:t>
      </w:r>
      <w:r>
        <w:rPr>
          <w:rFonts w:ascii="Arial" w:cs="Arial" w:eastAsia="Arial" w:hAnsi="Arial"/>
          <w:sz w:val="18"/>
          <w:szCs w:val="18"/>
          <w:u w:val="single" w:color="auto"/>
          <w:color w:val="0000FF"/>
        </w:rPr>
        <w:t>Note 5</w:t>
      </w:r>
      <w:r>
        <w:rPr>
          <w:rFonts w:ascii="Arial" w:cs="Arial" w:eastAsia="Arial" w:hAnsi="Arial"/>
          <w:sz w:val="18"/>
          <w:szCs w:val="18"/>
          <w:color w:val="0000FF"/>
        </w:rPr>
        <w:t xml:space="preserve"> </w:t>
      </w:r>
      <w:r>
        <w:rPr>
          <w:rFonts w:ascii="Arial" w:cs="Arial" w:eastAsia="Arial" w:hAnsi="Arial"/>
          <w:sz w:val="18"/>
          <w:szCs w:val="18"/>
          <w:color w:val="000000"/>
        </w:rPr>
        <w:t>of the Condensed Consolidated Financial Statements included in Part I, Item 1 of this report.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Maintenance Deposits </w:t>
      </w:r>
      <w:r>
        <w:rPr>
          <w:rFonts w:ascii="Arial" w:cs="Arial" w:eastAsia="Arial" w:hAnsi="Arial"/>
          <w:sz w:val="18"/>
          <w:szCs w:val="18"/>
          <w:color w:val="auto"/>
        </w:rPr>
        <w:t>- In addition to funding the acquisition of aircraft, we are required by certain of our aircraft lessors to fund cash</w:t>
      </w:r>
      <w:r>
        <w:rPr>
          <w:rFonts w:ascii="Arial" w:cs="Arial" w:eastAsia="Arial" w:hAnsi="Arial"/>
          <w:sz w:val="18"/>
          <w:szCs w:val="18"/>
          <w:b w:val="1"/>
          <w:bCs w:val="1"/>
          <w:color w:val="auto"/>
        </w:rPr>
        <w:t xml:space="preserve"> </w:t>
      </w:r>
      <w:r>
        <w:rPr>
          <w:rFonts w:ascii="Arial" w:cs="Arial" w:eastAsia="Arial" w:hAnsi="Arial"/>
          <w:sz w:val="18"/>
          <w:szCs w:val="18"/>
          <w:color w:val="auto"/>
        </w:rPr>
        <w:t>reserves in advance for scheduled maintenance to act as collateral for the benefit of the lessors. Qualifying payments that are expected to be recovered from lessors are recorded as Lessor Maintenance Deposits on our Condensed Consolidated Balance Sheets. As of March 31, 2026, we had $71,969 of total Lessor Maintenance Deposits. All maintenance deposits as of March 31, 2026 are estimated to be recoverable either through reimbursable maintenance events or through application towards the purchase of the aircraft.</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Credit Facilities and Debt </w:t>
      </w:r>
      <w:r>
        <w:rPr>
          <w:rFonts w:ascii="Arial" w:cs="Arial" w:eastAsia="Arial" w:hAnsi="Arial"/>
          <w:sz w:val="18"/>
          <w:szCs w:val="18"/>
          <w:color w:val="auto"/>
        </w:rPr>
        <w:t>- As of March 31, 2026, we had $75,000 of financing available through the Revolving Credit Facility. We were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compliance with all covenants as of March 31, 2026. For more information on our credit facilities or debt,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of the Condensed Consolidated Financial Statements included in Part I, Item 1 of this report.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TRA Liability - </w:t>
      </w:r>
      <w:r>
        <w:rPr>
          <w:rFonts w:ascii="Arial" w:cs="Arial" w:eastAsia="Arial" w:hAnsi="Arial"/>
          <w:sz w:val="18"/>
          <w:szCs w:val="18"/>
          <w:color w:val="auto"/>
        </w:rPr>
        <w:t>During the three months ended March 31, 2025, we made a payment of $10,525 to the TRA holders, which includes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members of our management and certain members of our Board of Directors. The payment to the TRA holders during the three months ended March 31, 2026 was not significant. Payments will be made in future periods as Pre-IPO Tax Attributes are utilized. Upon completion of a merger that constitutes a change of control, such as the Merger Agreement with Allegiant, the TRA will terminate and be settled with the TRA holders. For more information on the TRA liability,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of the Condensed Consolidated Financial Statements included in Part I, Item 1 of this report.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 Indicators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major indicators of financial condition and liquidity: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March 31, 2026</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December 31, 2025</w:t>
            </w: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153,729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144,684</w:t>
            </w:r>
          </w:p>
        </w:tc>
      </w:tr>
      <w:tr>
        <w:trPr>
          <w:trHeight w:val="247"/>
        </w:trPr>
        <w:tc>
          <w:tcPr>
            <w:tcW w:w="470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2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59,531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83,131</w:t>
            </w:r>
          </w:p>
        </w:tc>
      </w:tr>
      <w:tr>
        <w:trPr>
          <w:trHeight w:val="23"/>
        </w:trPr>
        <w:tc>
          <w:tcPr>
            <w:tcW w:w="4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Available Under Revolving Credit Facility</w:t>
            </w:r>
          </w:p>
        </w:tc>
        <w:tc>
          <w:tcPr>
            <w:tcW w:w="25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63"/>
        </w:trPr>
        <w:tc>
          <w:tcPr>
            <w:tcW w:w="4700" w:type="dxa"/>
            <w:vAlign w:val="bottom"/>
          </w:tcPr>
          <w:p>
            <w:pPr>
              <w:ind w:left="240"/>
              <w:spacing w:after="0"/>
              <w:rPr>
                <w:sz w:val="20"/>
                <w:szCs w:val="20"/>
                <w:color w:val="auto"/>
              </w:rPr>
            </w:pPr>
            <w:r>
              <w:rPr>
                <w:rFonts w:ascii="Arial" w:cs="Arial" w:eastAsia="Arial" w:hAnsi="Arial"/>
                <w:sz w:val="18"/>
                <w:szCs w:val="18"/>
                <w:color w:val="auto"/>
              </w:rPr>
              <w:t>Total Liquidity</w:t>
            </w:r>
          </w:p>
        </w:tc>
        <w:tc>
          <w:tcPr>
            <w:tcW w:w="25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288,260</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302,815</w:t>
            </w:r>
          </w:p>
        </w:tc>
      </w:tr>
      <w:tr>
        <w:trPr>
          <w:trHeight w:val="46"/>
        </w:trPr>
        <w:tc>
          <w:tcPr>
            <w:tcW w:w="4700" w:type="dxa"/>
            <w:vAlign w:val="bottom"/>
            <w:tcBorders>
              <w:bottom w:val="single" w:sz="8" w:color="CCEEFF"/>
            </w:tcBorders>
          </w:tcPr>
          <w:p>
            <w:pPr>
              <w:spacing w:after="0"/>
              <w:rPr>
                <w:sz w:val="3"/>
                <w:szCs w:val="3"/>
                <w:color w:val="auto"/>
              </w:rPr>
            </w:pPr>
          </w:p>
        </w:tc>
        <w:tc>
          <w:tcPr>
            <w:tcW w:w="25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23"/>
        </w:trPr>
        <w:tc>
          <w:tcPr>
            <w:tcW w:w="4700" w:type="dxa"/>
            <w:vAlign w:val="bottom"/>
            <w:tcBorders>
              <w:top w:val="single" w:sz="8" w:color="CCEEFF"/>
              <w:bottom w:val="single" w:sz="8" w:color="CCEEFF"/>
            </w:tcBorders>
          </w:tcPr>
          <w:p>
            <w:pPr>
              <w:spacing w:after="0"/>
              <w:rPr>
                <w:sz w:val="19"/>
                <w:szCs w:val="19"/>
                <w:color w:val="auto"/>
              </w:rPr>
            </w:pPr>
          </w:p>
        </w:tc>
        <w:tc>
          <w:tcPr>
            <w:tcW w:w="2500" w:type="dxa"/>
            <w:vAlign w:val="bottom"/>
            <w:tcBorders>
              <w:top w:val="single" w:sz="8" w:color="CCEEFF"/>
              <w:bottom w:val="single" w:sz="8" w:color="CCEEFF"/>
            </w:tcBorders>
          </w:tcPr>
          <w:p>
            <w:pPr>
              <w:spacing w:after="0"/>
              <w:rPr>
                <w:sz w:val="19"/>
                <w:szCs w:val="19"/>
                <w:color w:val="auto"/>
              </w:rPr>
            </w:pPr>
          </w:p>
        </w:tc>
        <w:tc>
          <w:tcPr>
            <w:tcW w:w="300" w:type="dxa"/>
            <w:vAlign w:val="bottom"/>
            <w:tcBorders>
              <w:top w:val="single" w:sz="8" w:color="CCEEFF"/>
              <w:bottom w:val="single" w:sz="8" w:color="auto"/>
            </w:tcBorders>
          </w:tcPr>
          <w:p>
            <w:pPr>
              <w:spacing w:after="0"/>
              <w:rPr>
                <w:sz w:val="19"/>
                <w:szCs w:val="19"/>
                <w:color w:val="auto"/>
              </w:rPr>
            </w:pPr>
          </w:p>
        </w:tc>
        <w:tc>
          <w:tcPr>
            <w:tcW w:w="1680" w:type="dxa"/>
            <w:vAlign w:val="bottom"/>
            <w:tcBorders>
              <w:top w:val="single" w:sz="8" w:color="CCEEFF"/>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March 31, 2026</w:t>
            </w:r>
          </w:p>
        </w:tc>
        <w:tc>
          <w:tcPr>
            <w:tcW w:w="8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CCEEFF"/>
              <w:bottom w:val="single" w:sz="8" w:color="auto"/>
            </w:tcBorders>
          </w:tcPr>
          <w:p>
            <w:pPr>
              <w:spacing w:after="0"/>
              <w:rPr>
                <w:sz w:val="19"/>
                <w:szCs w:val="19"/>
                <w:color w:val="auto"/>
              </w:rPr>
            </w:pPr>
          </w:p>
        </w:tc>
        <w:tc>
          <w:tcPr>
            <w:tcW w:w="1740" w:type="dxa"/>
            <w:vAlign w:val="bottom"/>
            <w:tcBorders>
              <w:top w:val="single" w:sz="8" w:color="CCEEFF"/>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December 31, 2025</w:t>
            </w: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net</w:t>
            </w:r>
          </w:p>
        </w:tc>
        <w:tc>
          <w:tcPr>
            <w:tcW w:w="28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306,855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323,346</w:t>
            </w:r>
          </w:p>
        </w:tc>
      </w:tr>
      <w:tr>
        <w:trPr>
          <w:trHeight w:val="247"/>
        </w:trPr>
        <w:tc>
          <w:tcPr>
            <w:tcW w:w="470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245,838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251,087</w:t>
            </w:r>
          </w:p>
        </w:tc>
      </w:tr>
      <w:tr>
        <w:trPr>
          <w:trHeight w:val="23"/>
        </w:trPr>
        <w:tc>
          <w:tcPr>
            <w:tcW w:w="4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5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16,563</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17,393</w:t>
            </w:r>
          </w:p>
        </w:tc>
      </w:tr>
      <w:tr>
        <w:trPr>
          <w:trHeight w:val="241"/>
        </w:trPr>
        <w:tc>
          <w:tcPr>
            <w:tcW w:w="4700" w:type="dxa"/>
            <w:vAlign w:val="bottom"/>
          </w:tcPr>
          <w:p>
            <w:pPr>
              <w:ind w:left="180"/>
              <w:spacing w:after="0"/>
              <w:rPr>
                <w:sz w:val="20"/>
                <w:szCs w:val="20"/>
                <w:color w:val="auto"/>
              </w:rPr>
            </w:pPr>
            <w:r>
              <w:rPr>
                <w:rFonts w:ascii="Arial" w:cs="Arial" w:eastAsia="Arial" w:hAnsi="Arial"/>
                <w:sz w:val="18"/>
                <w:szCs w:val="18"/>
                <w:color w:val="auto"/>
              </w:rPr>
              <w:t>Total Debt, net, and Lease Obligations</w:t>
            </w:r>
          </w:p>
        </w:tc>
        <w:tc>
          <w:tcPr>
            <w:tcW w:w="25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569,256</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591,826</w:t>
            </w:r>
          </w:p>
        </w:tc>
      </w:tr>
      <w:tr>
        <w:trPr>
          <w:trHeight w:val="23"/>
        </w:trPr>
        <w:tc>
          <w:tcPr>
            <w:tcW w:w="4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5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659,426</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625,156</w:t>
            </w:r>
          </w:p>
        </w:tc>
      </w:tr>
      <w:tr>
        <w:trPr>
          <w:trHeight w:val="264"/>
        </w:trPr>
        <w:tc>
          <w:tcPr>
            <w:tcW w:w="4700" w:type="dxa"/>
            <w:vAlign w:val="bottom"/>
          </w:tcPr>
          <w:p>
            <w:pPr>
              <w:ind w:left="180"/>
              <w:spacing w:after="0"/>
              <w:rPr>
                <w:sz w:val="20"/>
                <w:szCs w:val="20"/>
                <w:color w:val="auto"/>
              </w:rPr>
            </w:pPr>
            <w:r>
              <w:rPr>
                <w:rFonts w:ascii="Arial" w:cs="Arial" w:eastAsia="Arial" w:hAnsi="Arial"/>
                <w:sz w:val="18"/>
                <w:szCs w:val="18"/>
                <w:color w:val="auto"/>
              </w:rPr>
              <w:t>Total Invested Capital</w:t>
            </w:r>
          </w:p>
        </w:tc>
        <w:tc>
          <w:tcPr>
            <w:tcW w:w="25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1,228,682</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1,216,982</w:t>
            </w:r>
          </w:p>
        </w:tc>
      </w:tr>
      <w:tr>
        <w:trPr>
          <w:trHeight w:val="46"/>
        </w:trPr>
        <w:tc>
          <w:tcPr>
            <w:tcW w:w="4700" w:type="dxa"/>
            <w:vAlign w:val="bottom"/>
            <w:tcBorders>
              <w:bottom w:val="single" w:sz="8" w:color="CCEEFF"/>
            </w:tcBorders>
          </w:tcPr>
          <w:p>
            <w:pPr>
              <w:spacing w:after="0"/>
              <w:rPr>
                <w:sz w:val="3"/>
                <w:szCs w:val="3"/>
                <w:color w:val="auto"/>
              </w:rPr>
            </w:pPr>
          </w:p>
        </w:tc>
        <w:tc>
          <w:tcPr>
            <w:tcW w:w="25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47"/>
        </w:trPr>
        <w:tc>
          <w:tcPr>
            <w:tcW w:w="47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Debt-to-Capital</w:t>
            </w:r>
          </w:p>
        </w:tc>
        <w:tc>
          <w:tcPr>
            <w:tcW w:w="25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6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0.46</w:t>
            </w:r>
          </w:p>
        </w:tc>
        <w:tc>
          <w:tcPr>
            <w:tcW w:w="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0.49</w:t>
            </w:r>
          </w:p>
        </w:tc>
      </w:tr>
      <w:tr>
        <w:trPr>
          <w:trHeight w:val="931"/>
        </w:trPr>
        <w:tc>
          <w:tcPr>
            <w:tcW w:w="4700" w:type="dxa"/>
            <w:vAlign w:val="bottom"/>
          </w:tcPr>
          <w:p>
            <w:pPr>
              <w:spacing w:after="0"/>
              <w:rPr>
                <w:sz w:val="24"/>
                <w:szCs w:val="24"/>
                <w:color w:val="auto"/>
              </w:rPr>
            </w:pPr>
          </w:p>
        </w:tc>
        <w:tc>
          <w:tcPr>
            <w:tcW w:w="2500" w:type="dxa"/>
            <w:vAlign w:val="bottom"/>
          </w:tcPr>
          <w:p>
            <w:pPr>
              <w:jc w:val="right"/>
              <w:ind w:right="133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1"/>
        </w:trPr>
        <w:tc>
          <w:tcPr>
            <w:tcW w:w="470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Liquidity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40" w:type="dxa"/>
            <w:vAlign w:val="bottom"/>
          </w:tcPr>
          <w:p>
            <w:pPr>
              <w:spacing w:after="0"/>
              <w:rPr>
                <w:sz w:val="17"/>
                <w:szCs w:val="17"/>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Pr>
          <w:p>
            <w:pPr>
              <w:jc w:val="right"/>
              <w:ind w:right="773"/>
              <w:spacing w:after="0"/>
              <w:rPr>
                <w:sz w:val="20"/>
                <w:szCs w:val="20"/>
                <w:color w:val="auto"/>
              </w:rPr>
            </w:pPr>
            <w:r>
              <w:rPr>
                <w:rFonts w:ascii="Arial" w:cs="Arial" w:eastAsia="Arial" w:hAnsi="Arial"/>
                <w:sz w:val="14"/>
                <w:szCs w:val="14"/>
                <w:b w:val="1"/>
                <w:bCs w:val="1"/>
                <w:color w:val="auto"/>
              </w:rPr>
              <w:t>%</w:t>
            </w:r>
          </w:p>
        </w:tc>
      </w:tr>
      <w:tr>
        <w:trPr>
          <w:trHeight w:val="202"/>
        </w:trPr>
        <w:tc>
          <w:tcPr>
            <w:tcW w:w="57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Change</w:t>
            </w:r>
          </w:p>
        </w:tc>
      </w:tr>
      <w:tr>
        <w:trPr>
          <w:trHeight w:val="265"/>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Activities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16,431</w:t>
            </w:r>
          </w:p>
        </w:tc>
        <w:tc>
          <w:tcPr>
            <w:tcW w:w="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74"/>
        </w:trPr>
        <w:tc>
          <w:tcPr>
            <w:tcW w:w="5740" w:type="dxa"/>
            <w:vAlign w:val="bottom"/>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Borders>
              <w:top w:val="single" w:sz="8" w:color="auto"/>
            </w:tcBorders>
          </w:tcPr>
          <w:p>
            <w:pPr>
              <w:spacing w:after="0"/>
              <w:rPr>
                <w:sz w:val="6"/>
                <w:szCs w:val="6"/>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7"/>
        </w:trPr>
        <w:tc>
          <w:tcPr>
            <w:tcW w:w="5740" w:type="dxa"/>
            <w:vAlign w:val="bottom"/>
          </w:tcPr>
          <w:p>
            <w:pPr>
              <w:ind w:left="360"/>
              <w:spacing w:after="0"/>
              <w:rPr>
                <w:sz w:val="20"/>
                <w:szCs w:val="20"/>
                <w:color w:val="auto"/>
              </w:rPr>
            </w:pPr>
            <w:r>
              <w:rPr>
                <w:rFonts w:ascii="Arial" w:cs="Arial" w:eastAsia="Arial" w:hAnsi="Arial"/>
                <w:sz w:val="18"/>
                <w:szCs w:val="18"/>
                <w:color w:val="auto"/>
              </w:rPr>
              <w:t>Purchases of Property &amp; Equipment</w:t>
            </w: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(40,512)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(15,409)</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163 %</w:t>
            </w:r>
          </w:p>
        </w:tc>
      </w:tr>
      <w:tr>
        <w:trPr>
          <w:trHeight w:val="23"/>
        </w:trPr>
        <w:tc>
          <w:tcPr>
            <w:tcW w:w="5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the Sale of Property &amp; Equipment</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47"/>
        </w:trPr>
        <w:tc>
          <w:tcPr>
            <w:tcW w:w="5740" w:type="dxa"/>
            <w:vAlign w:val="bottom"/>
          </w:tcPr>
          <w:p>
            <w:pPr>
              <w:ind w:left="360"/>
              <w:spacing w:after="0"/>
              <w:rPr>
                <w:sz w:val="20"/>
                <w:szCs w:val="20"/>
                <w:color w:val="auto"/>
              </w:rPr>
            </w:pPr>
            <w:r>
              <w:rPr>
                <w:rFonts w:ascii="Arial" w:cs="Arial" w:eastAsia="Arial" w:hAnsi="Arial"/>
                <w:sz w:val="18"/>
                <w:szCs w:val="18"/>
                <w:color w:val="auto"/>
              </w:rPr>
              <w:t>Purchases of Investments</w:t>
            </w:r>
          </w:p>
        </w:tc>
        <w:tc>
          <w:tcPr>
            <w:tcW w:w="100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(19,092)</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
        </w:trPr>
        <w:tc>
          <w:tcPr>
            <w:tcW w:w="5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the Maturities of Investments</w:t>
            </w: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17,925</w:t>
            </w:r>
          </w:p>
        </w:tc>
        <w:tc>
          <w:tcPr>
            <w:tcW w:w="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41"/>
        </w:trPr>
        <w:tc>
          <w:tcPr>
            <w:tcW w:w="5740" w:type="dxa"/>
            <w:vAlign w:val="bottom"/>
          </w:tcPr>
          <w:p>
            <w:pPr>
              <w:ind w:left="20"/>
              <w:spacing w:after="0"/>
              <w:rPr>
                <w:sz w:val="20"/>
                <w:szCs w:val="20"/>
                <w:color w:val="auto"/>
              </w:rPr>
            </w:pPr>
            <w:r>
              <w:rPr>
                <w:rFonts w:ascii="Arial" w:cs="Arial" w:eastAsia="Arial" w:hAnsi="Arial"/>
                <w:sz w:val="18"/>
                <w:szCs w:val="18"/>
                <w:color w:val="auto"/>
              </w:rPr>
              <w:t>Total Investing Activities</w:t>
            </w:r>
          </w:p>
        </w:tc>
        <w:tc>
          <w:tcPr>
            <w:tcW w:w="10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(7,309)</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(10,572)</w:t>
            </w:r>
          </w:p>
        </w:tc>
        <w:tc>
          <w:tcPr>
            <w:tcW w:w="80" w:type="dxa"/>
            <w:vAlign w:val="bottom"/>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3"/>
        </w:trPr>
        <w:tc>
          <w:tcPr>
            <w:tcW w:w="5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74"/>
        </w:trPr>
        <w:tc>
          <w:tcPr>
            <w:tcW w:w="57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r>
      <w:tr>
        <w:trPr>
          <w:trHeight w:val="247"/>
        </w:trPr>
        <w:tc>
          <w:tcPr>
            <w:tcW w:w="57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3"/>
        </w:trPr>
        <w:tc>
          <w:tcPr>
            <w:tcW w:w="5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Common Stock Repurchases</w:t>
            </w:r>
          </w:p>
        </w:tc>
        <w:tc>
          <w:tcPr>
            <w:tcW w:w="10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(10,000)</w:t>
            </w: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7"/>
        </w:trPr>
        <w:tc>
          <w:tcPr>
            <w:tcW w:w="5740" w:type="dxa"/>
            <w:vAlign w:val="bottom"/>
          </w:tcPr>
          <w:p>
            <w:pPr>
              <w:ind w:left="360"/>
              <w:spacing w:after="0"/>
              <w:rPr>
                <w:sz w:val="20"/>
                <w:szCs w:val="20"/>
                <w:color w:val="auto"/>
              </w:rPr>
            </w:pPr>
            <w:r>
              <w:rPr>
                <w:rFonts w:ascii="Arial" w:cs="Arial" w:eastAsia="Arial" w:hAnsi="Arial"/>
                <w:sz w:val="18"/>
                <w:szCs w:val="18"/>
                <w:color w:val="auto"/>
              </w:rPr>
              <w:t>Repayment of Finance Lease Obligations</w:t>
            </w: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(5,248)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(4,923)</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3"/>
        </w:trPr>
        <w:tc>
          <w:tcPr>
            <w:tcW w:w="5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Repayment of Borrowings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(16,776)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(14,829)</w:t>
            </w: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7"/>
        </w:trPr>
        <w:tc>
          <w:tcPr>
            <w:tcW w:w="57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5,452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(9,450)</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3"/>
        </w:trPr>
        <w:tc>
          <w:tcPr>
            <w:tcW w:w="5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(16,572)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(39,202)</w:t>
            </w:r>
          </w:p>
        </w:tc>
        <w:tc>
          <w:tcPr>
            <w:tcW w:w="8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63"/>
        </w:trPr>
        <w:tc>
          <w:tcPr>
            <w:tcW w:w="5740" w:type="dxa"/>
            <w:vAlign w:val="bottom"/>
          </w:tcPr>
          <w:p>
            <w:pPr>
              <w:ind w:left="20"/>
              <w:spacing w:after="0"/>
              <w:rPr>
                <w:sz w:val="20"/>
                <w:szCs w:val="20"/>
                <w:color w:val="auto"/>
              </w:rPr>
            </w:pPr>
            <w:r>
              <w:rPr>
                <w:rFonts w:ascii="Arial" w:cs="Arial" w:eastAsia="Arial" w:hAnsi="Arial"/>
                <w:sz w:val="18"/>
                <w:szCs w:val="18"/>
                <w:color w:val="auto"/>
              </w:rPr>
              <w:t>Net Increase (Decrease) in Cash</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5,830</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(33,343)</w:t>
            </w:r>
          </w:p>
        </w:tc>
        <w:tc>
          <w:tcPr>
            <w:tcW w:w="80" w:type="dxa"/>
            <w:vAlign w:val="bottom"/>
          </w:tcPr>
          <w:p>
            <w:pPr>
              <w:spacing w:after="0"/>
              <w:rPr>
                <w:sz w:val="22"/>
                <w:szCs w:val="22"/>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0"/>
        </w:trPr>
        <w:tc>
          <w:tcPr>
            <w:tcW w:w="5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"Cash" consists of Cash, Cash Equivalents and Restricted Cash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Cash Flow Activities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activities in the three months ended March 31, 2026 provided $29,711, as compared to $16,431 during the three months ended March 31, 2025. During the three months ended March 31, 2026, Net Income was $24,106, as compared to $36,535 during the three months ended March 31,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operating cash flow is primarily impacted by the following factors: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Seasonality of Advance Ticket Sales. </w:t>
      </w:r>
      <w:r>
        <w:rPr>
          <w:rFonts w:ascii="Arial" w:cs="Arial" w:eastAsia="Arial" w:hAnsi="Arial"/>
          <w:sz w:val="18"/>
          <w:szCs w:val="18"/>
          <w:color w:val="auto"/>
        </w:rPr>
        <w:t>We sell tickets for air travel in advance of the customer's travel date. When we receive a cash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sale, we record the cash received on advance sales as deferred revenue in Air Traffic Liabilities. Air Traffic Liabilities typically increase during the fall and early winter months as advanced ticket sales grow prior to the late winter and spring peak travel season and decrease during the summer months. Most tickets can be purchased no more than 12 months in advance, therefore any revenue associated with tickets sold for future travel will be recognized within that timeframe. For the three months ended March 31, 2026, $ 134,824 of revenue recognized in Passenger revenue was included in the $167,024 of Air Traffic Liabilities as of December 31, 2025 in our Condensed Consolidated Balance Sheets.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Aircraft Fuel. </w:t>
      </w:r>
      <w:r>
        <w:rPr>
          <w:rFonts w:ascii="Arial" w:cs="Arial" w:eastAsia="Arial" w:hAnsi="Arial"/>
          <w:sz w:val="18"/>
          <w:szCs w:val="18"/>
          <w:color w:val="auto"/>
        </w:rPr>
        <w:t>Aircraft Fuel expense represented approximately 24% of our total operating expense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2026 and 2025. The market price for jet fuel is volatile, which can impact the comparability of our periodic cash flows from operations. Fuel cost per gallon increased by 22% year-over-year. Fuel consumption decreased by 10% during the three months ended March 31, 2026, compared to the prior year as a result of the operational shift in capacity from Scheduled Service to the Cargo segment. We expect volatility in Aircraft Fuel prices per gallon to continue for the foreseeable future due to the impact of market conditions and global geopolitical events.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Cash Flow Activities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were $40,512 and $15,409 for the three months ended March 31, 2026 and 2025,</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Our capital expenditures during the three months ended March 31, 2026 included the acquisition of three engines, and other items not individually material. Our capital expenditures during the three months ended March 31, 2025 included the acquisition of one engine and other items not individually material.</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Our net investment activity resulted in cash inflows of $23,585 during the three months ended March 31, 2026,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cash outflows of $1,167 during the three months ended March 31, 2025. The year-over-year change is a result of a reduction in our average investment balance in order to support general corporate purposes and debt repayments.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Cash Flow Activities</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Finance Leases</w:t>
      </w:r>
      <w:r>
        <w:rPr>
          <w:rFonts w:ascii="Arial" w:cs="Arial" w:eastAsia="Arial" w:hAnsi="Arial"/>
          <w:sz w:val="18"/>
          <w:szCs w:val="18"/>
          <w:color w:val="auto"/>
        </w:rPr>
        <w:t>. Our repayments of finance lease obligations were $5,248 and $4,923 for the three months ended March 31, 2026 and</w:t>
      </w:r>
      <w:r>
        <w:rPr>
          <w:rFonts w:ascii="Arial" w:cs="Arial" w:eastAsia="Arial" w:hAnsi="Arial"/>
          <w:sz w:val="18"/>
          <w:szCs w:val="18"/>
          <w:i w:val="1"/>
          <w:iCs w:val="1"/>
          <w:color w:val="auto"/>
        </w:rPr>
        <w:t xml:space="preserve"> </w:t>
      </w:r>
      <w:r>
        <w:rPr>
          <w:rFonts w:ascii="Arial" w:cs="Arial" w:eastAsia="Arial" w:hAnsi="Arial"/>
          <w:sz w:val="18"/>
          <w:szCs w:val="18"/>
          <w:color w:val="auto"/>
        </w:rPr>
        <w:t>2025, respectively. As of March 31, 2026 and 2025, we had 13 aircraft finance leases.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the three months ended March 31, 2025, we repurchased 630,914 shares of our Common Stock at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weighted-average price of $15.85 per share. We did not repurchase any shares during the three months ended March 31, 2026. For more information on the stock repurchase program, see </w:t>
      </w:r>
      <w:r>
        <w:rPr>
          <w:rFonts w:ascii="Arial" w:cs="Arial" w:eastAsia="Arial" w:hAnsi="Arial"/>
          <w:sz w:val="18"/>
          <w:szCs w:val="18"/>
          <w:u w:val="single" w:color="auto"/>
          <w:color w:val="0000FF"/>
        </w:rPr>
        <w:t>Note 11</w:t>
      </w:r>
      <w:r>
        <w:rPr>
          <w:rFonts w:ascii="Arial" w:cs="Arial" w:eastAsia="Arial" w:hAnsi="Arial"/>
          <w:sz w:val="18"/>
          <w:szCs w:val="18"/>
          <w:color w:val="auto"/>
        </w:rPr>
        <w:t xml:space="preserve"> of the Condensed Consolidated Financial Statements included in Part I, Item 1 of this report.</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TRA Payment. </w:t>
      </w:r>
      <w:r>
        <w:rPr>
          <w:rFonts w:ascii="Arial" w:cs="Arial" w:eastAsia="Arial" w:hAnsi="Arial"/>
          <w:sz w:val="18"/>
          <w:szCs w:val="18"/>
          <w:color w:val="auto"/>
        </w:rPr>
        <w:t>During the three months ended March 31, 2025, we made a payment of $10,525 to the TRA holders, which includes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members of our management and certain members of our Board of Directors. The payment is included within Other, net in Financing Activities. The payment to the TRA holders during the three months ended March 31, 2026 was not significant. For more information on the payment of the TRA,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of the Condensed Consolidated Financial Statements included in Part I, Item 1 of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5" w:lineRule="exact"/>
        <w:rPr>
          <w:sz w:val="20"/>
          <w:szCs w:val="20"/>
          <w:color w:val="auto"/>
        </w:rPr>
      </w:pPr>
    </w:p>
    <w:p>
      <w:pPr>
        <w:jc w:val="both"/>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For a detailed discussion on the nature of our Off Balance Sheet Arrangements, see “Management’s Discussion and Analysis of Financial Condition and Results of Operations” in Part II, </w:t>
      </w:r>
      <w:hyperlink r:id="rId63">
        <w:r>
          <w:rPr>
            <w:rFonts w:ascii="Arial" w:cs="Arial" w:eastAsia="Arial" w:hAnsi="Arial"/>
            <w:sz w:val="18"/>
            <w:szCs w:val="18"/>
            <w:u w:val="single" w:color="auto"/>
            <w:color w:val="0000FF"/>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our 2025 10-K. There have been no material changes to our Off Balance Sheet Arrangements as compared to the 2025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12</w:t>
      </w:r>
      <w:r>
        <w:rPr>
          <w:rFonts w:ascii="Arial" w:cs="Arial" w:eastAsia="Arial" w:hAnsi="Arial"/>
          <w:sz w:val="18"/>
          <w:szCs w:val="18"/>
          <w:color w:val="auto"/>
        </w:rPr>
        <w:t xml:space="preserve"> to our Condensed Consolidated Financial Statements included in Part I, Item 1 of this Quarterly Report on Form 10-Q for more information regarding commitments and contractual obligations.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2026, there were no recently adopted accounting standards that had a material impact to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unaudited Condensed Consolidated Financial Statements and the accompanying notes thereto included elsewhere in this Quarterly Report on Form 10-Q are prepared in accordance with GAAP. The preparation of the Condensed Consolidated Financial Statements requires us to make estimates and assumptions that affect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reported amounts of assets, liabilities, revenue, expenses, and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 For more information on our critical accounting policies, see “Management’s Discussion and Analysis of Financial Condition and Results of Operations” sections within Part II, </w:t>
      </w:r>
      <w:hyperlink r:id="rId63">
        <w:r>
          <w:rPr>
            <w:rFonts w:ascii="Arial" w:cs="Arial" w:eastAsia="Arial" w:hAnsi="Arial"/>
            <w:sz w:val="18"/>
            <w:szCs w:val="18"/>
            <w:u w:val="single" w:color="auto"/>
            <w:color w:val="0000FF"/>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our 2025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and estimates as compared to the 2025 10-K.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jc w:val="both"/>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We are subject to market risks in the ordinary course of our business. These risks include commodity price risk, specifically with respect to aircraft fuel, as well as interest rate risk. The adverse effects of changes in these markets could pose a potential loss. There have been no material changes in market risk from those disclosed within "Item 7A. Quantitative and Qualitative Disclosures About Market Risk" included in Part II, </w:t>
      </w:r>
      <w:hyperlink r:id="rId100">
        <w:r>
          <w:rPr>
            <w:rFonts w:ascii="Arial" w:cs="Arial" w:eastAsia="Arial" w:hAnsi="Arial"/>
            <w:sz w:val="18"/>
            <w:szCs w:val="18"/>
            <w:u w:val="single" w:color="auto"/>
            <w:color w:val="0000FF"/>
          </w:rPr>
          <w:t>Item 7A</w:t>
        </w:r>
      </w:hyperlink>
      <w:r>
        <w:rPr>
          <w:rFonts w:ascii="Arial" w:cs="Arial" w:eastAsia="Arial" w:hAnsi="Arial"/>
          <w:sz w:val="18"/>
          <w:szCs w:val="18"/>
          <w:color w:val="auto"/>
        </w:rPr>
        <w:t>, of our 2025 10-K.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represent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preparation of this Form 10-Q, pursuant to Rule 13a-15(b) of the Exchange Act, our management, with the participation of our Chief Executive Officer and Chief Financial Officer, has evaluated the effectiveness of the design and operation of our disclosure controls and procedures (as defined in Rules 13a-15(e) and 15d-15(e) under the Exchange Act) as of March 31, 2026.</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the evaluation of our disclosure controls and procedures as of March 31, 2026, our Chief Executive Officer and Chief Financial Officer have concluded that our disclosure controls and procedures were effective as of March 31, 2026.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3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quarter ended March 31, 2026 that have materially affected, or are reasonably likely to materially affect, our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date of this Current Report on Form 10-Q, two lawsuits have been filed in state court by purported stockholders against the Company and members of the Board (collectively, the “Actions”) relating to the Merger: (i) Steven Weiss v. Sun Country Airlines Holdings, Inc. et al., No. 652273/2026 (N.Y.S.), filed on April 16, 2026 and (ii) Robert Williams v. Sun Country Airlines Holdings, Inc., et al., No. 652288/2026 (N.Y.S.), filed on April 17, 2026. The Actions generally allege state law claims for negligent misrepresentation and concealment with respect to the disclosures in the proxy statement filed by the Company in connection with the Merger.</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Although the Company believes that the claims in the Actions are wholly without merit and that no further disclosure is required under applicable law to supplement the proxy statement filed by the Company in connection with the Merger, the Company filed a supplement to the proxy statement on April 28, 2026 addressing alleged disclosure claims in order to eliminate the burden, expense and uncertainties inherent in such litigation, without admitting any liability or wrongdoing.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We have disclosed under the heading “</w:t>
      </w:r>
      <w:hyperlink r:id="rId64">
        <w:r>
          <w:rPr>
            <w:rFonts w:ascii="Arial" w:cs="Arial" w:eastAsia="Arial" w:hAnsi="Arial"/>
            <w:sz w:val="18"/>
            <w:szCs w:val="18"/>
            <w:u w:val="single" w:color="auto"/>
            <w:color w:val="0000FF"/>
          </w:rPr>
          <w:t>Risk Factors</w:t>
        </w:r>
      </w:hyperlink>
      <w:r>
        <w:rPr>
          <w:rFonts w:ascii="Arial" w:cs="Arial" w:eastAsia="Arial" w:hAnsi="Arial"/>
          <w:sz w:val="18"/>
          <w:szCs w:val="18"/>
          <w:color w:val="auto"/>
        </w:rPr>
        <w:t>” in our 2025 10-K the risk factors which materially affect our business, financial condition or results of operations. There have been no material changes from the risk factors previously disclosed. You should carefully consider the risk factors set forth in our 2025 10-K.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three months ended March 31, 2026, our directors and executive officers did not adopt, terminate, or modify any instructions or written plans for the sale or purchase of our securities that would be intended to satisfy the affirmative defense conditions of Rule 10b5-1(c).</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spacing w:after="0"/>
              <w:rPr>
                <w:sz w:val="20"/>
                <w:szCs w:val="20"/>
                <w:color w:val="auto"/>
              </w:rPr>
            </w:pPr>
            <w:r>
              <w:rPr>
                <w:rFonts w:ascii="Arial" w:cs="Arial" w:eastAsia="Arial" w:hAnsi="Arial"/>
                <w:sz w:val="18"/>
                <w:szCs w:val="18"/>
                <w:color w:val="auto"/>
              </w:rPr>
              <w:t>(a) Exhibits</w:t>
            </w:r>
          </w:p>
        </w:tc>
        <w:tc>
          <w:tcPr>
            <w:tcW w:w="4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8"/>
        </w:trPr>
        <w:tc>
          <w:tcPr>
            <w:tcW w:w="1160" w:type="dxa"/>
            <w:vAlign w:val="bottom"/>
          </w:tcPr>
          <w:p>
            <w:pPr>
              <w:ind w:left="20"/>
              <w:spacing w:after="0"/>
              <w:rPr>
                <w:sz w:val="20"/>
                <w:szCs w:val="20"/>
                <w:color w:val="auto"/>
              </w:rPr>
            </w:pPr>
            <w:r>
              <w:rPr>
                <w:rFonts w:ascii="Arial" w:cs="Arial" w:eastAsia="Arial" w:hAnsi="Arial"/>
                <w:sz w:val="18"/>
                <w:szCs w:val="18"/>
                <w:color w:val="auto"/>
              </w:rPr>
              <w:t>2.1</w:t>
            </w:r>
          </w:p>
        </w:tc>
        <w:tc>
          <w:tcPr>
            <w:tcW w:w="9900" w:type="dxa"/>
            <w:vAlign w:val="bottom"/>
            <w:gridSpan w:val="11"/>
          </w:tcPr>
          <w:p>
            <w:pPr>
              <w:spacing w:after="0"/>
              <w:rPr>
                <w:rFonts w:ascii="Arial" w:cs="Arial" w:eastAsia="Arial" w:hAnsi="Arial"/>
                <w:sz w:val="18"/>
                <w:szCs w:val="18"/>
                <w:color w:val="0000FF"/>
              </w:rPr>
            </w:pPr>
            <w:hyperlink r:id="rId103">
              <w:r>
                <w:rPr>
                  <w:rFonts w:ascii="Arial" w:cs="Arial" w:eastAsia="Arial" w:hAnsi="Arial"/>
                  <w:sz w:val="18"/>
                  <w:szCs w:val="18"/>
                  <w:color w:val="0000FF"/>
                </w:rPr>
                <w:t>Agreement and Plan of Merger, dated as of January 11, 2026, by and among Sun Country Airlines Holdings, Inc., Allegiant</w:t>
              </w:r>
            </w:hyperlink>
          </w:p>
        </w:tc>
      </w:tr>
      <w:tr>
        <w:trPr>
          <w:trHeight w:val="156"/>
        </w:trPr>
        <w:tc>
          <w:tcPr>
            <w:tcW w:w="1160" w:type="dxa"/>
            <w:vAlign w:val="bottom"/>
          </w:tcPr>
          <w:p>
            <w:pPr>
              <w:spacing w:after="0"/>
              <w:rPr>
                <w:sz w:val="13"/>
                <w:szCs w:val="13"/>
                <w:color w:val="auto"/>
              </w:rPr>
            </w:pPr>
          </w:p>
        </w:tc>
        <w:tc>
          <w:tcPr>
            <w:tcW w:w="972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03">
              <w:r>
                <w:rPr>
                  <w:rFonts w:ascii="Arial" w:cs="Arial" w:eastAsia="Arial" w:hAnsi="Arial"/>
                  <w:sz w:val="18"/>
                  <w:szCs w:val="18"/>
                  <w:color w:val="0000FF"/>
                </w:rPr>
                <w:t>Travel Company, Mirage Merger Sub, Inc. and Sawdust Merger Sub, LLC (incorporated by reference to Exhibit 2.1 to Sun</w:t>
              </w:r>
            </w:hyperlink>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922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Country Airlines Holdings, Inc.'s Form 8-K filed with the Securities and Exchange Commission on January 12, 2026)</w:t>
              </w:r>
            </w:hyperlink>
          </w:p>
        </w:tc>
        <w:tc>
          <w:tcPr>
            <w:tcW w:w="440" w:type="dxa"/>
            <w:vAlign w:val="bottom"/>
            <w:tcBorders>
              <w:top w:val="single" w:sz="8" w:color="0000FF"/>
            </w:tcBorders>
            <w:gridSpan w:val="3"/>
          </w:tcPr>
          <w:p>
            <w:pPr>
              <w:spacing w:after="0"/>
              <w:rPr>
                <w:sz w:val="14"/>
                <w:szCs w:val="14"/>
                <w:color w:val="auto"/>
              </w:rPr>
            </w:pPr>
          </w:p>
        </w:tc>
        <w:tc>
          <w:tcPr>
            <w:tcW w:w="1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31.1*</w:t>
            </w:r>
          </w:p>
        </w:tc>
        <w:tc>
          <w:tcPr>
            <w:tcW w:w="9900" w:type="dxa"/>
            <w:vAlign w:val="bottom"/>
            <w:gridSpan w:val="11"/>
          </w:tcPr>
          <w:p>
            <w:pPr>
              <w:spacing w:after="0"/>
              <w:rPr>
                <w:sz w:val="20"/>
                <w:szCs w:val="20"/>
                <w:color w:val="auto"/>
              </w:rPr>
            </w:pPr>
            <w:r>
              <w:rPr>
                <w:rFonts w:ascii="Arial" w:cs="Arial" w:eastAsia="Arial" w:hAnsi="Arial"/>
                <w:sz w:val="18"/>
                <w:szCs w:val="18"/>
                <w:color w:val="0000FF"/>
                <w:w w:val="99"/>
              </w:rPr>
              <w:t>Certification by Sun Country's President and Chief Executive Officer with respect to Sun Country's Quarterly Report on Form</w:t>
            </w:r>
          </w:p>
        </w:tc>
      </w:tr>
      <w:tr>
        <w:trPr>
          <w:trHeight w:val="155"/>
        </w:trPr>
        <w:tc>
          <w:tcPr>
            <w:tcW w:w="1160" w:type="dxa"/>
            <w:vAlign w:val="bottom"/>
          </w:tcPr>
          <w:p>
            <w:pPr>
              <w:spacing w:after="0"/>
              <w:rPr>
                <w:sz w:val="13"/>
                <w:szCs w:val="13"/>
                <w:color w:val="auto"/>
              </w:rPr>
            </w:pPr>
          </w:p>
        </w:tc>
        <w:tc>
          <w:tcPr>
            <w:tcW w:w="412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9"/>
              </w:rPr>
              <w:t>10-Q for the quarterly period ended March 31, 2026</w:t>
            </w:r>
          </w:p>
        </w:tc>
        <w:tc>
          <w:tcPr>
            <w:tcW w:w="57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31.2*</w:t>
            </w:r>
          </w:p>
        </w:tc>
        <w:tc>
          <w:tcPr>
            <w:tcW w:w="9900" w:type="dxa"/>
            <w:vAlign w:val="bottom"/>
            <w:gridSpan w:val="11"/>
          </w:tcPr>
          <w:p>
            <w:pPr>
              <w:spacing w:after="0"/>
              <w:rPr>
                <w:sz w:val="20"/>
                <w:szCs w:val="20"/>
                <w:color w:val="auto"/>
              </w:rPr>
            </w:pPr>
            <w:r>
              <w:rPr>
                <w:rFonts w:ascii="Arial" w:cs="Arial" w:eastAsia="Arial" w:hAnsi="Arial"/>
                <w:sz w:val="18"/>
                <w:szCs w:val="18"/>
                <w:color w:val="0000FF"/>
              </w:rPr>
              <w:t>Certification by Sun Country’s Senior Vice President and Chief Financial Officer with respect to Sun Country's Quarterly</w:t>
            </w:r>
          </w:p>
        </w:tc>
      </w:tr>
      <w:tr>
        <w:trPr>
          <w:trHeight w:val="155"/>
        </w:trPr>
        <w:tc>
          <w:tcPr>
            <w:tcW w:w="1160" w:type="dxa"/>
            <w:vAlign w:val="bottom"/>
          </w:tcPr>
          <w:p>
            <w:pPr>
              <w:spacing w:after="0"/>
              <w:rPr>
                <w:sz w:val="13"/>
                <w:szCs w:val="13"/>
                <w:color w:val="auto"/>
              </w:rPr>
            </w:pPr>
          </w:p>
        </w:tc>
        <w:tc>
          <w:tcPr>
            <w:tcW w:w="948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Report on Form 10-Q for the quarterly period ended March 31, 2026</w:t>
            </w:r>
          </w:p>
        </w:tc>
        <w:tc>
          <w:tcPr>
            <w:tcW w:w="34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5420" w:type="dxa"/>
            <w:vAlign w:val="bottom"/>
            <w:gridSpan w:val="2"/>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32*</w:t>
            </w:r>
          </w:p>
        </w:tc>
        <w:tc>
          <w:tcPr>
            <w:tcW w:w="9900" w:type="dxa"/>
            <w:vAlign w:val="bottom"/>
            <w:gridSpan w:val="11"/>
          </w:tcPr>
          <w:p>
            <w:pPr>
              <w:spacing w:after="0"/>
              <w:rPr>
                <w:sz w:val="20"/>
                <w:szCs w:val="20"/>
                <w:color w:val="auto"/>
              </w:rPr>
            </w:pPr>
            <w:r>
              <w:rPr>
                <w:rFonts w:ascii="Arial" w:cs="Arial" w:eastAsia="Arial" w:hAnsi="Arial"/>
                <w:sz w:val="18"/>
                <w:szCs w:val="18"/>
                <w:color w:val="0000FF"/>
              </w:rPr>
              <w:t>Certification pursuant to Section 1350 of Chapter 63 of Title 18 of the United States Code by Sun Country Airlines Holdings,</w:t>
            </w:r>
          </w:p>
        </w:tc>
      </w:tr>
      <w:tr>
        <w:trPr>
          <w:trHeight w:val="155"/>
        </w:trPr>
        <w:tc>
          <w:tcPr>
            <w:tcW w:w="1160" w:type="dxa"/>
            <w:vAlign w:val="bottom"/>
          </w:tcPr>
          <w:p>
            <w:pPr>
              <w:spacing w:after="0"/>
              <w:rPr>
                <w:sz w:val="13"/>
                <w:szCs w:val="13"/>
                <w:color w:val="auto"/>
              </w:rPr>
            </w:pPr>
          </w:p>
        </w:tc>
        <w:tc>
          <w:tcPr>
            <w:tcW w:w="982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Inc.’s President and Chief Executive Officer and Senior Vice President and Chief Financial Officer with respect to Sun</w:t>
            </w:r>
          </w:p>
        </w:tc>
        <w:tc>
          <w:tcPr>
            <w:tcW w:w="80" w:type="dxa"/>
            <w:vAlign w:val="bottom"/>
            <w:gridSpan w:val="2"/>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702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9"/>
              </w:rPr>
              <w:t>Country's Quarterly Report on Form 10-Q for the quarterly period ended March 31, 2026</w:t>
            </w:r>
          </w:p>
        </w:tc>
        <w:tc>
          <w:tcPr>
            <w:tcW w:w="2300" w:type="dxa"/>
            <w:vAlign w:val="bottom"/>
            <w:tcBorders>
              <w:top w:val="single" w:sz="8" w:color="0000FF"/>
            </w:tcBorders>
            <w:gridSpan w:val="2"/>
          </w:tcPr>
          <w:p>
            <w:pPr>
              <w:spacing w:after="0"/>
              <w:rPr>
                <w:sz w:val="14"/>
                <w:szCs w:val="14"/>
                <w:color w:val="auto"/>
              </w:rPr>
            </w:pPr>
          </w:p>
        </w:tc>
        <w:tc>
          <w:tcPr>
            <w:tcW w:w="580" w:type="dxa"/>
            <w:vAlign w:val="bottom"/>
            <w:gridSpan w:val="6"/>
          </w:tcPr>
          <w:p>
            <w:pPr>
              <w:spacing w:after="0"/>
              <w:rPr>
                <w:sz w:val="14"/>
                <w:szCs w:val="14"/>
                <w:color w:val="auto"/>
              </w:rPr>
            </w:pPr>
          </w:p>
        </w:tc>
      </w:tr>
      <w:tr>
        <w:trPr>
          <w:trHeight w:val="250"/>
        </w:trPr>
        <w:tc>
          <w:tcPr>
            <w:tcW w:w="1160" w:type="dxa"/>
            <w:vAlign w:val="bottom"/>
          </w:tcPr>
          <w:p>
            <w:pPr>
              <w:ind w:left="20"/>
              <w:spacing w:after="0"/>
              <w:rPr>
                <w:sz w:val="20"/>
                <w:szCs w:val="20"/>
                <w:color w:val="auto"/>
              </w:rPr>
            </w:pPr>
            <w:r>
              <w:rPr>
                <w:rFonts w:ascii="Arial" w:cs="Arial" w:eastAsia="Arial" w:hAnsi="Arial"/>
                <w:sz w:val="18"/>
                <w:szCs w:val="18"/>
                <w:color w:val="auto"/>
              </w:rPr>
              <w:t>101.INS*</w:t>
            </w:r>
          </w:p>
        </w:tc>
        <w:tc>
          <w:tcPr>
            <w:tcW w:w="9900" w:type="dxa"/>
            <w:vAlign w:val="bottom"/>
            <w:gridSpan w:val="11"/>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w:t>
            </w:r>
          </w:p>
        </w:tc>
      </w:tr>
      <w:tr>
        <w:trPr>
          <w:trHeight w:val="239"/>
        </w:trPr>
        <w:tc>
          <w:tcPr>
            <w:tcW w:w="1160" w:type="dxa"/>
            <w:vAlign w:val="bottom"/>
          </w:tcPr>
          <w:p>
            <w:pPr>
              <w:spacing w:after="0"/>
              <w:rPr>
                <w:sz w:val="20"/>
                <w:szCs w:val="20"/>
                <w:color w:val="auto"/>
              </w:rPr>
            </w:pPr>
          </w:p>
        </w:tc>
        <w:tc>
          <w:tcPr>
            <w:tcW w:w="9900" w:type="dxa"/>
            <w:vAlign w:val="bottom"/>
            <w:gridSpan w:val="11"/>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292"/>
        </w:trPr>
        <w:tc>
          <w:tcPr>
            <w:tcW w:w="1160" w:type="dxa"/>
            <w:vAlign w:val="bottom"/>
          </w:tcPr>
          <w:p>
            <w:pPr>
              <w:ind w:left="20"/>
              <w:spacing w:after="0"/>
              <w:rPr>
                <w:sz w:val="20"/>
                <w:szCs w:val="20"/>
                <w:color w:val="auto"/>
              </w:rPr>
            </w:pPr>
            <w:r>
              <w:rPr>
                <w:rFonts w:ascii="Arial" w:cs="Arial" w:eastAsia="Arial" w:hAnsi="Arial"/>
                <w:sz w:val="18"/>
                <w:szCs w:val="18"/>
                <w:color w:val="auto"/>
              </w:rPr>
              <w:t>101.SCH*</w:t>
            </w:r>
          </w:p>
        </w:tc>
        <w:tc>
          <w:tcPr>
            <w:tcW w:w="990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1160" w:type="dxa"/>
            <w:vAlign w:val="bottom"/>
          </w:tcPr>
          <w:p>
            <w:pPr>
              <w:ind w:left="20"/>
              <w:spacing w:after="0"/>
              <w:rPr>
                <w:sz w:val="20"/>
                <w:szCs w:val="20"/>
                <w:color w:val="auto"/>
              </w:rPr>
            </w:pPr>
            <w:r>
              <w:rPr>
                <w:rFonts w:ascii="Arial" w:cs="Arial" w:eastAsia="Arial" w:hAnsi="Arial"/>
                <w:sz w:val="18"/>
                <w:szCs w:val="18"/>
                <w:color w:val="auto"/>
              </w:rPr>
              <w:t>101.CAL*</w:t>
            </w:r>
          </w:p>
        </w:tc>
        <w:tc>
          <w:tcPr>
            <w:tcW w:w="990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1160" w:type="dxa"/>
            <w:vAlign w:val="bottom"/>
          </w:tcPr>
          <w:p>
            <w:pPr>
              <w:ind w:left="20"/>
              <w:spacing w:after="0"/>
              <w:rPr>
                <w:sz w:val="20"/>
                <w:szCs w:val="20"/>
                <w:color w:val="auto"/>
              </w:rPr>
            </w:pPr>
            <w:r>
              <w:rPr>
                <w:rFonts w:ascii="Arial" w:cs="Arial" w:eastAsia="Arial" w:hAnsi="Arial"/>
                <w:sz w:val="18"/>
                <w:szCs w:val="18"/>
                <w:color w:val="auto"/>
              </w:rPr>
              <w:t>101.DEF*</w:t>
            </w:r>
          </w:p>
        </w:tc>
        <w:tc>
          <w:tcPr>
            <w:tcW w:w="990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83"/>
        </w:trPr>
        <w:tc>
          <w:tcPr>
            <w:tcW w:w="1160" w:type="dxa"/>
            <w:vAlign w:val="bottom"/>
          </w:tcPr>
          <w:p>
            <w:pPr>
              <w:ind w:left="20"/>
              <w:spacing w:after="0"/>
              <w:rPr>
                <w:sz w:val="20"/>
                <w:szCs w:val="20"/>
                <w:color w:val="auto"/>
              </w:rPr>
            </w:pPr>
            <w:r>
              <w:rPr>
                <w:rFonts w:ascii="Arial" w:cs="Arial" w:eastAsia="Arial" w:hAnsi="Arial"/>
                <w:sz w:val="18"/>
                <w:szCs w:val="18"/>
                <w:color w:val="auto"/>
              </w:rPr>
              <w:t>101.LAB*</w:t>
            </w:r>
          </w:p>
        </w:tc>
        <w:tc>
          <w:tcPr>
            <w:tcW w:w="990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283"/>
        </w:trPr>
        <w:tc>
          <w:tcPr>
            <w:tcW w:w="1160" w:type="dxa"/>
            <w:vAlign w:val="bottom"/>
          </w:tcPr>
          <w:p>
            <w:pPr>
              <w:ind w:left="20"/>
              <w:spacing w:after="0"/>
              <w:rPr>
                <w:sz w:val="20"/>
                <w:szCs w:val="20"/>
                <w:color w:val="auto"/>
              </w:rPr>
            </w:pPr>
            <w:r>
              <w:rPr>
                <w:rFonts w:ascii="Arial" w:cs="Arial" w:eastAsia="Arial" w:hAnsi="Arial"/>
                <w:sz w:val="18"/>
                <w:szCs w:val="18"/>
                <w:color w:val="auto"/>
              </w:rPr>
              <w:t>101.PRE*</w:t>
            </w:r>
          </w:p>
        </w:tc>
        <w:tc>
          <w:tcPr>
            <w:tcW w:w="990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83"/>
        </w:trPr>
        <w:tc>
          <w:tcPr>
            <w:tcW w:w="1160" w:type="dxa"/>
            <w:vAlign w:val="bottom"/>
          </w:tcPr>
          <w:p>
            <w:pPr>
              <w:ind w:left="20"/>
              <w:spacing w:after="0"/>
              <w:rPr>
                <w:sz w:val="20"/>
                <w:szCs w:val="20"/>
                <w:color w:val="auto"/>
              </w:rPr>
            </w:pPr>
            <w:r>
              <w:rPr>
                <w:rFonts w:ascii="Arial" w:cs="Arial" w:eastAsia="Arial" w:hAnsi="Arial"/>
                <w:sz w:val="18"/>
                <w:szCs w:val="18"/>
                <w:color w:val="auto"/>
              </w:rPr>
              <w:t>104*</w:t>
            </w:r>
          </w:p>
        </w:tc>
        <w:tc>
          <w:tcPr>
            <w:tcW w:w="9900" w:type="dxa"/>
            <w:vAlign w:val="bottom"/>
            <w:gridSpan w:val="11"/>
          </w:tcPr>
          <w:p>
            <w:pPr>
              <w:spacing w:after="0"/>
              <w:rPr>
                <w:sz w:val="20"/>
                <w:szCs w:val="20"/>
                <w:color w:val="auto"/>
              </w:rPr>
            </w:pPr>
            <w:r>
              <w:rPr>
                <w:rFonts w:ascii="Arial" w:cs="Arial" w:eastAsia="Arial" w:hAnsi="Arial"/>
                <w:sz w:val="18"/>
                <w:szCs w:val="18"/>
                <w:color w:val="auto"/>
              </w:rPr>
              <w:t>Cover Page Interactive Data Files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ind w:left="440" w:hanging="414"/>
        <w:spacing w:after="0"/>
        <w:tabs>
          <w:tab w:leader="none" w:pos="4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2" w:right="5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Sun Country Airlines Holdings, Inc.</w:t>
      </w:r>
    </w:p>
    <w:p>
      <w:pPr>
        <w:ind w:left="5140"/>
        <w:spacing w:after="0"/>
        <w:rPr>
          <w:sz w:val="20"/>
          <w:szCs w:val="20"/>
          <w:color w:val="auto"/>
        </w:rPr>
      </w:pPr>
      <w:r>
        <w:rPr>
          <w:rFonts w:ascii="Arial" w:cs="Arial" w:eastAsia="Arial" w:hAnsi="Arial"/>
          <w:sz w:val="18"/>
          <w:szCs w:val="18"/>
          <w:color w:val="auto"/>
        </w:rPr>
        <w:t>(Registrant)</w:t>
      </w:r>
    </w:p>
    <w:p>
      <w:pPr>
        <w:spacing w:after="0" w:line="23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Daniel Torque Zubeck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17780</wp:posOffset>
            </wp:positionV>
            <wp:extent cx="38830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1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Daniel Torque Zubeck</w:t>
      </w:r>
    </w:p>
    <w:p>
      <w:pPr>
        <w:spacing w:after="0" w:line="3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(Principal Financial and Accounting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1, 2026</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22" w:right="35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Jude Bricker, certify that:</w:t>
      </w:r>
    </w:p>
    <w:p>
      <w:pPr>
        <w:spacing w:after="0" w:line="225" w:lineRule="exact"/>
        <w:rPr>
          <w:sz w:val="20"/>
          <w:szCs w:val="20"/>
          <w:color w:val="auto"/>
        </w:rPr>
      </w:pPr>
    </w:p>
    <w:p>
      <w:pPr>
        <w:ind w:left="660" w:right="40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 Country Airlines Holdings, Inc. ("Sun Country") for the three month period ended March 31, 2026;</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are responsible for establishing and maintaining disclosure controls and procedures (as defined in Exchange Act Rules 13a-15(e) and 15d-15(e)) and internal control over financial reporting (as defined in Exchange Act Rules 13a-15(f) and 15d-15(f)) for Sun Country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980" w:right="140" w:hanging="324"/>
        <w:spacing w:after="0" w:line="266" w:lineRule="auto"/>
        <w:tabs>
          <w:tab w:leader="none" w:pos="9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Sun Country's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1, 2026</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37547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3754755" cy="8890"/>
                    </a:xfrm>
                    <a:prstGeom prst="rect">
                      <a:avLst/>
                    </a:prstGeom>
                    <a:noFill/>
                  </pic:spPr>
                </pic:pic>
              </a:graphicData>
            </a:graphic>
          </wp:anchor>
        </w:drawing>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Jude Bricker</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4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OR 15d-14(a) OF THE SECURITIES EXCHANGE ACT OF 1934, AS ADOPTED PURSUANT TO SECTION 302 OF THE SARBANES-OXLEY ACT OF 2002</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Torque Zubeck, certify that:</w:t>
      </w:r>
    </w:p>
    <w:p>
      <w:pPr>
        <w:spacing w:after="0" w:line="225" w:lineRule="exact"/>
        <w:rPr>
          <w:sz w:val="20"/>
          <w:szCs w:val="20"/>
          <w:color w:val="auto"/>
        </w:rPr>
      </w:pPr>
    </w:p>
    <w:p>
      <w:pPr>
        <w:ind w:left="660" w:right="40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 Country Airlines Holdings, Inc. ("Sun Country") for the three month period ended March 31, 2026;</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are responsible for establishing and maintaining disclosure controls and procedures (as defined in Exchange Act Rules 13a-15(e) and 15d-15(e)) and internal control over financial reporting (as defined in Exchange Act Rules 13a-15(f) and 15d-15(f)) for Sun Country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980" w:right="140" w:hanging="324"/>
        <w:spacing w:after="0" w:line="266"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Sun Country's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1, 2026</w:t>
      </w:r>
    </w:p>
    <w:p>
      <w:pPr>
        <w:spacing w:after="0" w:line="2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/s/ Daniel Torque Zubeck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14605</wp:posOffset>
            </wp:positionV>
            <wp:extent cx="45948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4594860" cy="8890"/>
                    </a:xfrm>
                    <a:prstGeom prst="rect">
                      <a:avLst/>
                    </a:prstGeom>
                    <a:noFill/>
                  </pic:spPr>
                </pic:pic>
              </a:graphicData>
            </a:graphic>
          </wp:anchor>
        </w:drawing>
      </w:r>
    </w:p>
    <w:p>
      <w:pPr>
        <w:spacing w:after="0" w:line="1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Daniel Torque Zubeck</w:t>
      </w:r>
    </w:p>
    <w:p>
      <w:pPr>
        <w:spacing w:after="0" w:line="2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114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certifications set forth below are hereby submitted to the Securities and Exchange Commission pursuant to, and solely for the purpose of complying with, Section 1350 of Chapter 63 of Title 18 of the United States Code in connection with the filing on the date hereof with the Securities and Exchange Commission of the quarterly report on Form 10-Q of Sun Country Airlines Holdings, Inc. ("Sun Country") for the quarterly period ended March 31, 2026 (the "Report").</w:t>
      </w:r>
    </w:p>
    <w:p>
      <w:pPr>
        <w:spacing w:after="0" w:line="1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Each of the undersigned, the Chief Executive Officer and the Senior Vice President and Chief Financial Officer, respectively, of Sun Country, hereby certifies that, as of the end of the period covered by the Report:</w:t>
      </w:r>
    </w:p>
    <w:p>
      <w:pPr>
        <w:spacing w:after="0" w:line="16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Sun Country.</w:t>
      </w:r>
    </w:p>
    <w:p>
      <w:pPr>
        <w:spacing w:after="0" w:line="2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17145</wp:posOffset>
            </wp:positionV>
            <wp:extent cx="36004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Jude Bricker</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Daniel Torque Zubeck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17145</wp:posOffset>
            </wp:positionV>
            <wp:extent cx="36004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Daniel Torque Zubeck</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lvl w:ilvl="1">
      <w:lvlJc w:val="left"/>
      <w:lvlText w:val="(%2)"/>
      <w:numFmt w:val="decimal"/>
      <w:start w:val="1"/>
    </w:lvl>
  </w:abstractNum>
  <w:abstractNum w:abstractNumId="3">
    <w:nsid w:val="4DB127F8"/>
    <w:multiLevelType w:val="hybridMultilevel"/>
    <w:lvl w:ilvl="0">
      <w:lvlJc w:val="left"/>
      <w:lvlText w:val="%1."/>
      <w:numFmt w:val="decimal"/>
      <w:start w:val="4"/>
    </w:lvl>
    <w:lvl w:ilvl="1">
      <w:lvlJc w:val="left"/>
      <w:lvlText w:val="%2"/>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34" Type="http://schemas.openxmlformats.org/officeDocument/2006/relationships/hyperlink" Target="https://www.sec.gov/Archives/edgar/data/1743907/000174390726000032/sncy-20251231.htm#i09e33abd59284b28b84a7132e803e7fa_118" TargetMode="External"/><Relationship Id="rId63" Type="http://schemas.openxmlformats.org/officeDocument/2006/relationships/hyperlink" Target="https://www.sec.gov/Archives/edgar/data/1743907/000174390726000032/sncy-20251231.htm#i09e33abd59284b28b84a7132e803e7fa_52" TargetMode="External"/><Relationship Id="rId64" Type="http://schemas.openxmlformats.org/officeDocument/2006/relationships/hyperlink" Target="https://www.sec.gov/Archives/edgar/data/1743907/000174390726000032/sncy-20251231.htm#i09e33abd59284b28b84a7132e803e7fa_25" TargetMode="External"/><Relationship Id="rId67" Type="http://schemas.openxmlformats.org/officeDocument/2006/relationships/hyperlink" Target="https://www.sec.gov/Archives/edgar/data/1743907/000174390726000032/sncy-20251231.htm#i09e33abd59284b28b84a7132e803e7fa_22" TargetMode="External"/><Relationship Id="rId100" Type="http://schemas.openxmlformats.org/officeDocument/2006/relationships/hyperlink" Target="https://www.sec.gov/Archives/edgar/data/1743907/000174390726000032/sncy-20251231.htm#i09e33abd59284b28b84a7132e803e7fa_85" TargetMode="External"/><Relationship Id="rId103" Type="http://schemas.openxmlformats.org/officeDocument/2006/relationships/hyperlink" Target="https://www.sec.gov/Archives/edgar/data/1743907/000119312526009914/d20291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2026-05-01T11:12:23Z</dcterms:created>
  <dcterms:modified xsi:type="dcterms:W3CDTF">2026-05-01T11:12:23Z</dcterms:modified>
</cp:coreProperties>
</file>