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44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gridSpan w:val="3"/>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40" w:type="dxa"/>
            <w:vAlign w:val="bottom"/>
            <w:gridSpan w:val="19"/>
          </w:tcPr>
          <w:p>
            <w:pPr>
              <w:jc w:val="center"/>
              <w:ind w:right="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gridSpan w:val="4"/>
            <w:vMerge w:val="restart"/>
          </w:tcPr>
          <w:p>
            <w:pPr>
              <w:jc w:val="center"/>
              <w:ind w:left="42"/>
              <w:spacing w:after="0" w:line="140" w:lineRule="exact"/>
              <w:rPr>
                <w:sz w:val="20"/>
                <w:szCs w:val="20"/>
                <w:color w:val="auto"/>
              </w:rPr>
            </w:pPr>
            <w:r>
              <w:rPr>
                <w:rFonts w:ascii="Arial" w:cs="Arial" w:eastAsia="Arial" w:hAnsi="Arial"/>
                <w:sz w:val="13"/>
                <w:szCs w:val="13"/>
                <w:color w:val="auto"/>
                <w:w w:val="97"/>
              </w:rPr>
              <w:t>Washington, D.C. 20549</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40" w:type="dxa"/>
            <w:vAlign w:val="bottom"/>
            <w:gridSpan w:val="19"/>
            <w:vMerge w:val="restart"/>
          </w:tcPr>
          <w:p>
            <w:pPr>
              <w:jc w:val="center"/>
              <w:ind w:right="9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6240" w:type="dxa"/>
            <w:vAlign w:val="bottom"/>
            <w:gridSpan w:val="19"/>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4"/>
          </w:tcPr>
          <w:p>
            <w:pPr>
              <w:ind w:left="240"/>
              <w:spacing w:after="0"/>
              <w:rPr>
                <w:sz w:val="20"/>
                <w:szCs w:val="20"/>
                <w:color w:val="auto"/>
              </w:rPr>
            </w:pPr>
            <w:r>
              <w:rPr>
                <w:rFonts w:ascii="Arial" w:cs="Arial" w:eastAsia="Arial" w:hAnsi="Arial"/>
                <w:sz w:val="11"/>
                <w:szCs w:val="11"/>
                <w:color w:val="auto"/>
              </w:rPr>
              <w:t>Section 16. Form 4 or Form 5</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4"/>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20" w:type="dxa"/>
            <w:vAlign w:val="bottom"/>
            <w:gridSpan w:val="15"/>
            <w:vMerge w:val="restart"/>
          </w:tcPr>
          <w:p>
            <w:pPr>
              <w:jc w:val="center"/>
              <w:ind w:right="52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2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520" w:type="dxa"/>
            <w:vAlign w:val="bottom"/>
            <w:gridSpan w:val="15"/>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1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8"/>
          </w:tcPr>
          <w:p>
            <w:pPr>
              <w:jc w:val="center"/>
              <w:ind w:right="155"/>
              <w:spacing w:after="0"/>
              <w:rPr>
                <w:sz w:val="20"/>
                <w:szCs w:val="20"/>
                <w:color w:val="auto"/>
              </w:rPr>
            </w:pPr>
            <w:r>
              <w:rPr>
                <w:rFonts w:ascii="Arial" w:cs="Arial" w:eastAsia="Arial" w:hAnsi="Arial"/>
                <w:sz w:val="13"/>
                <w:szCs w:val="13"/>
                <w:color w:val="auto"/>
                <w:w w:val="98"/>
              </w:rPr>
              <w:t>or Section 30(h) of the Investment Company Act of 1940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6"/>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vMerge w:val="restart"/>
          </w:tcPr>
          <w:p>
            <w:pPr>
              <w:spacing w:after="0"/>
              <w:rPr>
                <w:rFonts w:ascii="Arial" w:cs="Arial" w:eastAsia="Arial" w:hAnsi="Arial"/>
                <w:sz w:val="20"/>
                <w:szCs w:val="20"/>
                <w:color w:val="0000EE"/>
                <w:w w:val="93"/>
              </w:rPr>
            </w:pPr>
            <w:hyperlink r:id="rId8">
              <w:r>
                <w:rPr>
                  <w:rFonts w:ascii="Arial" w:cs="Arial" w:eastAsia="Arial" w:hAnsi="Arial"/>
                  <w:sz w:val="20"/>
                  <w:szCs w:val="20"/>
                  <w:color w:val="0000EE"/>
                  <w:w w:val="93"/>
                </w:rPr>
                <w:t>Mays Gregory A.</w:t>
              </w:r>
            </w:hyperlink>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18"/>
          </w:tcPr>
          <w:p>
            <w:pPr>
              <w:ind w:left="60"/>
              <w:spacing w:after="0" w:line="166" w:lineRule="exact"/>
              <w:rPr>
                <w:rFonts w:ascii="Arial" w:cs="Arial" w:eastAsia="Arial" w:hAnsi="Arial"/>
                <w:sz w:val="16"/>
                <w:szCs w:val="16"/>
                <w:color w:val="0000EE"/>
              </w:rPr>
            </w:pPr>
            <w:hyperlink r:id="rId9">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SNCY</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tcBorders>
              <w:bottom w:val="single" w:sz="8" w:color="0000EE"/>
            </w:tcBorders>
            <w:gridSpan w:val="3"/>
            <w:vMerge w:val="continue"/>
          </w:tcPr>
          <w:p>
            <w:pPr>
              <w:spacing w:after="0"/>
              <w:rPr>
                <w:sz w:val="5"/>
                <w:szCs w:val="5"/>
                <w:color w:val="auto"/>
              </w:rPr>
            </w:pPr>
          </w:p>
        </w:tc>
        <w:tc>
          <w:tcPr>
            <w:tcW w:w="1000" w:type="dxa"/>
            <w:vAlign w:val="bottom"/>
            <w:vMerge w:val="restart"/>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00"/>
              <w:spacing w:after="0" w:line="136" w:lineRule="exact"/>
              <w:rPr>
                <w:sz w:val="20"/>
                <w:szCs w:val="20"/>
                <w:color w:val="auto"/>
              </w:rPr>
            </w:pPr>
            <w:r>
              <w:rPr>
                <w:rFonts w:ascii="Arial" w:cs="Arial" w:eastAsia="Arial" w:hAnsi="Arial"/>
                <w:sz w:val="13"/>
                <w:szCs w:val="13"/>
                <w:color w:val="auto"/>
              </w:rPr>
              <w:t>Director</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6"/>
            <w:vMerge w:val="restart"/>
          </w:tcPr>
          <w:p>
            <w:pPr>
              <w:ind w:left="200"/>
              <w:spacing w:after="0" w:line="13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10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vMerge w:val="restart"/>
          </w:tcPr>
          <w:p>
            <w:pPr>
              <w:spacing w:after="0"/>
              <w:rPr>
                <w:sz w:val="6"/>
                <w:szCs w:val="6"/>
                <w:color w:val="auto"/>
              </w:rPr>
            </w:pPr>
          </w:p>
        </w:tc>
        <w:tc>
          <w:tcPr>
            <w:tcW w:w="1180" w:type="dxa"/>
            <w:vAlign w:val="bottom"/>
            <w:gridSpan w:val="4"/>
            <w:vMerge w:val="restart"/>
          </w:tcPr>
          <w:p>
            <w:pPr>
              <w:ind w:left="100"/>
              <w:spacing w:after="0" w:line="13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6"/>
            <w:vMerge w:val="restart"/>
          </w:tcPr>
          <w:p>
            <w:pPr>
              <w:ind w:left="200"/>
              <w:spacing w:after="0" w:line="13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860" w:type="dxa"/>
            <w:vAlign w:val="bottom"/>
            <w:tcBorders>
              <w:top w:val="single" w:sz="8" w:color="EEEEEE"/>
            </w:tcBorders>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340" w:type="dxa"/>
            <w:vAlign w:val="bottom"/>
            <w:tcBorders>
              <w:top w:val="single" w:sz="8" w:color="EEEEEE"/>
            </w:tcBorders>
          </w:tcPr>
          <w:p>
            <w:pPr>
              <w:spacing w:after="0"/>
              <w:rPr>
                <w:sz w:val="10"/>
                <w:szCs w:val="10"/>
                <w:color w:val="auto"/>
              </w:rPr>
            </w:pPr>
          </w:p>
        </w:tc>
        <w:tc>
          <w:tcPr>
            <w:tcW w:w="18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3"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7"/>
          </w:tcPr>
          <w:p>
            <w:pPr>
              <w:ind w:left="340"/>
              <w:spacing w:after="0"/>
              <w:rPr>
                <w:sz w:val="20"/>
                <w:szCs w:val="20"/>
                <w:color w:val="auto"/>
              </w:rPr>
            </w:pPr>
            <w:r>
              <w:rPr>
                <w:rFonts w:ascii="Arial" w:cs="Arial" w:eastAsia="Arial" w:hAnsi="Arial"/>
                <w:sz w:val="17"/>
                <w:szCs w:val="17"/>
                <w:color w:val="0000FF"/>
              </w:rPr>
              <w:t>06/30/2023</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7"/>
                <w:szCs w:val="17"/>
                <w:color w:val="0000FF"/>
              </w:rPr>
              <w:t>Chief Operating Officer &amp; EVP</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740" w:type="dxa"/>
            <w:vAlign w:val="bottom"/>
            <w:gridSpan w:val="8"/>
            <w:vMerge w:val="restart"/>
          </w:tcPr>
          <w:p>
            <w:pPr>
              <w:spacing w:after="0" w:line="175" w:lineRule="exact"/>
              <w:rPr>
                <w:sz w:val="20"/>
                <w:szCs w:val="20"/>
                <w:color w:val="auto"/>
              </w:rPr>
            </w:pPr>
            <w:r>
              <w:rPr>
                <w:rFonts w:ascii="Arial" w:cs="Arial" w:eastAsia="Arial" w:hAnsi="Arial"/>
                <w:sz w:val="17"/>
                <w:szCs w:val="17"/>
                <w:color w:val="0000FF"/>
                <w:w w:val="98"/>
              </w:rPr>
              <w:t>C/O SUN COUNTRY AIRLINES HOLDINGS, INC.</w:t>
            </w:r>
          </w:p>
        </w:tc>
        <w:tc>
          <w:tcPr>
            <w:tcW w:w="440" w:type="dxa"/>
            <w:vAlign w:val="bottom"/>
            <w:gridSpan w:val="4"/>
            <w:vMerge w:val="restart"/>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440" w:type="dxa"/>
            <w:vAlign w:val="bottom"/>
            <w:tcBorders>
              <w:bottom w:val="single" w:sz="8" w:color="2C2C2C"/>
            </w:tcBorders>
            <w:gridSpan w:val="4"/>
            <w:vMerge w:val="continue"/>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4"/>
          </w:tcPr>
          <w:p>
            <w:pPr>
              <w:spacing w:after="0" w:line="190" w:lineRule="exact"/>
              <w:rPr>
                <w:sz w:val="20"/>
                <w:szCs w:val="20"/>
                <w:color w:val="auto"/>
              </w:rPr>
            </w:pPr>
            <w:r>
              <w:rPr>
                <w:rFonts w:ascii="Arial" w:cs="Arial" w:eastAsia="Arial" w:hAnsi="Arial"/>
                <w:sz w:val="17"/>
                <w:szCs w:val="17"/>
                <w:color w:val="0000FF"/>
              </w:rPr>
              <w:t>2005 CARGO ROAD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10"/>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MINNEAPOLIS MN</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0000FF"/>
              </w:rPr>
              <w:t>55450</w:t>
            </w: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9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6"/>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20"/>
                <w:szCs w:val="20"/>
                <w:color w:val="auto"/>
              </w:rPr>
              <w:t>Rule 10b5-1(c) Transaction Indication</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580" w:type="dxa"/>
            <w:vAlign w:val="bottom"/>
            <w:gridSpan w:val="10"/>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2"/>
            <w:vMerge w:val="restart"/>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20" w:type="dxa"/>
            <w:vAlign w:val="bottom"/>
            <w:gridSpan w:val="10"/>
          </w:tcPr>
          <w:p>
            <w:pPr>
              <w:ind w:left="80"/>
              <w:spacing w:after="0" w:line="121"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4"/>
                <w:szCs w:val="14"/>
                <w:color w:val="auto"/>
              </w:rPr>
            </w:pPr>
          </w:p>
        </w:tc>
        <w:tc>
          <w:tcPr>
            <w:tcW w:w="1060" w:type="dxa"/>
            <w:vAlign w:val="bottom"/>
            <w:gridSpan w:val="7"/>
          </w:tcPr>
          <w:p>
            <w:pPr>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6"/>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7"/>
          </w:tcPr>
          <w:p>
            <w:pPr>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8"/>
              </w:rPr>
              <w:t>Common Stock, par value $0.01 per share</w:t>
            </w:r>
          </w:p>
        </w:tc>
        <w:tc>
          <w:tcPr>
            <w:tcW w:w="1060" w:type="dxa"/>
            <w:vAlign w:val="bottom"/>
            <w:tcBorders>
              <w:bottom w:val="single" w:sz="8" w:color="2C2C2C"/>
            </w:tcBorders>
            <w:gridSpan w:val="7"/>
          </w:tcPr>
          <w:p>
            <w:pPr>
              <w:ind w:left="80"/>
              <w:spacing w:after="0"/>
              <w:rPr>
                <w:sz w:val="20"/>
                <w:szCs w:val="20"/>
                <w:color w:val="auto"/>
              </w:rPr>
            </w:pPr>
            <w:r>
              <w:rPr>
                <w:rFonts w:ascii="Arial" w:cs="Arial" w:eastAsia="Arial" w:hAnsi="Arial"/>
                <w:sz w:val="17"/>
                <w:szCs w:val="17"/>
                <w:color w:val="0000FF"/>
              </w:rPr>
              <w:t>07/03/2023</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6"/>
              </w:rPr>
              <w:t>868</w:t>
            </w:r>
            <w:r>
              <w:rPr>
                <w:rFonts w:ascii="Arial" w:cs="Arial" w:eastAsia="Arial" w:hAnsi="Arial"/>
                <w:sz w:val="21"/>
                <w:szCs w:val="21"/>
                <w:color w:val="008000"/>
                <w:w w:val="96"/>
                <w:vertAlign w:val="superscript"/>
              </w:rPr>
              <w:t>(1)</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22.4285</w:t>
            </w:r>
          </w:p>
        </w:tc>
        <w:tc>
          <w:tcPr>
            <w:tcW w:w="1240" w:type="dxa"/>
            <w:vAlign w:val="bottom"/>
            <w:tcBorders>
              <w:bottom w:val="single" w:sz="8" w:color="2C2C2C"/>
            </w:tcBorders>
            <w:gridSpan w:val="5"/>
          </w:tcPr>
          <w:p>
            <w:pPr>
              <w:ind w:left="400"/>
              <w:spacing w:after="0"/>
              <w:rPr>
                <w:sz w:val="20"/>
                <w:szCs w:val="20"/>
                <w:color w:val="auto"/>
              </w:rPr>
            </w:pPr>
            <w:r>
              <w:rPr>
                <w:rFonts w:ascii="Arial" w:cs="Arial" w:eastAsia="Arial" w:hAnsi="Arial"/>
                <w:sz w:val="17"/>
                <w:szCs w:val="17"/>
                <w:color w:val="0000FF"/>
              </w:rPr>
              <w:t>31,573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60" w:type="dxa"/>
            <w:vAlign w:val="bottom"/>
            <w:gridSpan w:val="16"/>
          </w:tcPr>
          <w:p>
            <w:pPr>
              <w:ind w:lef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6"/>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2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60" w:type="dxa"/>
            <w:vAlign w:val="bottom"/>
            <w:gridSpan w:val="6"/>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6"/>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w w:val="90"/>
              </w:rPr>
              <w:t>180,762</w:t>
            </w:r>
            <w:r>
              <w:rPr>
                <w:rFonts w:ascii="Arial" w:cs="Arial" w:eastAsia="Arial" w:hAnsi="Arial"/>
                <w:sz w:val="21"/>
                <w:szCs w:val="21"/>
                <w:color w:val="008000"/>
                <w:w w:val="90"/>
                <w:vertAlign w:val="superscript"/>
              </w:rPr>
              <w:t>(2)</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180,762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8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5.3</w:t>
            </w:r>
          </w:p>
        </w:tc>
        <w:tc>
          <w:tcPr>
            <w:tcW w:w="1100" w:type="dxa"/>
            <w:vAlign w:val="bottom"/>
            <w:gridSpan w:val="2"/>
          </w:tcPr>
          <w:p>
            <w:pPr>
              <w:jc w:val="right"/>
              <w:ind w:right="177"/>
              <w:spacing w:after="0" w:line="136" w:lineRule="exact"/>
              <w:rPr>
                <w:sz w:val="20"/>
                <w:szCs w:val="20"/>
                <w:color w:val="auto"/>
              </w:rPr>
            </w:pPr>
            <w:r>
              <w:rPr>
                <w:rFonts w:ascii="Arial" w:cs="Arial" w:eastAsia="Arial" w:hAnsi="Arial"/>
                <w:sz w:val="13"/>
                <w:szCs w:val="13"/>
                <w:color w:val="0000FF"/>
              </w:rPr>
              <w:t>06/30/2023</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5"/>
          </w:tcPr>
          <w:p>
            <w:pPr>
              <w:ind w:left="20"/>
              <w:spacing w:after="0" w:line="136"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3"/>
                <w:szCs w:val="13"/>
                <w:color w:val="0000FF"/>
              </w:rPr>
              <w:t>06/30/2023</w:t>
            </w:r>
          </w:p>
        </w:tc>
        <w:tc>
          <w:tcPr>
            <w:tcW w:w="700" w:type="dxa"/>
            <w:vAlign w:val="bottom"/>
          </w:tcPr>
          <w:p>
            <w:pPr>
              <w:ind w:left="60"/>
              <w:spacing w:after="0" w:line="136" w:lineRule="exact"/>
              <w:rPr>
                <w:sz w:val="20"/>
                <w:szCs w:val="20"/>
                <w:color w:val="auto"/>
              </w:rPr>
            </w:pPr>
            <w:r>
              <w:rPr>
                <w:rFonts w:ascii="Arial" w:cs="Arial" w:eastAsia="Arial" w:hAnsi="Arial"/>
                <w:sz w:val="13"/>
                <w:szCs w:val="13"/>
                <w:color w:val="0000FF"/>
                <w:w w:val="95"/>
              </w:rPr>
              <w:t>07/01/2029</w:t>
            </w:r>
          </w:p>
        </w:tc>
        <w:tc>
          <w:tcPr>
            <w:tcW w:w="6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4"/>
          </w:tcPr>
          <w:p>
            <w:pPr>
              <w:ind w:left="180"/>
              <w:spacing w:after="0" w:line="136" w:lineRule="exact"/>
              <w:rPr>
                <w:sz w:val="20"/>
                <w:szCs w:val="20"/>
                <w:color w:val="auto"/>
              </w:rPr>
            </w:pPr>
            <w:r>
              <w:rPr>
                <w:rFonts w:ascii="Arial" w:cs="Arial" w:eastAsia="Arial" w:hAnsi="Arial"/>
                <w:sz w:val="13"/>
                <w:szCs w:val="13"/>
                <w:color w:val="0000FF"/>
              </w:rPr>
              <w:t>537,342</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55"/>
              <w:spacing w:after="0" w:line="128"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-5598160</wp:posOffset>
            </wp:positionV>
            <wp:extent cx="7047230" cy="574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57486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7" w:lineRule="exact"/>
        <w:rPr>
          <w:rFonts w:ascii="Arial" w:cs="Arial" w:eastAsia="Arial" w:hAnsi="Arial"/>
          <w:sz w:val="13"/>
          <w:szCs w:val="13"/>
          <w:color w:val="008000"/>
        </w:rPr>
      </w:pPr>
    </w:p>
    <w:p>
      <w:pPr>
        <w:ind w:left="40" w:right="340"/>
        <w:spacing w:after="0" w:line="282"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July 1, 2019, the reporting person was granted an option to purchase 330,465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vesting of the option as to 9,254 shares occurred on that date. On June 29, 2023, the Company's Compensation Committee determined pursuant to the award agreement that the performance criteria for the final installment were met, resulting in vesting as to an additional 180,762 shares on June 30, 2023.</w:t>
      </w:r>
    </w:p>
    <w:p>
      <w:pPr>
        <w:spacing w:after="0" w:line="1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Rose Neale, as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07/05/2023</w:t>
            </w:r>
          </w:p>
        </w:tc>
        <w:tc>
          <w:tcPr>
            <w:tcW w:w="0" w:type="dxa"/>
            <w:vAlign w:val="bottom"/>
          </w:tcPr>
          <w:p>
            <w:pPr>
              <w:spacing w:after="0"/>
              <w:rPr>
                <w:sz w:val="1"/>
                <w:szCs w:val="1"/>
                <w:color w:val="auto"/>
              </w:rPr>
            </w:pPr>
          </w:p>
        </w:tc>
      </w:tr>
      <w:tr>
        <w:trPr>
          <w:trHeight w:val="87"/>
        </w:trPr>
        <w:tc>
          <w:tcPr>
            <w:tcW w:w="1480" w:type="dxa"/>
            <w:vAlign w:val="bottom"/>
            <w:vMerge w:val="restart"/>
          </w:tcPr>
          <w:p>
            <w:pPr>
              <w:spacing w:after="0" w:line="184" w:lineRule="exact"/>
              <w:rPr>
                <w:sz w:val="20"/>
                <w:szCs w:val="20"/>
                <w:color w:val="auto"/>
              </w:rPr>
            </w:pPr>
            <w:r>
              <w:rPr>
                <w:rFonts w:ascii="Arial" w:cs="Arial" w:eastAsia="Arial" w:hAnsi="Arial"/>
                <w:sz w:val="17"/>
                <w:szCs w:val="17"/>
                <w:color w:val="0000FF"/>
                <w:w w:val="89"/>
              </w:rPr>
              <w:t>fact for Gregory Mays</w:t>
            </w:r>
          </w:p>
        </w:tc>
        <w:tc>
          <w:tcPr>
            <w:tcW w:w="7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8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0885"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2023-07-05T16:31:44Z</dcterms:created>
  <dcterms:modified xsi:type="dcterms:W3CDTF">2023-07-05T16:31:44Z</dcterms:modified>
</cp:coreProperties>
</file>