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September 30, 2025</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2" w:lineRule="exact"/>
        <w:rPr>
          <w:sz w:val="24"/>
          <w:szCs w:val="24"/>
          <w:color w:val="auto"/>
        </w:rPr>
      </w:pPr>
    </w:p>
    <w:p>
      <w:pPr>
        <w:ind w:left="4300" w:right="2500" w:hanging="4274"/>
        <w:spacing w:after="0" w:line="585"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-97155</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53"/>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28"/>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5"/>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01" w:lineRule="exact"/>
        <w:rPr>
          <w:sz w:val="24"/>
          <w:szCs w:val="24"/>
          <w:color w:val="auto"/>
        </w:rPr>
      </w:pPr>
    </w:p>
    <w:p>
      <w:pPr>
        <w:ind w:right="180" w:firstLine="324"/>
        <w:spacing w:after="0" w:line="30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360" w:firstLine="324"/>
        <w:spacing w:after="0" w:line="30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40" w:firstLine="324"/>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59"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3">
            <w:col w:w="5620" w:space="720"/>
            <w:col w:w="2620" w:space="720"/>
            <w:col w:w="1560"/>
          </w:cols>
          <w:pgMar w:left="320" w:top="512"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12" w:right="339" w:bottom="1440" w:gutter="0" w:footer="0" w:header="0"/>
          <w:type w:val="continuous"/>
        </w:sectPr>
      </w:pPr>
    </w:p>
    <w:p>
      <w:pPr>
        <w:spacing w:after="0" w:line="90" w:lineRule="exact"/>
        <w:rPr>
          <w:sz w:val="24"/>
          <w:szCs w:val="24"/>
          <w:color w:val="auto"/>
        </w:rPr>
      </w:pPr>
    </w:p>
    <w:p>
      <w:pPr>
        <w:ind w:right="540" w:firstLine="324"/>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2" w:lineRule="exact"/>
        <w:rPr>
          <w:sz w:val="24"/>
          <w:szCs w:val="24"/>
          <w:color w:val="auto"/>
        </w:rPr>
      </w:pP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September 30, 2025:</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52,714,634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39"/>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80" w:type="dxa"/>
            <w:vAlign w:val="bottom"/>
            <w:gridSpan w:val="22"/>
            <w:vMerge w:val="restart"/>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7820" w:type="dxa"/>
            <w:vAlign w:val="bottom"/>
            <w:gridSpan w:val="16"/>
            <w:vMerge w:val="restart"/>
          </w:tcPr>
          <w:p>
            <w:pPr>
              <w:spacing w:after="0"/>
              <w:rPr>
                <w:sz w:val="21"/>
                <w:szCs w:val="2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380" w:type="dxa"/>
            <w:vAlign w:val="bottom"/>
            <w:tcBorders>
              <w:bottom w:val="single" w:sz="8" w:color="0000FF"/>
            </w:tcBorders>
            <w:gridSpan w:val="22"/>
            <w:vMerge w:val="continue"/>
          </w:tcPr>
          <w:p>
            <w:pPr>
              <w:spacing w:after="0"/>
              <w:rPr>
                <w:sz w:val="14"/>
                <w:szCs w:val="14"/>
                <w:color w:val="auto"/>
              </w:rPr>
            </w:pPr>
          </w:p>
        </w:tc>
        <w:tc>
          <w:tcPr>
            <w:tcW w:w="7820" w:type="dxa"/>
            <w:vAlign w:val="bottom"/>
            <w:gridSpan w:val="16"/>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Item 1. Financial Statements</w:t>
            </w:r>
          </w:p>
        </w:tc>
        <w:tc>
          <w:tcPr>
            <w:tcW w:w="7800" w:type="dxa"/>
            <w:vAlign w:val="bottom"/>
            <w:gridSpan w:val="15"/>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Condensed Consolidated Balance Sheets</w:t>
            </w:r>
          </w:p>
        </w:tc>
        <w:tc>
          <w:tcPr>
            <w:tcW w:w="6640" w:type="dxa"/>
            <w:vAlign w:val="bottom"/>
            <w:gridSpan w:val="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586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84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29"/>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5"/>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52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24"/>
                <w:szCs w:val="24"/>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Basis of Presentation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gridSpan w:val="6"/>
          </w:tcPr>
          <w:p>
            <w:pPr>
              <w:spacing w:after="0"/>
              <w:rPr>
                <w:sz w:val="17"/>
                <w:szCs w:val="17"/>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7"/>
                <w:szCs w:val="17"/>
                <w:color w:val="auto"/>
              </w:rPr>
            </w:pPr>
          </w:p>
        </w:tc>
        <w:tc>
          <w:tcPr>
            <w:tcW w:w="7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7"/>
              </w:rPr>
              <w:t>Revenue</w:t>
            </w:r>
          </w:p>
        </w:tc>
        <w:tc>
          <w:tcPr>
            <w:tcW w:w="8740" w:type="dxa"/>
            <w:vAlign w:val="bottom"/>
            <w:gridSpan w:val="2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Earnings per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15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Aircraft</w:t>
            </w:r>
          </w:p>
        </w:tc>
        <w:tc>
          <w:tcPr>
            <w:tcW w:w="7920" w:type="dxa"/>
            <w:vAlign w:val="bottom"/>
            <w:gridSpan w:val="1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Debt</w:t>
            </w:r>
          </w:p>
        </w:tc>
        <w:tc>
          <w:tcPr>
            <w:tcW w:w="180" w:type="dxa"/>
            <w:vAlign w:val="bottom"/>
            <w:tcBorders>
              <w:top w:val="single" w:sz="8" w:color="0000FF"/>
            </w:tcBorders>
          </w:tcPr>
          <w:p>
            <w:pPr>
              <w:spacing w:after="0"/>
              <w:rPr>
                <w:sz w:val="18"/>
                <w:szCs w:val="18"/>
                <w:color w:val="auto"/>
              </w:rPr>
            </w:pPr>
          </w:p>
        </w:tc>
        <w:tc>
          <w:tcPr>
            <w:tcW w:w="8900" w:type="dxa"/>
            <w:vAlign w:val="bottom"/>
            <w:gridSpan w:val="2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Fair Value Measurements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1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7"/>
              </w:rPr>
              <w:t>Income Taxes</w:t>
            </w:r>
          </w:p>
        </w:tc>
        <w:tc>
          <w:tcPr>
            <w:tcW w:w="920" w:type="dxa"/>
            <w:vAlign w:val="bottom"/>
            <w:tcBorders>
              <w:top w:val="single" w:sz="8" w:color="0000FF"/>
            </w:tcBorders>
            <w:gridSpan w:val="10"/>
          </w:tcPr>
          <w:p>
            <w:pPr>
              <w:spacing w:after="0"/>
              <w:rPr>
                <w:sz w:val="18"/>
                <w:szCs w:val="18"/>
                <w:color w:val="auto"/>
              </w:rPr>
            </w:pPr>
          </w:p>
        </w:tc>
        <w:tc>
          <w:tcPr>
            <w:tcW w:w="742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Special Items, net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10</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11</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Commitments and Contingencies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0000FF"/>
                <w:w w:val="89"/>
              </w:rPr>
              <w:t>12</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Operating Segments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13</w:t>
            </w:r>
          </w:p>
        </w:tc>
        <w:tc>
          <w:tcPr>
            <w:tcW w:w="100" w:type="dxa"/>
            <w:vAlign w:val="bottom"/>
          </w:tcPr>
          <w:p>
            <w:pPr>
              <w:spacing w:after="0"/>
              <w:rPr>
                <w:sz w:val="18"/>
                <w:szCs w:val="18"/>
                <w:color w:val="auto"/>
              </w:rPr>
            </w:pPr>
          </w:p>
        </w:tc>
        <w:tc>
          <w:tcPr>
            <w:tcW w:w="16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rPr>
              <w:t>Subsequent Events</w:t>
            </w:r>
          </w:p>
        </w:tc>
        <w:tc>
          <w:tcPr>
            <w:tcW w:w="20" w:type="dxa"/>
            <w:vAlign w:val="bottom"/>
            <w:tcBorders>
              <w:top w:val="single" w:sz="8" w:color="0000FF"/>
            </w:tcBorders>
          </w:tcPr>
          <w:p>
            <w:pPr>
              <w:spacing w:after="0"/>
              <w:rPr>
                <w:sz w:val="18"/>
                <w:szCs w:val="18"/>
                <w:color w:val="auto"/>
              </w:rPr>
            </w:pPr>
          </w:p>
        </w:tc>
        <w:tc>
          <w:tcPr>
            <w:tcW w:w="7820" w:type="dxa"/>
            <w:vAlign w:val="bottom"/>
            <w:gridSpan w:val="16"/>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4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3"/>
          </w:tcPr>
          <w:p>
            <w:pPr>
              <w:spacing w:after="0"/>
              <w:rPr>
                <w:sz w:val="20"/>
                <w:szCs w:val="20"/>
                <w:color w:val="auto"/>
              </w:rPr>
            </w:pPr>
            <w:r>
              <w:rPr>
                <w:rFonts w:ascii="Arial" w:cs="Arial" w:eastAsia="Arial" w:hAnsi="Arial"/>
                <w:sz w:val="18"/>
                <w:szCs w:val="18"/>
                <w:color w:val="0000FF"/>
              </w:rPr>
              <w:t>Item 4. Controls and Procedures</w:t>
            </w:r>
          </w:p>
        </w:tc>
        <w:tc>
          <w:tcPr>
            <w:tcW w:w="478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8040" w:type="dxa"/>
            <w:vAlign w:val="bottom"/>
            <w:gridSpan w:val="20"/>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1. 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tcBorders>
              <w:top w:val="single" w:sz="8" w:color="0000FF"/>
            </w:tcBorders>
            <w:gridSpan w:val="4"/>
          </w:tcPr>
          <w:p>
            <w:pPr>
              <w:spacing w:after="0"/>
              <w:rPr>
                <w:sz w:val="18"/>
                <w:szCs w:val="18"/>
                <w:color w:val="auto"/>
              </w:rPr>
            </w:pPr>
          </w:p>
        </w:tc>
        <w:tc>
          <w:tcPr>
            <w:tcW w:w="8000" w:type="dxa"/>
            <w:vAlign w:val="bottom"/>
            <w:gridSpan w:val="1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4"/>
          </w:tcPr>
          <w:p>
            <w:pPr>
              <w:spacing w:after="0"/>
              <w:rPr>
                <w:sz w:val="20"/>
                <w:szCs w:val="20"/>
                <w:color w:val="auto"/>
              </w:rPr>
            </w:pPr>
            <w:r>
              <w:rPr>
                <w:rFonts w:ascii="Arial" w:cs="Arial" w:eastAsia="Arial" w:hAnsi="Arial"/>
                <w:sz w:val="18"/>
                <w:szCs w:val="18"/>
                <w:color w:val="0000FF"/>
              </w:rPr>
              <w:t>Item 3. Defaults Upon Senior Securities</w:t>
            </w:r>
          </w:p>
        </w:tc>
        <w:tc>
          <w:tcPr>
            <w:tcW w:w="464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Item 4. Mine Safety Disclosures</w:t>
            </w:r>
          </w:p>
        </w:tc>
        <w:tc>
          <w:tcPr>
            <w:tcW w:w="694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8"/>
              </w:rPr>
              <w:t>Item 5. Other Information</w:t>
            </w:r>
          </w:p>
        </w:tc>
        <w:tc>
          <w:tcPr>
            <w:tcW w:w="580" w:type="dxa"/>
            <w:vAlign w:val="bottom"/>
            <w:tcBorders>
              <w:top w:val="single" w:sz="8" w:color="0000FF"/>
            </w:tcBorders>
            <w:gridSpan w:val="8"/>
          </w:tcPr>
          <w:p>
            <w:pPr>
              <w:spacing w:after="0"/>
              <w:rPr>
                <w:sz w:val="18"/>
                <w:szCs w:val="18"/>
                <w:color w:val="auto"/>
              </w:rPr>
            </w:pPr>
          </w:p>
        </w:tc>
        <w:tc>
          <w:tcPr>
            <w:tcW w:w="7500" w:type="dxa"/>
            <w:vAlign w:val="bottom"/>
            <w:gridSpan w:val="1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6. 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2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200" w:type="dxa"/>
            <w:vAlign w:val="bottom"/>
            <w:gridSpan w:val="38"/>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180" w:type="dxa"/>
            <w:vAlign w:val="bottom"/>
            <w:gridSpan w:val="28"/>
          </w:tcPr>
          <w:p>
            <w:pPr>
              <w:jc w:val="center"/>
              <w:ind w:left="4230"/>
              <w:spacing w:after="0"/>
              <w:rPr>
                <w:sz w:val="20"/>
                <w:szCs w:val="20"/>
                <w:color w:val="auto"/>
              </w:rPr>
            </w:pPr>
            <w:r>
              <w:rPr>
                <w:rFonts w:ascii="Arial" w:cs="Arial" w:eastAsia="Arial" w:hAnsi="Arial"/>
                <w:sz w:val="18"/>
                <w:szCs w:val="18"/>
                <w:color w:val="auto"/>
                <w:w w:val="99"/>
              </w:rPr>
              <w:t>-2-</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54"/>
        </w:trPr>
        <w:tc>
          <w:tcPr>
            <w:tcW w:w="7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111,834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83,219</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17,252</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64,391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104,053</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 of an allowance for credit losses of $464 and $617, respectively</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Short-term Lessor Maintenance Deposits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7"/>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a reserve for obsolescence of $1,081 and $784, respectively</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10,467</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18,143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13,837</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w:t>
            </w:r>
          </w:p>
        </w:tc>
      </w:tr>
      <w:tr>
        <w:trPr>
          <w:trHeight w:val="248"/>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284,801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266,584</w:t>
            </w:r>
          </w:p>
        </w:tc>
      </w:tr>
      <w:tr>
        <w:trPr>
          <w:trHeight w:val="216"/>
        </w:trPr>
        <w:tc>
          <w:tcPr>
            <w:tcW w:w="72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&amp; Equipment, net:</w:t>
            </w:r>
          </w:p>
        </w:tc>
        <w:tc>
          <w:tcPr>
            <w:tcW w:w="2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and Flight Equipment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801,488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775,210</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Aircraft and Flight Equipment Held for Operating Lease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93,548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124,383</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Ground Equipment and Leasehold Improvements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46,550</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Computer Hardware and Software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22,436</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Assets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309,877</w:t>
            </w:r>
          </w:p>
        </w:tc>
      </w:tr>
      <w:tr>
        <w:trPr>
          <w:trHeight w:val="215"/>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Rotable Parts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26,626</w:t>
            </w:r>
          </w:p>
        </w:tc>
      </w:tr>
      <w:tr>
        <w:trPr>
          <w:trHeight w:val="210"/>
        </w:trPr>
        <w:tc>
          <w:tcPr>
            <w:tcW w:w="7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1,311,683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1,305,082</w:t>
            </w:r>
          </w:p>
        </w:tc>
      </w:tr>
      <w:tr>
        <w:trPr>
          <w:trHeight w:val="215"/>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 &amp; Amortization</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(334,993)</w:t>
            </w:r>
          </w:p>
        </w:tc>
      </w:tr>
      <w:tr>
        <w:trPr>
          <w:trHeight w:val="210"/>
        </w:trPr>
        <w:tc>
          <w:tcPr>
            <w:tcW w:w="7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 net</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915,391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970,089</w:t>
            </w:r>
          </w:p>
        </w:tc>
      </w:tr>
      <w:tr>
        <w:trPr>
          <w:trHeight w:val="34"/>
        </w:trPr>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222,223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222,223</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Intangible Assets, net of accumulated amortization of $33,411 and $29,903, respectively</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77,838</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14,930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16,896</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Deposits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Long-term Lessor Maintenance Deposits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63,399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53,624</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14,998</w:t>
            </w:r>
          </w:p>
        </w:tc>
      </w:tr>
      <w:tr>
        <w:trPr>
          <w:trHeight w:val="209"/>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393,504</w:t>
            </w:r>
          </w:p>
        </w:tc>
      </w:tr>
      <w:tr>
        <w:trPr>
          <w:trHeight w:val="23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1,603,935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1,630,177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September 30, 2025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51,729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56,034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Salaries, Wages, and Benefits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Accrued Transportation Taxes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16,230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20,534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Air Traffic Liabilities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160,686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Finance Lease Obligations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21,166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20,175</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Loyalty Program Liabilities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10,121</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Operating Lease Obligations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3,281</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net</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87,579</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10,325</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15,228</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376,413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422,290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1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251,087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17,369</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226,640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239,543</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85,977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87,369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617,310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637,514</w:t>
            </w:r>
          </w:p>
        </w:tc>
        <w:tc>
          <w:tcPr>
            <w:tcW w:w="0" w:type="dxa"/>
            <w:vAlign w:val="bottom"/>
          </w:tcPr>
          <w:p>
            <w:pPr>
              <w:spacing w:after="0"/>
              <w:rPr>
                <w:sz w:val="1"/>
                <w:szCs w:val="1"/>
                <w:color w:val="auto"/>
              </w:rPr>
            </w:pPr>
          </w:p>
        </w:tc>
      </w:tr>
      <w:tr>
        <w:trPr>
          <w:trHeight w:val="21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993,723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1,059,804</w:t>
            </w:r>
          </w:p>
        </w:tc>
        <w:tc>
          <w:tcPr>
            <w:tcW w:w="0" w:type="dxa"/>
            <w:vAlign w:val="bottom"/>
          </w:tcPr>
          <w:p>
            <w:pPr>
              <w:spacing w:after="0"/>
              <w:rPr>
                <w:sz w:val="1"/>
                <w:szCs w:val="1"/>
                <w:color w:val="auto"/>
              </w:rPr>
            </w:pPr>
          </w:p>
        </w:tc>
      </w:tr>
      <w:tr>
        <w:trPr>
          <w:trHeight w:val="34"/>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 xml:space="preserve">Commitments and Contingencies (see </w:t>
            </w:r>
            <w:r>
              <w:rPr>
                <w:rFonts w:ascii="Arial" w:cs="Arial" w:eastAsia="Arial" w:hAnsi="Arial"/>
                <w:sz w:val="16"/>
                <w:szCs w:val="16"/>
                <w:b w:val="1"/>
                <w:bCs w:val="1"/>
                <w:color w:val="0000FF"/>
              </w:rPr>
              <w:t>Note 11</w:t>
            </w: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0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7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7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gridSpan w:val="3"/>
          </w:tcPr>
          <w:p>
            <w:pPr>
              <w:ind w:left="100"/>
              <w:spacing w:after="0"/>
              <w:rPr>
                <w:sz w:val="20"/>
                <w:szCs w:val="20"/>
                <w:color w:val="auto"/>
              </w:rPr>
            </w:pPr>
            <w:r>
              <w:rPr>
                <w:rFonts w:ascii="Arial" w:cs="Arial" w:eastAsia="Arial" w:hAnsi="Arial"/>
                <w:sz w:val="16"/>
                <w:szCs w:val="16"/>
                <w:color w:val="auto"/>
              </w:rPr>
              <w:t>Common stock, with $0.01 par value, 995,000,000 shares authorized, 60,531,661 and 59,500,970</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issued and 52,714,634 and 53,157,964 outstanding at September 30, 2025 and December 31,</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2024, respectively</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3"/>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Preferred stock, with $0.01 par value, 5,000,000 shares authorized, no shares issued and</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outstanding at September 30, 2025 and December 31, 2024, respectively</w:t>
            </w:r>
          </w:p>
        </w:tc>
        <w:tc>
          <w:tcPr>
            <w:tcW w:w="1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320" w:type="dxa"/>
            <w:vAlign w:val="bottom"/>
            <w:gridSpan w:val="3"/>
          </w:tcPr>
          <w:p>
            <w:pPr>
              <w:ind w:left="100"/>
              <w:spacing w:after="0" w:line="162" w:lineRule="exact"/>
              <w:rPr>
                <w:sz w:val="20"/>
                <w:szCs w:val="20"/>
                <w:color w:val="auto"/>
              </w:rPr>
            </w:pPr>
            <w:r>
              <w:rPr>
                <w:rFonts w:ascii="Arial" w:cs="Arial" w:eastAsia="Arial" w:hAnsi="Arial"/>
                <w:sz w:val="16"/>
                <w:szCs w:val="16"/>
                <w:color w:val="auto"/>
              </w:rPr>
              <w:t>Treasury stock, at cost, 7,817,027 and 6,343,006 shares held at September 30, 2025 and</w:t>
            </w:r>
          </w:p>
        </w:tc>
        <w:tc>
          <w:tcPr>
            <w:tcW w:w="1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(125,936)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(105,866)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December 31, 2024, respectively</w:t>
            </w:r>
          </w:p>
        </w:tc>
        <w:tc>
          <w:tcPr>
            <w:tcW w:w="1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543,717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528,604</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191,796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147,132</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610,212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570,373</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1,603,935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1,630,177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4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r>
      <w:tr>
        <w:trPr>
          <w:trHeight w:val="21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201,098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207,764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701,654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698,823</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78,560</w:t>
            </w:r>
          </w:p>
        </w:tc>
      </w:tr>
      <w:tr>
        <w:trPr>
          <w:trHeight w:val="23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37,951</w:t>
            </w:r>
          </w:p>
        </w:tc>
      </w:tr>
      <w:tr>
        <w:trPr>
          <w:trHeight w:val="223"/>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815,334</w:t>
            </w:r>
          </w:p>
        </w:tc>
      </w:tr>
      <w:tr>
        <w:trPr>
          <w:trHeight w:val="34"/>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48,583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163,738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187,229</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242,516</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50,129</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26,819</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74,459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71,194</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32,090</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Landing Fees and Airport Rent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44,431</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net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81,003</w:t>
            </w:r>
          </w:p>
        </w:tc>
      </w:tr>
      <w:tr>
        <w:trPr>
          <w:trHeight w:val="223"/>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763,398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735,411</w:t>
            </w:r>
          </w:p>
        </w:tc>
      </w:tr>
      <w:tr>
        <w:trPr>
          <w:trHeight w:val="262"/>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82,410</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79,923</w:t>
            </w:r>
          </w:p>
        </w:tc>
      </w:tr>
      <w:tr>
        <w:trPr>
          <w:trHeight w:val="230"/>
        </w:trPr>
        <w:tc>
          <w:tcPr>
            <w:tcW w:w="44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(33,238)</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442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(27,276)</w:t>
            </w:r>
          </w:p>
        </w:tc>
      </w:tr>
      <w:tr>
        <w:trPr>
          <w:trHeight w:val="270"/>
        </w:trPr>
        <w:tc>
          <w:tcPr>
            <w:tcW w:w="4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Before Income Tax</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52,647</w:t>
            </w:r>
          </w:p>
        </w:tc>
      </w:tr>
      <w:tr>
        <w:trPr>
          <w:trHeight w:val="223"/>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13,180</w:t>
            </w:r>
          </w:p>
        </w:tc>
      </w:tr>
      <w:tr>
        <w:trPr>
          <w:trHeight w:val="223"/>
        </w:trPr>
        <w:tc>
          <w:tcPr>
            <w:tcW w:w="44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39,467</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4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4"/>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for computation:</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53,034,859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52,876,339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53,198,723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52,866,797</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54,682,164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54,780,672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54,988,198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54,990,437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3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gains on Available-for-Sale</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tcPr>
          <w:p>
            <w:pPr>
              <w:ind w:left="240"/>
              <w:spacing w:after="0" w:line="181" w:lineRule="exact"/>
              <w:rPr>
                <w:sz w:val="20"/>
                <w:szCs w:val="20"/>
                <w:color w:val="auto"/>
              </w:rPr>
            </w:pPr>
            <w:r>
              <w:rPr>
                <w:rFonts w:ascii="Arial" w:cs="Arial" w:eastAsia="Arial" w:hAnsi="Arial"/>
                <w:sz w:val="18"/>
                <w:szCs w:val="18"/>
                <w:color w:val="auto"/>
              </w:rPr>
              <w:t>securities, net of deferred tax expense of $18, $77,</w:t>
            </w:r>
          </w:p>
        </w:tc>
        <w:tc>
          <w:tcPr>
            <w:tcW w:w="1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$36, and $24, respectively</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3560"/>
        <w:spacing w:after="0" w:line="284" w:lineRule="auto"/>
        <w:rPr>
          <w:sz w:val="20"/>
          <w:szCs w:val="20"/>
          <w:color w:val="auto"/>
        </w:rPr>
      </w:pPr>
      <w:r>
        <w:rPr>
          <w:rFonts w:ascii="Arial" w:cs="Arial" w:eastAsia="Arial" w:hAnsi="Arial"/>
          <w:sz w:val="18"/>
          <w:szCs w:val="18"/>
          <w:b w:val="1"/>
          <w:bCs w:val="1"/>
          <w:color w:val="auto"/>
        </w:rPr>
        <w:t>CONDENSED CONSOLIDATED STATEMENTS OF CHANGES IN STOCKHOLDERS’ EQUITY (Dollars in thousands, except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8"/>
          </w:tcPr>
          <w:p>
            <w:pPr>
              <w:ind w:left="680"/>
              <w:spacing w:after="0"/>
              <w:rPr>
                <w:sz w:val="20"/>
                <w:szCs w:val="20"/>
                <w:color w:val="auto"/>
              </w:rPr>
            </w:pPr>
            <w:r>
              <w:rPr>
                <w:rFonts w:ascii="Arial" w:cs="Arial" w:eastAsia="Arial" w:hAnsi="Arial"/>
                <w:sz w:val="9"/>
                <w:szCs w:val="9"/>
                <w:b w:val="1"/>
                <w:bCs w:val="1"/>
                <w:color w:val="auto"/>
              </w:rPr>
              <w:t>Nine Months Ended September 30, 2025</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3"/>
                <w:szCs w:val="3"/>
                <w:color w:val="auto"/>
              </w:rPr>
            </w:pPr>
          </w:p>
        </w:tc>
        <w:tc>
          <w:tcPr>
            <w:tcW w:w="1160" w:type="dxa"/>
            <w:vAlign w:val="bottom"/>
            <w:gridSpan w:val="2"/>
            <w:vMerge w:val="restart"/>
          </w:tcPr>
          <w:p>
            <w:pPr>
              <w:jc w:val="center"/>
              <w:ind w:right="160"/>
              <w:spacing w:after="0" w:line="95" w:lineRule="exact"/>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60" w:type="dxa"/>
            <w:vAlign w:val="bottom"/>
          </w:tcPr>
          <w:p>
            <w:pPr>
              <w:spacing w:after="0"/>
              <w:rPr>
                <w:sz w:val="12"/>
                <w:szCs w:val="12"/>
                <w:color w:val="auto"/>
              </w:rPr>
            </w:pPr>
          </w:p>
        </w:tc>
        <w:tc>
          <w:tcPr>
            <w:tcW w:w="1040" w:type="dxa"/>
            <w:vAlign w:val="bottom"/>
            <w:gridSpan w:val="2"/>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12"/>
                <w:szCs w:val="12"/>
                <w:color w:val="auto"/>
              </w:rPr>
            </w:pPr>
          </w:p>
        </w:tc>
        <w:tc>
          <w:tcPr>
            <w:tcW w:w="720" w:type="dxa"/>
            <w:vAlign w:val="bottom"/>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2024</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4,109,135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59,500,970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595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6,343,006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(105,866)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528,604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147,132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570,373</w:t>
            </w:r>
          </w:p>
        </w:tc>
        <w:tc>
          <w:tcPr>
            <w:tcW w:w="0" w:type="dxa"/>
            <w:vAlign w:val="bottom"/>
          </w:tcPr>
          <w:p>
            <w:pPr>
              <w:spacing w:after="0"/>
              <w:rPr>
                <w:sz w:val="1"/>
                <w:szCs w:val="1"/>
                <w:color w:val="auto"/>
              </w:rPr>
            </w:pPr>
          </w:p>
        </w:tc>
      </w:tr>
      <w:tr>
        <w:trPr>
          <w:trHeight w:val="133"/>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673,953</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2,483</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2,490</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630,914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36,535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36,535</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252,869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1,695</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0"/>
                <w:szCs w:val="10"/>
                <w:color w:val="auto"/>
              </w:rPr>
              <w:t>March 31, 2025</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4,362,004</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60,174,923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602</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6,973,920</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(115,866)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534,649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183,667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603,017</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 Issued for Stock-Based 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115,375</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21</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6,577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6,577</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252,869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1,559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1,559</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0"/>
                <w:szCs w:val="10"/>
                <w:color w:val="auto"/>
              </w:rPr>
              <w:t>June 30, 2025</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4,614,873</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60,290,298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603</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6,973,920</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(115,866)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538,096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190,244</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613,045</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 Issued for Stock-Based 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241,363</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1,135</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1,137</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843,107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(10,070)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(10,070)</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1,552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1,552</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379,304</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2,800</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1,686</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1,686</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62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22"/>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September 30, 2025</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4,994,177</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60,531,661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605</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7,817,027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(125,936)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543,717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191,796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610,212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8"/>
          </w:tcPr>
          <w:p>
            <w:pPr>
              <w:ind w:left="680"/>
              <w:spacing w:after="0"/>
              <w:rPr>
                <w:sz w:val="20"/>
                <w:szCs w:val="20"/>
                <w:color w:val="auto"/>
              </w:rPr>
            </w:pPr>
            <w:r>
              <w:rPr>
                <w:rFonts w:ascii="Arial" w:cs="Arial" w:eastAsia="Arial" w:hAnsi="Arial"/>
                <w:sz w:val="9"/>
                <w:szCs w:val="9"/>
                <w:b w:val="1"/>
                <w:bCs w:val="1"/>
                <w:color w:val="auto"/>
              </w:rPr>
              <w:t>Nine Months Ended September 30, 2024</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18"/>
                <w:szCs w:val="18"/>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18"/>
                <w:szCs w:val="18"/>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
        </w:trPr>
        <w:tc>
          <w:tcPr>
            <w:tcW w:w="2160" w:type="dxa"/>
            <w:vAlign w:val="bottom"/>
          </w:tcPr>
          <w:p>
            <w:pPr>
              <w:spacing w:after="0"/>
              <w:rPr>
                <w:sz w:val="4"/>
                <w:szCs w:val="4"/>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vMerge w:val="restart"/>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4"/>
                <w:szCs w:val="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vMerge w:val="restart"/>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4"/>
                <w:szCs w:val="4"/>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6"/>
        </w:trPr>
        <w:tc>
          <w:tcPr>
            <w:tcW w:w="2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Comprehensive Loss</w:t>
            </w: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2023</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3,224,093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58,878,723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5,587,722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(94,341)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513,988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94,229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514,403</w:t>
            </w:r>
          </w:p>
        </w:tc>
        <w:tc>
          <w:tcPr>
            <w:tcW w:w="0" w:type="dxa"/>
            <w:vAlign w:val="bottom"/>
          </w:tcPr>
          <w:p>
            <w:pPr>
              <w:spacing w:after="0"/>
              <w:rPr>
                <w:sz w:val="1"/>
                <w:szCs w:val="1"/>
                <w:color w:val="auto"/>
              </w:rPr>
            </w:pPr>
          </w:p>
        </w:tc>
      </w:tr>
      <w:tr>
        <w:trPr>
          <w:trHeight w:val="133"/>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75,606</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110</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111</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755,284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(11,596)</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(11,596)</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35,313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35,313</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189,652</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1,400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1,400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1,514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1,514</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0"/>
                <w:szCs w:val="10"/>
                <w:color w:val="auto"/>
              </w:rPr>
              <w:t>March 31, 2024</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3,413,745</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58,954,329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590</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6,343,006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(105,937)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517,012</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129,542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541,006</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 Issued for Stock-Based 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195,760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587</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589</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Common Stock Repurchases, Excise Tax</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1,812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1,812</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252,869</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1,867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1,867</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1,570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1,570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Other Comprehensive Loss</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22"/>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June 30, 2024</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3,666,614</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59,150,089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592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6,343,006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(105,914)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521,036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131,354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546,851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132,749</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212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213</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Excise 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2,342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2,342</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189,652</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1,400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1,400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1,490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1,490</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235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235</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0"/>
                <w:szCs w:val="10"/>
                <w:color w:val="auto"/>
              </w:rPr>
              <w:t>September 30, 2024</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3,856,266</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59,282,838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593</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6,343,006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(105,899)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524,138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133,696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552,546</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7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2024</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44,664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39,467</w:t>
            </w:r>
          </w:p>
        </w:tc>
      </w:tr>
      <w:tr>
        <w:trPr>
          <w:trHeight w:val="174"/>
        </w:trPr>
        <w:tc>
          <w:tcPr>
            <w:tcW w:w="7680" w:type="dxa"/>
            <w:vAlign w:val="bottom"/>
          </w:tcPr>
          <w:p>
            <w:pPr>
              <w:ind w:left="140"/>
              <w:spacing w:after="0"/>
              <w:rPr>
                <w:sz w:val="20"/>
                <w:szCs w:val="20"/>
                <w:color w:val="auto"/>
              </w:rPr>
            </w:pPr>
            <w:r>
              <w:rPr>
                <w:rFonts w:ascii="Arial" w:cs="Arial" w:eastAsia="Arial" w:hAnsi="Arial"/>
                <w:sz w:val="13"/>
                <w:szCs w:val="13"/>
                <w:b w:val="1"/>
                <w:bCs w:val="1"/>
                <w:color w:val="auto"/>
              </w:rPr>
              <w:t>Adjustments to reconcile Net Income to Cash Provided by Operating Activities:</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71,194</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Deferred Income Taxes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12,726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10,414</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7,409</w:t>
            </w:r>
          </w:p>
        </w:tc>
      </w:tr>
      <w:tr>
        <w:trPr>
          <w:trHeight w:val="174"/>
        </w:trPr>
        <w:tc>
          <w:tcPr>
            <w:tcW w:w="7680" w:type="dxa"/>
            <w:vAlign w:val="bottom"/>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5,947</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(1,928)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(3,254)</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Lessor Maintenance Deposits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(10,400)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(12,766)</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Assets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(4,403)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(8,544)</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Transportation Taxes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(3,363)</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Air Traffic Liabilities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(16,255)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(26,458)</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Loyalty Program Liabilities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Operating Lease Obligations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(2,436)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(1,454)</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(5,649)</w:t>
            </w:r>
          </w:p>
        </w:tc>
      </w:tr>
      <w:tr>
        <w:trPr>
          <w:trHeight w:val="165"/>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78,201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74,303</w:t>
            </w:r>
          </w:p>
        </w:tc>
      </w:tr>
      <w:tr>
        <w:trPr>
          <w:trHeight w:val="173"/>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Cash Flows Provided by Investing Activities: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Purchases of Property &amp; Equipment</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(29,140)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(42,615)</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the Sale of Property &amp; Equipment</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10,616</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Purchases of Investments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(33,610)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(55,655)</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the Maturities of Investments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107,750</w:t>
            </w:r>
          </w:p>
        </w:tc>
      </w:tr>
      <w:tr>
        <w:trPr>
          <w:trHeight w:val="171"/>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net</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842</w:t>
            </w:r>
          </w:p>
        </w:tc>
      </w:tr>
      <w:tr>
        <w:trPr>
          <w:trHeight w:val="174"/>
        </w:trPr>
        <w:tc>
          <w:tcPr>
            <w:tcW w:w="768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27,160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20,938</w:t>
            </w:r>
          </w:p>
        </w:tc>
      </w:tr>
      <w:tr>
        <w:trPr>
          <w:trHeight w:val="165"/>
        </w:trPr>
        <w:tc>
          <w:tcPr>
            <w:tcW w:w="7680" w:type="dxa"/>
            <w:vAlign w:val="bottom"/>
          </w:tcPr>
          <w:p>
            <w:pPr>
              <w:ind w:left="140"/>
              <w:spacing w:after="0"/>
              <w:rPr>
                <w:sz w:val="20"/>
                <w:szCs w:val="20"/>
                <w:color w:val="auto"/>
              </w:rPr>
            </w:pPr>
            <w:r>
              <w:rPr>
                <w:rFonts w:ascii="Arial" w:cs="Arial" w:eastAsia="Arial" w:hAnsi="Arial"/>
                <w:sz w:val="13"/>
                <w:szCs w:val="13"/>
                <w:b w:val="1"/>
                <w:bCs w:val="1"/>
                <w:color w:val="auto"/>
              </w:rPr>
              <w:t>Cash Flows Used in Financing Activities: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Common Stock Repurchases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(11,493)</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Proceeds from Borrowings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10,000</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Finance Lease Obligations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(26,249)</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Repayment of Borrowings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(80,023)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(60,776)</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Tax Receivable Agreement Payment</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w:t>
            </w:r>
          </w:p>
        </w:tc>
      </w:tr>
      <w:tr>
        <w:trPr>
          <w:trHeight w:val="171"/>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net</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w:t>
            </w:r>
          </w:p>
        </w:tc>
      </w:tr>
      <w:tr>
        <w:trPr>
          <w:trHeight w:val="174"/>
        </w:trPr>
        <w:tc>
          <w:tcPr>
            <w:tcW w:w="768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Used in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(71,000)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(91,481)</w:t>
            </w:r>
          </w:p>
        </w:tc>
      </w:tr>
      <w:tr>
        <w:trPr>
          <w:trHeight w:val="34"/>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5"/>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34,361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3,760</w:t>
            </w:r>
          </w:p>
        </w:tc>
      </w:tr>
      <w:tr>
        <w:trPr>
          <w:trHeight w:val="54"/>
        </w:trPr>
        <w:tc>
          <w:tcPr>
            <w:tcW w:w="7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175"/>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100,471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63,680</w:t>
            </w:r>
          </w:p>
        </w:tc>
      </w:tr>
      <w:tr>
        <w:trPr>
          <w:trHeight w:val="54"/>
        </w:trPr>
        <w:tc>
          <w:tcPr>
            <w:tcW w:w="76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19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134,832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67,440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71"/>
        </w:trPr>
        <w:tc>
          <w:tcPr>
            <w:tcW w:w="7680" w:type="dxa"/>
            <w:vAlign w:val="bottom"/>
          </w:tcPr>
          <w:p>
            <w:pPr>
              <w:ind w:left="100"/>
              <w:spacing w:after="0"/>
              <w:rPr>
                <w:sz w:val="20"/>
                <w:szCs w:val="20"/>
                <w:color w:val="auto"/>
              </w:rPr>
            </w:pPr>
            <w:r>
              <w:rPr>
                <w:rFonts w:ascii="Arial" w:cs="Arial" w:eastAsia="Arial" w:hAnsi="Arial"/>
                <w:sz w:val="13"/>
                <w:szCs w:val="13"/>
                <w:color w:val="auto"/>
              </w:rPr>
              <w:t>Aircraft Acquired under Finance Lease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40,116</w:t>
            </w:r>
          </w:p>
        </w:tc>
      </w:tr>
      <w:tr>
        <w:trPr>
          <w:trHeight w:val="180"/>
        </w:trPr>
        <w:tc>
          <w:tcPr>
            <w:tcW w:w="7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Aircraft Acquired from the Exercise of Finance Lease Purchase Option, net of Accumulated Depreciation</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11,634</w:t>
            </w:r>
          </w:p>
        </w:tc>
      </w:tr>
      <w:tr>
        <w:trPr>
          <w:trHeight w:val="171"/>
        </w:trPr>
        <w:tc>
          <w:tcPr>
            <w:tcW w:w="7680" w:type="dxa"/>
            <w:vAlign w:val="bottom"/>
          </w:tcPr>
          <w:p>
            <w:pPr>
              <w:ind w:left="100"/>
              <w:spacing w:after="0"/>
              <w:rPr>
                <w:sz w:val="20"/>
                <w:szCs w:val="20"/>
                <w:color w:val="auto"/>
              </w:rPr>
            </w:pPr>
            <w:r>
              <w:rPr>
                <w:rFonts w:ascii="Arial" w:cs="Arial" w:eastAsia="Arial" w:hAnsi="Arial"/>
                <w:sz w:val="13"/>
                <w:szCs w:val="13"/>
                <w:color w:val="auto"/>
              </w:rPr>
              <w:t>Maintenance Rights Asset Capitalized into Aircraft and Flight Equipment upon End of Lease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4,697</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Maintenance Rights Asset Converted to Accounts Receivable upon End of Lease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76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Changes to Finance Lease Assets due to Lease Modifications</w:t>
            </w:r>
          </w:p>
        </w:tc>
        <w:tc>
          <w:tcPr>
            <w:tcW w:w="18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6,513</w:t>
            </w:r>
          </w:p>
        </w:tc>
      </w:tr>
      <w:tr>
        <w:trPr>
          <w:trHeight w:val="171"/>
        </w:trPr>
        <w:tc>
          <w:tcPr>
            <w:tcW w:w="9520" w:type="dxa"/>
            <w:vAlign w:val="bottom"/>
            <w:gridSpan w:val="4"/>
          </w:tcPr>
          <w:p>
            <w:pPr>
              <w:ind w:left="20"/>
              <w:spacing w:after="0"/>
              <w:rPr>
                <w:sz w:val="20"/>
                <w:szCs w:val="20"/>
                <w:color w:val="auto"/>
              </w:rPr>
            </w:pPr>
            <w:r>
              <w:rPr>
                <w:rFonts w:ascii="Arial" w:cs="Arial" w:eastAsia="Arial" w:hAnsi="Arial"/>
                <w:sz w:val="13"/>
                <w:szCs w:val="13"/>
                <w:color w:val="auto"/>
              </w:rPr>
              <w:t>The following provides a reconciliation of Cash, Cash Equivalents and Restricted Cash to the amounts reported on the Condensed Consolidated Balance Sheets: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0"/>
        </w:trPr>
        <w:tc>
          <w:tcPr>
            <w:tcW w:w="7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September 30, 2025</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September 30, 2024</w:t>
            </w:r>
          </w:p>
        </w:tc>
      </w:tr>
      <w:tr>
        <w:trPr>
          <w:trHeight w:val="164"/>
        </w:trPr>
        <w:tc>
          <w:tcPr>
            <w:tcW w:w="768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111,834</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56,791</w:t>
            </w:r>
          </w:p>
        </w:tc>
      </w:tr>
      <w:tr>
        <w:trPr>
          <w:trHeight w:val="175"/>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22,998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10,649</w:t>
            </w:r>
          </w:p>
        </w:tc>
      </w:tr>
      <w:tr>
        <w:trPr>
          <w:trHeight w:val="174"/>
        </w:trPr>
        <w:tc>
          <w:tcPr>
            <w:tcW w:w="7680" w:type="dxa"/>
            <w:vAlign w:val="bottom"/>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134,832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67,440</w:t>
            </w: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unaudited Condensed Consolidated Financial Statements of Sun Country Airlines Holdings, Inc. should be read in conjunction with the Consolidated Financial Statements contained in the Company's Annual Report on Form 10-K for the year ended December 31, 2024 as filed with the SEC ("2024 10-K"). These unaudited Condensed Consolidated Financial Statements reflect all normal recurring adjustments that are necessary for the fair presentation of the Company’s financial position, results of operations, and cash flows for the respective periods presented. All material intercompany balances and transactions have been eliminated in consolidation.</w:t>
      </w:r>
    </w:p>
    <w:p>
      <w:pPr>
        <w:spacing w:after="0" w:line="18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Due to impacts from seasonal variations in the demand for air travel, the volatility of aircraft fuel prices, the impact of macroeconomic conditions, and other factors, operating results for the nine months ended September 30, 2025 are not necessarily indicative of operating results for other interim periods or for the full year ending December 31, 2025.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In December 2023, the Financial Accounting Standards Board issued Accounting Standards Update ("ASU") 2023-09, Income Taxes (Topic 740): Improvements to Income Tax Disclosures. This ASU requires, among other disclosures, greater disaggregation of information, the use of certain categories in the rate reconciliation, and the disaggregation of income taxes paid by jurisdiction. The ASU is effective for public business entities for fiscal years beginning after December 15, 2024, with early adoption permitted. The Company intends to adopt this standard retrospectively within its Annual Report on Form 10-K for the year ended December 31, 2025. Upon adoption of this ASU, the Company will include the incremental disclosures in the footnotes to its Consolidated Financial Statements, as required.</w:t>
      </w:r>
    </w:p>
    <w:p>
      <w:pPr>
        <w:spacing w:after="0" w:line="18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Sun Country is a certificated air carrier generating Operating Revenues from Passenger (consisting of Scheduled Service, Charter, and Ancillary), Cargo and Other revenue. Scheduled Service revenue mainly consists of base fares. Charter revenue is primarily generated through service provided to the U.S. Department of Defense ("DoD"), collegiate and professional sports teams, and casinos. Ancillary revenue consists of revenue earned from air travel-related services, such as: baggage fees, seat selection fees, other fees and on-board sales. Cargo consists of revenue earned from flying cargo aircraft for Amazon.com Services, Inc. (together with its affiliates, “Amazon”) under the Amended and Restated Air Transportation Services Agreement (the “A&amp;R ATSA”). Other revenue consists primarily of revenue from services in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connection with Sun Country Vacations products, rental revenue related to certain transactions where the Company serves as a lessor, and revenue for the brand and marketing performance obligation related to the Company's co-branded credit card program. The Company recognized rental revenue of $7,135 and $10,092, during the three months ended September 30, 2025 and 2024, respectively; and $26,751 and $29,240 during the nine months ended September 30, 2025 and 2024, respectively.</w:t>
      </w:r>
    </w:p>
    <w:p>
      <w:pPr>
        <w:spacing w:after="0" w:line="176" w:lineRule="exact"/>
        <w:rPr>
          <w:sz w:val="20"/>
          <w:szCs w:val="20"/>
          <w:color w:val="auto"/>
        </w:rPr>
      </w:pPr>
    </w:p>
    <w:p>
      <w:pPr>
        <w:jc w:val="both"/>
        <w:ind w:left="3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In June 2024, the Company entered into the A&amp;R ATSA with Amazon that increased the number of Boeing 737-800 cargo aircraft that Sun Country operates on behalf of Amazon from 12 to 20 in 2025. For more information on the A&amp;R ATSA, see Note 2, "Basis of Presentation and Summary of Significant Accounting Policies" included within Part II, </w:t>
      </w:r>
      <w:hyperlink r:id="rId31">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2024 10-K. During the nine months ended September 30, 2025, the Company received and placed in-service all eight additional cargo aircraft under the A&amp;R ATSA.</w:t>
      </w:r>
    </w:p>
    <w:p>
      <w:pPr>
        <w:spacing w:after="0" w:line="17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March 2025, the Company entered into a Credit Card Program Agreement for a new co-branded credit card program ("Credit Card Program"). The Credit Card Program launched in the third quarter of 2025. Upon launch of the program, the Company received a one-time payment of $1,016, which was recorded as a contract liability. The one-time payment will be amortized into Other Revenue on a straight-line basis over the term of the agreement. Subject to certain exceptions, the Credit Card Program has a term of seven years following its launch.</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8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r>
      <w:tr>
        <w:trPr>
          <w:trHeight w:val="224"/>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313,056</w:t>
            </w: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Charter</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58,673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149,090</w:t>
            </w:r>
          </w:p>
        </w:tc>
      </w:tr>
      <w:tr>
        <w:trPr>
          <w:trHeight w:val="230"/>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236,677</w:t>
            </w:r>
          </w:p>
        </w:tc>
      </w:tr>
      <w:tr>
        <w:trPr>
          <w:trHeight w:val="223"/>
        </w:trPr>
        <w:tc>
          <w:tcPr>
            <w:tcW w:w="382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201,098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207,764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701,654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698,823</w:t>
            </w:r>
          </w:p>
        </w:tc>
      </w:tr>
      <w:tr>
        <w:trPr>
          <w:trHeight w:val="230"/>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78,560</w:t>
            </w:r>
          </w:p>
        </w:tc>
      </w:tr>
      <w:tr>
        <w:trPr>
          <w:trHeight w:val="230"/>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37,951</w:t>
            </w:r>
          </w:p>
        </w:tc>
      </w:tr>
      <w:tr>
        <w:trPr>
          <w:trHeight w:val="248"/>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815,334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attributes and measures its Operating Revenues by geographic region as defined by the U.S. Department of Transportation ("DOT") for airline reporting based upon the origin of each passenger and cargo flight segment.</w:t>
      </w:r>
    </w:p>
    <w:p>
      <w:pPr>
        <w:spacing w:after="0" w:line="153"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consisting of scheduled service to Latin America and military charter service to various international destinations.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4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4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7"/>
                <w:szCs w:val="17"/>
                <w:color w:val="auto"/>
              </w:rPr>
            </w:pPr>
          </w:p>
        </w:tc>
      </w:tr>
      <w:tr>
        <w:trPr>
          <w:trHeight w:val="224"/>
        </w:trPr>
        <w:tc>
          <w:tcPr>
            <w:tcW w:w="3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783,834</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31,500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255,538</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845,808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815,334</w:t>
            </w:r>
          </w:p>
        </w:tc>
        <w:tc>
          <w:tcPr>
            <w:tcW w:w="4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902"/>
        </w:trPr>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98"/>
        </w:trPr>
        <w:tc>
          <w:tcPr>
            <w:tcW w:w="34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Company’s contract assets primarily relate to costs incurred to prepare the Amazon cargo aircraft for service under the original ATSA and the A&amp;R ATSA, as well as warrants that have vested and will be amortized against Cargo revenue over the remaining term of the A&amp;R ATSA. The balances are included in Other Current Assets and Other Assets on the Condensed Consolidated Balance Sheets.</w:t>
      </w:r>
    </w:p>
    <w:p>
      <w:pPr>
        <w:spacing w:after="0" w:line="171"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Company’s contract liabilities are primarily comprised of: 1) ticket sales for transportation that have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3) the Amazon Deferred Up-front Payment received under the original ATSA (reported within Other Current Liabilities and Other Long-term Liabilities on the Condensed Consolidated Balance Sheets), and 4) a one-time payment received upon launch of the co-branded Credit Card Program (reported within Other Current Liabilities and Other Long-term Liabilities on the Condensed Consolidated Balance Sheets).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2025</w:t>
            </w:r>
          </w:p>
        </w:tc>
        <w:tc>
          <w:tcPr>
            <w:tcW w:w="220" w:type="dxa"/>
            <w:vAlign w:val="bottom"/>
          </w:tcPr>
          <w:p>
            <w:pPr>
              <w:spacing w:after="0"/>
              <w:rPr>
                <w:sz w:val="17"/>
                <w:szCs w:val="17"/>
                <w:color w:val="auto"/>
              </w:rPr>
            </w:pPr>
          </w:p>
        </w:tc>
        <w:tc>
          <w:tcPr>
            <w:tcW w:w="172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144,430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160,686</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Amazon Contract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1,612</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Program</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120"/>
              <w:spacing w:after="0"/>
              <w:rPr>
                <w:sz w:val="20"/>
                <w:szCs w:val="20"/>
                <w:color w:val="auto"/>
              </w:rPr>
            </w:pPr>
            <w:r>
              <w:rPr>
                <w:rFonts w:ascii="Arial" w:cs="Arial" w:eastAsia="Arial" w:hAnsi="Arial"/>
                <w:sz w:val="18"/>
                <w:szCs w:val="18"/>
                <w:color w:val="auto"/>
              </w:rPr>
              <w:t>Total Contract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176,899</w:t>
            </w: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12 months in advance, therefore any revenue associated with tickets sold for future travel will be recognized within that timeframe. For the nine months ended September 30, 2025, $155,471 of revenue was recognized in Passenger revenue that was included in the Air Traffic Liabilities as of December 31, 2024.</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co-branded credit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49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redeemed (recognition of revenue). Due to these reasons, the timing of loyalty point redemptions can vary significantly.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2024</w:t>
            </w:r>
          </w:p>
        </w:tc>
      </w:tr>
      <w:tr>
        <w:trPr>
          <w:trHeight w:val="224"/>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6,573</w:t>
            </w:r>
          </w:p>
        </w:tc>
      </w:tr>
      <w:tr>
        <w:trPr>
          <w:trHeight w:val="229"/>
        </w:trPr>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 (2)</w:t>
            </w: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Balance – September 30</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14,182</w:t>
            </w:r>
          </w:p>
        </w:tc>
      </w:tr>
      <w:tr>
        <w:trPr>
          <w:trHeight w:val="20"/>
        </w:trPr>
        <w:tc>
          <w:tcPr>
            <w:tcW w:w="6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61" w:lineRule="exact"/>
        <w:rPr>
          <w:sz w:val="20"/>
          <w:szCs w:val="20"/>
          <w:color w:val="auto"/>
        </w:rPr>
      </w:pPr>
    </w:p>
    <w:p>
      <w:pPr>
        <w:jc w:val="both"/>
        <w:ind w:left="900" w:right="100" w:hanging="550"/>
        <w:spacing w:after="0" w:line="263" w:lineRule="auto"/>
        <w:tabs>
          <w:tab w:leader="none" w:pos="900" w:val="left"/>
        </w:tabs>
        <w:numPr>
          <w:ilvl w:val="1"/>
          <w:numId w:val="5"/>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which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10" w:lineRule="exact"/>
        <w:rPr>
          <w:rFonts w:ascii="Arial" w:cs="Arial" w:eastAsia="Arial" w:hAnsi="Arial"/>
          <w:sz w:val="14"/>
          <w:szCs w:val="14"/>
          <w:color w:val="auto"/>
        </w:rPr>
      </w:pPr>
    </w:p>
    <w:p>
      <w:pPr>
        <w:ind w:left="900" w:hanging="550"/>
        <w:spacing w:after="0"/>
        <w:tabs>
          <w:tab w:leader="none" w:pos="900" w:val="left"/>
        </w:tabs>
        <w:numPr>
          <w:ilvl w:val="1"/>
          <w:numId w:val="5"/>
        </w:numPr>
        <w:rPr>
          <w:rFonts w:ascii="Arial" w:cs="Arial" w:eastAsia="Arial" w:hAnsi="Arial"/>
          <w:sz w:val="14"/>
          <w:szCs w:val="14"/>
          <w:color w:val="auto"/>
        </w:rPr>
      </w:pPr>
      <w:r>
        <w:rPr>
          <w:rFonts w:ascii="Arial" w:cs="Arial" w:eastAsia="Arial" w:hAnsi="Arial"/>
          <w:sz w:val="14"/>
          <w:szCs w:val="14"/>
          <w:color w:val="auto"/>
        </w:rPr>
        <w:t>Includes Other Deferred Loyalty payments, net of the amount earned.</w:t>
      </w:r>
    </w:p>
    <w:p>
      <w:pPr>
        <w:spacing w:after="0" w:line="328" w:lineRule="exact"/>
        <w:rPr>
          <w:rFonts w:ascii="Arial" w:cs="Arial" w:eastAsia="Arial" w:hAnsi="Arial"/>
          <w:sz w:val="14"/>
          <w:szCs w:val="14"/>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5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2,342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44,664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39,467</w:t>
            </w:r>
          </w:p>
        </w:tc>
        <w:tc>
          <w:tcPr>
            <w:tcW w:w="0" w:type="dxa"/>
            <w:vAlign w:val="bottom"/>
          </w:tcPr>
          <w:p>
            <w:pPr>
              <w:spacing w:after="0"/>
              <w:rPr>
                <w:sz w:val="1"/>
                <w:szCs w:val="1"/>
                <w:color w:val="auto"/>
              </w:rPr>
            </w:pPr>
          </w:p>
        </w:tc>
      </w:tr>
      <w:tr>
        <w:trPr>
          <w:trHeight w:val="260"/>
        </w:trPr>
        <w:tc>
          <w:tcPr>
            <w:tcW w:w="5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Basic</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53,034,859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52,876,339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53,198,723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52,866,797</w:t>
            </w:r>
          </w:p>
        </w:tc>
        <w:tc>
          <w:tcPr>
            <w:tcW w:w="0" w:type="dxa"/>
            <w:vAlign w:val="bottom"/>
          </w:tcPr>
          <w:p>
            <w:pPr>
              <w:spacing w:after="0"/>
              <w:rPr>
                <w:sz w:val="1"/>
                <w:szCs w:val="1"/>
                <w:color w:val="auto"/>
              </w:rPr>
            </w:pPr>
          </w:p>
        </w:tc>
      </w:tr>
      <w:tr>
        <w:trPr>
          <w:trHeight w:val="199"/>
        </w:trPr>
        <w:tc>
          <w:tcPr>
            <w:tcW w:w="50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Dilutive effect of Stock Options, RSUs and Warrants</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1,647,305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1,904,333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1,789,475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2,123,640</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54,682,164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54,780,672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54,988,198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54,990,437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20"/>
              <w:spacing w:after="0" w:line="135" w:lineRule="exact"/>
              <w:rPr>
                <w:sz w:val="20"/>
                <w:szCs w:val="20"/>
                <w:color w:val="auto"/>
              </w:rPr>
            </w:pPr>
            <w:r>
              <w:rPr>
                <w:rFonts w:ascii="Arial" w:cs="Arial" w:eastAsia="Arial" w:hAnsi="Arial"/>
                <w:sz w:val="14"/>
                <w:szCs w:val="14"/>
                <w:color w:val="auto"/>
              </w:rPr>
              <w:t>Anti-dilutive effect of Stock Options, RSUs and Warrants excluded from</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5,798,387</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4,805,638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3,961,969</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4,631,203</w:t>
            </w:r>
          </w:p>
        </w:tc>
        <w:tc>
          <w:tcPr>
            <w:tcW w:w="0" w:type="dxa"/>
            <w:vAlign w:val="bottom"/>
          </w:tcPr>
          <w:p>
            <w:pPr>
              <w:spacing w:after="0"/>
              <w:rPr>
                <w:sz w:val="1"/>
                <w:szCs w:val="1"/>
                <w:color w:val="auto"/>
              </w:rPr>
            </w:pPr>
          </w:p>
        </w:tc>
      </w:tr>
      <w:tr>
        <w:trPr>
          <w:trHeight w:val="189"/>
        </w:trPr>
        <w:tc>
          <w:tcPr>
            <w:tcW w:w="5080" w:type="dxa"/>
            <w:vAlign w:val="bottom"/>
          </w:tcPr>
          <w:p>
            <w:pPr>
              <w:ind w:left="280"/>
              <w:spacing w:after="0"/>
              <w:rPr>
                <w:sz w:val="20"/>
                <w:szCs w:val="20"/>
                <w:color w:val="auto"/>
              </w:rPr>
            </w:pPr>
            <w:r>
              <w:rPr>
                <w:rFonts w:ascii="Arial" w:cs="Arial" w:eastAsia="Arial" w:hAnsi="Arial"/>
                <w:sz w:val="14"/>
                <w:szCs w:val="14"/>
                <w:color w:val="auto"/>
              </w:rPr>
              <w:t>calculation of Dilutive effect</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30" w:right="7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AIRCRAFT</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As of September 30, 2025, Sun Country's fleet consisted of 70 Boeing 737-NG aircraft, comprised of 65 Boeing 737-800s and five Boeing 737-900ERs.</w:t>
      </w:r>
    </w:p>
    <w:p>
      <w:pPr>
        <w:spacing w:after="0" w:line="153"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tables summarize the Company’s aircraft fleet activity for the nine months ended September 30, 2025 and 2024, respectively:</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2024</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132"/>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238"/>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420" w:type="dxa"/>
            <w:vAlign w:val="bottom"/>
          </w:tcPr>
          <w:p>
            <w:pPr>
              <w:ind w:left="8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Sun Country Airlines’ Fleet</w:t>
            </w: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80"/>
              <w:spacing w:after="0"/>
              <w:rPr>
                <w:sz w:val="20"/>
                <w:szCs w:val="20"/>
                <w:color w:val="auto"/>
              </w:rPr>
            </w:pPr>
            <w:r>
              <w:rPr>
                <w:rFonts w:ascii="Arial" w:cs="Arial" w:eastAsia="Arial" w:hAnsi="Arial"/>
                <w:sz w:val="18"/>
                <w:szCs w:val="18"/>
                <w:color w:val="auto"/>
              </w:rPr>
              <w:t>Aircraft Operated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80"/>
              <w:spacing w:after="0"/>
              <w:rPr>
                <w:sz w:val="20"/>
                <w:szCs w:val="20"/>
                <w:color w:val="auto"/>
              </w:rPr>
            </w:pPr>
            <w:r>
              <w:rPr>
                <w:rFonts w:ascii="Arial" w:cs="Arial" w:eastAsia="Arial" w:hAnsi="Arial"/>
                <w:sz w:val="18"/>
                <w:szCs w:val="18"/>
                <w:color w:val="auto"/>
              </w:rPr>
              <w:t>Amazon</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Total Aircraft</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ind w:left="10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2023</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132"/>
              <w:spacing w:after="0"/>
              <w:rPr>
                <w:sz w:val="20"/>
                <w:szCs w:val="20"/>
                <w:color w:val="auto"/>
              </w:rPr>
            </w:pPr>
            <w:r>
              <w:rPr>
                <w:rFonts w:ascii="Arial" w:cs="Arial" w:eastAsia="Arial" w:hAnsi="Arial"/>
                <w:sz w:val="14"/>
                <w:szCs w:val="14"/>
                <w:b w:val="1"/>
                <w:bCs w:val="1"/>
                <w:color w:val="auto"/>
              </w:rPr>
              <w:t>September 30, 2024</w:t>
            </w:r>
          </w:p>
        </w:tc>
        <w:tc>
          <w:tcPr>
            <w:tcW w:w="0" w:type="dxa"/>
            <w:vAlign w:val="bottom"/>
          </w:tcPr>
          <w:p>
            <w:pPr>
              <w:spacing w:after="0"/>
              <w:rPr>
                <w:sz w:val="1"/>
                <w:szCs w:val="1"/>
                <w:color w:val="auto"/>
              </w:rPr>
            </w:pPr>
          </w:p>
        </w:tc>
      </w:tr>
      <w:tr>
        <w:trPr>
          <w:trHeight w:val="211"/>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420" w:type="dxa"/>
            <w:vAlign w:val="bottom"/>
          </w:tcPr>
          <w:p>
            <w:pPr>
              <w:ind w:left="260"/>
              <w:spacing w:after="0"/>
              <w:rPr>
                <w:sz w:val="20"/>
                <w:szCs w:val="20"/>
                <w:color w:val="auto"/>
              </w:rPr>
            </w:pPr>
            <w:r>
              <w:rPr>
                <w:rFonts w:ascii="Arial" w:cs="Arial" w:eastAsia="Arial" w:hAnsi="Arial"/>
                <w:sz w:val="18"/>
                <w:szCs w:val="18"/>
                <w:color w:val="auto"/>
              </w:rPr>
              <w:t>Sun Country Airlines’ Fleet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100"/>
              <w:spacing w:after="0" w:line="176" w:lineRule="exact"/>
              <w:rPr>
                <w:sz w:val="20"/>
                <w:szCs w:val="20"/>
                <w:color w:val="auto"/>
              </w:rPr>
            </w:pPr>
            <w:r>
              <w:rPr>
                <w:rFonts w:ascii="Arial" w:cs="Arial" w:eastAsia="Arial" w:hAnsi="Arial"/>
                <w:sz w:val="18"/>
                <w:szCs w:val="18"/>
                <w:color w:val="auto"/>
              </w:rPr>
              <w:t>Aircraft Operated for</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Amazon</w:t>
            </w:r>
          </w:p>
        </w:tc>
        <w:tc>
          <w:tcPr>
            <w:tcW w:w="1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Arial" w:cs="Arial" w:eastAsia="Arial" w:hAnsi="Arial"/>
                <w:sz w:val="18"/>
                <w:szCs w:val="18"/>
                <w:color w:val="auto"/>
              </w:rPr>
              <w:t>Total Aircraft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00" w:hanging="5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head leases associated with these subleases are classified as finance leases.</w:t>
      </w:r>
    </w:p>
    <w:p>
      <w:pPr>
        <w:spacing w:after="0" w:line="11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During the nine months ended September 30, 2025, the Company received and placed in-service all eight additional cargo aircraft under the A&amp;R ATSA. During the nine months ended September 30, 2025, amendments were executed to extend the lease expiry terms for three Owned Aircraft Held for Operating Lease, which now expire over various dates through the fourth quarter of 2026. During the nine months ended September 30, 2025, an amendment was executed to extend the lease expiry terms for one of the Company's subleased aircraft, which now expires in the second quarter of 2026. During the nine months ended September 30, 2025, the Company retired one owned aircraft. Of the 37 Owned aircraft and Owned Aircraft Held for Operating Lease as of September 30, 2025, 31 aircraft were financed, five aircraft have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 xml:space="preserve">been pledged to support the ability to efficiently utilize the Company's four-year $75,000 revolving credit facility (“Revolving Credit Facility”) entered into during March 2025, and one aircraft was unencumbered.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for more information on the Company's Revolving Credit Facility.</w:t>
      </w:r>
    </w:p>
    <w:p>
      <w:pPr>
        <w:spacing w:after="0" w:line="11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Upon acquisition of the Owned Aircraft held for Operating Lease in March 2023, the Company recognized a Maintenance Rights Asset associated with the acquired leases. During the three months ended June 30, 2025, the Company accepted delivery one of the Owned Aircraft Held for Operating Lease that was previously leased to an unaffiliated airline. Based on the maintenance condition of the one aircraft returned in 2025, the Maintenance Rights Asset settlement resulted in capitalized asset improvements of $4,697 and cash received from the lessee in excess of the Maintenance Rights Asset totaling $2,716. The cash received for end of lease compensation in excess of the Maintenance Rights Asset was recognized within Other Revenue in the Company’s Condensed Consolidated Statement of Operations during the three months ended June 30, 2025. The aircraft was placed in-service as of September 30, 2025.</w:t>
      </w:r>
    </w:p>
    <w:p>
      <w:pPr>
        <w:spacing w:after="0" w:line="129"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During the nine months ended September 30, 2024, the Company acquired one incremental aircraft and took control of two aircraft through finance lease arrangements, one of which was subsequently subleased to an unaffiliated airline. Further, the Company purchased one aircraft previously classified as a finance lease.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 on aircraft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98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Aircraft Status</w:t>
            </w: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Expense Type</w:t>
            </w:r>
          </w:p>
        </w:tc>
        <w:tc>
          <w:tcPr>
            <w:tcW w:w="3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r>
      <w:tr>
        <w:trPr>
          <w:trHeight w:val="224"/>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42,519</w:t>
            </w:r>
          </w:p>
        </w:tc>
      </w:tr>
      <w:tr>
        <w:trPr>
          <w:trHeight w:val="229"/>
        </w:trPr>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Leased</w:t>
            </w:r>
          </w:p>
        </w:tc>
        <w:tc>
          <w:tcPr>
            <w:tcW w:w="1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w:t>
            </w:r>
          </w:p>
        </w:tc>
      </w:tr>
      <w:tr>
        <w:trPr>
          <w:trHeight w:val="248"/>
        </w:trPr>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59,352</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Facilities</w:t>
      </w:r>
    </w:p>
    <w:p>
      <w:pPr>
        <w:spacing w:after="0" w:line="171"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In March 2025, the Company executed a new $75,000 Revolving Credit Facility with a group of lenders. The new Revolving Credit Facility replaces the Company's previous $25,000 revolving credit facility. The interest rate on borrowings is determined using a base rate plus an applicable margin of 2.5%. In addition, there is a commitment fee on the unused Revolving Credit Facility of 0.6%. The Revolving Credit Facility is guaranteed by the Company and secured by a pool of collateral. Accordingly, the Company pledged certain assets as collateral, including certain previously unencumbered aircraft, to support the ability to efficiently utilize the Revolving Credit Facility. Available funds from the Revolving Credit Facility can be used for general corporate purposes. The Revolving Credit Facility includes financial covenants that require the Company to maintain: 1) minimum liquidity, as defined within the agreement, of not less than $55,000, 2) a minimum adjusted EBITDAR of $ 110,000 for any four consecutive fiscal quarters and 3) a minimum ratio of the borrowing base of the collateral to outstanding obligations under the Revolving Credit Facility of not less than 1.0 to 1.0. The Company was in compliance with these financial covenants as of September 30, 2025. As of September 30, 2025, the Company had $75,000 of financing available through the Revolving Credit Facility.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Long-term Debt</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2025 Term Loan Facility</w:t>
      </w:r>
    </w:p>
    <w:p>
      <w:pPr>
        <w:spacing w:after="0" w:line="223"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In September 2025, the Company executed a term loan facility with a face amount of $108,000 ("2025 Term Loan Facility") for the purpose of refinancing the Company's five Boeing 737-900ER aircraft, of which three are on lease to an unaffiliated airline. The Company's five Boeing 737-900ERs are pledged as collateral. During the three months ended September 30, 2025, the Company drew $54,000 from the 2025 Term Loan Facility. The proceeds were used to repay the remaining $20,953 of the term loan credit facility executed in March 2023 ("2023 Term Loan Credit Facility") with the remainder to be used for general corporate purposes. The 2025 Term Loan Facility is repaid quarterly through September 2032, with the remaining balance due and payable in a single payment upon maturity.</w:t>
      </w:r>
    </w:p>
    <w:p>
      <w:pPr>
        <w:spacing w:after="0" w:line="182"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The fixed interest rate on the 2025 Term Loan Facility is 5.98%, which was determined using a base rate plus an applicable margin of 2.60%. During the three months ended September 30, 2025, the Company recorded $1,059 in debt issuance costs associated with the 2025 Term Loan Facility. As of September 30, 2025, the Company had $54,000 of financing available through the 2025 Term Loan Facility. All remaining financing through the 2025 Term Loan Facility must be drawn by December 19, 2025.</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Term Loan Credit Facility</w:t>
      </w:r>
    </w:p>
    <w:p>
      <w:pPr>
        <w:spacing w:after="0" w:line="223"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During the three months ended March 31, 2023, the Company executed the 2023 Term Loan Credit Facility with a face amount of $119,200 for the purpose of financing the initial acquisition of five Boeing 737-900ER aircraft. On the acquisition date, all five aircraft were on lease to an unaffiliated airline. The loan was repaid monthly. During the lease term, payments collected from the lessee were applied directly to the repayment of principal and interest on the 2023 Term Loan Credit Facility. The Owned Aircraft Held for Operating Lease, as well as the related lease payments received from the lessee, are pledged as collateral. In December 2024, the Company made a partial repayment of $60,000 on the 2023 Term Loan Credit Facility using proceeds from the reissued Class C trust certificates Series 2019-1.</w:t>
      </w:r>
    </w:p>
    <w:p>
      <w:pPr>
        <w:spacing w:after="0" w:line="182"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the three months ended September 30, 2025, the Company repaid the outstanding balance of $20,953 of the 2023 Term Loan Credit Facility in full using proceeds received from the 2025 Term Loan Facility. The Company recorded a $391 loss on extinguishment of debt during the three months ended September 30, 2025 in connection with repayment of the 2023 Term Loan Credit Facility, which represents the write-off of the remaining unamortized deferred financing costs.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March 2022, the Company arranged for the issuance of Class A and Class B certificates Series 2022-1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5.04% as of September 30, 2025.</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December 2019, the Company arranged for the issuance of Class A, Class B and Class C trust certificates Series 2019-1 (the “2019-1</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EETC”), in an aggregate face amount of $248,587 for the purpose of financing or refinancing 13 aircraft, which was completed in 2020.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is required to make bi-annual principal and interest payments each June and December, through December 2027.</w:t>
      </w:r>
    </w:p>
    <w:p>
      <w:pPr>
        <w:spacing w:after="0" w:line="207"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color w:val="auto"/>
        </w:rPr>
        <w:t>In December 2024, the Company reissued Class C trust certificates from the 2019-1 EETC, which had previously been repaid, in an aggregate face amount of $60,000 and concurrently applied the proceeds to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repay a portion of the 2023 Term Loan Credit Facility. The reissued Class C trust certificates had no impact on the bi-annual payment schedule or the term of the 2019-1 EETC. The 2019-1 EETC notes bear interest at an annual rate between 4.13% and 7.10%. The weighted average interest rate was 5.43% as of September 30, 2025.</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4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24"/>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2019-1 EETC (see terms and conditions above)</w:t>
            </w:r>
          </w:p>
        </w:tc>
        <w:tc>
          <w:tcPr>
            <w:tcW w:w="2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158,510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2022-1 EETC (see terms and conditions above)</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118,288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940"/>
              <w:spacing w:after="0"/>
              <w:rPr>
                <w:sz w:val="20"/>
                <w:szCs w:val="20"/>
                <w:color w:val="auto"/>
              </w:rPr>
            </w:pPr>
            <w:r>
              <w:rPr>
                <w:rFonts w:ascii="Arial" w:cs="Arial" w:eastAsia="Arial" w:hAnsi="Arial"/>
                <w:sz w:val="18"/>
                <w:szCs w:val="18"/>
                <w:color w:val="auto"/>
              </w:rPr>
              <w:t>138,532</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Credit Facility (see terms and conditions above)</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33,080</w:t>
            </w:r>
          </w:p>
        </w:tc>
        <w:tc>
          <w:tcPr>
            <w:tcW w:w="0" w:type="dxa"/>
            <w:vAlign w:val="bottom"/>
          </w:tcPr>
          <w:p>
            <w:pPr>
              <w:spacing w:after="0"/>
              <w:rPr>
                <w:sz w:val="1"/>
                <w:szCs w:val="1"/>
                <w:color w:val="auto"/>
              </w:rPr>
            </w:pPr>
          </w:p>
        </w:tc>
      </w:tr>
      <w:tr>
        <w:trPr>
          <w:trHeight w:val="229"/>
        </w:trPr>
        <w:tc>
          <w:tcPr>
            <w:tcW w:w="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Facility (see terms and conditions above)</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330,122</w:t>
            </w:r>
          </w:p>
        </w:tc>
        <w:tc>
          <w:tcPr>
            <w:tcW w:w="0" w:type="dxa"/>
            <w:vAlign w:val="bottom"/>
          </w:tcPr>
          <w:p>
            <w:pPr>
              <w:spacing w:after="0"/>
              <w:rPr>
                <w:sz w:val="1"/>
                <w:szCs w:val="1"/>
                <w:color w:val="auto"/>
              </w:rPr>
            </w:pPr>
          </w:p>
        </w:tc>
      </w:tr>
      <w:tr>
        <w:trPr>
          <w:trHeight w:val="229"/>
        </w:trPr>
        <w:tc>
          <w:tcPr>
            <w:tcW w:w="5120" w:type="dxa"/>
            <w:vAlign w:val="bottom"/>
            <w:gridSpan w:val="2"/>
          </w:tcPr>
          <w:p>
            <w:pPr>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 of Long-term Debt, net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(87,579)</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Total Long-term Debt, net</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226,640</w:t>
            </w: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color w:val="auto"/>
              </w:rPr>
              <w:t>239,543</w:t>
            </w:r>
          </w:p>
        </w:tc>
        <w:tc>
          <w:tcPr>
            <w:tcW w:w="0" w:type="dxa"/>
            <w:vAlign w:val="bottom"/>
          </w:tcPr>
          <w:p>
            <w:pPr>
              <w:spacing w:after="0"/>
              <w:rPr>
                <w:sz w:val="1"/>
                <w:szCs w:val="1"/>
                <w:color w:val="auto"/>
              </w:rPr>
            </w:pPr>
          </w:p>
        </w:tc>
      </w:tr>
      <w:tr>
        <w:trPr>
          <w:trHeight w:val="21"/>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Future maturities of the outstanding Debt are as follows:</w:t>
            </w: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Debt Principal</w:t>
            </w:r>
          </w:p>
        </w:tc>
        <w:tc>
          <w:tcPr>
            <w:tcW w:w="140" w:type="dxa"/>
            <w:vAlign w:val="bottom"/>
          </w:tcPr>
          <w:p>
            <w:pPr>
              <w:spacing w:after="0"/>
              <w:rPr>
                <w:sz w:val="24"/>
                <w:szCs w:val="2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Amortization of Debt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Issuance Costs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2025</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31,409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2026</w:t>
            </w:r>
          </w:p>
        </w:tc>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63,363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ind w:left="940"/>
              <w:spacing w:after="0"/>
              <w:rPr>
                <w:sz w:val="20"/>
                <w:szCs w:val="20"/>
                <w:color w:val="auto"/>
              </w:rPr>
            </w:pPr>
            <w:r>
              <w:rPr>
                <w:rFonts w:ascii="Arial" w:cs="Arial" w:eastAsia="Arial" w:hAnsi="Arial"/>
                <w:sz w:val="18"/>
                <w:szCs w:val="18"/>
                <w:color w:val="auto"/>
              </w:rPr>
              <w:t>62,451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89,857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2028</w:t>
            </w:r>
          </w:p>
        </w:tc>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24,646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ind w:left="940"/>
              <w:spacing w:after="0"/>
              <w:rPr>
                <w:sz w:val="20"/>
                <w:szCs w:val="20"/>
                <w:color w:val="auto"/>
              </w:rPr>
            </w:pPr>
            <w:r>
              <w:rPr>
                <w:rFonts w:ascii="Arial" w:cs="Arial" w:eastAsia="Arial" w:hAnsi="Arial"/>
                <w:sz w:val="18"/>
                <w:szCs w:val="18"/>
                <w:color w:val="auto"/>
              </w:rPr>
              <w:t>24,282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4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31,999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61,585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61,292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as of September 30, 2025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301,290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The fair value of Debt was $293,647 as of September 30, 2025 and $ 311,103 as of December 31, 2024. The fair value of the Company’s debt was based on the discounted amount of future cash flows using the Company’s end-of-period estimated incremental borrowing rate for similar obligations. The estimates were primarily based on Level 3 inputs.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38,851</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17,688</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53,452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80" w:right="520" w:hanging="411"/>
        <w:spacing w:after="0" w:line="285" w:lineRule="auto"/>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Condensed Consolidated Balance Sheets totaling $6,496 and $6,417 as of September 30, 2025 and December 31, 2024, respectively.</w:t>
      </w:r>
    </w:p>
    <w:p>
      <w:pPr>
        <w:spacing w:after="0" w:line="121" w:lineRule="exact"/>
        <w:rPr>
          <w:sz w:val="20"/>
          <w:szCs w:val="20"/>
          <w:color w:val="auto"/>
        </w:rPr>
      </w:pPr>
    </w:p>
    <w:p>
      <w:pPr>
        <w:jc w:val="both"/>
        <w:ind w:left="260" w:right="840"/>
        <w:spacing w:after="0" w:line="268" w:lineRule="auto"/>
        <w:rPr>
          <w:sz w:val="20"/>
          <w:szCs w:val="20"/>
          <w:color w:val="auto"/>
        </w:rPr>
      </w:pPr>
      <w:r>
        <w:rPr>
          <w:rFonts w:ascii="Arial" w:cs="Arial" w:eastAsia="Arial" w:hAnsi="Arial"/>
          <w:sz w:val="18"/>
          <w:szCs w:val="18"/>
          <w:color w:val="auto"/>
        </w:rPr>
        <w:t>As of September 30, 2025, the unrealized losses were the result of changes in market interest rates and were not the result of a deterioration in the credit quality of the securities. As of September 30, 2025, the Company expects any unrealized losses to be recoverable prior to the investment's conversion to cash.</w:t>
      </w:r>
    </w:p>
    <w:p>
      <w:pPr>
        <w:spacing w:after="0" w:line="17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 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38,851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57,895</w:t>
            </w:r>
          </w:p>
        </w:tc>
        <w:tc>
          <w:tcPr>
            <w:tcW w:w="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4040" w:type="dxa"/>
            <w:vAlign w:val="bottom"/>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103,411</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72,814</w:t>
            </w:r>
          </w:p>
        </w:tc>
        <w:tc>
          <w:tcPr>
            <w:tcW w:w="80" w:type="dxa"/>
            <w:vAlign w:val="bottom"/>
          </w:tcPr>
          <w:p>
            <w:pPr>
              <w:spacing w:after="0"/>
              <w:rPr>
                <w:sz w:val="13"/>
                <w:szCs w:val="13"/>
                <w:color w:val="auto"/>
              </w:rPr>
            </w:pPr>
          </w:p>
        </w:tc>
        <w:tc>
          <w:tcPr>
            <w:tcW w:w="1160" w:type="dxa"/>
            <w:vAlign w:val="bottom"/>
            <w:vMerge w:val="restart"/>
          </w:tcPr>
          <w:p>
            <w:pPr>
              <w:jc w:val="right"/>
              <w:ind w:right="956"/>
              <w:spacing w:after="0"/>
              <w:rPr>
                <w:sz w:val="20"/>
                <w:szCs w:val="20"/>
                <w:color w:val="auto"/>
              </w:rPr>
            </w:pPr>
            <w:r>
              <w:rPr>
                <w:rFonts w:ascii="Arial" w:cs="Arial" w:eastAsia="Arial" w:hAnsi="Arial"/>
                <w:sz w:val="18"/>
                <w:szCs w:val="18"/>
                <w:color w:val="auto"/>
                <w:w w:val="99"/>
              </w:rPr>
              <w:t>$</w:t>
            </w: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176,225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tcPr>
          <w:p>
            <w:pPr>
              <w:ind w:left="500"/>
              <w:spacing w:after="0"/>
              <w:rPr>
                <w:sz w:val="20"/>
                <w:szCs w:val="20"/>
                <w:color w:val="auto"/>
              </w:rPr>
            </w:pPr>
            <w:r>
              <w:rPr>
                <w:rFonts w:ascii="Arial" w:cs="Arial" w:eastAsia="Arial" w:hAnsi="Arial"/>
                <w:sz w:val="18"/>
                <w:szCs w:val="18"/>
                <w:color w:val="auto"/>
              </w:rPr>
              <w:t>Recurring Basis</w:t>
            </w:r>
          </w:p>
        </w:tc>
        <w:tc>
          <w:tcPr>
            <w:tcW w:w="3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89,636</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187,272</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Recurring Basis</w:t>
            </w:r>
          </w:p>
        </w:tc>
        <w:tc>
          <w:tcPr>
            <w:tcW w:w="3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Company's effective tax rate for the three and nine months ended September 30, 2025 was 28.3% and 24.1%, respectively. The Company's effective tax rate for the three and nine months ended September 30, 2024 was 22.0% and 25.0%, respectively. The effective tax rate represents a blend of federal and state taxes and includes the impact of certain nondeductible or nontaxable items. The effective tax rate in both periods was impacted by permanent stock compensation items.</w:t>
      </w:r>
    </w:p>
    <w:p>
      <w:pPr>
        <w:spacing w:after="0" w:line="122"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On July 4, 2025, the One Big Beautiful Bill Act ("OBBBA") was signed into law. The Company's effective tax rate for 2025 is not expected to materially change as a result of the legislation.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total Tax Receivable Agreement ("TRA") balance as of September 30, 2025 and December 31, 2024 was $87,169 and $97,694, of which $1,192 and $10,325 was current, respectively. The TRA liability is an estimate and actual amounts payable and/or the timing of TRA payments could differ from this estimate. For example, changes to full year taxable income, as well as changes in tax laws may impact the timing of TRA liability payments. The decrease in the current portion of the TRA balance is primarily due to the OBBBA enacted on July 4, 2025. During the nine months ended September 30, 2025 and 2024, the Company made payments of $10,525 and $3,350, respectively, to the pre-IPO stockholders (the “TRA holders”), which includes certain members of the Company's management and certain members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pacing w:after="0" w:line="18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225" w:lineRule="exact"/>
        <w:rPr>
          <w:sz w:val="20"/>
          <w:szCs w:val="20"/>
          <w:color w:val="auto"/>
        </w:rPr>
      </w:pPr>
    </w:p>
    <w:p>
      <w:pPr>
        <w:ind w:left="340" w:right="340"/>
        <w:spacing w:after="0" w:line="287"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periods presented and may vary from period to period in nature, frequency, and amount.</w:t>
      </w:r>
    </w:p>
    <w:p>
      <w:pPr>
        <w:spacing w:after="0" w:line="15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March 2025, the Company's flight attendants, represented by the International Brotherhood of Teamsters, ratified a new five-year collective bargaining agreement. Upon ratification of the new agreement, eligible flight attendants became entitled to a one-time ratification bonus. Eligibility requirements stipulate that flight attendants must be on the seniority list as of the ratification date, have completed probation, and hold an active status in order to receive the bonus payment. Certain portions of the ratification bonus will be paid in future periods as flight attendants on the seniority list as of the ratification date complete their probationary period or change their status from inactive to active. Ratification bonuses were paid to all eligible flight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attendants during the nine months ended September 30, 2025, per the collective bargaining agreement. The Company recognized ratification bonuses of $26 and $1,874, including $2 and $144 of payroll-related tax expense, for the three and nine months ended September 30, 2025, respectively. These items were included within Special Items, net on the Company's Condensed Consolidated Statements of Operations.</w:t>
      </w:r>
    </w:p>
    <w:p>
      <w:pPr>
        <w:spacing w:after="0" w:line="176" w:lineRule="exact"/>
        <w:rPr>
          <w:sz w:val="20"/>
          <w:szCs w:val="20"/>
          <w:color w:val="auto"/>
        </w:rPr>
      </w:pPr>
    </w:p>
    <w:p>
      <w:pPr>
        <w:ind w:left="340" w:right="8520" w:hanging="332"/>
        <w:spacing w:after="0" w:line="523" w:lineRule="auto"/>
        <w:tabs>
          <w:tab w:leader="none" w:pos="46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Equity Transactions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Repurchases</w:t>
      </w:r>
    </w:p>
    <w:p>
      <w:pPr>
        <w:spacing w:after="0" w:line="22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The Company may purchase shares of its Common Stock on a discretionary basis from time-to-time through open market repurchases, privately negotiated transactions, accelerated share repurchase, or other means, including through Rule 10b5-1 trading plans.</w:t>
      </w:r>
    </w:p>
    <w:p>
      <w:pPr>
        <w:spacing w:after="0" w:line="15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During the three months ended March 31, 2025, the Company announced the commencement of a secondary public offering of 6,346,105 shares of its Common Stock by the SCA Horus Stockholder. Upon completion of the secondary public offering, the SCA Horus Stockholder did not own any shares of the Company’s Common Stock. The Company did not receive any of the proceeds from the offering. The Company received authorization from its Board of Directors to repurchase up to $ 10,000 of its Common Stock in connection with this offering. The underwriters agreed to sell to the Company, and the Company agreed to purchase up to $10,000 of the Company's Common Stock from the underwriters equal to the price at which the underwriter purchased the shares from the SCA Horus Stockholder. As part of this transaction, the Company repurchased 630,914 shares of its Common Stock, for a total cost of $10,000, or an average price of $15.85 per share. The Company incurred offering expenses of $481 in conjunction with the secondary public offering.</w:t>
      </w:r>
    </w:p>
    <w:p>
      <w:pPr>
        <w:spacing w:after="0" w:line="17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three months ended June 30, 2025, the Company's Board of Directors authorized $25,000 to repurchase shares of the Company's Common Stock. During the three months ended September 30, 2025, the Company repurchased 843,107 shares of its Common Stock at a total cost of $10,015, inclusive of commissions paid, or an average price of $11.88 per share. The repurchases were open market purchases. As of September 30, 2025, there was $15,000 remaining of authorization from the Company's Board of Directors to repurchase shares of the Company's Common Stock.</w:t>
      </w:r>
    </w:p>
    <w:p>
      <w:pPr>
        <w:spacing w:after="0" w:line="179"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During the nine months ended September 30, 2024, the Company repurchased 755,284 shares of its Common Stock at a total cost of $11,493, inclusive of commissions paid, or an average price of $15.22 per share. The repurchases were open market purchases.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December 13, 2019, the Company signed a six-year contract with Amazon to provide cargo services under the ATSA. In connection with the ATSA, the Company issued warrants to Amazon to purchase an aggregate of up to 9,482,606 shares of common stock at an exercise price of approximately $15.17 per share. During the nine months ended September 30, 2025 and 2024, 885,042 and 632,173 warrants vested in each respective period. As of September 30, 2025 and 2024, the cumulative vested warrants held by Amazon were 4,994,177 and 3,856,266, respectively. The exercise period for these warrants extends through the eighth anniversary of the issue date. No incremental warrants were issued, nor was the original warrant agreement modified, upon the signing of the A&amp;R ATSA.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8</w:t>
      </w:r>
      <w:r>
        <w:rPr>
          <w:rFonts w:ascii="Arial" w:cs="Arial" w:eastAsia="Arial" w:hAnsi="Arial"/>
          <w:sz w:val="18"/>
          <w:szCs w:val="18"/>
          <w:color w:val="000000"/>
        </w:rPr>
        <w:t>), and probable future purchases of aircraft.</w:t>
      </w:r>
    </w:p>
    <w:p>
      <w:pPr>
        <w:spacing w:after="0" w:line="15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is subject to an audit by the Internal Revenue Service (“IRS”) related to the collection of federal excise taxes on optional passenger seat selection charges covering the period of October 1, 2021 through June 30, 2023. During 2024, the Company received an assessment of approximately $2,700 from the IRS related to the results of the audit. As of September 30, 2025, the Company has appealed the results of the audit through a formal protest with the IRS and there has been no further change in status on this matter. The Company believes a loss in this matter is not probable and has not recognized a loss contingency as of September 30, 2025.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these proceedings will have a materially adverse effect on the Company.</w:t>
      </w:r>
    </w:p>
    <w:p>
      <w:pPr>
        <w:spacing w:after="0" w:line="20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5" w:lineRule="exact"/>
        <w:rPr>
          <w:sz w:val="20"/>
          <w:szCs w:val="20"/>
          <w:color w:val="auto"/>
        </w:rPr>
      </w:pPr>
    </w:p>
    <w:p>
      <w:pPr>
        <w:jc w:val="both"/>
        <w:ind w:left="34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The Company has two operating and reportable segments: Passenger and Cargo, which are determined by the services provided and fleet utilized. The Chief Operating Decision Maker ("CODM") makes resource allocation decisions with the objective of generating high returns and margins and mitigating the seasonality of the Company’s route network. Operating Income is the measure of segment profit that is the most consistent with the amounts presented in the Company’s Condensed Consolidated Financial Statements, as well as the measure the CODM uses to assess segment performance. The accounting policies for the Company’s reportable segments are consistent with those described in Note 2, "Basis of Presentation and Summary of Significant Accounting Policies" included within Part II, </w:t>
      </w:r>
      <w:hyperlink r:id="rId54">
        <w:r>
          <w:rPr>
            <w:rFonts w:ascii="Arial" w:cs="Arial" w:eastAsia="Arial" w:hAnsi="Arial"/>
            <w:sz w:val="18"/>
            <w:szCs w:val="18"/>
            <w:u w:val="single" w:color="auto"/>
            <w:color w:val="0000FF"/>
          </w:rPr>
          <w:t>Item 8</w:t>
        </w:r>
        <w:r>
          <w:rPr>
            <w:rFonts w:ascii="Arial" w:cs="Arial" w:eastAsia="Arial" w:hAnsi="Arial"/>
            <w:sz w:val="18"/>
            <w:szCs w:val="18"/>
            <w:color w:val="0000FF"/>
          </w:rPr>
          <w:t xml:space="preserve"> </w:t>
        </w:r>
      </w:hyperlink>
      <w:r>
        <w:rPr>
          <w:rFonts w:ascii="Arial" w:cs="Arial" w:eastAsia="Arial" w:hAnsi="Arial"/>
          <w:sz w:val="18"/>
          <w:szCs w:val="18"/>
          <w:color w:val="000000"/>
        </w:rPr>
        <w:t>of</w:t>
      </w:r>
      <w:r>
        <w:rPr>
          <w:rFonts w:ascii="Arial" w:cs="Arial" w:eastAsia="Arial" w:hAnsi="Arial"/>
          <w:sz w:val="18"/>
          <w:szCs w:val="18"/>
          <w:color w:val="0000FF"/>
        </w:rPr>
        <w:t xml:space="preserve"> </w:t>
      </w:r>
      <w:r>
        <w:rPr>
          <w:rFonts w:ascii="Arial" w:cs="Arial" w:eastAsia="Arial" w:hAnsi="Arial"/>
          <w:sz w:val="18"/>
          <w:szCs w:val="18"/>
          <w:color w:val="000000"/>
        </w:rPr>
        <w:t>the 2024 10-K. There are no intercompany transactions between the Company’s reportable segments.</w:t>
      </w:r>
    </w:p>
    <w:p>
      <w:pPr>
        <w:spacing w:after="0" w:line="18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following tables present financial information for the Company’s two operating segments: Passenger and Cargo. Certain non-fuel operating expenses are allocated between Passenger and Cargo based on metrics such as block hours, fleet count and departures, which best align with the nature of the respective expense. Other Operating, net includes crew and other employee travel, interrupted trip expenses, information technology, property taxes and insurance, including hull-liability insurance, supplies, legal and other professional fees, facilities and all other administrative and operational overhead expenses. The CODM does not consider Interest Income, Interest Expense, and Other Income, net, in assessing the financial performance of its operating segments. Collectively, these items are included in reconciling reporting segment financial amounts to the consolidated financial amounts.</w:t>
      </w:r>
    </w:p>
    <w:p>
      <w:pPr>
        <w:spacing w:after="0" w:line="18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Nearly all of the Company’s long-lived assets are associated with the Passenger operating segment. Therefore, predominately all depreciation and amortization expense is associated with the Passenger operating segment. Substantially all the Company’s tangible assets are located in the U.S. The Company's Aircraft and Flight equipment are mobile across geographic markets. As a result, assets by segment are not reviewed by the CODM and have not been presented herein.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49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financial information for the Company’s two segments.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9"/>
          </w:tcPr>
          <w:p>
            <w:pPr>
              <w:jc w:val="center"/>
              <w:ind w:right="68"/>
              <w:spacing w:after="0"/>
              <w:rPr>
                <w:sz w:val="20"/>
                <w:szCs w:val="20"/>
                <w:color w:val="auto"/>
              </w:rPr>
            </w:pPr>
            <w:r>
              <w:rPr>
                <w:rFonts w:ascii="Arial" w:cs="Arial" w:eastAsia="Arial" w:hAnsi="Arial"/>
                <w:sz w:val="14"/>
                <w:szCs w:val="14"/>
                <w:b w:val="1"/>
                <w:bCs w:val="1"/>
                <w:color w:val="auto"/>
              </w:rPr>
              <w:t>Three Months Ended September 30, 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rPr>
              <w:t>Three Months Ended September 30, 2024</w:t>
            </w:r>
          </w:p>
        </w:tc>
      </w:tr>
      <w:tr>
        <w:trPr>
          <w:trHeight w:val="223"/>
        </w:trPr>
        <w:tc>
          <w:tcPr>
            <w:tcW w:w="2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8"/>
              </w:rPr>
              <w:t>Cargo</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8"/>
              </w:rPr>
              <w:t>Cargo</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211,515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44,023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255,538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220,305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29,165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249,470</w:t>
            </w:r>
          </w:p>
        </w:tc>
      </w:tr>
      <w:tr>
        <w:trPr>
          <w:trHeight w:val="250"/>
        </w:trPr>
        <w:tc>
          <w:tcPr>
            <w:tcW w:w="29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09"/>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Aircraft Fuel</w:t>
            </w:r>
          </w:p>
        </w:tc>
        <w:tc>
          <w:tcPr>
            <w:tcW w:w="1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48,464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48,583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54,701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54,737</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Salaries, Wages, and Benefits</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63,332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29,761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93,093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62,317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18,602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80,919</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Maintenance</w:t>
            </w:r>
          </w:p>
        </w:tc>
        <w:tc>
          <w:tcPr>
            <w:tcW w:w="1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12,349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15,973</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6,982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6,982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7,748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7,748</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24,678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23,749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23,754</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Ground Handling</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11,467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11,467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11,563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11,568</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Landing Fees and Airport Rent</w:t>
            </w:r>
          </w:p>
        </w:tc>
        <w:tc>
          <w:tcPr>
            <w:tcW w:w="1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16,600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15,829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15,979</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Special Items, net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Other Operating, net</w:t>
            </w:r>
          </w:p>
        </w:tc>
        <w:tc>
          <w:tcPr>
            <w:tcW w:w="1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17,898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7,970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25,868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21,534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26,410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201,796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43,840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245,636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209,612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27,476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237,088</w:t>
            </w:r>
          </w:p>
        </w:tc>
      </w:tr>
      <w:tr>
        <w:trPr>
          <w:trHeight w:val="223"/>
        </w:trPr>
        <w:tc>
          <w:tcPr>
            <w:tcW w:w="29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9,719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9,902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10,693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12,382</w:t>
            </w:r>
          </w:p>
        </w:tc>
      </w:tr>
      <w:tr>
        <w:trPr>
          <w:trHeight w:val="45"/>
        </w:trPr>
        <w:tc>
          <w:tcPr>
            <w:tcW w:w="29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0"/>
        </w:trPr>
        <w:tc>
          <w:tcPr>
            <w:tcW w:w="2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1,659</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(11,049)</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r>
      <w:tr>
        <w:trPr>
          <w:trHeight w:val="223"/>
        </w:trPr>
        <w:tc>
          <w:tcPr>
            <w:tcW w:w="2980" w:type="dxa"/>
            <w:vAlign w:val="bottom"/>
          </w:tcPr>
          <w:p>
            <w:pPr>
              <w:ind w:left="340"/>
              <w:spacing w:after="0"/>
              <w:rPr>
                <w:sz w:val="20"/>
                <w:szCs w:val="20"/>
                <w:color w:val="auto"/>
              </w:rPr>
            </w:pPr>
            <w:r>
              <w:rPr>
                <w:rFonts w:ascii="Arial" w:cs="Arial" w:eastAsia="Arial" w:hAnsi="Arial"/>
                <w:sz w:val="14"/>
                <w:szCs w:val="14"/>
                <w:color w:val="auto"/>
              </w:rPr>
              <w:t>Income Before Income Tax</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3,004</w:t>
            </w: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392"/>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center"/>
              <w:ind w:right="68"/>
              <w:spacing w:after="0"/>
              <w:rPr>
                <w:sz w:val="20"/>
                <w:szCs w:val="20"/>
                <w:color w:val="auto"/>
              </w:rPr>
            </w:pPr>
            <w:r>
              <w:rPr>
                <w:rFonts w:ascii="Arial" w:cs="Arial" w:eastAsia="Arial" w:hAnsi="Arial"/>
                <w:sz w:val="14"/>
                <w:szCs w:val="14"/>
                <w:b w:val="1"/>
                <w:bCs w:val="1"/>
                <w:color w:val="auto"/>
              </w:rPr>
              <w:t>Nine Months Ended September 30, 2025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rPr>
              <w:t>Nine Months Ended September 30, 2024</w:t>
            </w:r>
          </w:p>
        </w:tc>
      </w:tr>
      <w:tr>
        <w:trPr>
          <w:trHeight w:val="223"/>
        </w:trPr>
        <w:tc>
          <w:tcPr>
            <w:tcW w:w="2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8"/>
              </w:rPr>
              <w:t>Cargo</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738,825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106,983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845,808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736,774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78,560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815,334</w:t>
            </w:r>
          </w:p>
        </w:tc>
      </w:tr>
      <w:tr>
        <w:trPr>
          <w:trHeight w:val="250"/>
        </w:trPr>
        <w:tc>
          <w:tcPr>
            <w:tcW w:w="29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09"/>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Aircraft Fuel</w:t>
            </w: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163,550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163,738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187,185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187,229</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Salaries, Wages, and Benefits</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206,992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68,503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275,495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190,413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52,103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242,516</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Maintenance</w:t>
            </w: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41,130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39,428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50,129</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25,378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25,378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26,819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26,819</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74,445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74,459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71,179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71,194</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Ground Handling</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34,227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34,227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32,076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32,090</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Landing Fees and Airport Rent</w:t>
            </w: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48,084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48,615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43,980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44,431</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Special Items, net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1,874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1,874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Other Operating, net</w:t>
            </w: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64,698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19,679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65,929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15,074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81,003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660,378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103,020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763,398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657,009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78,402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735,411</w:t>
            </w:r>
          </w:p>
        </w:tc>
      </w:tr>
      <w:tr>
        <w:trPr>
          <w:trHeight w:val="223"/>
        </w:trPr>
        <w:tc>
          <w:tcPr>
            <w:tcW w:w="29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78,447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3,963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82,410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79,765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79,923</w:t>
            </w:r>
          </w:p>
        </w:tc>
      </w:tr>
      <w:tr>
        <w:trPr>
          <w:trHeight w:val="45"/>
        </w:trPr>
        <w:tc>
          <w:tcPr>
            <w:tcW w:w="29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0"/>
        </w:trPr>
        <w:tc>
          <w:tcPr>
            <w:tcW w:w="2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4,960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5,907</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(33,238)</w:t>
            </w:r>
          </w:p>
        </w:tc>
      </w:tr>
      <w:tr>
        <w:trPr>
          <w:trHeight w:val="21"/>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9"/>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r>
      <w:tr>
        <w:trPr>
          <w:trHeight w:val="223"/>
        </w:trPr>
        <w:tc>
          <w:tcPr>
            <w:tcW w:w="2980" w:type="dxa"/>
            <w:vAlign w:val="bottom"/>
          </w:tcPr>
          <w:p>
            <w:pPr>
              <w:ind w:left="340"/>
              <w:spacing w:after="0"/>
              <w:rPr>
                <w:sz w:val="20"/>
                <w:szCs w:val="20"/>
                <w:color w:val="auto"/>
              </w:rPr>
            </w:pPr>
            <w:r>
              <w:rPr>
                <w:rFonts w:ascii="Arial" w:cs="Arial" w:eastAsia="Arial" w:hAnsi="Arial"/>
                <w:sz w:val="14"/>
                <w:szCs w:val="14"/>
                <w:color w:val="auto"/>
              </w:rPr>
              <w:t>Income Before Income Tax</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52,647</w:t>
            </w:r>
          </w:p>
        </w:tc>
      </w:tr>
      <w:tr>
        <w:trPr>
          <w:trHeight w:val="21"/>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130" w:right="7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30" w:right="7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6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October 30, 2025, the date that the Condensed Consolidated Financial Statements were available to be issued.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nine months ended September 30, 2025 and 2024. Also discussed is our financial position as of September 30, 2025 and December 31, 2024.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w:t>
      </w:r>
      <w:hyperlink r:id="rId61">
        <w:r>
          <w:rPr>
            <w:rFonts w:ascii="Arial" w:cs="Arial" w:eastAsia="Arial" w:hAnsi="Arial"/>
            <w:sz w:val="18"/>
            <w:szCs w:val="18"/>
            <w:i w:val="1"/>
            <w:iCs w:val="1"/>
            <w:u w:val="single" w:color="auto"/>
            <w:color w:val="0000FF"/>
          </w:rPr>
          <w:t>Management’s Discussion and Analysis of Financial Condition and Results of Operations</w:t>
        </w:r>
      </w:hyperlink>
      <w:r>
        <w:rPr>
          <w:rFonts w:ascii="Arial" w:cs="Arial" w:eastAsia="Arial" w:hAnsi="Arial"/>
          <w:sz w:val="18"/>
          <w:szCs w:val="18"/>
          <w:i w:val="1"/>
          <w:iCs w:val="1"/>
          <w:color w:val="auto"/>
        </w:rPr>
        <w:t>” in our 2024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62">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2024 10-K to gain an understanding of the important factors that could cause actual results to differ materially from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is a new breed of hybrid low-cost air carrier that dynamically and synergistically deploys shared resources across our Passenger and Cargo segments, and within our Passenger segment, across our Scheduled Service and Charter Service businesses. By doing so, we believe we are able to generate high growth, high margins and strong cash flows with greater resilience than other passenger airlines. Based in Minnesota, we focus on serving leisure and visiting friends and relatives ("VFR") passengers, Charter customers and providing crew, maintenance and insurance (“CMI”) service to Amazon, with flights throughout the U.S.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We believe this flexible business model provides greater resiliency to economic and industry downturns than a traditional scheduled service carrier. This strategy has been implemented and executed by an experienced management team with deep knowledge of the industry.</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2025, we entered into a Credit Card Program Agreement for a new co-branded credit card program ("Credit Card Program"). The Credit Card Program launched in the third quarter of 2025. Subject to certain exceptions, the Credit Card Program has a term of seven years following its launch.</w:t>
      </w:r>
    </w:p>
    <w:p>
      <w:pPr>
        <w:spacing w:after="0" w:line="171"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Financial Condition and Results of Operations” sections within Part I, </w:t>
      </w:r>
      <w:hyperlink r:id="rId63">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61">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2024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U.S. by attracting customers with low fares and garnering repeat business by delivering a high-quality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passenger experience, offering state-of-the-art interiors, complimentary streaming of in-flight entertainment to passenger devices, seat reclining and seat-back power in all our aircraft.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demand for air travel services has historically been affected by U.S. and global economic conditions, or other geopolitical events. Our diversified business model, which includes a focus on leisure and VFR passengers, Charter and Cargo service, all primarily within the U.S., is unique in the airline sector and helps mitigate the impact of cyclical, economic, and industry downturns on our business when compared with other large U.S. passenger airlines. For example, most of our Charter contracts are non-cyclical because these customers still fly during normal economic downturns, and our casino contracts are long-term in nature. Further, our crew can be utilized by flying Cargo service in periods when the Passenger business is less profitable. Our business model is flexible, which gives us the ability to adjust our services in response to market conditions and is intended to produce the highest possible returns for Sun Country.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accounting estimates and assumptions used in the preparation of our Condensed Consolidated Financial Statements involve financial projections or depend on factors that are inherently uncertain and challenging to estimate during periods of economic uncertainty. Should the current economic uncertainty persist or worsen, the Company may need to reevaluate these estimates and assumptions, potentially resulting in a material impact on the Company's financial position, assets, or earnings.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2024, the Company entered into the A&amp;R ATSA with Amazon that increased the number of Boeing 737-800 cargo aircraft that we operate on behalf of Amazon from 12 to 20 in 2025. During the nine months ended September 30, 2025, the Company received and placed in-service all eight additional cargo aircraft under the A&amp;R ATSA. In the near term, the increase in aircraft we operate on behalf of Amazon will result in more resources being allocated to the Cargo business. This aligns with our strategy of long-term flexibility and supports our ability to mitigate the impact of cyclical, economic, and industry downturns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Financial Condition and Results of Operations” in Part II, </w:t>
      </w:r>
      <w:hyperlink r:id="rId61">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1"/>
                <w:szCs w:val="11"/>
                <w:b w:val="1"/>
                <w:bCs w:val="1"/>
                <w:color w:val="auto"/>
                <w:w w:val="96"/>
              </w:rPr>
              <w:t xml:space="preserve">Three Months Ended September 30, 2025 </w:t>
            </w:r>
            <w:r>
              <w:rPr>
                <w:rFonts w:ascii="Arial" w:cs="Arial" w:eastAsia="Arial" w:hAnsi="Arial"/>
                <w:sz w:val="14"/>
                <w:szCs w:val="14"/>
                <w:b w:val="1"/>
                <w:bCs w:val="1"/>
                <w:color w:val="auto"/>
                <w:w w:val="96"/>
                <w:vertAlign w:val="superscript"/>
              </w:rPr>
              <w:t>(1)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1"/>
                <w:szCs w:val="11"/>
                <w:b w:val="1"/>
                <w:bCs w:val="1"/>
                <w:color w:val="auto"/>
              </w:rPr>
              <w:t xml:space="preserve">Three Months Ended September 30, 2024 </w:t>
            </w:r>
            <w:r>
              <w:rPr>
                <w:rFonts w:ascii="Arial" w:cs="Arial" w:eastAsia="Arial" w:hAnsi="Arial"/>
                <w:sz w:val="14"/>
                <w:szCs w:val="14"/>
                <w:b w:val="1"/>
                <w:bCs w:val="1"/>
                <w:color w:val="auto"/>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80" w:type="dxa"/>
            <w:vAlign w:val="bottom"/>
            <w:gridSpan w:val="3"/>
            <w:vMerge w:val="restart"/>
          </w:tcPr>
          <w:p>
            <w:pPr>
              <w:jc w:val="right"/>
              <w:ind w:right="660"/>
              <w:spacing w:after="0"/>
              <w:rPr>
                <w:sz w:val="20"/>
                <w:szCs w:val="20"/>
                <w:color w:val="auto"/>
              </w:rPr>
            </w:pPr>
            <w:r>
              <w:rPr>
                <w:rFonts w:ascii="Arial" w:cs="Arial" w:eastAsia="Arial" w:hAnsi="Arial"/>
                <w:sz w:val="11"/>
                <w:szCs w:val="11"/>
                <w:b w:val="1"/>
                <w:bCs w:val="1"/>
                <w:color w:val="auto"/>
              </w:rPr>
              <w:t>Cargo</w:t>
            </w: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6,360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2,976</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4,864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14,345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7,259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2,809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3,519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13,730</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19,078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5,963</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11,977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37,554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21,416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5,366</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8,957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36,191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7,389,719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2,056,073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4,558,438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14,143,865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8,226,118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1,849,230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3,439,083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13,661,813</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1,374,519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370,607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1,770,569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1,530,058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328,142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1,884,889</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15.87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15.47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11.15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43.6</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1,001</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997,947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1,112,455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1,165,182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1,288,460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 (7)</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84.8 %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84.2 %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76.90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75.31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65.81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65.81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142.72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141.13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9,839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9,462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3,962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19,049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3,525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20,344</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2,965</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(8)</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12.58</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(9)</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8.04</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hanging="332"/>
        <w:spacing w:after="0" w:line="26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Load factor is a measure of utilized available seating capacity calculated by dividing Scheduled Service RPMs by Scheduled Service ASMs for a reporting period.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ind w:left="60"/>
              <w:spacing w:after="0"/>
              <w:rPr>
                <w:sz w:val="20"/>
                <w:szCs w:val="20"/>
                <w:color w:val="auto"/>
              </w:rPr>
            </w:pPr>
            <w:r>
              <w:rPr>
                <w:rFonts w:ascii="Arial" w:cs="Arial" w:eastAsia="Arial" w:hAnsi="Arial"/>
                <w:sz w:val="11"/>
                <w:szCs w:val="11"/>
                <w:b w:val="1"/>
                <w:bCs w:val="1"/>
                <w:color w:val="auto"/>
                <w:w w:val="95"/>
              </w:rPr>
              <w:t xml:space="preserve">Nine Months Ended September 30, 2025 </w:t>
            </w:r>
            <w:r>
              <w:rPr>
                <w:rFonts w:ascii="Arial" w:cs="Arial" w:eastAsia="Arial" w:hAnsi="Arial"/>
                <w:sz w:val="14"/>
                <w:szCs w:val="14"/>
                <w:b w:val="1"/>
                <w:bCs w:val="1"/>
                <w:color w:val="auto"/>
                <w:w w:val="95"/>
                <w:vertAlign w:val="superscript"/>
              </w:rPr>
              <w:t>(1)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1"/>
                <w:szCs w:val="11"/>
                <w:b w:val="1"/>
                <w:bCs w:val="1"/>
                <w:color w:val="auto"/>
              </w:rPr>
              <w:t xml:space="preserve">Nine Months Ended September 30, 2024 </w:t>
            </w:r>
            <w:r>
              <w:rPr>
                <w:rFonts w:ascii="Arial" w:cs="Arial" w:eastAsia="Arial" w:hAnsi="Arial"/>
                <w:sz w:val="14"/>
                <w:szCs w:val="14"/>
                <w:b w:val="1"/>
                <w:bCs w:val="1"/>
                <w:color w:val="auto"/>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080" w:type="dxa"/>
            <w:vAlign w:val="bottom"/>
            <w:gridSpan w:val="3"/>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2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40"/>
              <w:spacing w:after="0" w:line="102" w:lineRule="exact"/>
              <w:rPr>
                <w:sz w:val="20"/>
                <w:szCs w:val="20"/>
                <w:color w:val="auto"/>
              </w:rPr>
            </w:pPr>
            <w:r>
              <w:rPr>
                <w:rFonts w:ascii="Arial" w:cs="Arial" w:eastAsia="Arial" w:hAnsi="Arial"/>
                <w:sz w:val="11"/>
                <w:szCs w:val="11"/>
                <w:b w:val="1"/>
                <w:bCs w:val="1"/>
                <w:color w:val="auto"/>
                <w:w w:val="96"/>
              </w:rPr>
              <w:t>Scheduled</w:t>
            </w: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0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6"/>
              </w:rPr>
              <w:t>Service</w:t>
            </w:r>
          </w:p>
        </w:tc>
        <w:tc>
          <w:tcPr>
            <w:tcW w:w="84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20,805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8,114</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11,435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40,753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22,109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7,638</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9,726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39,879</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68,207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16,877</w:t>
            </w:r>
          </w:p>
        </w:tc>
        <w:tc>
          <w:tcPr>
            <w:tcW w:w="10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28,740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115,321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70,312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15,355</w:t>
            </w:r>
          </w:p>
        </w:tc>
        <w:tc>
          <w:tcPr>
            <w:tcW w:w="8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25,008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111,908</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26,700,231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5,824,826</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10,909,269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43,828,613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27,413,311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5,300,705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9,465,884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42,579,400</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4,966,274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1,037,255</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6,075,195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5,098,876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937,057</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6,108,695</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16.20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15.91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11.58</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1,125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1,100</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3,225,315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3,437,005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4,137,592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4,335,623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 (7)</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83.3 %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85.0 %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95.62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91.08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69.95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68.86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165.57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159.95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9,933</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9,709</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11,515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65,169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54,634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10,558</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65,884</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2.86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2,965</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(8)</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12.04</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(9)</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w:t>
      </w:r>
    </w:p>
    <w:p>
      <w:pPr>
        <w:spacing w:after="0" w:line="1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hanging="332"/>
        <w:spacing w:after="0" w:line="25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Load factor is a measure of utilized available seating capacity calculated by dividing Scheduled Service RPMs by Scheduled Service ASMs for a reporting period.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2025 and 2024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76,746</w:t>
            </w:r>
          </w:p>
        </w:tc>
        <w:tc>
          <w:tcPr>
            <w:tcW w:w="100" w:type="dxa"/>
            <w:vAlign w:val="bottom"/>
          </w:tcPr>
          <w:p>
            <w:pPr>
              <w:spacing w:after="0"/>
              <w:rPr>
                <w:sz w:val="23"/>
                <w:szCs w:val="23"/>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83,784</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58,673</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65,679</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73,211</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201,098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207,764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Cargo</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44,023</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29,165</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12,541</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255,538</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249,470</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88"/>
        </w:trPr>
        <w:tc>
          <w:tcPr>
            <w:tcW w:w="57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54,737</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93,093</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80,919</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7,748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24,683</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23,754</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11,568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245,636</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237,088</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88"/>
        </w:trPr>
        <w:tc>
          <w:tcPr>
            <w:tcW w:w="5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1,659</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“NM” stands for not meaningful</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Operating Revenues increased $6,068, or 2%, to $255,538 for the three months ended September 30, 2025, as compared to the three months ended September 30, 2024. The increase was primarily the result of growth in Cargo revenue due to additional aircraft received and operated, as well as contractual rate increases under the A&amp;R ATSA. This increase was partially offset by a decrease in Passenger revenue due to reduced capacity as we focused our operations on growth within the Cargo business. These items are discussed in further detail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decreased $6,666, or 3%, to $201,098 for the three months ended September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2024. The table below presents select operating data for lines of revenue within Passenger, expressed as quarter-over-quarter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September 30,</w:t>
            </w:r>
          </w:p>
        </w:tc>
        <w:tc>
          <w:tcPr>
            <w:tcW w:w="1480" w:type="dxa"/>
            <w:vAlign w:val="bottom"/>
            <w:gridSpan w:val="2"/>
            <w:vMerge w:val="restart"/>
          </w:tcPr>
          <w:p>
            <w:pPr>
              <w:jc w:val="right"/>
              <w:ind w:right="5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2024</w:t>
            </w:r>
          </w:p>
        </w:tc>
        <w:tc>
          <w:tcPr>
            <w:tcW w:w="14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32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7,259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21,416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Passengers</w:t>
            </w:r>
          </w:p>
        </w:tc>
        <w:tc>
          <w:tcPr>
            <w:tcW w:w="32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997,947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1,112,455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Average base fare per 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75.31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Ancillary revenue per 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fare per 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141.13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RPMs (thousands)</w:t>
            </w:r>
          </w:p>
        </w:tc>
        <w:tc>
          <w:tcPr>
            <w:tcW w:w="32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1,165,182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1,288,460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ASMs (thousands)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1,374,519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1,530,058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TRASM (cents)</w:t>
            </w:r>
          </w:p>
        </w:tc>
        <w:tc>
          <w:tcPr>
            <w:tcW w:w="32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10.42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94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Passenger load factor</w:t>
            </w:r>
          </w:p>
        </w:tc>
        <w:tc>
          <w:tcPr>
            <w:tcW w:w="3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84.8 %</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148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7"/>
        </w:trPr>
        <w:tc>
          <w:tcPr>
            <w:tcW w:w="594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32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2,809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5,366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00"/>
              <w:spacing w:after="0"/>
              <w:rPr>
                <w:sz w:val="20"/>
                <w:szCs w:val="20"/>
                <w:color w:val="auto"/>
              </w:rPr>
            </w:pPr>
            <w:r>
              <w:rPr>
                <w:rFonts w:ascii="Arial" w:cs="Arial" w:eastAsia="Arial" w:hAnsi="Arial"/>
                <w:sz w:val="18"/>
                <w:szCs w:val="18"/>
                <w:color w:val="auto"/>
              </w:rPr>
              <w:t>Charter revenue per block hour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9,839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9,462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(1) Percentage point difference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quarter-over-quarter results were impacted by reduced passenger capacity as we focused our operations on growth in the Cargo business. This resulted in a 12% decrease in Scheduled Service departures and a 10% decrease in ASMs, which were partially offset by a 2% increase in TRASM and a 1% increase in total fare per passenger. Total Ancillary revenues declined quarter-over-quarter due to the 10% decrease in passengers. Ancillary revenue per passenger quarter-over-quarter was materially consistent.</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Passenger revenue benefited from the $7,904, or 16%, increase in Charter revenue during the three months ended September 30, 2025, as compared to the three months ended September 30, 2024. This increase was the result of an 11% increase in block hours and a 4% increase in Charter revenue per block hour. The quarter-over-quarter increase in block hours was due to an increase in flying by large program customers and ad hoc flying. The increase in Charter revenue per block hour was primarily driven by rate increases, partially offset by lower fuel recovery revenue due to the quarter-over-quarter decrease in fuel cost per gallon.</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$14,858, or 51%, to $44,023 for the three months ended September 30, 2025,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three months ended September 30, 2024. The increase was primarily due to additional aircraft and contractual rate increases. During the nine months ended September 30, 2025, the Company received and placed in-service all eight additional cargo aircraft under the A&amp;R ATSA.</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decreased $2,124, or 17%, to $10,417 for the three months ended September 30, 2025,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September 30, 2024. The decrease was driven by lower aircraft lease revenue. For the three months ended September 30, 2025 and 2024, there were an average of 5 and 7 aircraft on lease to unaffiliated airlines, respectively. For more information,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Condensed Consolidated Financial Statements included in Part I, Item 1 of this report.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expenses and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4"/>
                <w:szCs w:val="14"/>
                <w:b w:val="1"/>
                <w:bCs w:val="1"/>
                <w:color w:val="auto"/>
              </w:rPr>
              <w:t>Three Months Ended September 30,</w:t>
            </w:r>
          </w:p>
        </w:tc>
        <w:tc>
          <w:tcPr>
            <w:tcW w:w="1820" w:type="dxa"/>
            <w:vAlign w:val="bottom"/>
            <w:gridSpan w:val="2"/>
            <w:vMerge w:val="restart"/>
          </w:tcPr>
          <w:p>
            <w:pPr>
              <w:jc w:val="right"/>
              <w:ind w:right="7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616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48,583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(Expenses) Credits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(Expenses) Credits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48,577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19,049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(Expenses) Credits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11% quarter-over-quarter due to a 5% decrease in the average fuel cost per gallon and a 6% decrease in fuel consumption due to reduced passenger capacity as we focused our operations on growth in the Cargo business.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$12,174, or 15%, to $93,093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2025, as compared to the three months ended September 30, 2024. The quarter-over-quarter increase in Salaries, Wages, and Benefits was impacted by an 11% increase in employee headcount to support our expanding operations, contractual rate increases for our pilots, and contractual pay increases as a result of new collective bargaining agreements.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$2,150, or 13%, to $18,123 for the three months ended September 30, 2025,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three months ended September 30, 2024. The quarter-over-quarter increase in Maintenance expense was primarily driven by growth in our fleet and operations, higher rates for service, and an increase in engine maintenance events. These increases were partially offset by a quarter-over-quarter decrease in the number of routine, time-based airframe heavy maintenance events.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$766, or 10%, to $6,982 for the three months ended September 30,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three months ended September 30, 2024. The quarter-over-quarter decrease was primarily driven by lower booking and credit card transaction fees due to the shift in capacity growth from Scheduled Service to the Cargo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$929, or 4%, to $24,683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2025, as compared to the three months ended September 30, 2024. The increase was primarily driven by a non-cash expense of $737 due to an unplanned engine retirement as well as an increase in certain capitalized costs associated with two aircraft being returned off of leases.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decreased $101, or 1% for the three months ended September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2024. The decrease was primarily driven by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7% decrease in Passenger segment departures as we focused our operations on the growth in Cargo, partially offset by Charter customer mix.</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$832, or 5%, to $16,811 for the three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2025, as compared to the three months ended September 30, 2024. This quarter-over-quarter increase was driven by rate increases at airports due to market pressures, primarily at Minneapolis – St. Paul International Airport ("MSP"), partially offset by a 7% decrease in Passenger segment departures.</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Special Items, net. </w:t>
      </w:r>
      <w:r>
        <w:rPr>
          <w:rFonts w:ascii="Arial" w:cs="Arial" w:eastAsia="Arial" w:hAnsi="Arial"/>
          <w:sz w:val="18"/>
          <w:szCs w:val="18"/>
          <w:color w:val="auto"/>
        </w:rPr>
        <w:t>Special Items, net consisted of $26 of ratification bonuses for the new five-year collective bargaining agreement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eligible flight attendants during the period, as well as the related payroll tax expense. For more information,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decreased $542, or 2%, to $25,868 for the three months ended September 30,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September 30, 2024. The decrease was primarily the result of increased quarter-over-quarter activity from our engine parts sales programs, partially offset by an increase in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$207, or 12%, to $1,452 for the three months ended September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2024. The decrease was primarily due to the reduction in the Company's average investment balance quarter-over-quarter.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decreased $1,864, or 17%, to $9,185 for the three months ended September 30, 2025,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three months ended September 30, 2024. The decrease was due to quarter-over-quarter decreases in debt balances; as well as the partial refinancing of the 2023 Term Loan Credit Facility in December 2024 which resulted in a lower interest rate. These decreases were partially offset by a $391 write-off of the remaining unamortized deferred financing costs in connection with the refinancing of the Company's five Boeing 737-900ER aircraft. For more information on the Company's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did not have a material impact to either period presented.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three months ended September 30, 2025 was 28.3% compared to 22.0%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September 30, 2024. The effective tax rate in both periods was impacted by permanent stock compensation items. For more information on the effective tax rate,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1 of this report.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308,406</w:t>
            </w:r>
          </w:p>
        </w:tc>
        <w:tc>
          <w:tcPr>
            <w:tcW w:w="100" w:type="dxa"/>
            <w:vAlign w:val="bottom"/>
          </w:tcPr>
          <w:p>
            <w:pPr>
              <w:spacing w:after="0"/>
              <w:rPr>
                <w:sz w:val="23"/>
                <w:szCs w:val="23"/>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313,056</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167,636</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149,090</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225,612</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236,677</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701,654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698,823</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Cargo</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106,983</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78,560</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37,171</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37,951</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845,808</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815,334</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88"/>
        </w:trPr>
        <w:tc>
          <w:tcPr>
            <w:tcW w:w="57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163,738</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187,229</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275,495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242,516</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25,378</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26,819</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71,194</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34,227</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32,090</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44,431</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570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84,377</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81,003</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763,398</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735,411</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82,410</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79,923</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88"/>
        </w:trPr>
        <w:tc>
          <w:tcPr>
            <w:tcW w:w="5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5,907</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(33,238)</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58,860</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52,647</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13,180</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Revenues increased $30,474, or 4%, to $845,808 for the nine months ended September 30, 2025, as compared to the nine months ended September 30, 2024. The increase was primarily the result of growth in Cargo revenue due to additional aircraft received and operated, as well as contractual rate increases under the A&amp;R ATSA. Revenue for the Passenger business was mostly flat, as growth in the first quarter of 2025 was offset by reduced capacity in the second and third quarters of 2025, as we focused our operations on growth in the Cargo business. These items, as well as other changes to revenue, are discussed in further detail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increased $2,831 to $701,654 for the nine months ended September 30, 2025 as compared to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The table below presents select operating data for lines of revenue within Passenger, expressed as year-over-year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c>
          <w:tcPr>
            <w:tcW w:w="1460" w:type="dxa"/>
            <w:vAlign w:val="bottom"/>
            <w:gridSpan w:val="2"/>
            <w:vMerge w:val="restart"/>
          </w:tcPr>
          <w:p>
            <w:pPr>
              <w:jc w:val="right"/>
              <w:ind w:right="5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8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2024</w:t>
            </w:r>
          </w:p>
        </w:tc>
        <w:tc>
          <w:tcPr>
            <w:tcW w:w="14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36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20,805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22,109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70,312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Passengers</w:t>
            </w:r>
          </w:p>
        </w:tc>
        <w:tc>
          <w:tcPr>
            <w:tcW w:w="36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3,225,315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3,437,005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Average base fare per 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91.08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Ancillary revenue per 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68.86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fare per passenger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165.57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159.95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RPMs (thousands)</w:t>
            </w:r>
          </w:p>
        </w:tc>
        <w:tc>
          <w:tcPr>
            <w:tcW w:w="36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4,137,592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4,335,623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ASMs (thousands)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4,966,274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5,098,876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TRASM (cents)</w:t>
            </w:r>
          </w:p>
        </w:tc>
        <w:tc>
          <w:tcPr>
            <w:tcW w:w="36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94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Passenger load factor</w:t>
            </w:r>
          </w:p>
        </w:tc>
        <w:tc>
          <w:tcPr>
            <w:tcW w:w="3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83.3 %</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460" w:type="dxa"/>
            <w:vAlign w:val="bottom"/>
            <w:gridSpan w:val="2"/>
            <w:vMerge w:val="restart"/>
            <w:shd w:val="clear" w:color="auto" w:fill="CCEEFF"/>
          </w:tcPr>
          <w:p>
            <w:pPr>
              <w:jc w:val="right"/>
              <w:ind w:right="99"/>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7"/>
        </w:trPr>
        <w:tc>
          <w:tcPr>
            <w:tcW w:w="594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6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36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8,114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7,638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15,355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00"/>
              <w:spacing w:after="0"/>
              <w:rPr>
                <w:sz w:val="20"/>
                <w:szCs w:val="20"/>
                <w:color w:val="auto"/>
              </w:rPr>
            </w:pPr>
            <w:r>
              <w:rPr>
                <w:rFonts w:ascii="Arial" w:cs="Arial" w:eastAsia="Arial" w:hAnsi="Arial"/>
                <w:sz w:val="18"/>
                <w:szCs w:val="18"/>
                <w:color w:val="auto"/>
              </w:rPr>
              <w:t>Charter revenue per block hour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9,933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9,709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(1) Percentage point difference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slight increase in Passenger revenue year-over-year was driven by reduced capacity as we focused our operations on growth in the Cargo business. This resulted in a 6% year-over-year decrease in Scheduled Service departures, which was offset by a 4% increase in total fare per passenger. Ancillary revenues were negatively impacted by the 6% year-over-year decrease in passengers, partially offset by a 2% increase in Ancillary revenue per passenger.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benefited from the $18,546, or 12%, increase in Charter revenue during the nine months ended September 30, 2025, as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compared to the nine months ended September 30, 2024. This increase was the result of a 10% increase in block hours and a 2% increase in Charter revenue per block hour. The year-over-year increase in block hours was due to an increase in flying by large program customers and ad hoc flying. The improvement in Charter revenue per block hour was primarily driven by rate increases, partially offset by lower fuel recovery revenue due to the year-over-year decrease in fuel cost per gallon.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$28,423, or 36%, to $106,983 for the nine months ended September 30, 2025,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nine months ended September 30, 2024. The increase was primarily due to additional aircraft and contractual rate increases. During the nine months ended September 30, 2025, the Company received and placed in-service all eight additional cargo aircraft under the A&amp;R ATSA.</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decreased $780, or 2%, to $37,171 for the nine months ended September 30, 2025, as compared to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2024. The decrease was primarily driven by lower aircraft lease revenue, partially offset by end of lease compensation revenue recognized during the three months ended June 30, 2025 due to the return of one Owned Aircraft Held for Operating Lease that was previously leased to an unaffiliated airline. For the nine months ended September 30, 2025 and 2024, there were an average of 6</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and 7 aircraft on lease to unaffiliated airlines, respectively. For more information,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Condensed Consolidated Financial Statements included in Part I, Item 1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expenses and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c>
          <w:tcPr>
            <w:tcW w:w="1820" w:type="dxa"/>
            <w:vAlign w:val="bottom"/>
            <w:gridSpan w:val="2"/>
            <w:vMerge w:val="restart"/>
          </w:tcPr>
          <w:p>
            <w:pPr>
              <w:jc w:val="right"/>
              <w:ind w:right="7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6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188,519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65,884</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13% year-over-year due to a 11% decrease in the average fuel cost per gallon and a 1% decrease in consumption.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$32,979, or 14%, to $275,495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2025, as compared to the nine months ended September 30, 2024. The year-over-year increase in Salaries, Wages, and Benefits was impacted by an 11% increase in employee headcount to support our expanding operations, contractual rate increases for our pilots, and contractual pay increases as a result of new collective bargaining agreements.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$ 5,106, or 10%, to $55,235 for the nine months ended September 30, 2025,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2024. The year-over-year increase in Maintenance expense was primarily driven by growth in our fleet and operations and higher rates for service. These increases were partially offset by a year-over-year decrease in the number of routine, time-based airframe heavy maintenance events.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$ 1,441, or 5%, to $25,378 for the nine months ended September 30,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nine months ended September 30, 2024. The year-over-year decrease was primarily driven by lower booking and credit card transaction fees due to the shift in capacity growth from Scheduled Service to the Cargo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$3,265, or 5%, to $74,459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2025, as compared to the nine months ended September 30, 2024. The increase was primarily due to an increase in certain capitalized costs associated with two aircraft being returned off of leases, as well as a non-cash expense of $737 due to an unplanned engine retirement.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$2,137, or 7%, to $34,227, for the nine months ended September 30,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nine months ended September 30, 2024. This year-over-year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increase was the result of rate increases due to market pressures, partially offset by a 3% decrease in Passenger segment departures, as we focused our operations on the growth in Cargo.</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$4,184, or 9%, to $48,615 for the nine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2025, as compared to the nine months ended September 30, 2024. This year-over-year increase was driven by rate increases at airports due to market pressures, primarily at MSP, partially offset by a 3% decrease in Passenger segment departures.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Special Items, net. </w:t>
      </w:r>
      <w:r>
        <w:rPr>
          <w:rFonts w:ascii="Arial" w:cs="Arial" w:eastAsia="Arial" w:hAnsi="Arial"/>
          <w:sz w:val="18"/>
          <w:szCs w:val="18"/>
          <w:color w:val="auto"/>
        </w:rPr>
        <w:t>Special Items, net consisted of $1,874 of ratification bonuses for the new five-year collective bargaining agreement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eligible flight attendants during the period, as well as the related payroll tax expense. For more information,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increased $ 3,374, or 4%, to $84,377 for the nine months ended September 30,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nine months ended September 30, 2024. The increase was primarily the result of an increase in operations, partially offset by increased year-over-year activity from our engine parts sales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$ 947, or 16%, to $4,960 for the nine months ended September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2024. The decrease was primarily due to the reduction in the Company's average investment balance year-over-year.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decreased $5,216, or 16%, to $28,022 for the nine months ended September 30, 2025,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nine months ended September 30, 2024. The decrease was due to year-over-year decreases in debt balances, as well as the partial refinancing of the 2023 Term Loan Credit Facility in December 2024 which resulted in a lower interest rate. These decreases were partially offset by a $391 write-off of the remaining unamortized deferred financing costs in connection with the refinancing of the Company's five Boeing 737-900ER aircraft. For more information on the Company's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expense totaled $488 for the nine months ended September 30, 2025, as a result of the Company incurring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$481 in conjunction with the secondary public offering. Other, net for the nine months ended September 30, 2024 was not material. For more information on the secondary public offering,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nine months ended September 30, 2025 was 24.1% compared to 25.0%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September 30, 2024. The effective tax rate in both periods was impacted by permanent stock compensation items. For more information on the effective tax rate,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1 of this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2025 and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Three Months Ended September 30, 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Three Months Ended September 30, 2024</w:t>
            </w:r>
          </w:p>
        </w:tc>
      </w:tr>
      <w:tr>
        <w:trPr>
          <w:trHeight w:val="223"/>
        </w:trPr>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Cargo</w:t>
            </w:r>
          </w:p>
        </w:tc>
        <w:tc>
          <w:tcPr>
            <w:tcW w:w="3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6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Cargo</w:t>
            </w:r>
          </w:p>
        </w:tc>
        <w:tc>
          <w:tcPr>
            <w:tcW w:w="30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70"/>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211,515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255,538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220,305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29,165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249,470</w:t>
            </w:r>
          </w:p>
        </w:tc>
      </w:tr>
      <w:tr>
        <w:trPr>
          <w:trHeight w:val="250"/>
        </w:trPr>
        <w:tc>
          <w:tcPr>
            <w:tcW w:w="30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48,464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54,737</w:t>
            </w:r>
          </w:p>
        </w:tc>
      </w:tr>
      <w:tr>
        <w:trPr>
          <w:trHeight w:val="2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80,919</w:t>
            </w: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15,973</w:t>
            </w:r>
          </w:p>
        </w:tc>
      </w:tr>
      <w:tr>
        <w:trPr>
          <w:trHeight w:val="2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7,748</w:t>
            </w: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23,754</w:t>
            </w:r>
          </w:p>
        </w:tc>
      </w:tr>
      <w:tr>
        <w:trPr>
          <w:trHeight w:val="2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11,568</w:t>
            </w: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15,979</w:t>
            </w:r>
          </w:p>
        </w:tc>
      </w:tr>
      <w:tr>
        <w:trPr>
          <w:trHeight w:val="2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7"/>
        </w:trPr>
        <w:tc>
          <w:tcPr>
            <w:tcW w:w="304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17,898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21,534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26,410</w:t>
            </w:r>
          </w:p>
        </w:tc>
      </w:tr>
      <w:tr>
        <w:trPr>
          <w:trHeight w:val="23"/>
        </w:trPr>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201,796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245,636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209,612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237,088</w:t>
            </w:r>
          </w:p>
        </w:tc>
      </w:tr>
      <w:tr>
        <w:trPr>
          <w:trHeight w:val="263"/>
        </w:trPr>
        <w:tc>
          <w:tcPr>
            <w:tcW w:w="3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9,902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12,382</w:t>
            </w:r>
          </w:p>
        </w:tc>
      </w:tr>
      <w:tr>
        <w:trPr>
          <w:trHeight w:val="46"/>
        </w:trPr>
        <w:tc>
          <w:tcPr>
            <w:tcW w:w="30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70"/>
        </w:trPr>
        <w:tc>
          <w:tcPr>
            <w:tcW w:w="30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20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bottom w:val="single" w:sz="8" w:color="auto"/>
            </w:tcBorders>
          </w:tcPr>
          <w:p>
            <w:pPr>
              <w:spacing w:after="0"/>
              <w:rPr>
                <w:sz w:val="23"/>
                <w:szCs w:val="23"/>
                <w:color w:val="auto"/>
              </w:rPr>
            </w:pP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bottom w:val="single" w:sz="8" w:color="auto"/>
            </w:tcBorders>
          </w:tcPr>
          <w:p>
            <w:pPr>
              <w:spacing w:after="0"/>
              <w:rPr>
                <w:sz w:val="23"/>
                <w:szCs w:val="23"/>
                <w:color w:val="auto"/>
              </w:rPr>
            </w:pP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$974 to $9,719 for the three months ended September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2024. The Operating Margin Percentage for the three months ended September 30, 2025 decreased by 0.3 percentage point, as compared to the three months ended September 30, 2024. Passenger revenue and total operating expenses decreased quarter-over-quarter due to reduced capacity as we focused our operations on growth in the Cargo business. The quarter-over-quarter decrease in Passenger Operating Income and Operating Margin Percentage were primarily driven by the decrease in revenue, contractual rate increases for our pilots, and contractual pay increases as a result of new collective bargaining agreements. These impacts were partially offset by a 5% decrease in the average fuel cost per gallon and increased quarter-over-quarter activity from our engine parts sales program.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decreased by $ 1,506, to $183, for the three months ended September 30, 2025,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Operating Margin Percentage for the three months ended September 30, 2025 decreased by 5.4 percentage points, as compared to the three months ended September 30, 2024. The changes in both Operating Income and Operating Margin Percentage were primarily driven by contractual rate increases, offset by contractual rate increases for our pilots as well as operational challenges as a result of significant growth in the segment. For more information on the components of Operating Income for the Cargo segment, refer to the Results of Operations discussion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b w:val="1"/>
                <w:bCs w:val="1"/>
                <w:color w:val="auto"/>
              </w:rPr>
              <w:t>Nine Months Ended September 30, 2025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7"/>
          </w:tcPr>
          <w:p>
            <w:pPr>
              <w:jc w:val="center"/>
              <w:ind w:right="91"/>
              <w:spacing w:after="0"/>
              <w:rPr>
                <w:sz w:val="20"/>
                <w:szCs w:val="20"/>
                <w:color w:val="auto"/>
              </w:rPr>
            </w:pPr>
            <w:r>
              <w:rPr>
                <w:rFonts w:ascii="Arial" w:cs="Arial" w:eastAsia="Arial" w:hAnsi="Arial"/>
                <w:sz w:val="14"/>
                <w:szCs w:val="14"/>
                <w:b w:val="1"/>
                <w:bCs w:val="1"/>
                <w:color w:val="auto"/>
              </w:rPr>
              <w:t>Nine Months Ended September 30, 2024</w:t>
            </w:r>
          </w:p>
        </w:tc>
      </w:tr>
      <w:tr>
        <w:trPr>
          <w:trHeight w:val="223"/>
        </w:trPr>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28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Cargo</w:t>
            </w:r>
          </w:p>
        </w:tc>
        <w:tc>
          <w:tcPr>
            <w:tcW w:w="30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70"/>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738,825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106,983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845,808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736,774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815,334</w:t>
            </w:r>
          </w:p>
        </w:tc>
      </w:tr>
      <w:tr>
        <w:trPr>
          <w:trHeight w:val="250"/>
        </w:trPr>
        <w:tc>
          <w:tcPr>
            <w:tcW w:w="30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304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1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163,550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163,738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187,185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187,229</w:t>
            </w:r>
          </w:p>
        </w:tc>
      </w:tr>
      <w:tr>
        <w:trPr>
          <w:trHeight w:val="27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206,992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68,503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275,495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190,413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52,103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242,516</w:t>
            </w:r>
          </w:p>
        </w:tc>
      </w:tr>
      <w:tr>
        <w:trPr>
          <w:trHeight w:val="270"/>
        </w:trPr>
        <w:tc>
          <w:tcPr>
            <w:tcW w:w="30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1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41,130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14,105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55,235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39,428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50,129</w:t>
            </w:r>
          </w:p>
        </w:tc>
      </w:tr>
      <w:tr>
        <w:trPr>
          <w:trHeight w:val="27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25,378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25,378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26,819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26,819</w:t>
            </w:r>
          </w:p>
        </w:tc>
      </w:tr>
      <w:tr>
        <w:trPr>
          <w:trHeight w:val="270"/>
        </w:trPr>
        <w:tc>
          <w:tcPr>
            <w:tcW w:w="30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74,445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74,459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71,179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71,194</w:t>
            </w:r>
          </w:p>
        </w:tc>
      </w:tr>
      <w:tr>
        <w:trPr>
          <w:trHeight w:val="27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34,227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34,227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32,076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32,090</w:t>
            </w:r>
          </w:p>
        </w:tc>
      </w:tr>
      <w:tr>
        <w:trPr>
          <w:trHeight w:val="270"/>
        </w:trPr>
        <w:tc>
          <w:tcPr>
            <w:tcW w:w="304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1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48,084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48,615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43,980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44,431</w:t>
            </w:r>
          </w:p>
        </w:tc>
      </w:tr>
      <w:tr>
        <w:trPr>
          <w:trHeight w:val="27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3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64,698</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19,679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84,377</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65,929</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15,074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81,003</w:t>
            </w:r>
          </w:p>
        </w:tc>
      </w:tr>
      <w:tr>
        <w:trPr>
          <w:trHeight w:val="264"/>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660,378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763,398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657,009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735,411</w:t>
            </w:r>
          </w:p>
        </w:tc>
      </w:tr>
      <w:tr>
        <w:trPr>
          <w:trHeight w:val="263"/>
        </w:trPr>
        <w:tc>
          <w:tcPr>
            <w:tcW w:w="3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78,447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82,410</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79,765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79,923</w:t>
            </w:r>
          </w:p>
        </w:tc>
      </w:tr>
      <w:tr>
        <w:trPr>
          <w:trHeight w:val="46"/>
        </w:trPr>
        <w:tc>
          <w:tcPr>
            <w:tcW w:w="3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70"/>
        </w:trPr>
        <w:tc>
          <w:tcPr>
            <w:tcW w:w="30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18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8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9.8 %</w:t>
            </w:r>
          </w:p>
        </w:tc>
      </w:tr>
      <w:tr>
        <w:trPr>
          <w:trHeight w:val="21"/>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$1,318 to $ 78,447 for the nine months ended September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2024. The Operating Margin Percentage for the nine months ended September 30, 2025 decreased by 0.2 percentage point, as compared to the nine months ended September 30, 2024. Passenger results for the nine months ended September 30, 2025 were impacted by reduced capacity in the second and third quarters of 2025 as we focused our operations on growth in the Cargo business. The year-over-year decrease in Passenger Operating Income and Operating Margin Percentage were primarily driven by contractual rate increases for our pilots, contractual pay increases as a result of new collective bargaining agreements, rate increases for Ground Handling and Landing Fees and Airport Rent, and the ratification bonus paid to eligible flight attendants during the period; partially offset by a 11% decrease in the average fuel cost per gallon.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increased by $3,805, to $3,963, for the nine months ended September 30, 2025, as compared to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The Operating Margin Percentage for the nine months ended September 30, 2025 increased by 3.5 percentage points, as compared to the nine months ended September 30, 2024. The changes in both Operating Income and Operating Margin Percentage were primarily driven by contractual rate increases, partially offset by contractual rate increases for our pilots as well as operational challenges as a result of significant growth in the segment. Further, during the nine months ended September 30, 2025, the Company received and placed in-service all eight additional cargo aircraft under the A&amp;R ATSA. For more information on the components of Operating Income for the Cargo segment, refer to the Results of Operations discussion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r>
      <w:tr>
        <w:trPr>
          <w:trHeight w:val="21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255,538</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249,470</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845,808</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815,334</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9,902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12,382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82,410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79,923</w:t>
            </w:r>
          </w:p>
        </w:tc>
      </w:tr>
      <w:tr>
        <w:trPr>
          <w:trHeight w:val="229"/>
        </w:trPr>
        <w:tc>
          <w:tcPr>
            <w:tcW w:w="41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1,874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1,686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1,490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4,940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4,574</w:t>
            </w:r>
          </w:p>
        </w:tc>
      </w:tr>
      <w:tr>
        <w:trPr>
          <w:trHeight w:val="229"/>
        </w:trPr>
        <w:tc>
          <w:tcPr>
            <w:tcW w:w="41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12,351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13,872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89,961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84,497</w:t>
            </w:r>
          </w:p>
        </w:tc>
      </w:tr>
      <w:tr>
        <w:trPr>
          <w:trHeight w:val="21"/>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39"/>
        </w:trPr>
        <w:tc>
          <w:tcPr>
            <w:tcW w:w="4160" w:type="dxa"/>
            <w:vAlign w:val="bottom"/>
          </w:tcPr>
          <w:p>
            <w:pPr>
              <w:ind w:left="20"/>
              <w:spacing w:after="0"/>
              <w:rPr>
                <w:sz w:val="20"/>
                <w:szCs w:val="20"/>
                <w:color w:val="auto"/>
              </w:rPr>
            </w:pPr>
            <w:r>
              <w:rPr>
                <w:rFonts w:ascii="Arial" w:cs="Arial" w:eastAsia="Arial" w:hAnsi="Arial"/>
                <w:sz w:val="18"/>
                <w:szCs w:val="18"/>
                <w:color w:val="auto"/>
              </w:rPr>
              <w:t>Adjusted Operating Income Margin</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10.6 %</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10.4 %</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73" w:lineRule="exact"/>
        <w:rPr>
          <w:sz w:val="20"/>
          <w:szCs w:val="20"/>
          <w:color w:val="auto"/>
        </w:rPr>
      </w:pPr>
    </w:p>
    <w:p>
      <w:pPr>
        <w:ind w:left="580" w:hanging="554"/>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41" w:lineRule="exact"/>
        <w:rPr>
          <w:rFonts w:ascii="Arial" w:cs="Arial" w:eastAsia="Arial" w:hAnsi="Arial"/>
          <w:sz w:val="14"/>
          <w:szCs w:val="14"/>
          <w:color w:val="auto"/>
        </w:rPr>
      </w:pPr>
    </w:p>
    <w:p>
      <w:pPr>
        <w:ind w:left="580" w:right="380" w:hanging="554"/>
        <w:spacing w:after="0" w:line="264"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July 2025, an engine experienced an in-flight shut down ("IFSD"). The engine was subsequently deemed beyond economic repair, which resulted in a non-cash expense due to an unplanned engine retirement. Management does not consider this activity in assessing its operational performance.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9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44,664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39,467</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Loss on Credit Facility</w:t>
            </w:r>
          </w:p>
        </w:tc>
        <w:tc>
          <w:tcPr>
            <w:tcW w:w="100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10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(3)</w:t>
            </w:r>
          </w:p>
        </w:tc>
        <w:tc>
          <w:tcPr>
            <w:tcW w:w="10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8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6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41" w:lineRule="exact"/>
        <w:rPr>
          <w:rFonts w:ascii="Arial" w:cs="Arial" w:eastAsia="Arial" w:hAnsi="Arial"/>
          <w:sz w:val="14"/>
          <w:szCs w:val="14"/>
          <w:color w:val="auto"/>
        </w:rPr>
      </w:pPr>
    </w:p>
    <w:p>
      <w:pPr>
        <w:ind w:left="580" w:right="540" w:hanging="554"/>
        <w:spacing w:after="0" w:line="244" w:lineRule="auto"/>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July 2025, an engine experienced an IFSD. The engine was subsequently deemed beyond economic repair, which resulted in a non-cash expense due to an unplanned engine retirement. Management does not consider this activity in assessing its operational performance.</w:t>
      </w:r>
    </w:p>
    <w:p>
      <w:pPr>
        <w:spacing w:after="0" w:line="23" w:lineRule="exact"/>
        <w:rPr>
          <w:rFonts w:ascii="Arial" w:cs="Arial" w:eastAsia="Arial" w:hAnsi="Arial"/>
          <w:sz w:val="14"/>
          <w:szCs w:val="14"/>
          <w:color w:val="auto"/>
        </w:rPr>
      </w:pPr>
    </w:p>
    <w:p>
      <w:pPr>
        <w:ind w:left="580" w:hanging="554"/>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33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29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2,342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44,664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39,467</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54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5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33,238</w:t>
            </w:r>
          </w:p>
        </w:tc>
        <w:tc>
          <w:tcPr>
            <w:tcW w:w="0" w:type="dxa"/>
            <w:vAlign w:val="bottom"/>
          </w:tcPr>
          <w:p>
            <w:pPr>
              <w:spacing w:after="0"/>
              <w:rPr>
                <w:sz w:val="1"/>
                <w:szCs w:val="1"/>
                <w:color w:val="auto"/>
              </w:rPr>
            </w:pPr>
          </w:p>
        </w:tc>
      </w:tr>
      <w:tr>
        <w:trPr>
          <w:trHeight w:val="247"/>
        </w:trPr>
        <w:tc>
          <w:tcPr>
            <w:tcW w:w="45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9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24,683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71,194</w:t>
            </w:r>
          </w:p>
        </w:tc>
        <w:tc>
          <w:tcPr>
            <w:tcW w:w="0" w:type="dxa"/>
            <w:vAlign w:val="bottom"/>
          </w:tcPr>
          <w:p>
            <w:pPr>
              <w:spacing w:after="0"/>
              <w:rPr>
                <w:sz w:val="1"/>
                <w:szCs w:val="1"/>
                <w:color w:val="auto"/>
              </w:rPr>
            </w:pP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36,294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37,638</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163,676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155,746</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4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41" w:lineRule="exact"/>
        <w:rPr>
          <w:rFonts w:ascii="Arial" w:cs="Arial" w:eastAsia="Arial" w:hAnsi="Arial"/>
          <w:sz w:val="14"/>
          <w:szCs w:val="14"/>
          <w:color w:val="auto"/>
        </w:rPr>
      </w:pPr>
    </w:p>
    <w:p>
      <w:pPr>
        <w:ind w:left="580" w:right="180" w:hanging="554"/>
        <w:spacing w:after="0" w:line="235"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July 2025, an engine experienced an IFSD. The engine was subsequently deemed beyond economic repair, which resulted in a $737 non-cash expense due to an unplanned engine retirement. The Company recognized the $737 non-cash expense within Depreciation and Amortization. Management does not consider this activity in assessing its operational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depreciation and amortization recognized on certain assets that generate lease income, certain unplanned engine events, stock-based compensation, certain commissions and other costs of selling our vacation products from this measure as these costs are unrelated to our airline operations and improve comparability to our peers. Adjusted CASM is an important measure used by management and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The Company has entered into certain transactions where it serves as a lessor. As of September 30, 2025, we leased or subleased five aircraft.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24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2025</w:t>
            </w:r>
          </w:p>
        </w:tc>
        <w:tc>
          <w:tcPr>
            <w:tcW w:w="1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240" w:type="dxa"/>
            <w:vAlign w:val="bottom"/>
            <w:tcBorders>
              <w:bottom w:val="single" w:sz="8" w:color="auto"/>
            </w:tcBorders>
          </w:tcPr>
          <w:p>
            <w:pPr>
              <w:spacing w:after="0"/>
              <w:rPr>
                <w:sz w:val="17"/>
                <w:szCs w:val="17"/>
                <w:color w:val="auto"/>
              </w:rPr>
            </w:pPr>
          </w:p>
        </w:tc>
      </w:tr>
      <w:tr>
        <w:trPr>
          <w:trHeight w:val="147"/>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8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2"/>
                <w:szCs w:val="12"/>
                <w:color w:val="auto"/>
              </w:rPr>
            </w:pPr>
          </w:p>
        </w:tc>
        <w:tc>
          <w:tcPr>
            <w:tcW w:w="162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Operating</w:t>
            </w:r>
          </w:p>
        </w:tc>
        <w:tc>
          <w:tcPr>
            <w:tcW w:w="1240" w:type="dxa"/>
            <w:vAlign w:val="bottom"/>
          </w:tcPr>
          <w:p>
            <w:pPr>
              <w:jc w:val="right"/>
              <w:ind w:right="373"/>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245,636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54,737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Leased Aircraft, Depreciation and Amortization Expense </w:t>
            </w:r>
            <w:r>
              <w:rPr>
                <w:rFonts w:ascii="Arial" w:cs="Arial" w:eastAsia="Arial" w:hAnsi="Arial"/>
                <w:sz w:val="23"/>
                <w:szCs w:val="23"/>
                <w:color w:val="auto"/>
                <w:w w:val="99"/>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64"/>
        </w:trPr>
        <w:tc>
          <w:tcPr>
            <w:tcW w:w="488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149,824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151,544</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4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74"/>
        </w:trPr>
        <w:tc>
          <w:tcPr>
            <w:tcW w:w="4880" w:type="dxa"/>
            <w:vAlign w:val="bottom"/>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1,770,569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1,884,889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1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240" w:type="dxa"/>
            <w:vAlign w:val="bottom"/>
            <w:tcBorders>
              <w:bottom w:val="single" w:sz="8" w:color="auto"/>
            </w:tcBorders>
          </w:tcPr>
          <w:p>
            <w:pPr>
              <w:spacing w:after="0"/>
              <w:rPr>
                <w:sz w:val="17"/>
                <w:szCs w:val="17"/>
                <w:color w:val="auto"/>
              </w:rPr>
            </w:pPr>
          </w:p>
        </w:tc>
      </w:tr>
      <w:tr>
        <w:trPr>
          <w:trHeight w:val="147"/>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6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2"/>
                <w:szCs w:val="12"/>
                <w:color w:val="auto"/>
              </w:rPr>
            </w:pPr>
          </w:p>
        </w:tc>
        <w:tc>
          <w:tcPr>
            <w:tcW w:w="162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Operating</w:t>
            </w:r>
          </w:p>
        </w:tc>
        <w:tc>
          <w:tcPr>
            <w:tcW w:w="1240" w:type="dxa"/>
            <w:vAlign w:val="bottom"/>
          </w:tcPr>
          <w:p>
            <w:pPr>
              <w:jc w:val="right"/>
              <w:ind w:right="373"/>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763,398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735,411</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163,738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187,229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 xml:space="preserve">Leased Aircraft, Depreciation and Amortization Expense </w:t>
            </w:r>
            <w:r>
              <w:rPr>
                <w:rFonts w:ascii="Arial" w:cs="Arial" w:eastAsia="Arial" w:hAnsi="Arial"/>
                <w:sz w:val="23"/>
                <w:szCs w:val="23"/>
                <w:color w:val="auto"/>
                <w:w w:val="99"/>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64"/>
        </w:trPr>
        <w:tc>
          <w:tcPr>
            <w:tcW w:w="488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485,097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458,930</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4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74"/>
        </w:trPr>
        <w:tc>
          <w:tcPr>
            <w:tcW w:w="4880" w:type="dxa"/>
            <w:vAlign w:val="bottom"/>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6,075,195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6,108,695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10"/>
        </w:trPr>
        <w:tc>
          <w:tcPr>
            <w:tcW w:w="48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41" w:lineRule="exact"/>
        <w:rPr>
          <w:sz w:val="20"/>
          <w:szCs w:val="20"/>
          <w:color w:val="auto"/>
        </w:rPr>
      </w:pPr>
    </w:p>
    <w:p>
      <w:pPr>
        <w:ind w:left="580" w:hanging="554"/>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41" w:lineRule="exact"/>
        <w:rPr>
          <w:rFonts w:ascii="Arial" w:cs="Arial" w:eastAsia="Arial" w:hAnsi="Arial"/>
          <w:sz w:val="14"/>
          <w:szCs w:val="14"/>
          <w:color w:val="auto"/>
        </w:rPr>
      </w:pPr>
    </w:p>
    <w:p>
      <w:pPr>
        <w:ind w:left="580" w:right="540" w:hanging="554"/>
        <w:spacing w:after="0" w:line="244"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July 2025, an engine experienced an IFSD. The engine was subsequently deemed beyond economic repair, which resulted in a non-cash expense due to an unplanned engine retirement. Management does not consider this activity in assessing its operational performance.</w:t>
      </w:r>
    </w:p>
    <w:p>
      <w:pPr>
        <w:spacing w:after="0" w:line="23" w:lineRule="exact"/>
        <w:rPr>
          <w:rFonts w:ascii="Arial" w:cs="Arial" w:eastAsia="Arial" w:hAnsi="Arial"/>
          <w:sz w:val="14"/>
          <w:szCs w:val="14"/>
          <w:color w:val="auto"/>
        </w:rPr>
      </w:pPr>
    </w:p>
    <w:p>
      <w:pPr>
        <w:ind w:left="580" w:hanging="554"/>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primary sources of liquidity as of September 30, 2025 included our existing cash and cash equivalents of $111,834 and short-term investments of $64,391, our expected cash generated from operations, the $75,000 of available funds under the Revolving Credit Facility, and the remaining $54,000 of financing available through the 2025 Term Loan Facility. We invest cash and cash equivalents in highly liquid securities with strong credit ratings. We classify our investments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had restricted cash of $22,998 as of September 30, 2025, which generally consists of cash received as prepayment for chartered flights that is maintained in separate escrow accounts prior to the date of transportation in accordance with DOT regulations. The restrictions are released once the charter transportation is provided.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unrestricted cash and cash equivalents, short-term investments, and availability under our Revolving Credit Facility and 2025 Term Loan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our Liquidity and Capital Resources, see “Management’s Discussion and Analysis of Financial Condition and Results of Operations” in Part II, </w:t>
      </w:r>
      <w:hyperlink r:id="rId102">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We do not maintain an aircraft order book; instead, we enter into aircraft transactions on an opportunistic basis based on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our prevailing level of liquidity and capital market availability. As a result, we are not locked into large future capital expenditures. We have historically financed aircraft through debt and finance leases. As of September 30, 2025, our fleet consisted of 70 Boeing 737-NG aircraft. This includes 45 aircraft in the passenger fleet, 20 cargo aircraft operated pursuant to the A&amp;R ATSA, and five aircraft currently on lease to unaffiliated airlines.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the nine months ended September 30, 2025, the Company received and placed in-service all eight additional cargo aircraft under the A&amp;R ATSA. For more information on our fleet,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cash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in advance for scheduled maintenance to act as collateral for the benefit of the lessors. Qualifying payments that are expected to be recovered from lessors are recorded as Lessor Maintenance Deposits on our Condensed Consolidated Balance Sheets. As of September 30, 2025, we had $64,545 of total Lessor Maintenance Deposits. All maintenance deposits as of September 30, 2025 are estimated to be recoverable either through reimbursable maintenance events or through application towards the purchase of the aircraft.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We use our Credit Facilities to provide liquidity for general corporate purposes and to finance the acquisition of aircraft. In</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2025, the Company executed a new $75,000 Revolving Credit Facility with a group of lenders. The new Revolving Credit Facility replaces the Company's previous $25,000 revolving credit facility. The Company pledged certain assets, including certain previously unencumbered aircraft, to support the ability to efficiently utilize the Revolving Credit Facility. As of September 30, 2025, the Company had $75,000 of financing available through the Revolving Credit Facility. The Company was in compliance with its covenants within the Revolving Credit Facility as of September 30,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in order to purchase or refinance aircraft.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2025, the Company executed the 2025 Term Loan Facility with a face amount of $108,000 for the purpose of refinancing the Company's five Boeing 737-900ER aircraft, of which three are on lease to an unaffiliated airline. The Company's five Boeing 737-900ERs are pledged as collateral. During the three months ended September 30, 2025, the Company drew $54,000 from the 2025 Term Loan Facility. The proceeds were used to repay the full outstanding balance of the 2023 Term Loan Credit Facility, with the remainder to be used for general corporate purposes. The 2025 Term Loan Facility is repaid quarterly through September 2032. As of September 30, 2025, the Company had $54,000 of financing available through the 2025 Term Loan Facility. All remaining financing through the 2025 Term Loan Facility must be drawn by December 19, 2025.</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During the nine months ended September 30, 2025 and 2024, we made payments of $10,525 and $3,350 to the TRA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respectively. Payments will be made in future periods as Pre-IPO Tax Attributes are utilized. For more information on the TRA liability,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1 of this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6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September 30, 2025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2024</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57,895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97,636</w:t>
            </w:r>
          </w:p>
        </w:tc>
      </w:tr>
      <w:tr>
        <w:trPr>
          <w:trHeight w:val="23"/>
        </w:trPr>
        <w:tc>
          <w:tcPr>
            <w:tcW w:w="4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24,743</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Amount Available to Draw from 2025 Term Loan Facility</w:t>
            </w:r>
          </w:p>
        </w:tc>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9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3"/>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Liquidity</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298,729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205,598</w:t>
            </w:r>
          </w:p>
        </w:tc>
      </w:tr>
      <w:tr>
        <w:trPr>
          <w:trHeight w:val="21"/>
        </w:trPr>
        <w:tc>
          <w:tcPr>
            <w:tcW w:w="49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9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September 30, 2025</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December 31, 2024</w:t>
            </w:r>
          </w:p>
        </w:tc>
      </w:tr>
      <w:tr>
        <w:trPr>
          <w:trHeight w:val="241"/>
        </w:trPr>
        <w:tc>
          <w:tcPr>
            <w:tcW w:w="4960" w:type="dxa"/>
            <w:vAlign w:val="bottom"/>
          </w:tcPr>
          <w:p>
            <w:pPr>
              <w:ind w:left="20"/>
              <w:spacing w:after="0"/>
              <w:rPr>
                <w:sz w:val="20"/>
                <w:szCs w:val="20"/>
                <w:color w:val="auto"/>
              </w:rPr>
            </w:pPr>
            <w:r>
              <w:rPr>
                <w:rFonts w:ascii="Arial" w:cs="Arial" w:eastAsia="Arial" w:hAnsi="Arial"/>
                <w:sz w:val="18"/>
                <w:szCs w:val="18"/>
                <w:color w:val="auto"/>
              </w:rPr>
              <w:t>Total Debt, net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301,290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327,122</w:t>
            </w:r>
          </w:p>
        </w:tc>
      </w:tr>
      <w:tr>
        <w:trPr>
          <w:trHeight w:val="23"/>
        </w:trPr>
        <w:tc>
          <w:tcPr>
            <w:tcW w:w="4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256,252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271,262</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18,214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20,650</w:t>
            </w:r>
          </w:p>
        </w:tc>
      </w:tr>
      <w:tr>
        <w:trPr>
          <w:trHeight w:val="23"/>
        </w:trPr>
        <w:tc>
          <w:tcPr>
            <w:tcW w:w="49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net, and Lease Obligations</w:t>
            </w: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575,756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619,034</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610,212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570,373</w:t>
            </w:r>
          </w:p>
        </w:tc>
      </w:tr>
      <w:tr>
        <w:trPr>
          <w:trHeight w:val="23"/>
        </w:trPr>
        <w:tc>
          <w:tcPr>
            <w:tcW w:w="49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3"/>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Invested Capital</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1,185,968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1,189,407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Debt-to-Capital</w:t>
            </w:r>
          </w:p>
        </w:tc>
        <w:tc>
          <w:tcPr>
            <w:tcW w:w="2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908"/>
        </w:trPr>
        <w:tc>
          <w:tcPr>
            <w:tcW w:w="4960" w:type="dxa"/>
            <w:vAlign w:val="bottom"/>
          </w:tcPr>
          <w:p>
            <w:pPr>
              <w:spacing w:after="0"/>
              <w:rPr>
                <w:sz w:val="24"/>
                <w:szCs w:val="24"/>
                <w:color w:val="auto"/>
              </w:rPr>
            </w:pPr>
          </w:p>
        </w:tc>
        <w:tc>
          <w:tcPr>
            <w:tcW w:w="2240" w:type="dxa"/>
            <w:vAlign w:val="bottom"/>
          </w:tcPr>
          <w:p>
            <w:pPr>
              <w:jc w:val="right"/>
              <w:ind w:right="133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1"/>
        </w:trPr>
        <w:tc>
          <w:tcPr>
            <w:tcW w:w="49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360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 September 30,</w:t>
            </w:r>
          </w:p>
        </w:tc>
        <w:tc>
          <w:tcPr>
            <w:tcW w:w="1860" w:type="dxa"/>
            <w:vAlign w:val="bottom"/>
          </w:tcPr>
          <w:p>
            <w:pPr>
              <w:jc w:val="right"/>
              <w:ind w:right="7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57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74,303</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(29,140)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(42,615)</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Sale of Property &amp;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(33,610)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(55,655)</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107,750</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75"/>
        </w:trPr>
        <w:tc>
          <w:tcPr>
            <w:tcW w:w="574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Common Stock Repurchases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(20,015)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(11,493)</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Borrowing</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(15,010)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(26,249)</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(80,023)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(60,776)</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Tax Receivable Agreement Payment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(10,525)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0"/>
        </w:trPr>
        <w:tc>
          <w:tcPr>
            <w:tcW w:w="5740" w:type="dxa"/>
            <w:vAlign w:val="bottom"/>
          </w:tcPr>
          <w:p>
            <w:pPr>
              <w:ind w:left="20"/>
              <w:spacing w:after="0"/>
              <w:rPr>
                <w:sz w:val="20"/>
                <w:szCs w:val="20"/>
                <w:color w:val="auto"/>
              </w:rPr>
            </w:pPr>
            <w:r>
              <w:rPr>
                <w:rFonts w:ascii="Arial" w:cs="Arial" w:eastAsia="Arial" w:hAnsi="Arial"/>
                <w:sz w:val="18"/>
                <w:szCs w:val="18"/>
                <w:color w:val="auto"/>
              </w:rPr>
              <w:t>Total Financing Activities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(71,000)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(91,481)</w:t>
            </w:r>
          </w:p>
        </w:tc>
        <w:tc>
          <w:tcPr>
            <w:tcW w:w="8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i w:val="1"/>
                <w:iCs w:val="1"/>
                <w:color w:val="auto"/>
              </w:rPr>
              <w:t>"NM" stands for not meaningful</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7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5740" w:type="dxa"/>
            <w:vAlign w:val="bottom"/>
          </w:tcPr>
          <w:p>
            <w:pPr>
              <w:spacing w:after="0"/>
              <w:rPr>
                <w:sz w:val="20"/>
                <w:szCs w:val="20"/>
                <w:color w:val="auto"/>
              </w:rPr>
            </w:pPr>
            <w:r>
              <w:rPr>
                <w:rFonts w:ascii="Arial" w:cs="Arial" w:eastAsia="Arial" w:hAnsi="Arial"/>
                <w:sz w:val="11"/>
                <w:szCs w:val="11"/>
                <w:i w:val="1"/>
                <w:iCs w:val="1"/>
                <w:color w:val="auto"/>
              </w:rPr>
              <w:t>"Cash" consists of Cash, Cash Equivalents and Restricted Cash</w:t>
            </w: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activities in the nine months ended September 30, 2025 provided $78,201, as compared to $74,303 during the nine months ended September 30, 2024. During the nine months ended September 30, 2025, our Net Income was $44,664, as compared to $39,467 during the nine months ended September 30,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Most tickets can be purchased no more than 12 months in advance, therefore any revenue associated with tickets sold for future travel will be recognized within that timeframe. For the nine months ended September 30, 2025, $ 155,471 of revenue recognized in Passenger revenue was included in the $160,686 of Air Traffic Liabilities as of December 31, 2024. Air Traffic Liabilities decreased to $144,430 as of September 30, 2025 as a result of decreased Scheduled Service capacity as we focused our operations on growth in the Cargo business.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21% and 25% of our total operating expense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and 2024, respectively. The market price for jet fuel is volatile, which can impact the comparability of our periodic cash flows from operations. Fuel cost per gallon decreased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by 11% year-over-year. Fuel consumption decreased by 1% during the nine months ended September 30, 2025, compared to the prior year as a result of the operational shift in capacity from Scheduled Service to the Cargo business. We expect continued volatility in Aircraft Fuel prices per gallon due to market conditions and global geopolitical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$29,140 and $42,615 for the nine months ended September 30,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capital expenditures during the nine months ended September 30, 2025 included the acquisition of one engine, spare parts, ground equipment, and other items not individually material. Our capital expenditures during the nine months ended September 30, 2024 included the acquisition of one aircraft and other items not individually material.</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The Company's net investment activity resulted in cash inflows of $39,869 during the nine months ended September 30, 2025,</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cash inflows of $52,095 during the nine months ended September 30, 2024. The year-over-year change is a result of a reduction in the Company's average investment balance in order to support general corporate purposes and debt repayments.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At our discretion, we obtain debt financing in order to purchase or refinance aircraft. In September 2025, the Company executed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Term Loan Facility with a face amount of $108,000 for the purpose of refinancing the Company's five Boeing 737-900ER aircraft, of which three are on lease to an unaffiliated airline. The 2025 Term Loan Facility is repaid quarterly through September 2032. As of September 30, 2025, the Company had $54,000 of financing available through the 2025 Term Loan Facility. For more information on our debt financings and future repayment schedules,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3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$15,010 and $26,249 for the nine months ended September 30, 2025</w:t>
      </w:r>
      <w:r>
        <w:rPr>
          <w:rFonts w:ascii="Arial" w:cs="Arial" w:eastAsia="Arial" w:hAnsi="Arial"/>
          <w:sz w:val="18"/>
          <w:szCs w:val="18"/>
          <w:i w:val="1"/>
          <w:iCs w:val="1"/>
          <w:color w:val="auto"/>
        </w:rPr>
        <w:t xml:space="preserve"> </w:t>
      </w:r>
      <w:r>
        <w:rPr>
          <w:rFonts w:ascii="Arial" w:cs="Arial" w:eastAsia="Arial" w:hAnsi="Arial"/>
          <w:sz w:val="18"/>
          <w:szCs w:val="18"/>
          <w:color w:val="auto"/>
        </w:rPr>
        <w:t>and 2024, respectively. During the nine months ended September 30, 2024, the Company purchased an aircraft previously classified as a finance lease. The resulting cash outflows of $9,670 were recorded as payments for finance lease obligations. As of September 30, 2025 and 2024, the Company had 13 and 15 aircraft finance leases, respectively.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nine months ended September 30, 2025, the Company repurchased 1,474,021 shares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at a weighted-average price of $13.58 per share. During the nine months ended September 30, 2024, the Company repurchased 755,284 shares of its Common Stock at a weighted-average price of $15.22 per share. For more information on the stock repurchase program,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TRA Payment. </w:t>
      </w:r>
      <w:r>
        <w:rPr>
          <w:rFonts w:ascii="Arial" w:cs="Arial" w:eastAsia="Arial" w:hAnsi="Arial"/>
          <w:sz w:val="18"/>
          <w:szCs w:val="18"/>
          <w:color w:val="auto"/>
        </w:rPr>
        <w:t>During the nine months ended September 30, 2025 and 2024, the Company made payments of $10,525 and $3,350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 holders, respectively. For more information on the payment of the TRA,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on the nature of the Company's Off Balance Sheet Arrangements, see “Management’s Discussion and Analysis of Financial Condition and Results of Operations” in Part II, </w:t>
      </w:r>
      <w:hyperlink r:id="rId102">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 There have been no material changes to the Company's Off Balance Sheet Arrangements as compared to the 2024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to our Condensed Consolidated Financial Statements included in Part I, Item 1 of this Quarterly Report on Form 10-Q for more information regarding commitments and contractual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nine months ended September 30, 2025, there were no recently adopted accounting standards that had a material impact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Financial Condition and Results of Operations” sections within Part II, </w:t>
      </w:r>
      <w:hyperlink r:id="rId102">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2024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the 2024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We are subject to market risks in the ordinary course of our business. These risks include commodity price risk, specifically with respect to aircraft fuel, as well as interest rate risk. The adverse effects of changes in these markets could pose a potential loss. There have been no material changes in market risk from those disclosed within "Item 7A. Quantitative and Qualitative Disclosures About Market Risk" included in Part II, </w:t>
      </w:r>
      <w:hyperlink r:id="rId113">
        <w:r>
          <w:rPr>
            <w:rFonts w:ascii="Arial" w:cs="Arial" w:eastAsia="Arial" w:hAnsi="Arial"/>
            <w:sz w:val="18"/>
            <w:szCs w:val="18"/>
            <w:u w:val="single" w:color="auto"/>
            <w:color w:val="0000FF"/>
          </w:rPr>
          <w:t>Item 7A</w:t>
        </w:r>
      </w:hyperlink>
      <w:r>
        <w:rPr>
          <w:rFonts w:ascii="Arial" w:cs="Arial" w:eastAsia="Arial" w:hAnsi="Arial"/>
          <w:sz w:val="18"/>
          <w:szCs w:val="18"/>
          <w:color w:val="auto"/>
        </w:rPr>
        <w:t>, of our 2024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preparation of this Form 10-Q, pursuant to Rule 13a-15(b) of the Exchange Act, our management, with the participation of our Chief Executive Officer and Chief Financial Officer, has evaluated the effectiveness of the design and operation of our disclosure controls and procedures (as defined in Rules 13a-15(e) and 15d-15(e) under the Exchange Act) as of September 30, 2025.</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evaluation of our disclosure controls and procedures as of September 30, 2025, our Chief Executive Officer and Chief Financial Officer have concluded that our disclosure controls and procedures were effective as of September 30,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Rules 13a-15(f) and 15d-15(f) under the Exchange Act) that occurred during the quarter ended September 30, 2025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62">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2024 10-K the risk factors which materially affect our business, financial condition or results of operations. There have been no material changes from the risk factors previously disclosed. You should carefully consider the risk factors set forth in our 2024 10-K.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summarizes the Company's repurchases of Common Stock for the quarter ended September 30, 2025. All stock repurchases during the quarter reflect shares repurchased pursuant to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Company's stock repurchase program and shares withheld from employees to satisfy the taxes due in connection with grants of stock under the Company's equity incentive plans. Incremental costs associated with trade execution for the Common Stock repurchases are outside of the scope of the Board’s authorization. For the avoidance of doubt, such costs are permissible as administrative execution expenses. The shares of Common Stock withheld to satisfy tax withholding obligations are considered to be "issuer purchases" of shares that are required to be disclosed pursuant to this Item, but are not considered to be part of the Company's stock repurchase program. For more information on the Company's stock repurchase program,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to the Condensed Consolidated Financial Statements included in Part I, Item 1 of this report.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Approximate Dollar Value ($</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180" w:type="dxa"/>
            <w:vAlign w:val="bottom"/>
          </w:tcPr>
          <w:p>
            <w:pPr>
              <w:spacing w:after="0"/>
              <w:rPr>
                <w:sz w:val="12"/>
                <w:szCs w:val="12"/>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Average Price Paid per</w:t>
            </w:r>
          </w:p>
        </w:tc>
        <w:tc>
          <w:tcPr>
            <w:tcW w:w="2120" w:type="dxa"/>
            <w:vAlign w:val="bottom"/>
            <w:gridSpan w:val="2"/>
            <w:vMerge w:val="continue"/>
          </w:tcPr>
          <w:p>
            <w:pPr>
              <w:spacing w:after="0"/>
              <w:rPr>
                <w:sz w:val="12"/>
                <w:szCs w:val="12"/>
                <w:color w:val="auto"/>
              </w:rPr>
            </w:pPr>
          </w:p>
        </w:tc>
        <w:tc>
          <w:tcPr>
            <w:tcW w:w="20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in thousands) of Shares that</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Purchased as Part of</w:t>
            </w:r>
          </w:p>
        </w:tc>
        <w:tc>
          <w:tcPr>
            <w:tcW w:w="2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May Yet be Purchased Under</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Purchased</w:t>
            </w:r>
          </w:p>
        </w:tc>
        <w:tc>
          <w:tcPr>
            <w:tcW w:w="180" w:type="dxa"/>
            <w:vAlign w:val="bottom"/>
          </w:tcPr>
          <w:p>
            <w:pPr>
              <w:spacing w:after="0"/>
              <w:rPr>
                <w:sz w:val="16"/>
                <w:szCs w:val="16"/>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w:t>
            </w: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Publicly Announced Plans</w:t>
            </w:r>
          </w:p>
        </w:tc>
        <w:tc>
          <w:tcPr>
            <w:tcW w:w="480" w:type="dxa"/>
            <w:vAlign w:val="bottom"/>
          </w:tcPr>
          <w:p>
            <w:pPr>
              <w:spacing w:after="0"/>
              <w:rPr>
                <w:sz w:val="16"/>
                <w:szCs w:val="16"/>
                <w:color w:val="auto"/>
              </w:rPr>
            </w:pPr>
          </w:p>
        </w:tc>
        <w:tc>
          <w:tcPr>
            <w:tcW w:w="1540" w:type="dxa"/>
            <w:vAlign w:val="bottom"/>
          </w:tcPr>
          <w:p>
            <w:pPr>
              <w:jc w:val="right"/>
              <w:ind w:right="77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1-31, 2025</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August 1-31, 2025</w:t>
            </w:r>
          </w:p>
        </w:tc>
        <w:tc>
          <w:tcPr>
            <w:tcW w:w="1980" w:type="dxa"/>
            <w:vAlign w:val="bottom"/>
          </w:tcPr>
          <w:p>
            <w:pPr>
              <w:jc w:val="right"/>
              <w:spacing w:after="0"/>
              <w:rPr>
                <w:sz w:val="20"/>
                <w:szCs w:val="20"/>
                <w:color w:val="auto"/>
              </w:rPr>
            </w:pPr>
            <w:r>
              <w:rPr>
                <w:rFonts w:ascii="Arial" w:cs="Arial" w:eastAsia="Arial" w:hAnsi="Arial"/>
                <w:sz w:val="18"/>
                <w:szCs w:val="18"/>
                <w:color w:val="auto"/>
              </w:rPr>
              <w:t>470,669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470,669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1-30, 2025</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3"/>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843,107</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Agreements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 October 27, 2025, in connection with its ongoing holistic review of the Company’s executive compensation arrangements, and in</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furtherance of continuing to more appropriately align the Company’s executive compensation arrangements with those of other steady-state public companies, the Compensation Committee of the Board of Directors approved new executive employment letters (the “Executive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Employment Letters”) for certain of its senior leadership team members, including D. Torque Zubeck and Rose Neale (the “Executive Officers”).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Executive Employment Letters provide for an annual base salary and target annual bonus percentage for each of the Executive Officers, as well as for standard Company benefit programs under which such Executive Officers are eligible to participate.</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Executive Employment Letters provide that if an Executive Officer’s employment is terminated by the Company without “Cause” (as defined in the Executive Employment Letters), then the Executive Officer will become entitled to receive the following severance benefits: (i) continued payment of base salary for a period of 12 months, (ii) a pro-rated annual bonus for the year in which such termination of employment occurs, based on actual performance determined at the end of the applicable performance period, and pro-rated for time served during such calendar year, and (iii) continued payment of certain costs in connection with the Executive Officer’s continued participation in the Company’s healthcare plan for a period of 12 months.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an Executive Officer’s employment is terminated by the Company without Cause or the Executive resigns for “Good Reason”, in either case, on or within 24 months following the occurrence of a “Change in Control” (as defined in the Executive Employment Letters), then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Executive Officer would instead become entitled to receive (i) continued payment of base salary for a period of 18 months, (ii) a pro-rated annual bonus for the year in which such termination of employment occurs, based on actual performance determined at the end of the applicable performance period, and pro-rated for time served during such calendar year, (iii) a lump sum payment equal to 150% of the Executive Officer’s annual bonus for the year in which such termination of employment occurs, based on the greater of target or actual performance determined through the date of</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termination of employment, and (iv) continued payment of certain costs in connection with the Executive Officer’s continued participation in the Company’s healthcare plan for a period of 12 months.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receipt of the foregoing severance payments and benefits is conditioned upon the Executive Officer’s execution and non-revocation of a release of claims and continued compliance with certain restrictive covenants.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foregoing description of the Executive Employment Letters does not purport to be complete and is qualified in its entirety by reference to the full text of the applicable Executive Employment Letter, a copy of each of which is filed as Exhibits 10.4 and 10.5 hereto, and the terms of which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Termination, or Modification of Rule 10b5-1(c) Trading Plans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describes contracts, instructions or written plans for the sale or purchase of our securities adopted, terminated or modified by our directors and executive officers during the three months ended September 30, 2025, each of which is intended to satisfy the affirmative defense conditions of Rule 10b5-1(c).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Adoption, Termination or</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Date of Adoption, Termination</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Duration of Plan (Scheduled</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0" w:type="dxa"/>
            <w:vAlign w:val="bottom"/>
          </w:tcPr>
          <w:p>
            <w:pPr>
              <w:spacing w:after="0"/>
              <w:rPr>
                <w:sz w:val="1"/>
                <w:szCs w:val="1"/>
                <w:color w:val="auto"/>
              </w:rPr>
            </w:pPr>
          </w:p>
        </w:tc>
      </w:tr>
      <w:tr>
        <w:trPr>
          <w:trHeight w:val="144"/>
        </w:trPr>
        <w:tc>
          <w:tcPr>
            <w:tcW w:w="22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Name and Title</w:t>
            </w:r>
          </w:p>
        </w:tc>
        <w:tc>
          <w:tcPr>
            <w:tcW w:w="100" w:type="dxa"/>
            <w:vAlign w:val="bottom"/>
            <w:vMerge w:val="restart"/>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(Sold) under the</w:t>
            </w: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Modification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Modification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 of Plan)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46"/>
        </w:trPr>
        <w:tc>
          <w:tcPr>
            <w:tcW w:w="23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John Gyurci, Vice President</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Termination</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September 8, 2025</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December 31, 2025</w:t>
            </w: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Finance and Chief Accounting</w:t>
            </w:r>
          </w:p>
        </w:tc>
        <w:tc>
          <w:tcPr>
            <w:tcW w:w="224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Officer</w:t>
            </w: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John Gyurci, Vice President</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Adoption</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September 12, 2025</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June 30, 2027</w:t>
            </w:r>
          </w:p>
        </w:tc>
        <w:tc>
          <w:tcPr>
            <w:tcW w:w="2140" w:type="dxa"/>
            <w:vAlign w:val="bottom"/>
            <w:vMerge w:val="restart"/>
          </w:tcPr>
          <w:p>
            <w:pPr>
              <w:jc w:val="center"/>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44"/>
        </w:trPr>
        <w:tc>
          <w:tcPr>
            <w:tcW w:w="23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Finance and Chief Accounting</w:t>
            </w: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Grant Whitney, Senior Vice</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Adoption</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September 4, 2025</w:t>
            </w:r>
          </w:p>
        </w:tc>
        <w:tc>
          <w:tcPr>
            <w:tcW w:w="2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March 31, 2027</w:t>
            </w: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(226,058)</w:t>
            </w: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President and Chief Revenue</w:t>
            </w:r>
          </w:p>
        </w:tc>
        <w:tc>
          <w:tcPr>
            <w:tcW w:w="224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Officer</w:t>
            </w:r>
            <w:r>
              <w:rPr>
                <w:rFonts w:ascii="Arial" w:cs="Arial" w:eastAsia="Arial" w:hAnsi="Arial"/>
                <w:sz w:val="9"/>
                <w:szCs w:val="9"/>
                <w:color w:val="auto"/>
              </w:rPr>
              <w:t>(1)</w:t>
            </w: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hanging="474"/>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Subsequent to September 30, 2025, Grant Whitney separated from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gridSpan w:val="19"/>
          </w:tcPr>
          <w:p>
            <w:pPr>
              <w:spacing w:after="0"/>
              <w:rPr>
                <w:rFonts w:ascii="Arial" w:cs="Arial" w:eastAsia="Arial" w:hAnsi="Arial"/>
                <w:sz w:val="18"/>
                <w:szCs w:val="18"/>
                <w:color w:val="0000FF"/>
              </w:rPr>
            </w:pPr>
            <w:hyperlink r:id="rId117">
              <w:r>
                <w:rPr>
                  <w:rFonts w:ascii="Arial" w:cs="Arial" w:eastAsia="Arial" w:hAnsi="Arial"/>
                  <w:sz w:val="18"/>
                  <w:szCs w:val="18"/>
                  <w:color w:val="0000FF"/>
                </w:rPr>
                <w:t>Loan Agreement, dated as of September 26, 2025, among Sun Country, Inc., UMB Bank, National Association, and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20" w:type="dxa"/>
            <w:vAlign w:val="bottom"/>
            <w:tcBorders>
              <w:top w:val="single" w:sz="8" w:color="0000FF"/>
            </w:tcBorders>
            <w:gridSpan w:val="7"/>
            <w:vMerge w:val="restart"/>
          </w:tcPr>
          <w:p>
            <w:pPr>
              <w:spacing w:after="0" w:line="156"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Lenders (incorporated by reference to Exhibit 10.1 to Sun Country Airlines Holdings,</w:t>
              </w:r>
            </w:hyperlink>
          </w:p>
        </w:tc>
        <w:tc>
          <w:tcPr>
            <w:tcW w:w="264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6620" w:type="dxa"/>
            <w:vAlign w:val="bottom"/>
            <w:gridSpan w:val="7"/>
            <w:vMerge w:val="continue"/>
          </w:tcPr>
          <w:p>
            <w:pPr>
              <w:spacing w:after="0"/>
              <w:rPr>
                <w:sz w:val="13"/>
                <w:szCs w:val="13"/>
                <w:color w:val="auto"/>
              </w:rPr>
            </w:pPr>
          </w:p>
        </w:tc>
        <w:tc>
          <w:tcPr>
            <w:tcW w:w="3360" w:type="dxa"/>
            <w:vAlign w:val="bottom"/>
            <w:gridSpan w:val="12"/>
          </w:tcPr>
          <w:p>
            <w:pPr>
              <w:ind w:left="120"/>
              <w:spacing w:after="0" w:line="136" w:lineRule="exact"/>
              <w:rPr>
                <w:rFonts w:ascii="Arial" w:cs="Arial" w:eastAsia="Arial" w:hAnsi="Arial"/>
                <w:sz w:val="15"/>
                <w:szCs w:val="15"/>
                <w:color w:val="0000FF"/>
              </w:rPr>
            </w:pPr>
            <w:hyperlink r:id="rId117">
              <w:r>
                <w:rPr>
                  <w:rFonts w:ascii="Arial" w:cs="Arial" w:eastAsia="Arial" w:hAnsi="Arial"/>
                  <w:sz w:val="15"/>
                  <w:szCs w:val="15"/>
                  <w:color w:val="0000FF"/>
                </w:rPr>
                <w:t>Inc.'s Form 8-K filed with the Securities</w:t>
              </w:r>
            </w:hyperlink>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620" w:type="dxa"/>
            <w:vAlign w:val="bottom"/>
            <w:tcBorders>
              <w:top w:val="single" w:sz="8" w:color="0000FF"/>
            </w:tcBorders>
            <w:gridSpan w:val="3"/>
          </w:tcPr>
          <w:p>
            <w:pPr>
              <w:spacing w:after="0" w:line="149" w:lineRule="exact"/>
              <w:rPr>
                <w:rFonts w:ascii="Arial" w:cs="Arial" w:eastAsia="Arial" w:hAnsi="Arial"/>
                <w:sz w:val="17"/>
                <w:szCs w:val="17"/>
                <w:color w:val="0000FF"/>
              </w:rPr>
            </w:pPr>
            <w:hyperlink r:id="rId117">
              <w:r>
                <w:rPr>
                  <w:rFonts w:ascii="Arial" w:cs="Arial" w:eastAsia="Arial" w:hAnsi="Arial"/>
                  <w:sz w:val="17"/>
                  <w:szCs w:val="17"/>
                  <w:color w:val="0000FF"/>
                </w:rPr>
                <w:t>and Exchange Commission on October 1, 2025)</w:t>
              </w:r>
            </w:hyperlink>
          </w:p>
        </w:tc>
        <w:tc>
          <w:tcPr>
            <w:tcW w:w="6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6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9980" w:type="dxa"/>
            <w:vAlign w:val="bottom"/>
            <w:gridSpan w:val="19"/>
          </w:tcPr>
          <w:p>
            <w:pPr>
              <w:spacing w:after="0"/>
              <w:rPr>
                <w:rFonts w:ascii="Arial" w:cs="Arial" w:eastAsia="Arial" w:hAnsi="Arial"/>
                <w:sz w:val="18"/>
                <w:szCs w:val="18"/>
                <w:color w:val="0000FF"/>
              </w:rPr>
            </w:pPr>
            <w:hyperlink r:id="rId118">
              <w:r>
                <w:rPr>
                  <w:rFonts w:ascii="Arial" w:cs="Arial" w:eastAsia="Arial" w:hAnsi="Arial"/>
                  <w:sz w:val="18"/>
                  <w:szCs w:val="18"/>
                  <w:color w:val="0000FF"/>
                </w:rPr>
                <w:t>Mortgage and Security Agreement, dated as of September 26, 2025, between Sun Country, Inc. and UMB Bank, National</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96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Association (incorporated by reference to Exhibit 10.2 to Sun Country Airlines Holdings, Inc.'s Form 8-K filed with the</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38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118">
              <w:r>
                <w:rPr>
                  <w:rFonts w:ascii="Arial" w:cs="Arial" w:eastAsia="Arial" w:hAnsi="Arial"/>
                  <w:sz w:val="18"/>
                  <w:szCs w:val="18"/>
                  <w:color w:val="0000FF"/>
                </w:rPr>
                <w:t>Securities and Exchange Commission on October 1, 2025)</w:t>
              </w:r>
            </w:hyperlink>
          </w:p>
        </w:tc>
        <w:tc>
          <w:tcPr>
            <w:tcW w:w="420" w:type="dxa"/>
            <w:vAlign w:val="bottom"/>
            <w:tcBorders>
              <w:top w:val="single" w:sz="8" w:color="0000FF"/>
            </w:tcBorders>
          </w:tcPr>
          <w:p>
            <w:pPr>
              <w:spacing w:after="0"/>
              <w:rPr>
                <w:sz w:val="14"/>
                <w:szCs w:val="14"/>
                <w:color w:val="auto"/>
              </w:rPr>
            </w:pPr>
          </w:p>
        </w:tc>
        <w:tc>
          <w:tcPr>
            <w:tcW w:w="346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9980" w:type="dxa"/>
            <w:vAlign w:val="bottom"/>
            <w:gridSpan w:val="19"/>
          </w:tcPr>
          <w:p>
            <w:pPr>
              <w:spacing w:after="0"/>
              <w:rPr>
                <w:rFonts w:ascii="Arial" w:cs="Arial" w:eastAsia="Arial" w:hAnsi="Arial"/>
                <w:sz w:val="18"/>
                <w:szCs w:val="18"/>
                <w:color w:val="0000FF"/>
              </w:rPr>
            </w:pPr>
            <w:hyperlink r:id="rId119">
              <w:r>
                <w:rPr>
                  <w:rFonts w:ascii="Arial" w:cs="Arial" w:eastAsia="Arial" w:hAnsi="Arial"/>
                  <w:sz w:val="18"/>
                  <w:szCs w:val="18"/>
                  <w:color w:val="0000FF"/>
                </w:rPr>
                <w:t>Zubeck Employment Letter (incorporated by reference to Exhibit 10.1 to Sun Country Airlines Holdings, Inc.'s Form 8-K filed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with the Securities and Exchange Commission on August 13, 2025)</w:t>
              </w:r>
            </w:hyperlink>
          </w:p>
        </w:tc>
        <w:tc>
          <w:tcPr>
            <w:tcW w:w="3880" w:type="dxa"/>
            <w:vAlign w:val="bottom"/>
            <w:tcBorders>
              <w:top w:val="single" w:sz="8" w:color="0000FF"/>
            </w:tcBorders>
            <w:gridSpan w:val="3"/>
          </w:tcPr>
          <w:p>
            <w:pPr>
              <w:spacing w:after="0"/>
              <w:rPr>
                <w:sz w:val="13"/>
                <w:szCs w:val="13"/>
                <w:color w:val="auto"/>
              </w:rPr>
            </w:pPr>
          </w:p>
        </w:tc>
        <w:tc>
          <w:tcPr>
            <w:tcW w:w="220" w:type="dxa"/>
            <w:vAlign w:val="bottom"/>
            <w:tcBorders>
              <w:top w:val="single" w:sz="8" w:color="0000FF"/>
            </w:tcBorders>
            <w:gridSpan w:val="3"/>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9"/>
          </w:tcPr>
          <w:p>
            <w:pPr>
              <w:spacing w:after="0"/>
              <w:rPr>
                <w:sz w:val="20"/>
                <w:szCs w:val="20"/>
                <w:color w:val="auto"/>
              </w:rPr>
            </w:pPr>
            <w:r>
              <w:rPr>
                <w:rFonts w:ascii="Arial" w:cs="Arial" w:eastAsia="Arial" w:hAnsi="Arial"/>
                <w:sz w:val="18"/>
                <w:szCs w:val="18"/>
                <w:color w:val="0000FF"/>
              </w:rPr>
              <w:t>Executive Employment Letter, dated as of October 29, 2025, by and between Erin Rose Neale and Sun Country, Inc.</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9980" w:type="dxa"/>
            <w:vAlign w:val="bottom"/>
            <w:gridSpan w:val="19"/>
          </w:tcPr>
          <w:p>
            <w:pPr>
              <w:spacing w:after="0"/>
              <w:rPr>
                <w:sz w:val="20"/>
                <w:szCs w:val="20"/>
                <w:color w:val="auto"/>
              </w:rPr>
            </w:pPr>
            <w:r>
              <w:rPr>
                <w:rFonts w:ascii="Arial" w:cs="Arial" w:eastAsia="Arial" w:hAnsi="Arial"/>
                <w:sz w:val="18"/>
                <w:szCs w:val="18"/>
                <w:color w:val="0000FF"/>
              </w:rPr>
              <w:t>Executive Employment Letter, dated as of October 29, 2025, by and between Daniel Torque Zubeck and Sun Country, Inc.</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gridSpan w:val="19"/>
          </w:tcPr>
          <w:p>
            <w:pPr>
              <w:spacing w:after="0"/>
              <w:rPr>
                <w:sz w:val="20"/>
                <w:szCs w:val="20"/>
                <w:color w:val="auto"/>
              </w:rPr>
            </w:pPr>
            <w:r>
              <w:rPr>
                <w:rFonts w:ascii="Arial" w:cs="Arial" w:eastAsia="Arial" w:hAnsi="Arial"/>
                <w:sz w:val="18"/>
                <w:szCs w:val="18"/>
                <w:color w:val="0000FF"/>
              </w:rPr>
              <w:t>Certification by Sun Country's Chief Executive Officer with respect to Sun Country's Quarterly Report on Form 10-Q for the</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974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quarterly period ended September 30, 2025</w:t>
            </w:r>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19"/>
          </w:tcPr>
          <w:p>
            <w:pPr>
              <w:spacing w:after="0"/>
              <w:rPr>
                <w:sz w:val="20"/>
                <w:szCs w:val="20"/>
                <w:color w:val="auto"/>
              </w:rPr>
            </w:pPr>
            <w:r>
              <w:rPr>
                <w:rFonts w:ascii="Arial" w:cs="Arial" w:eastAsia="Arial" w:hAnsi="Arial"/>
                <w:sz w:val="18"/>
                <w:szCs w:val="18"/>
                <w:color w:val="0000FF"/>
              </w:rPr>
              <w:t>Certification by Sun Country’s Chief Financial Officer and Senior Vice President with respect to Sun Country's Quarterly</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948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Report on Form 10-Q for the quarterly period ended September 30, 2025</w:t>
            </w:r>
          </w:p>
        </w:tc>
        <w:tc>
          <w:tcPr>
            <w:tcW w:w="34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0" w:type="dxa"/>
            <w:vAlign w:val="bottom"/>
            <w:gridSpan w:val="6"/>
            <w:shd w:val="clear" w:color="auto" w:fill="0000FF"/>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8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Certification pursuant to Section 1350 of Chapter 63 of Title 18 of the United States Code by Sun Country Airlines Holdings,</w:t>
            </w:r>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9980" w:type="dxa"/>
            <w:vAlign w:val="bottom"/>
            <w:gridSpan w:val="19"/>
          </w:tcPr>
          <w:p>
            <w:pPr>
              <w:spacing w:after="0" w:line="156" w:lineRule="exact"/>
              <w:rPr>
                <w:sz w:val="20"/>
                <w:szCs w:val="20"/>
                <w:color w:val="auto"/>
              </w:rPr>
            </w:pPr>
            <w:r>
              <w:rPr>
                <w:rFonts w:ascii="Arial" w:cs="Arial" w:eastAsia="Arial" w:hAnsi="Arial"/>
                <w:sz w:val="18"/>
                <w:szCs w:val="18"/>
                <w:color w:val="0000FF"/>
                <w:w w:val="99"/>
              </w:rPr>
              <w:t>Inc.’s Chief Executive Officer and Chief Financial Officer with respect to Sun Country's Quarterly Report on Form 10-Q for the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996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quarterly period ended September 30, 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65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9"/>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9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84"/>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9"/>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440" w:hanging="414"/>
        <w:spacing w:after="0"/>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40" w:hanging="414"/>
        <w:spacing w:after="0"/>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55" w:lineRule="exact"/>
        <w:rPr>
          <w:sz w:val="20"/>
          <w:szCs w:val="20"/>
          <w:color w:val="auto"/>
        </w:rPr>
      </w:pPr>
    </w:p>
    <w:p>
      <w:pPr>
        <w:ind w:left="440" w:hanging="414"/>
        <w:spacing w:after="0" w:line="285" w:lineRule="auto"/>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Certain portions of this exhibit have been redacted pursuant to Item 601(b)(10)(iv) of Regulation S-K. The Company agrees to furnish supplementally an unredacted copy of the exhibit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Sun Country Airlines Holdings, Inc.</w:t>
      </w:r>
    </w:p>
    <w:p>
      <w:pPr>
        <w:ind w:left="5140"/>
        <w:spacing w:after="0"/>
        <w:rPr>
          <w:sz w:val="20"/>
          <w:szCs w:val="20"/>
          <w:color w:val="auto"/>
        </w:rPr>
      </w:pPr>
      <w:r>
        <w:rPr>
          <w:rFonts w:ascii="Arial" w:cs="Arial" w:eastAsia="Arial" w:hAnsi="Arial"/>
          <w:sz w:val="18"/>
          <w:szCs w:val="18"/>
          <w:color w:val="auto"/>
        </w:rPr>
        <w:t>(Registrant)</w:t>
      </w:r>
    </w:p>
    <w:p>
      <w:pPr>
        <w:spacing w:after="0" w:line="23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17780</wp:posOffset>
            </wp:positionV>
            <wp:extent cx="38830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Daniel Torque Zubeck</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Financial and Accounting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30,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2" w:right="3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SUN COUNTRY EXECUTIVE EMPLOYMENT LETTER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Rose,</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This Employment Letter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effective as of October 29, 2025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made by and between Erin Rose Neale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Sun Country, Inc., a Minnesota corporation (together with any of its subsidiaries and affiliates) as may employ the Executive from time to time, and any and all successors thereto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outlines the terms of your employment with the Company. As of the Effective Date, this Agreement shall supersede in its entirety the Employment Letter, dated as of July 1, 2023, previously entered into between the Executive and the Company.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execution of this Agreement, the Executive agrees to the terms outlined below.</w:t>
      </w:r>
    </w:p>
    <w:p>
      <w:pPr>
        <w:spacing w:after="0" w:line="23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Company shall employ the Executive, and the Executive shall be employed by the Company, on an at will basis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in the position set forth in Section 1(b), and upon the other terms and conditions herein provided.</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in the role of Chief Legal Officer and Senior Vice President of the Company, with responsibilities, duties, and authority customary for such position. The Executive shall report to the Chief Executive Officer of the Company. The Executive agrees to observe and comply with the Company’s rules and policies as adopted from time to time by the Company.</w:t>
      </w:r>
    </w:p>
    <w:p>
      <w:pPr>
        <w:spacing w:after="0" w:line="17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the Executive shall receive a base salary at a rate of $325,000 per annum, which shall be paid in accordance with the customary payroll practices of the Company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With respect to each calendar year that ends during the Term, the Executive shall be eligible to receive a discretionary annual cash bonus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in accordance with the terms of the Company’s then in effect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Executive’s actual Annual Bonus for a given year, if any, shall be determined on the basis of the Executive’s and/or the Company’s attainment of objective financial and/or other subjective or objective criteria established by the Company’s Board of Directors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communicated to the Executive at the beginning of such year. Notwithstanding the foregoing, no Annual Bonus shall be payable with respect to any calendar year unless the Executive remains continuously employed with the Company through the date of payment, except as otherwise provided in Section 4.</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Executive shall be granted certain equity interests of Sun Country Airlines Holdings, Inc., (the “</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terms and conditions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Doc#: US1:11877174v2</w:t>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Board and/or the Compensation Committee, and set forth in the Plan and the applicable award agreement(s) thereunder.</w:t>
      </w:r>
    </w:p>
    <w:p>
      <w:pPr>
        <w:spacing w:after="0" w:line="220" w:lineRule="exact"/>
        <w:rPr>
          <w:sz w:val="20"/>
          <w:szCs w:val="20"/>
          <w:color w:val="auto"/>
        </w:rPr>
      </w:pPr>
    </w:p>
    <w:p>
      <w:pPr>
        <w:ind w:firstLine="656"/>
        <w:spacing w:after="0" w:line="271"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Travel Benefits</w:t>
      </w:r>
      <w:r>
        <w:rPr>
          <w:rFonts w:ascii="Times New Roman" w:cs="Times New Roman" w:eastAsia="Times New Roman" w:hAnsi="Times New Roman"/>
          <w:sz w:val="22"/>
          <w:szCs w:val="22"/>
          <w:color w:val="auto"/>
        </w:rPr>
        <w:t>. The Executive is entitled to both positive-space and space-available travel benefits, in accordance with the Company’s rules and policies.</w:t>
      </w:r>
    </w:p>
    <w:p>
      <w:pPr>
        <w:spacing w:after="0" w:line="17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Positive Space Travel</w:t>
      </w:r>
      <w:r>
        <w:rPr>
          <w:rFonts w:ascii="Times New Roman" w:cs="Times New Roman" w:eastAsia="Times New Roman" w:hAnsi="Times New Roman"/>
          <w:sz w:val="21"/>
          <w:szCs w:val="21"/>
          <w:color w:val="auto"/>
        </w:rPr>
        <w:t>. Positive space travel is permitted as follows: the Executive will receive an annual credit of $10,000 in the Executive’s Universal Air Travel Plan (“</w:t>
      </w:r>
      <w:r>
        <w:rPr>
          <w:rFonts w:ascii="Times New Roman" w:cs="Times New Roman" w:eastAsia="Times New Roman" w:hAnsi="Times New Roman"/>
          <w:sz w:val="21"/>
          <w:szCs w:val="21"/>
          <w:u w:val="single" w:color="auto"/>
          <w:color w:val="auto"/>
        </w:rPr>
        <w:t>UATP</w:t>
      </w:r>
      <w:r>
        <w:rPr>
          <w:rFonts w:ascii="Times New Roman" w:cs="Times New Roman" w:eastAsia="Times New Roman" w:hAnsi="Times New Roman"/>
          <w:sz w:val="21"/>
          <w:szCs w:val="21"/>
          <w:color w:val="auto"/>
        </w:rPr>
        <w:t>”) account for personal travel on Company scheduled flights for the Executive and certain Qualifying Friends and Family (as defined below). Any increases to the annual credit of other executives of the same rank shall apply equally to the Executive. Each flown segment is valued at $75, and deducted from the UATP account. The value of this benefit is reported as taxable income with taxes on such income paid for by the Company.</w:t>
      </w:r>
    </w:p>
    <w:p>
      <w:pPr>
        <w:spacing w:after="0" w:line="178"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Friends &amp; Family</w:t>
      </w:r>
      <w:r>
        <w:rPr>
          <w:rFonts w:ascii="Times New Roman" w:cs="Times New Roman" w:eastAsia="Times New Roman" w:hAnsi="Times New Roman"/>
          <w:sz w:val="22"/>
          <w:szCs w:val="22"/>
          <w:color w:val="auto"/>
        </w:rPr>
        <w:t>. “Qualifying Friends and Family” are defined as follows:</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85"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travels on a flight itinerary, the Executive may bring up to eight friends or family members, on the same itinerary, on any scheduled Company flight (provided such persons are not prohibited by Company from traveling on Company flights).</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68" w:lineRule="auto"/>
        <w:tabs>
          <w:tab w:leader="none" w:pos="2587"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not listed on the flight itinerary, (x) the Executive’s Circle of Travelers (defined under the Company’s Employee Travel Policy) may use the Executive’s positive travel benefit for any scheduled Company flight and flown segments will be deducted from the UATP account; or (y) any friend or family member not otherwise prohibited by Company from traveling on Company’s flights, may travel on any scheduled Company flight with Executive’s consent, and flown segments will be deducted from the UATP account.</w:t>
      </w:r>
    </w:p>
    <w:p>
      <w:pPr>
        <w:spacing w:after="0" w:line="163" w:lineRule="exact"/>
        <w:rPr>
          <w:rFonts w:ascii="Times New Roman" w:cs="Times New Roman" w:eastAsia="Times New Roman" w:hAnsi="Times New Roman"/>
          <w:sz w:val="21"/>
          <w:szCs w:val="21"/>
          <w:color w:val="auto"/>
        </w:rPr>
      </w:pPr>
    </w:p>
    <w:p>
      <w:pPr>
        <w:jc w:val="both"/>
        <w:ind w:firstLine="1304"/>
        <w:spacing w:after="0" w:line="263" w:lineRule="auto"/>
        <w:tabs>
          <w:tab w:leader="none" w:pos="19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Space Available Travel</w:t>
      </w:r>
      <w:r>
        <w:rPr>
          <w:rFonts w:ascii="Times New Roman" w:cs="Times New Roman" w:eastAsia="Times New Roman" w:hAnsi="Times New Roman"/>
          <w:sz w:val="22"/>
          <w:szCs w:val="22"/>
          <w:color w:val="auto"/>
        </w:rPr>
        <w:t>. The Executive and the Executive’s Circle of Travelers may also travel on scheduled Company flights in accordance with the Company’s Employee Travel Policy, in which case, flown segments will not be deducted from the Executive’s UATP account.</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Benefits Vesting</w:t>
      </w:r>
      <w:r>
        <w:rPr>
          <w:rFonts w:ascii="Times New Roman" w:cs="Times New Roman" w:eastAsia="Times New Roman" w:hAnsi="Times New Roman"/>
          <w:sz w:val="22"/>
          <w:szCs w:val="22"/>
          <w:color w:val="auto"/>
        </w:rPr>
        <w:t>. Upon the earlier of (x) five (5) years of service to SCA, measured from the Executive’s original hire date; or (y) the acquisition by any person or related “group”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or (B) the combined voting power of the then-outstanding voting securities of the Company entitled to vote in the election of directors, but excluding any acquisition by the Company or any of its affiliates or by any employee benefit plan sponsored or maintained by the Company or any of its affiliates; Executive’s travel benefits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53" w:name="page54"/>
    <w:bookmarkEnd w:id="53"/>
    <w:p>
      <w:pPr>
        <w:spacing w:after="0" w:line="271" w:lineRule="auto"/>
        <w:rPr>
          <w:sz w:val="20"/>
          <w:szCs w:val="20"/>
          <w:color w:val="auto"/>
        </w:rPr>
      </w:pPr>
      <w:r>
        <w:rPr>
          <w:rFonts w:ascii="Times New Roman" w:cs="Times New Roman" w:eastAsia="Times New Roman" w:hAnsi="Times New Roman"/>
          <w:sz w:val="22"/>
          <w:szCs w:val="22"/>
          <w:color w:val="auto"/>
        </w:rPr>
        <w:t>Agreement vest and are non-forfeitable for the Executive’s lifetime and therefore are useable by Executive for the remainder of Executive’s life.</w:t>
      </w:r>
    </w:p>
    <w:p>
      <w:pPr>
        <w:spacing w:after="0" w:line="158" w:lineRule="exact"/>
        <w:rPr>
          <w:sz w:val="20"/>
          <w:szCs w:val="20"/>
          <w:color w:val="auto"/>
        </w:rPr>
      </w:pPr>
    </w:p>
    <w:p>
      <w:pPr>
        <w:ind w:firstLine="656"/>
        <w:spacing w:after="0" w:line="284" w:lineRule="auto"/>
        <w:tabs>
          <w:tab w:leader="none" w:pos="129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entitled to receive other benefits (e.g., vacation, welfare benefits, etc.) in accordance with the Company’s rules and policies as adopted from time to time by the Company.</w:t>
      </w:r>
    </w:p>
    <w:p>
      <w:pPr>
        <w:spacing w:after="0" w:line="143" w:lineRule="exact"/>
        <w:rPr>
          <w:rFonts w:ascii="Times New Roman" w:cs="Times New Roman" w:eastAsia="Times New Roman" w:hAnsi="Times New Roman"/>
          <w:sz w:val="22"/>
          <w:szCs w:val="22"/>
          <w:color w:val="auto"/>
        </w:rPr>
      </w:pPr>
    </w:p>
    <w:p>
      <w:pPr>
        <w:ind w:firstLine="8"/>
        <w:spacing w:after="0" w:line="271" w:lineRule="auto"/>
        <w:tabs>
          <w:tab w:leader="none" w:pos="6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hereunder may be terminated without any breach of this Agreement only under the following circumstances: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1932"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Disability</w:t>
      </w:r>
      <w:r>
        <w:rPr>
          <w:rFonts w:ascii="Times New Roman" w:cs="Times New Roman" w:eastAsia="Times New Roman" w:hAnsi="Times New Roman"/>
          <w:sz w:val="22"/>
          <w:szCs w:val="22"/>
          <w:color w:val="auto"/>
        </w:rPr>
        <w:t>. The Executive’s employment hereunder shall terminate upon his or her death. The Company may terminate the Executive’s employment upon the Executive becoming disabled.</w:t>
      </w:r>
    </w:p>
    <w:p>
      <w:pPr>
        <w:spacing w:after="0" w:line="14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8"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w:t>
      </w:r>
      <w:r>
        <w:rPr>
          <w:rFonts w:ascii="Times New Roman" w:cs="Times New Roman" w:eastAsia="Times New Roman" w:hAnsi="Times New Roman"/>
          <w:sz w:val="22"/>
          <w:szCs w:val="22"/>
          <w:color w:val="auto"/>
        </w:rPr>
        <w:t>. The Company may terminate the Executive’s employment with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Chief Executive Officer of the Company after written notice thereof and failure to cure within ten (10) business days of receipt of the written notice, (iii) the Executive’s fraud, misappropriation, embezzlement (whether or not in connection with employment), or material misuse of funds or property belonging to the Company or any of its affiliates, (iv) the Executive’s willful violation of the policies of the Company or any of its subsidiaries, or gross negligence in connection with the performance of his or her duties, after written notice thereof and failure to cure within ten (10) business days of receipt of written notice, (v) 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that are cured within ten (10) days after the Executive becomes aware of such breaches, to the extent curable) or the non-solicitation provisions to which the Executive is subject (including, without limitation, under this Agreement, if applicable). If, within thirty (30) days subsequent to 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disgorge/forfeit to the Company all amounts received under this Agreement, all equity awards or otherwise that would not have been payable to the Executive had such termination of employment been by the Company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54" w:name="page55"/>
    <w:bookmarkEnd w:id="54"/>
    <w:p>
      <w:pPr>
        <w:ind w:left="1960" w:hanging="656"/>
        <w:spacing w:after="0"/>
        <w:tabs>
          <w:tab w:leader="none" w:pos="1960"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The Company may terminate the Executive’s employment without Cause.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Executive may resign from his or her employment upon not less than sixty (60) days’ advance written notice to the Chief Executive Officer of the Company.</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 The Executive’s employment is terminated by the Company without Cause or by resignation for Good Reason, in each case, on or within 24 months following a Change in Control (as defined in the Plan) (as applicable, a “</w:t>
      </w: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the Executive’s employment by the Company or by the Executive under this Section 3 (other than termination pursuant to Section 3(a)(i)) shall be communicated by a written notice (a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specifying a date for termination in accordance with the applicable provision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All Positions</w:t>
      </w:r>
      <w:r>
        <w:rPr>
          <w:rFonts w:ascii="Times New Roman" w:cs="Times New Roman" w:eastAsia="Times New Roman" w:hAnsi="Times New Roman"/>
          <w:sz w:val="22"/>
          <w:szCs w:val="22"/>
          <w:color w:val="auto"/>
        </w:rPr>
        <w:t>. Upon termination of the Executive’s employment for any reason,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or her proxy to any officer of the Company to so execute on his or her behalf.</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Duties</w:t>
      </w:r>
      <w:r>
        <w:rPr>
          <w:rFonts w:ascii="Times New Roman" w:cs="Times New Roman" w:eastAsia="Times New Roman" w:hAnsi="Times New Roman"/>
          <w:sz w:val="22"/>
          <w:szCs w:val="22"/>
          <w:color w:val="auto"/>
        </w:rPr>
        <w:t>. The Company reserves the right to bar the Executive from the offices of the Company or any of its affiliates and to require that the Executive refrain from undertaking all or any of the Executive’s duties.</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Obligations upon Termination of Employment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Upon termination of the Executive’s employment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and (iii) any amount arising from the Executive’s participation in, or benefits under, any employee benefit plans, programs, or arrangements under Section 2(g) (other than severance plans, programs, or arrangements), which amounts shall be payable in accordance with the terms and conditions of such employee benefit plans, programs, or arrangements including, where applicable, any death and disability benefits (collectively,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Notwithstanding anything to the contrary, upon a termination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Company with Cause, the Accrued Obligations shall not include the amount set forth in clause (ii) of the preceding sentence.</w:t>
      </w:r>
    </w:p>
    <w:p>
      <w:pPr>
        <w:spacing w:after="0" w:line="220" w:lineRule="exact"/>
        <w:rPr>
          <w:sz w:val="20"/>
          <w:szCs w:val="20"/>
          <w:color w:val="auto"/>
        </w:rPr>
      </w:pPr>
    </w:p>
    <w:p>
      <w:pPr>
        <w:ind w:firstLine="656"/>
        <w:spacing w:after="0" w:line="271"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If the Company terminates the Executive’s employment without Cause pursuant to Section 3(a)(iii):</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the Accrued Obligations;</w:t>
      </w:r>
    </w:p>
    <w:p>
      <w:pPr>
        <w:spacing w:after="0" w:line="21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pay the Annual Base Salary in accordance with the Company’s customary payroll practices during the period beginning on the Date of Termination and ending on the earlier to occur of (A) the twelve (12) month anniversary of the Date of Termination and (B) the first date that the Executive violates any covenant contained herein or in the Release (as hereafter defined), after receipt of written notice thereof and expiration of a 10 business day cure period (the “</w:t>
      </w:r>
      <w:r>
        <w:rPr>
          <w:rFonts w:ascii="Times New Roman" w:cs="Times New Roman" w:eastAsia="Times New Roman" w:hAnsi="Times New Roman"/>
          <w:sz w:val="22"/>
          <w:szCs w:val="22"/>
          <w:u w:val="single" w:color="auto"/>
          <w:color w:val="auto"/>
        </w:rPr>
        <w:t>Severance Payments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the installment payments payable pursuant to this Section 4(b) shall commence on the first payroll period following the effective date of the Release (as defined below) (the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and the initial installment shall include a lump-sum payment of all amounts accrued under this Section 4(b) from the Date of Termination through the date of such initial payment;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the pro-rata portion of his or her Annual Bonus for the portion of time the Executive was employed during the year during which the Date of Termination occurred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to be paid out at or around the same time, in the same manner and means, and subject to the same performance criteria (including the resulting percentage of target payout) as annual cash bonuses paid to other executives of the Company;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permitted to elect continued coverage under COBRA for him or herself and his or her spouse and eligible dependents until the earlier of (A) the Executive becoming eligible for coverage under another employer’s benefit plans or (B) twelve (12) months following the Date of Termination. The cost of such coverage to the Executive will be the employee portion of the applicable COBRA premium for each applicable year of coverage as determined by the Company for the level of coverage elected by the Executive and his or her spouse and eligible dependents, with the Company continuing to be responsible for payment of the employer-portion of such premiums as well as any administrative fees. The Company will report the total amount of the COBRA premiums paid on the Executive’s behalf for COBRA coverage under the Company self-insured group medical plan and provide the Executive with an additional amount of compensation so that such COBRA coverage will be on a tax neutral basis.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 If the Executive’s employment is terminated as a result of a CIC Qualifying</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w:t>
      </w:r>
    </w:p>
    <w:p>
      <w:pPr>
        <w:spacing w:after="0" w:line="19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be entitled to all benefits in Section 4(b) above (</w:t>
      </w:r>
      <w:r>
        <w:rPr>
          <w:rFonts w:ascii="Times New Roman" w:cs="Times New Roman" w:eastAsia="Times New Roman" w:hAnsi="Times New Roman"/>
          <w:sz w:val="21"/>
          <w:szCs w:val="21"/>
          <w:i w:val="1"/>
          <w:iCs w:val="1"/>
          <w:color w:val="auto"/>
        </w:rPr>
        <w:t>Termination without Cause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56" w:name="page57"/>
    <w:bookmarkEnd w:id="56"/>
    <w:p>
      <w:pPr>
        <w:jc w:val="both"/>
        <w:ind w:left="1300" w:firstLine="652"/>
        <w:spacing w:after="0" w:line="256" w:lineRule="auto"/>
        <w:tabs>
          <w:tab w:leader="none" w:pos="265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Severance Payments described in Section 4(b)(ii) shall instead be paid beginning on the Date of Termination and ending on the earlier to occur of (A) the eighteen (18) month anniversary of the Date of Termination and (B) the first date that the Executive violates any covenant contained herein or in the Release (as hereafter defined), after receipt of written notice thereof and expiration of a 10 business day cure period; and</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87"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Pro-Rata Bonus described in Section 4(b)(iii) shall instead be based on actual performance measured through the Termination Date, and paid out on or around the later of the first pay period following the Company’s determination of such performance and the Payment Date;</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unvested time-based restricted stock units shall accelerate and vest; and</w:t>
      </w:r>
    </w:p>
    <w:p>
      <w:pPr>
        <w:spacing w:after="0" w:line="23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150% of the greater of target or actual performance of his or her full Annual Bonus for the year during which the Date of Termination occurred, such performance to be measured through the Termination Date, to be paid out on or around the later of the first pay period following the Company’s determination of such performance and the Payment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there shall be no duplication of benefits as between Section 4(b) and Section 4(c).</w:t>
      </w:r>
    </w:p>
    <w:p>
      <w:pPr>
        <w:spacing w:after="0" w:line="247" w:lineRule="exact"/>
        <w:rPr>
          <w:sz w:val="20"/>
          <w:szCs w:val="20"/>
          <w:color w:val="auto"/>
        </w:rPr>
      </w:pPr>
    </w:p>
    <w:p>
      <w:pPr>
        <w:jc w:val="both"/>
        <w:ind w:firstLine="656"/>
        <w:spacing w:after="0" w:line="273" w:lineRule="auto"/>
        <w:tabs>
          <w:tab w:leader="none" w:pos="129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“Good Reason” shall mean, without the Executive’s written consent, (i) a material reduction of Executive’s duties and responsibilities in his or her capacity as Chief Legal Officer and Senior Vice President of the Company or a change in title,</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Executive’s Annual Base Salary or target annual bonus opportunity, (iii) the relocation of the Executive’s principal work location to a location outside a 50-mile radius of the current location, or (iv) any material breach by the Company of any material term or provision of this Agreement or any other written agreement between the Executive and the Company and its affiliates; provided, however, that the Executive cannot terminate his or her employment for Good Reason unless the Executive has first provided written notice to the Company of the existence of the circumstances providing grounds for termination for Good Reason within thirty (30) days of becoming aware of the existence of such grounds and the Company has been afforded at least thirty (30) days from the date on which such notice is provided to cure such circumstances and has failed to do so. If the Executive does not terminate his or her employment for Good Reason within thirty (30) days after the expiration of such cure period, then the Executive will be deemed to have waived the Executive’s right to terminate for Good Reason with respect to such grounds.</w:t>
      </w:r>
    </w:p>
    <w:p>
      <w:pPr>
        <w:spacing w:after="0" w:line="19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anything herein to the contrary, the amounts payable to the Executive under Sections 4(b) or 4(c), other than the Accrued Obligations, shall be contingent upon and subject to the Executive’s (or the Executive’s estate, if applicable) execution and non-revocation of a general waiver and release of claims agreement in the Company’s customary form, which in any case shall include a twelve (12) month (i) non-solicitation and non-hire clause; and (ii) nondisclosure, nondisparagement, and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57" w:name="page58"/>
    <w:bookmarkEnd w:id="57"/>
    <w:p>
      <w:pPr>
        <w:ind w:right="20"/>
        <w:spacing w:after="0" w:line="284" w:lineRule="auto"/>
        <w:rPr>
          <w:sz w:val="20"/>
          <w:szCs w:val="20"/>
          <w:color w:val="auto"/>
        </w:rPr>
      </w:pPr>
      <w:r>
        <w:rPr>
          <w:rFonts w:ascii="Times New Roman" w:cs="Times New Roman" w:eastAsia="Times New Roman" w:hAnsi="Times New Roman"/>
          <w:sz w:val="22"/>
          <w:szCs w:val="22"/>
          <w:color w:val="auto"/>
        </w:rPr>
        <w:t>property protection clause, each in the Company’s standard form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the expiration of any applicable revocation period), on or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Termination.</w:t>
      </w:r>
    </w:p>
    <w:p>
      <w:pPr>
        <w:spacing w:after="0" w:line="49" w:lineRule="exact"/>
        <w:rPr>
          <w:sz w:val="20"/>
          <w:szCs w:val="20"/>
          <w:color w:val="auto"/>
        </w:rPr>
      </w:pPr>
    </w:p>
    <w:p>
      <w:pPr>
        <w:ind w:firstLine="656"/>
        <w:spacing w:after="0" w:line="284" w:lineRule="auto"/>
        <w:tabs>
          <w:tab w:leader="none" w:pos="12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herein, the expiration or termination of the Term shall not impair the rights or obligations of any party hereto, which shall have accrued prior to such expiration or termination.</w:t>
      </w:r>
    </w:p>
    <w:p>
      <w:pPr>
        <w:spacing w:after="0" w:line="143" w:lineRule="exact"/>
        <w:rPr>
          <w:rFonts w:ascii="Times New Roman" w:cs="Times New Roman" w:eastAsia="Times New Roman" w:hAnsi="Times New Roman"/>
          <w:sz w:val="22"/>
          <w:szCs w:val="22"/>
          <w:color w:val="auto"/>
        </w:rPr>
      </w:pPr>
    </w:p>
    <w:p>
      <w:pPr>
        <w:jc w:val="both"/>
        <w:ind w:firstLine="8"/>
        <w:spacing w:after="0" w:line="251" w:lineRule="auto"/>
        <w:tabs>
          <w:tab w:leader="none" w:pos="6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 The Company may assign its rights and obligations under this Agreement. The Executive may not assign his or her rights or obligations under this Agreement.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or her employment, all unpaid amounts otherwise due the Executive (including under Section 4) shall be paid to his or her estate.</w:t>
      </w:r>
    </w:p>
    <w:p>
      <w:pPr>
        <w:spacing w:after="0" w:line="181" w:lineRule="exact"/>
        <w:rPr>
          <w:rFonts w:ascii="Times New Roman" w:cs="Times New Roman" w:eastAsia="Times New Roman" w:hAnsi="Times New Roman"/>
          <w:sz w:val="22"/>
          <w:szCs w:val="22"/>
          <w:color w:val="auto"/>
        </w:rPr>
      </w:pPr>
    </w:p>
    <w:p>
      <w:pPr>
        <w:jc w:val="both"/>
        <w:ind w:firstLine="8"/>
        <w:spacing w:after="0" w:line="250" w:lineRule="auto"/>
        <w:tabs>
          <w:tab w:leader="none" w:pos="6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 The parties agree that any suit, action or proceeding brought by or against such party in connection with this Agreement shall be brought solely in any state or federal court within the State of Delaware. EACH PARTY HEREBY IRREVOCABLY WAIVES ALL RIGHT TO A TRIAL BY JURY IN ANY SUIT, ACTION OR OTHER PROCEEDING INSTITUTED BY OR AGAINST SUCH PARTY IN RESPECT OF ITS RIGHTS OR OBLIGATIONS HEREUNDER.</w:t>
      </w:r>
    </w:p>
    <w:p>
      <w:pPr>
        <w:spacing w:after="0" w:line="180" w:lineRule="exact"/>
        <w:rPr>
          <w:rFonts w:ascii="Times New Roman" w:cs="Times New Roman" w:eastAsia="Times New Roman" w:hAnsi="Times New Roman"/>
          <w:sz w:val="22"/>
          <w:szCs w:val="22"/>
          <w:color w:val="auto"/>
        </w:rPr>
      </w:pPr>
    </w:p>
    <w:p>
      <w:pPr>
        <w:jc w:val="both"/>
        <w:ind w:firstLine="8"/>
        <w:spacing w:after="0" w:line="263" w:lineRule="auto"/>
        <w:tabs>
          <w:tab w:leader="none" w:pos="6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w:t>
      </w:r>
    </w:p>
    <w:p>
      <w:pPr>
        <w:spacing w:after="0" w:line="167" w:lineRule="exact"/>
        <w:rPr>
          <w:rFonts w:ascii="Times New Roman" w:cs="Times New Roman" w:eastAsia="Times New Roman" w:hAnsi="Times New Roman"/>
          <w:sz w:val="22"/>
          <w:szCs w:val="22"/>
          <w:color w:val="auto"/>
        </w:rPr>
      </w:pPr>
    </w:p>
    <w:p>
      <w:pPr>
        <w:jc w:val="both"/>
        <w:ind w:firstLine="8"/>
        <w:spacing w:after="0" w:line="249" w:lineRule="auto"/>
        <w:tabs>
          <w:tab w:leader="none" w:pos="6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terms of this Agreement (together with any other agreements and instruments expressly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and all such prior agreements, plans, provisions, understandings or arrangements shall be null and void in their entirety and of no further force or effect.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81" w:lineRule="exact"/>
        <w:rPr>
          <w:rFonts w:ascii="Times New Roman" w:cs="Times New Roman" w:eastAsia="Times New Roman" w:hAnsi="Times New Roman"/>
          <w:sz w:val="22"/>
          <w:szCs w:val="22"/>
          <w:color w:val="auto"/>
        </w:rPr>
      </w:pPr>
    </w:p>
    <w:p>
      <w:pPr>
        <w:jc w:val="both"/>
        <w:ind w:firstLine="8"/>
        <w:spacing w:after="0" w:line="263" w:lineRule="auto"/>
        <w:tabs>
          <w:tab w:leader="none" w:pos="6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This Agreement may not be modified, amended, or terminated except by an instrument in writing signed by the Executive and a duly authorized officer of the Company (other than the Executive). By an instrument in writing similarly executed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similarly identifying the waived compliance, the Executive or a duly authorized officer of the Company (other than the Executive) may waive compliance by the other party or parties with any provision of this Agreement that such other party was or is obligated to comply with or perform;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81" w:lineRule="exact"/>
        <w:rPr>
          <w:sz w:val="20"/>
          <w:szCs w:val="20"/>
          <w:color w:val="auto"/>
        </w:rPr>
      </w:pPr>
    </w:p>
    <w:p>
      <w:pPr>
        <w:jc w:val="both"/>
        <w:ind w:firstLine="8"/>
        <w:spacing w:after="0" w:line="250" w:lineRule="auto"/>
        <w:tabs>
          <w:tab w:leader="none" w:pos="6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0" w:lineRule="exact"/>
        <w:rPr>
          <w:rFonts w:ascii="Times New Roman" w:cs="Times New Roman" w:eastAsia="Times New Roman" w:hAnsi="Times New Roman"/>
          <w:sz w:val="22"/>
          <w:szCs w:val="22"/>
          <w:color w:val="auto"/>
        </w:rPr>
      </w:pPr>
    </w:p>
    <w:p>
      <w:pPr>
        <w:jc w:val="both"/>
        <w:ind w:firstLine="8"/>
        <w:spacing w:after="0" w:line="249" w:lineRule="auto"/>
        <w:tabs>
          <w:tab w:leader="none" w:pos="6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Representations</w:t>
      </w:r>
      <w:r>
        <w:rPr>
          <w:rFonts w:ascii="Times New Roman" w:cs="Times New Roman" w:eastAsia="Times New Roman" w:hAnsi="Times New Roman"/>
          <w:sz w:val="22"/>
          <w:szCs w:val="22"/>
          <w:color w:val="auto"/>
        </w:rPr>
        <w:t>. The Executive represents, warrants and covenants that (i) that he or she has read and understands this Agreement, is fully aware of its legal effect, has not acted in reliance upon any representations or promises made by the Company other than those contained in writing herein, and has entered into this Agreement freely based on his or her own judgment, (ii) the execution and delivery of this Agreement shall not result in any breach or violation of, or a default under, any existing obligation, commitment or agreement to which Executive is subject, (iii) the Executive shall keep all terms of this Agreement confidential, except with respect to disclosure to the Executive’s spouse, accountants or attorneys, each of whom shall agree to keep all terms of this Agreement confidential, and (iv) the Company shall be entitled to withhold from any amounts payable under this Agreement any federal, state, local, and foreign withholding and other taxes and charges that the Company is required to withhold.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w:t>
      </w:r>
    </w:p>
    <w:p>
      <w:pPr>
        <w:spacing w:after="0" w:line="18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without limitation any such regulations or other guidance that may be issued after the date hereof. Notwithstanding any provision of this Agreement to the contrary, in the event that the Company determines that any amounts payable hereunder will be taxable currently to the Executive under Section 409A(a)(l)(A) of the Code and related Department of Treasury guidance, the Company and the Executive shall cooperate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22"/>
          <w:szCs w:val="22"/>
          <w:color w:val="auto"/>
        </w:rPr>
        <w:t>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provided, however, that this Section 12(a) does not create an obligation on the part of the Company to modify this Agreement and does not guarantee that the amounts payable hereunder will not be subject to interest or penalties under Section 409A, and in no event whatsoever shall the Company or any of its Affiliates be liable for any additional tax, interest, or penalties that may be imposed on the Executive as a result of Section 409A of the Code or any damages for failing to comply with Section 409A of the Code.</w:t>
      </w:r>
    </w:p>
    <w:p>
      <w:pPr>
        <w:spacing w:after="0" w:line="183" w:lineRule="exact"/>
        <w:rPr>
          <w:sz w:val="20"/>
          <w:szCs w:val="20"/>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 Under Section 409A</w:t>
      </w:r>
      <w:r>
        <w:rPr>
          <w:rFonts w:ascii="Times New Roman" w:cs="Times New Roman" w:eastAsia="Times New Roman" w:hAnsi="Times New Roman"/>
          <w:sz w:val="22"/>
          <w:szCs w:val="22"/>
          <w:color w:val="auto"/>
        </w:rPr>
        <w:t>. Notwithstanding any provision to the contrary in this Agreement:</w:t>
      </w:r>
    </w:p>
    <w:p>
      <w:pPr>
        <w:spacing w:after="0" w:line="27" w:lineRule="exact"/>
        <w:rPr>
          <w:rFonts w:ascii="Times New Roman" w:cs="Times New Roman" w:eastAsia="Times New Roman" w:hAnsi="Times New Roman"/>
          <w:sz w:val="22"/>
          <w:szCs w:val="22"/>
          <w:color w:val="auto"/>
        </w:rPr>
      </w:pPr>
    </w:p>
    <w:p>
      <w:pPr>
        <w:jc w:val="both"/>
        <w:ind w:firstLine="8"/>
        <w:spacing w:after="0" w:line="257" w:lineRule="auto"/>
        <w:tabs>
          <w:tab w:leader="none" w:pos="28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amount that is “nonqualified deferred compensation” subject to Section 409A of the Code shall be payable pursuant to Section 4 unless the termination of the Executive’s employment constitutes a “separation from service” within the meaning of Section l .409A-l(h) of the Department of Treasury Regulations; (ii) 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without limitation, any portion of the additional compensation awarded pursuant to Section 4,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w:t>
      </w:r>
    </w:p>
    <w:p>
      <w:pPr>
        <w:spacing w:after="0" w:line="6"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date of the Executive’s death: provided, that upon the earlier of such dates, all payments deferred pursuant to this Section 12(b)(ii) shall be paid to the Executive in a lump sum, and any remaining payments due under this Agreement shall be paid as otherwise provided herein; (iii) the determination of whether the Executive is a “specified employee” for purposes of Section 409A(a)(2)(B)(i) of the Code as of the time of his separation from service shall be made by the Company in accordance with the terms of Section 409A of the Code and applicable guidance thereunder (including, without limitation, Section l.409A-l(i) of the Department of Treasury Regulations and any successor provision thereto); (iv) for purposes of Section 409A of the Code, the Executive’s right to receive installment payments pursuant to Section 4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22"/>
          <w:szCs w:val="22"/>
          <w:color w:val="auto"/>
        </w:rPr>
        <w:t>compensation” under Section 409A, such reimbursement or benefit shall be provided no later than December 31 of the year following the year in which the expense was incurred . The amount of expenses reimbursed in one year shall not affect the amount eligible for reimbursement in any subsequent year. The amount of any in-kind benefits provided in one year shall not affect the amount of in-kind benefits provided in any other year. The right to any benefits or reimbursements or in-kind benefits may not be liquidated or exchanged for any other benefit.</w:t>
      </w:r>
    </w:p>
    <w:p>
      <w:pPr>
        <w:spacing w:after="0" w:line="17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 of the Code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 “</w:t>
      </w:r>
      <w:r>
        <w:rPr>
          <w:rFonts w:ascii="Times New Roman" w:cs="Times New Roman" w:eastAsia="Times New Roman" w:hAnsi="Times New Roman"/>
          <w:sz w:val="21"/>
          <w:szCs w:val="21"/>
          <w:u w:val="single" w:color="auto"/>
          <w:color w:val="auto"/>
        </w:rPr>
        <w:t>Transaction Payment</w:t>
      </w:r>
      <w:r>
        <w:rPr>
          <w:rFonts w:ascii="Times New Roman" w:cs="Times New Roman" w:eastAsia="Times New Roman" w:hAnsi="Times New Roman"/>
          <w:sz w:val="21"/>
          <w:szCs w:val="21"/>
          <w:color w:val="auto"/>
        </w:rPr>
        <w:t>”) would (i) constitute a “parachute payment” within the meaning of Section 280G of the Internal Revenue Code of 1986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(ii) but for this sentence, be subject to the excise tax imposed by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(x) payment in full of the entire amount of the Transaction Payment (a “</w:t>
      </w:r>
      <w:r>
        <w:rPr>
          <w:rFonts w:ascii="Times New Roman" w:cs="Times New Roman" w:eastAsia="Times New Roman" w:hAnsi="Times New Roman"/>
          <w:sz w:val="21"/>
          <w:szCs w:val="21"/>
          <w:u w:val="single" w:color="auto"/>
          <w:color w:val="auto"/>
        </w:rPr>
        <w:t>Full Payment</w:t>
      </w:r>
      <w:r>
        <w:rPr>
          <w:rFonts w:ascii="Times New Roman" w:cs="Times New Roman" w:eastAsia="Times New Roman" w:hAnsi="Times New Roman"/>
          <w:sz w:val="21"/>
          <w:szCs w:val="21"/>
          <w:color w:val="auto"/>
        </w:rPr>
        <w:t>”), or (y) payment of only a part of the Transaction Payment so that the Executive receives the largest payment possible without the imposition of the Excise Tax (a “</w:t>
      </w:r>
      <w:r>
        <w:rPr>
          <w:rFonts w:ascii="Times New Roman" w:cs="Times New Roman" w:eastAsia="Times New Roman" w:hAnsi="Times New Roman"/>
          <w:sz w:val="21"/>
          <w:szCs w:val="21"/>
          <w:u w:val="single" w:color="auto"/>
          <w:color w:val="auto"/>
        </w:rPr>
        <w:t>Reduced Payment</w:t>
      </w:r>
      <w:r>
        <w:rPr>
          <w:rFonts w:ascii="Times New Roman" w:cs="Times New Roman" w:eastAsia="Times New Roman" w:hAnsi="Times New Roman"/>
          <w:sz w:val="21"/>
          <w:szCs w:val="21"/>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cash payments (from latest scheduled to earliest scheduled); (2) any equity or equity derivatives that are included under Section 280G of the Code at full value rather than accelerated value (with the highest value reduced first); and (3) any equity or equity derivatives included under Section 280G of the Code at an accelerated value (and not at full value), with the highest value reduced first (as such values are determined under Treasury Regulation Section 1.2800-1, Q&amp;A 24); and</w:t>
      </w:r>
    </w:p>
    <w:p>
      <w:pPr>
        <w:spacing w:after="0" w:line="1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 any other non-cash benefits (from latest scheduled to earliest scheduled).</w:t>
      </w:r>
    </w:p>
    <w:p>
      <w:pPr>
        <w:spacing w:after="0" w:line="20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Executive and the Company otherwise agree in writing, any determination required under this Section</w:t>
      </w:r>
    </w:p>
    <w:p>
      <w:pPr>
        <w:spacing w:after="0" w:line="39" w:lineRule="exact"/>
        <w:rPr>
          <w:rFonts w:ascii="Times New Roman" w:cs="Times New Roman" w:eastAsia="Times New Roman" w:hAnsi="Times New Roman"/>
          <w:sz w:val="21"/>
          <w:szCs w:val="21"/>
          <w:color w:val="auto"/>
        </w:rPr>
      </w:pPr>
    </w:p>
    <w:p>
      <w:pPr>
        <w:jc w:val="both"/>
        <w:ind w:firstLine="8"/>
        <w:spacing w:after="0" w:line="247" w:lineRule="auto"/>
        <w:tabs>
          <w:tab w:leader="none" w:pos="27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made in writing by the Company’s independent public accountants (the “</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whose determination shall be conclusive and binding upon the Executive and the Company for all purposes. For purposes of making the calculations required by this Section 13, the Accountants may make reasonable assumptions and approximations concerning applicable taxes and may rely on reasonable, good faith interpretations concerning the application of Sections 280G and 4999 of the Code. The Accountants shall provide detailed supporting calculations to the Company and the Executive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75" w:lineRule="auto"/>
        <w:rPr>
          <w:sz w:val="20"/>
          <w:szCs w:val="20"/>
          <w:color w:val="auto"/>
        </w:rPr>
      </w:pPr>
      <w:r>
        <w:rPr>
          <w:rFonts w:ascii="Times New Roman" w:cs="Times New Roman" w:eastAsia="Times New Roman" w:hAnsi="Times New Roman"/>
          <w:sz w:val="21"/>
          <w:szCs w:val="21"/>
          <w:color w:val="auto"/>
        </w:rPr>
        <w:t>requested by the Company or the Executive. The Executive and the Company shall furnish to the Accountants such information and documents as the Accountants may reasonably request in order to make a determination under this Section 13. The Company shall bear all costs the Accountants may reasonably incur in connection with any calculations contemplated by this Section 13(b).</w:t>
      </w:r>
    </w:p>
    <w:p>
      <w:pPr>
        <w:spacing w:after="0" w:line="169" w:lineRule="exact"/>
        <w:rPr>
          <w:sz w:val="20"/>
          <w:szCs w:val="20"/>
          <w:color w:val="auto"/>
        </w:rPr>
      </w:pPr>
    </w:p>
    <w:p>
      <w:pPr>
        <w:jc w:val="both"/>
        <w:ind w:firstLine="656"/>
        <w:spacing w:after="0" w:line="250" w:lineRule="auto"/>
        <w:tabs>
          <w:tab w:leader="none" w:pos="12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that no stock of the Company or its Affiliates is readily tradable on an established securities market or otherwise (within the meaning of Section 280G of the Code) at the time of the change in control, the Board may elect to submit to a vote of shareholders for approval the portion of the Transaction Payments that equals and exceeds three times the Executive’s “base amount” (within the meaning of Section 280G of the Code) (the “</w:t>
      </w:r>
      <w:r>
        <w:rPr>
          <w:rFonts w:ascii="Times New Roman" w:cs="Times New Roman" w:eastAsia="Times New Roman" w:hAnsi="Times New Roman"/>
          <w:sz w:val="22"/>
          <w:szCs w:val="22"/>
          <w:u w:val="single" w:color="auto"/>
          <w:color w:val="auto"/>
        </w:rPr>
        <w:t>Excess Parachute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in accordance with Treas. Reg. §1.2800-1, and the Executive shall cooperate with such vote of shareholders, including the execution of any required documentation subjecting the Executive’s entitlement to all Excess Parachute Payments to such shareholder vote.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We look forward to having you on board.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Sun Country, Inc.</w:t>
      </w:r>
    </w:p>
    <w:p>
      <w:pPr>
        <w:spacing w:after="0" w:line="200" w:lineRule="exact"/>
        <w:rPr>
          <w:sz w:val="20"/>
          <w:szCs w:val="20"/>
          <w:color w:val="auto"/>
        </w:rPr>
      </w:pPr>
    </w:p>
    <w:p>
      <w:pPr>
        <w:spacing w:after="0" w:line="2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409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Jude Bricker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22"/>
          <w:szCs w:val="22"/>
          <w:b w:val="1"/>
          <w:bCs w:val="1"/>
          <w:color w:val="auto"/>
        </w:rPr>
        <w:t>ACKNOWLEDGED AND AGREED: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Erin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3373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Erin Rose Neale</w:t>
      </w:r>
    </w:p>
    <w:p>
      <w:pPr>
        <w:sectPr>
          <w:pgSz w:w="11900" w:h="16838" w:orient="portrait"/>
          <w:cols w:equalWidth="0" w:num="1">
            <w:col w:w="10139"/>
          </w:cols>
          <w:pgMar w:left="320" w:top="1422" w:right="1440"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SUN COUNTRY EXECUTIVE EMPLOYMENT LETTER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Torque,</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This Employment Letter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effective as of October 29, 2025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made by and between Daniel Torque Zubeck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Sun Country, Inc., a Minnesota corporation (together with any of its subsidiaries and affiliates) as may employ the Executive from time to time, and any and all successors thereto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outlines the terms of your employment with the Company. As of the Effective Date, this Agreement shall supersede in its entirety the Employment Letter, dated as of September 2, 2025, previously entered into between the Executive and the Company.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execution of this Agreement, the Executive agrees to the terms outlined below.</w:t>
      </w:r>
    </w:p>
    <w:p>
      <w:pPr>
        <w:spacing w:after="0" w:line="23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Company shall employ the Executive, and the Executive shall be employed by the Company, on an at will basis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in the position set forth in Section 1(b), and upon the other terms and conditions herein provided.</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in the role of Chief Financial Officer and Senior Vice President of the Company, with responsibilities, duties, and authority customary for such position. The Executive shall report to the Chief Executive Officer of the Company. The Executive agrees to observe and comply with the Company’s rules and policies as adopted from time to time by the Company.</w:t>
      </w:r>
    </w:p>
    <w:p>
      <w:pPr>
        <w:spacing w:after="0" w:line="17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the Executive shall receive a base salary at a rate of $350,000 per annum, which shall be paid in accordance with the customary payroll practices of the Company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With respect to each calendar year that ends during the Term, the Executive shall be eligible to receive a discretionary annual cash bonus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in accordance with the terms of the Company’s then in effect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Executive’s actual Annual Bonus for a given year, if any, shall be determined on the basis of the Executive’s and/or the Company’s attainment of objective financial and/or other subjective or objective criteria established by the Company’s Board of Directors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communicated to the Executive at the beginning of such year. Notwithstanding the foregoing, no Annual Bonus shall be payable with respect to any calendar year unless the Executive remains continuously employed with the Company through the date of payment, except as otherwise provided in Section 4.</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Executive shall be granted certain equity interests of Sun Country Airlines Holdings, Inc., (the “</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terms and conditions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Doc#: US1:11877174v2</w:t>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Board and/or the Compensation Committee, and set forth in the Plan and the applicable award agreement(s) thereunder.</w:t>
      </w:r>
    </w:p>
    <w:p>
      <w:pPr>
        <w:spacing w:after="0" w:line="220" w:lineRule="exact"/>
        <w:rPr>
          <w:sz w:val="20"/>
          <w:szCs w:val="20"/>
          <w:color w:val="auto"/>
        </w:rPr>
      </w:pPr>
    </w:p>
    <w:p>
      <w:pPr>
        <w:ind w:firstLine="656"/>
        <w:spacing w:after="0" w:line="271"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Travel Benefits</w:t>
      </w:r>
      <w:r>
        <w:rPr>
          <w:rFonts w:ascii="Times New Roman" w:cs="Times New Roman" w:eastAsia="Times New Roman" w:hAnsi="Times New Roman"/>
          <w:sz w:val="22"/>
          <w:szCs w:val="22"/>
          <w:color w:val="auto"/>
        </w:rPr>
        <w:t>. The Executive is entitled to both positive-space and space-available travel benefits, in accordance with the Company’s rules and policies.</w:t>
      </w:r>
    </w:p>
    <w:p>
      <w:pPr>
        <w:spacing w:after="0" w:line="17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Positive Space Travel</w:t>
      </w:r>
      <w:r>
        <w:rPr>
          <w:rFonts w:ascii="Times New Roman" w:cs="Times New Roman" w:eastAsia="Times New Roman" w:hAnsi="Times New Roman"/>
          <w:sz w:val="21"/>
          <w:szCs w:val="21"/>
          <w:color w:val="auto"/>
        </w:rPr>
        <w:t>. Positive space travel is permitted as follows: the Executive will receive an annual credit of $10,000 in the Executive’s Universal Air Travel Plan (“</w:t>
      </w:r>
      <w:r>
        <w:rPr>
          <w:rFonts w:ascii="Times New Roman" w:cs="Times New Roman" w:eastAsia="Times New Roman" w:hAnsi="Times New Roman"/>
          <w:sz w:val="21"/>
          <w:szCs w:val="21"/>
          <w:u w:val="single" w:color="auto"/>
          <w:color w:val="auto"/>
        </w:rPr>
        <w:t>UATP</w:t>
      </w:r>
      <w:r>
        <w:rPr>
          <w:rFonts w:ascii="Times New Roman" w:cs="Times New Roman" w:eastAsia="Times New Roman" w:hAnsi="Times New Roman"/>
          <w:sz w:val="21"/>
          <w:szCs w:val="21"/>
          <w:color w:val="auto"/>
        </w:rPr>
        <w:t>”) account for personal travel on Company scheduled flights for the Executive and certain Qualifying Friends and Family (as defined below). Any increases to the annual credit of other executives of the same rank shall apply equally to the Executive. Each flown segment is valued at $75, and deducted from the UATP account. The value of this benefit is reported as taxable income with taxes on such income paid for by the Company.</w:t>
      </w:r>
    </w:p>
    <w:p>
      <w:pPr>
        <w:spacing w:after="0" w:line="178"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Friends &amp; Family</w:t>
      </w:r>
      <w:r>
        <w:rPr>
          <w:rFonts w:ascii="Times New Roman" w:cs="Times New Roman" w:eastAsia="Times New Roman" w:hAnsi="Times New Roman"/>
          <w:sz w:val="22"/>
          <w:szCs w:val="22"/>
          <w:color w:val="auto"/>
        </w:rPr>
        <w:t>. “Qualifying Friends and Family” are defined as follows:</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85"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travels on a flight itinerary, the Executive may bring up to eight friends or family members, on the same itinerary, on any scheduled Company flight (provided such persons are not prohibited by Company from traveling on Company flights).</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68" w:lineRule="auto"/>
        <w:tabs>
          <w:tab w:leader="none" w:pos="2587"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not listed on the flight itinerary, (x) the Executive’s Circle of Travelers (defined under the Company’s Employee Travel Policy) may use the Executive’s positive travel benefit for any scheduled Company flight and flown segments will be deducted from the UATP account; or (y) any friend or family member not otherwise prohibited by Company from traveling on Company’s flights, may travel on any scheduled Company flight with Executive’s consent, and flown segments will be deducted from the UATP account.</w:t>
      </w:r>
    </w:p>
    <w:p>
      <w:pPr>
        <w:spacing w:after="0" w:line="163" w:lineRule="exact"/>
        <w:rPr>
          <w:rFonts w:ascii="Times New Roman" w:cs="Times New Roman" w:eastAsia="Times New Roman" w:hAnsi="Times New Roman"/>
          <w:sz w:val="21"/>
          <w:szCs w:val="21"/>
          <w:color w:val="auto"/>
        </w:rPr>
      </w:pPr>
    </w:p>
    <w:p>
      <w:pPr>
        <w:jc w:val="both"/>
        <w:ind w:firstLine="1304"/>
        <w:spacing w:after="0" w:line="263" w:lineRule="auto"/>
        <w:tabs>
          <w:tab w:leader="none" w:pos="194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Space Available Travel</w:t>
      </w:r>
      <w:r>
        <w:rPr>
          <w:rFonts w:ascii="Times New Roman" w:cs="Times New Roman" w:eastAsia="Times New Roman" w:hAnsi="Times New Roman"/>
          <w:sz w:val="22"/>
          <w:szCs w:val="22"/>
          <w:color w:val="auto"/>
        </w:rPr>
        <w:t>. The Executive and the Executive’s Circle of Travelers may also travel on scheduled Company flights in accordance with the Company’s Employee Travel Policy, in which case, flown segments will not be deducted from the Executive’s UATP account.</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Benefits Vesting</w:t>
      </w:r>
      <w:r>
        <w:rPr>
          <w:rFonts w:ascii="Times New Roman" w:cs="Times New Roman" w:eastAsia="Times New Roman" w:hAnsi="Times New Roman"/>
          <w:sz w:val="22"/>
          <w:szCs w:val="22"/>
          <w:color w:val="auto"/>
        </w:rPr>
        <w:t>. Upon the earlier of (x) five (5) years of service to SCA, measured from the Executive’s original hire date; or (y) the acquisition by any person or related “group”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or (B) the combined voting power of the then-outstanding voting securities of the Company entitled to vote in the election of directors, but excluding any acquisition by the Company or any of its affiliates or by any employee benefit plan sponsored or maintained by the Company or any of its affiliates; Executive’s travel benefits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65" w:name="page66"/>
    <w:bookmarkEnd w:id="65"/>
    <w:p>
      <w:pPr>
        <w:spacing w:after="0" w:line="271" w:lineRule="auto"/>
        <w:rPr>
          <w:sz w:val="20"/>
          <w:szCs w:val="20"/>
          <w:color w:val="auto"/>
        </w:rPr>
      </w:pPr>
      <w:r>
        <w:rPr>
          <w:rFonts w:ascii="Times New Roman" w:cs="Times New Roman" w:eastAsia="Times New Roman" w:hAnsi="Times New Roman"/>
          <w:sz w:val="22"/>
          <w:szCs w:val="22"/>
          <w:color w:val="auto"/>
        </w:rPr>
        <w:t>Agreement vest and are non-forfeitable for the Executive’s lifetime and therefore are useable by Executive for the remainder of Executive’s life.</w:t>
      </w:r>
    </w:p>
    <w:p>
      <w:pPr>
        <w:spacing w:after="0" w:line="158" w:lineRule="exact"/>
        <w:rPr>
          <w:sz w:val="20"/>
          <w:szCs w:val="20"/>
          <w:color w:val="auto"/>
        </w:rPr>
      </w:pPr>
    </w:p>
    <w:p>
      <w:pPr>
        <w:jc w:val="both"/>
        <w:ind w:firstLine="656"/>
        <w:spacing w:after="0" w:line="253" w:lineRule="auto"/>
        <w:tabs>
          <w:tab w:leader="none" w:pos="12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Relocation</w:t>
      </w:r>
      <w:r>
        <w:rPr>
          <w:rFonts w:ascii="Times New Roman" w:cs="Times New Roman" w:eastAsia="Times New Roman" w:hAnsi="Times New Roman"/>
          <w:sz w:val="22"/>
          <w:szCs w:val="22"/>
          <w:color w:val="auto"/>
        </w:rPr>
        <w:t>. The Company shall, for up to 180 days following September 2, 2025, pay or reimburse the Executive for reasonable, documented expenses actually incurred by the Executive for temporary housing or to commute to Minneapolis prior to his relocation. If the Executive resigns from the Company or is terminated by the Company for Cause before 18 months following September 2, 2025, the Executive shall be required to repay the Company the gross amount of any relocation expenses paid under this Section 2(e).</w:t>
      </w:r>
    </w:p>
    <w:p>
      <w:pPr>
        <w:spacing w:after="0" w:line="178"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entitled to receive other benefits (e.g., vacation, welfare benefits, etc.) in accordance with the Company’s rules and policies as adopted from time to time by the Company.</w:t>
      </w:r>
    </w:p>
    <w:p>
      <w:pPr>
        <w:spacing w:after="0" w:line="143" w:lineRule="exact"/>
        <w:rPr>
          <w:rFonts w:ascii="Times New Roman" w:cs="Times New Roman" w:eastAsia="Times New Roman" w:hAnsi="Times New Roman"/>
          <w:sz w:val="22"/>
          <w:szCs w:val="22"/>
          <w:color w:val="auto"/>
        </w:rPr>
      </w:pPr>
    </w:p>
    <w:p>
      <w:pPr>
        <w:ind w:firstLine="8"/>
        <w:spacing w:after="0" w:line="271" w:lineRule="auto"/>
        <w:tabs>
          <w:tab w:leader="none" w:pos="64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hereunder may be terminated without any breach of this Agreement only under the following circumstances: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Disability</w:t>
      </w:r>
      <w:r>
        <w:rPr>
          <w:rFonts w:ascii="Times New Roman" w:cs="Times New Roman" w:eastAsia="Times New Roman" w:hAnsi="Times New Roman"/>
          <w:sz w:val="22"/>
          <w:szCs w:val="22"/>
          <w:color w:val="auto"/>
        </w:rPr>
        <w:t>. The Executive’s employment hereunder shall terminate upon his or her death. The Company may terminate the Executive’s employment upon the Executive becoming disabled.</w:t>
      </w:r>
    </w:p>
    <w:p>
      <w:pPr>
        <w:spacing w:after="0" w:line="171"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8"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 Cause</w:t>
      </w:r>
      <w:r>
        <w:rPr>
          <w:rFonts w:ascii="Times New Roman" w:cs="Times New Roman" w:eastAsia="Times New Roman" w:hAnsi="Times New Roman"/>
          <w:sz w:val="21"/>
          <w:szCs w:val="21"/>
          <w:color w:val="auto"/>
        </w:rPr>
        <w:t>. The Company may terminate the Executive’s employment with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Chief Executive Officer of the Company after written notice thereof and failure to cure within ten (10) business days of receipt of the written notice, (iii) the Executive’s fraud, misappropriation, embezzlement (whether or not in connection with employment), or material misuse of funds or property belonging to the Company or any of its affiliates, (iv) the Executive’s willful violation of the policies of the Company or any of its subsidiaries, or gross negligence in connection with the performance of his or her duties, after written notice thereof and failure to cure within ten (10) business days of receipt of written notice, (v) 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that are cured within ten (10) days after the Executive becomes aware of such breaches, to the extent curable) or the non-solicitation provisions to which the Executive is subject (including, without limitation, under this Agreement, if applicable). If, within thirty (30) days subsequent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22"/>
          <w:szCs w:val="22"/>
          <w:color w:val="auto"/>
        </w:rPr>
        <w:t>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disgorge/forfeit to the Company all amounts received under this Agreement, all equity awards or otherwise that would not have been payable to the Executive had such termination of employment been by the Company for Cause.</w:t>
      </w:r>
    </w:p>
    <w:p>
      <w:pPr>
        <w:spacing w:after="0" w:line="179" w:lineRule="exact"/>
        <w:rPr>
          <w:sz w:val="20"/>
          <w:szCs w:val="20"/>
          <w:color w:val="auto"/>
        </w:rPr>
      </w:pPr>
    </w:p>
    <w:p>
      <w:pPr>
        <w:ind w:left="1960" w:hanging="656"/>
        <w:spacing w:after="0"/>
        <w:tabs>
          <w:tab w:leader="none" w:pos="1960"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The Company may terminate the Executive’s employment without Cause.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Executive may resign from his or her employment upon not less than sixty (60) days’ advance written notice to the Chief Executive Officer of the Company.</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 The Executive’s employment is terminated by the Company without Cause or by resignation for Good Reason, in each case, on or within 24 months following a Change in Control (as defined in the Plan) (as applicable, a “</w:t>
      </w: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the Executive’s employment by the Company or by the Executive under this Section 3 (other than termination pursuant to Section 3(a)(i)) shall be communicated by a written notice (a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specifying a date for termination in accordance with the applicable provision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All Positions</w:t>
      </w:r>
      <w:r>
        <w:rPr>
          <w:rFonts w:ascii="Times New Roman" w:cs="Times New Roman" w:eastAsia="Times New Roman" w:hAnsi="Times New Roman"/>
          <w:sz w:val="22"/>
          <w:szCs w:val="22"/>
          <w:color w:val="auto"/>
        </w:rPr>
        <w:t>. Upon termination of the Executive’s employment for any reason,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or her proxy to any officer of the Company to so execute on his or her behalf.</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Duties</w:t>
      </w:r>
      <w:r>
        <w:rPr>
          <w:rFonts w:ascii="Times New Roman" w:cs="Times New Roman" w:eastAsia="Times New Roman" w:hAnsi="Times New Roman"/>
          <w:sz w:val="22"/>
          <w:szCs w:val="22"/>
          <w:color w:val="auto"/>
        </w:rPr>
        <w:t>. The Company reserves the right to bar the Executive from the offices of the Company or any of its affiliates and to require that the Executive refrain from undertaking all or any of the Executive’s duties.</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Obligations upon Termination of Employment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Upon termination of the Executive’s employment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and (iii) any amount arising from the Executive’s participation in, or benefits under, any employee benefit plans, programs, or arrangements under Section 2(g) (other than severance plans, programs, or arrangements), which amounts shall be payable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22"/>
          <w:szCs w:val="22"/>
          <w:color w:val="auto"/>
        </w:rPr>
        <w:t>accordance with the terms and conditions of such employee benefit plans, programs, or arrangements including, where applicable, any death and disability benefits (collectively,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Notwithstanding anything to the contrary, upon a termination by the Company with Cause, the Accrued Obligations shall not include the amount set forth in clause (ii) of the preceding sentence.</w:t>
      </w:r>
    </w:p>
    <w:p>
      <w:pPr>
        <w:spacing w:after="0" w:line="176" w:lineRule="exact"/>
        <w:rPr>
          <w:sz w:val="20"/>
          <w:szCs w:val="20"/>
          <w:color w:val="auto"/>
        </w:rPr>
      </w:pPr>
    </w:p>
    <w:p>
      <w:pPr>
        <w:ind w:firstLine="656"/>
        <w:spacing w:after="0" w:line="271" w:lineRule="auto"/>
        <w:tabs>
          <w:tab w:leader="none" w:pos="129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If the Company terminates the Executive’s employment without Cause pursuant to Section 3(a)(iii):</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the Accrued Obligations;</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pay the Annual Base Salary in accordance with the Company’s customary payroll practices during the period beginning on the Date of Termination and ending on the earlier to occur of (A) the twelve (12) month anniversary of the Date of Termination and (B) the first date that the Executive violates any covenant contained herein or in the Release (as hereafter defined), after receipt of written notice thereof and expiration of a 10 business day cure period (the “</w:t>
      </w:r>
      <w:r>
        <w:rPr>
          <w:rFonts w:ascii="Times New Roman" w:cs="Times New Roman" w:eastAsia="Times New Roman" w:hAnsi="Times New Roman"/>
          <w:sz w:val="22"/>
          <w:szCs w:val="22"/>
          <w:u w:val="single" w:color="auto"/>
          <w:color w:val="auto"/>
        </w:rPr>
        <w:t>Severance Payments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the installment payments payable pursuant to this Section 4(b) shall commence on the first payroll period following the effective date of the Release (as defined below) (the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and the initial installment shall include a lump-sum payment of all amounts accrued under this Section 4(b) from the Date of Termination through the date of such initial payment;</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the pro-rata portion of his or her Annual Bonus for the portion of time the Executive was employed during the year during which the Date of Termination occurred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to be paid out at or around the same time, in the same manner and means, and subject to the same performance criteria (including the resulting percentage of target payout) as annual cash bonuses paid to other executives of the Company; and</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permitted to elect continued coverage under COBRA for him or herself and his or her spouse and eligible dependents until the earlier of (A) the Executive becoming eligible for coverage under another employer’s benefit plans or (B) twelve (12) months following the Date of Termination. The cost of such coverage to the Executive will be the employee portion of the applicable COBRA premium for each applicable year of coverage as determined by the Company for the level of coverage elected by the Executive and his or her spouse and eligible dependents, with the Company continuing to be responsible for payment of the employer-portion of such premiums as well as any administrative fees. The Company will report the total amount of the COBRA premiums paid on the Executive’s behalf for COBRA coverage under the Company self-insured group medical plan and provide the Executive with an additional amount of compensation so that such COBRA coverage will be on a tax neutral basis.</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 If the Executive’s employment is terminated as a result of a CIC Qualifying</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68" w:name="page69"/>
    <w:bookmarkEnd w:id="68"/>
    <w:p>
      <w:pPr>
        <w:ind w:left="1940" w:hanging="636"/>
        <w:spacing w:after="0"/>
        <w:tabs>
          <w:tab w:leader="none" w:pos="19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be entitled to all benefits in Section 4(b) above (</w:t>
      </w:r>
      <w:r>
        <w:rPr>
          <w:rFonts w:ascii="Times New Roman" w:cs="Times New Roman" w:eastAsia="Times New Roman" w:hAnsi="Times New Roman"/>
          <w:sz w:val="21"/>
          <w:szCs w:val="21"/>
          <w:i w:val="1"/>
          <w:iCs w:val="1"/>
          <w:color w:val="auto"/>
        </w:rPr>
        <w:t>Termination without Cause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that:</w:t>
      </w:r>
    </w:p>
    <w:p>
      <w:pPr>
        <w:spacing w:after="0" w:line="196" w:lineRule="exact"/>
        <w:rPr>
          <w:sz w:val="20"/>
          <w:szCs w:val="20"/>
          <w:color w:val="auto"/>
        </w:rPr>
      </w:pPr>
    </w:p>
    <w:p>
      <w:pPr>
        <w:jc w:val="both"/>
        <w:ind w:left="1300" w:firstLine="652"/>
        <w:spacing w:after="0" w:line="256" w:lineRule="auto"/>
        <w:tabs>
          <w:tab w:leader="none" w:pos="265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Severance Payments described in Section 4(b)(ii) shall instead be paid beginning on the Date of Termination and ending on the earlier to occur of (A) the eighteen (18) month anniversary of the Date of Termination and (B) the first date that the Executive violates any covenant contained herein or in the Release (as hereafter defined), after receipt of written notice thereof and expiration of a 10 business day cure period; and</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87"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Pro-Rata Bonus described in Section 4(b)(iii) shall instead be based on actual performance measured through the Termination Date, and paid out on or around the later of the first pay period following the Company’s determination of such performance and the Payment Date;</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unvested time-based restricted stock units shall accelerate and vest;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150% of the greater of target or actual performance of his or her full Annual Bonus for the year during which the Date of Termination occurred, such performance to be measured through the Termination Date, to be paid out on or around the later of the first pay period following the Company’s determination of such performance and the Payment Date.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there shall be no duplication of benefits as between Section 4(b) and Section 4(c).</w:t>
      </w:r>
    </w:p>
    <w:p>
      <w:pPr>
        <w:spacing w:after="0" w:line="247" w:lineRule="exact"/>
        <w:rPr>
          <w:sz w:val="20"/>
          <w:szCs w:val="20"/>
          <w:color w:val="auto"/>
        </w:rPr>
      </w:pPr>
    </w:p>
    <w:p>
      <w:pPr>
        <w:jc w:val="both"/>
        <w:ind w:firstLine="656"/>
        <w:spacing w:after="0" w:line="248"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shall mean, without the Executive’s written consent, (i) a material reduction of Executive’s duties and responsibilities in his or her capacity as Chief Financial Officer and Senior Vice President of the Company or a change in title, (ii) a material reduction in the Executive’s Annual Base Salary or target annual bonus opportunity, (iii) the relocation of the Executive’s principal work location to a location outside a 50-mile radius of the current location, or (iv) any material breach by the Company of any material term or provision of this Agreement or any other written agreement between the Executive and the Company and its affiliates; provided, however, that the Executive cannot terminate his or her employment for Good Reason unless the Executive has first provided written notice to the Company of the existence of the circumstances providing grounds for termination for Good Reason within thirty (30) days of becoming aware of the existence of such grounds and the Company has been afforded at least thirty (30) days from the date on which such notice is provided to cure such circumstances and has failed to do so. If the Executive does not terminate his or her employment for Good Reason within thirty (30) days after the expiration of such cure period, then the Executive will be deemed to have waived the Executive’s right to terminate for Good Reason with respect to such grounds.</w:t>
      </w:r>
    </w:p>
    <w:p>
      <w:pPr>
        <w:spacing w:after="0" w:line="18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anything herein to the contrary, the amounts payable to the Executive under Sections 4(b) or 4(c), other than the Accrued Obligations, shall be contingent upon and subject to the Executive’s (or the Executive’s estate,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8" w:right="339" w:bottom="1440" w:gutter="0" w:footer="0" w:header="0"/>
        </w:sectPr>
      </w:pPr>
    </w:p>
    <w:bookmarkStart w:id="69" w:name="page70"/>
    <w:bookmarkEnd w:id="69"/>
    <w:p>
      <w:pPr>
        <w:jc w:val="both"/>
        <w:spacing w:after="0" w:line="259" w:lineRule="auto"/>
        <w:rPr>
          <w:sz w:val="20"/>
          <w:szCs w:val="20"/>
          <w:color w:val="auto"/>
        </w:rPr>
      </w:pPr>
      <w:r>
        <w:rPr>
          <w:rFonts w:ascii="Times New Roman" w:cs="Times New Roman" w:eastAsia="Times New Roman" w:hAnsi="Times New Roman"/>
          <w:sz w:val="22"/>
          <w:szCs w:val="22"/>
          <w:color w:val="auto"/>
        </w:rPr>
        <w:t>execution and non-revocation of a general waiver and release of claims agreement in the Company’s customary form, which in any case shall include a twelve (12) month (i) non-solicitation and non-hire clause; and (ii) nondisclosure, nondisparagement, and intellectual property protection clause, each in the Company’s standard form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the expiration of any applicable revocation period), on or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Termination.</w:t>
      </w:r>
    </w:p>
    <w:p>
      <w:pPr>
        <w:spacing w:after="0" w:line="89" w:lineRule="exact"/>
        <w:rPr>
          <w:sz w:val="20"/>
          <w:szCs w:val="20"/>
          <w:color w:val="auto"/>
        </w:rPr>
      </w:pPr>
    </w:p>
    <w:p>
      <w:pPr>
        <w:ind w:firstLine="656"/>
        <w:spacing w:after="0" w:line="271" w:lineRule="auto"/>
        <w:tabs>
          <w:tab w:leader="none" w:pos="129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herein, the expiration or termination of the Term shall not impair the rights or obligations of any party hereto, which shall have accrued prior to such expiration or termination.</w:t>
      </w:r>
    </w:p>
    <w:p>
      <w:pPr>
        <w:spacing w:after="0" w:line="157" w:lineRule="exact"/>
        <w:rPr>
          <w:rFonts w:ascii="Times New Roman" w:cs="Times New Roman" w:eastAsia="Times New Roman" w:hAnsi="Times New Roman"/>
          <w:sz w:val="22"/>
          <w:szCs w:val="22"/>
          <w:color w:val="auto"/>
        </w:rPr>
      </w:pPr>
    </w:p>
    <w:p>
      <w:pPr>
        <w:jc w:val="both"/>
        <w:ind w:firstLine="8"/>
        <w:spacing w:after="0" w:line="251" w:lineRule="auto"/>
        <w:tabs>
          <w:tab w:leader="none" w:pos="6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 The Company may assign its rights and obligations under this Agreement. The Executive may not assign his or her rights or obligations under this Agreement.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or her employment, all unpaid amounts otherwise due the Executive (including under Section 4) shall be paid to his or her estate.</w:t>
      </w:r>
    </w:p>
    <w:p>
      <w:pPr>
        <w:spacing w:after="0" w:line="181" w:lineRule="exact"/>
        <w:rPr>
          <w:rFonts w:ascii="Times New Roman" w:cs="Times New Roman" w:eastAsia="Times New Roman" w:hAnsi="Times New Roman"/>
          <w:sz w:val="22"/>
          <w:szCs w:val="22"/>
          <w:color w:val="auto"/>
        </w:rPr>
      </w:pPr>
    </w:p>
    <w:p>
      <w:pPr>
        <w:jc w:val="both"/>
        <w:ind w:firstLine="8"/>
        <w:spacing w:after="0" w:line="250" w:lineRule="auto"/>
        <w:tabs>
          <w:tab w:leader="none" w:pos="6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 The parties agree that any suit, action or proceeding brought by or against such party in connection with this Agreement shall be brought solely in any state or federal court within the State of Delaware. EACH PARTY HEREBY IRREVOCABLY WAIVES ALL RIGHT TO A TRIAL BY JURY IN ANY SUIT, ACTION OR OTHER PROCEEDING INSTITUTED BY OR AGAINST SUCH PARTY IN RESPECT OF ITS RIGHTS OR OBLIGATIONS HEREUNDER.</w:t>
      </w:r>
    </w:p>
    <w:p>
      <w:pPr>
        <w:spacing w:after="0" w:line="193" w:lineRule="exact"/>
        <w:rPr>
          <w:rFonts w:ascii="Times New Roman" w:cs="Times New Roman" w:eastAsia="Times New Roman" w:hAnsi="Times New Roman"/>
          <w:sz w:val="22"/>
          <w:szCs w:val="22"/>
          <w:color w:val="auto"/>
        </w:rPr>
      </w:pPr>
    </w:p>
    <w:p>
      <w:pPr>
        <w:jc w:val="both"/>
        <w:ind w:firstLine="8"/>
        <w:spacing w:after="0" w:line="257" w:lineRule="auto"/>
        <w:tabs>
          <w:tab w:leader="none" w:pos="6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w:t>
      </w:r>
    </w:p>
    <w:p>
      <w:pPr>
        <w:spacing w:after="0" w:line="172" w:lineRule="exact"/>
        <w:rPr>
          <w:rFonts w:ascii="Times New Roman" w:cs="Times New Roman" w:eastAsia="Times New Roman" w:hAnsi="Times New Roman"/>
          <w:sz w:val="22"/>
          <w:szCs w:val="22"/>
          <w:color w:val="auto"/>
        </w:rPr>
      </w:pPr>
    </w:p>
    <w:p>
      <w:pPr>
        <w:jc w:val="both"/>
        <w:ind w:firstLine="8"/>
        <w:spacing w:after="0" w:line="249" w:lineRule="auto"/>
        <w:tabs>
          <w:tab w:leader="none" w:pos="6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terms of this Agreement (together with any other agreements and instruments expressly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and all such prior agreements, plans, provisions, understandings or arrangements shall be null and void in their entirety and of no further force or effect.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70" w:name="page71"/>
    <w:bookmarkEnd w:id="70"/>
    <w:p>
      <w:pPr>
        <w:jc w:val="both"/>
        <w:ind w:firstLine="8"/>
        <w:spacing w:after="0" w:line="249" w:lineRule="auto"/>
        <w:tabs>
          <w:tab w:leader="none" w:pos="6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xml:space="preserve">. This Agreement may not be modified, amended, or terminated except by an instrument in writing signed by the Executive and a duly authorized officer of the Company (other than the Executive). By an instrument in writing similarly executed and similarly identifying the waived compliance, the Executive or a duly authorized officer of the Company (other than the Executive) may waive compliance by the other party or parties with any provision of this Agreement that such other party was or is obligated to comply with or perform;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95" w:lineRule="exact"/>
        <w:rPr>
          <w:rFonts w:ascii="Times New Roman" w:cs="Times New Roman" w:eastAsia="Times New Roman" w:hAnsi="Times New Roman"/>
          <w:sz w:val="22"/>
          <w:szCs w:val="22"/>
          <w:color w:val="auto"/>
        </w:rPr>
      </w:pPr>
    </w:p>
    <w:p>
      <w:pPr>
        <w:jc w:val="both"/>
        <w:ind w:firstLine="8"/>
        <w:spacing w:after="0" w:line="250" w:lineRule="auto"/>
        <w:tabs>
          <w:tab w:leader="none" w:pos="6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0" w:lineRule="exact"/>
        <w:rPr>
          <w:rFonts w:ascii="Times New Roman" w:cs="Times New Roman" w:eastAsia="Times New Roman" w:hAnsi="Times New Roman"/>
          <w:sz w:val="22"/>
          <w:szCs w:val="22"/>
          <w:color w:val="auto"/>
        </w:rPr>
      </w:pPr>
    </w:p>
    <w:p>
      <w:pPr>
        <w:jc w:val="both"/>
        <w:ind w:firstLine="8"/>
        <w:spacing w:after="0" w:line="248" w:lineRule="auto"/>
        <w:tabs>
          <w:tab w:leader="none" w:pos="6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Representations</w:t>
      </w:r>
      <w:r>
        <w:rPr>
          <w:rFonts w:ascii="Times New Roman" w:cs="Times New Roman" w:eastAsia="Times New Roman" w:hAnsi="Times New Roman"/>
          <w:sz w:val="22"/>
          <w:szCs w:val="22"/>
          <w:color w:val="auto"/>
        </w:rPr>
        <w:t>. The Executive represents, warrants and covenants that (i) that he or she has read and understands this Agreement, is fully aware of its legal effect, has not acted in reliance upon any representations or promises made by the Company other than those contained in writing herein, and has entered into this Agreement freely based on his or her own judgment, (ii) the execution and delivery of this Agreement shall not result in any breach or violation of, or a default under, any existing obligation, commitment or agreement to which Executive is subject, (iii) the Executive shall keep all terms of this Agreement confidential, except with respect to disclosure to the Executive’s spouse, accountants or attorneys, each of whom shall agree to keep all terms of this Agreement confidential, and (iv) the Company shall be entitled to withhold from any amounts payable under this Agreement any federal, state, local, and foreign withholding and other taxes and charges that the Company is required to withhold.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w:t>
      </w:r>
    </w:p>
    <w:p>
      <w:pPr>
        <w:spacing w:after="0" w:line="18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without limitation any such regulations or other guidance that may be issued after the date hereof. Notwithstanding any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47" w:lineRule="auto"/>
        <w:rPr>
          <w:sz w:val="20"/>
          <w:szCs w:val="20"/>
          <w:color w:val="auto"/>
        </w:rPr>
      </w:pPr>
      <w:r>
        <w:rPr>
          <w:rFonts w:ascii="Times New Roman" w:cs="Times New Roman" w:eastAsia="Times New Roman" w:hAnsi="Times New Roman"/>
          <w:sz w:val="22"/>
          <w:szCs w:val="22"/>
          <w:color w:val="auto"/>
        </w:rPr>
        <w:t>Agreement to the contrary, in the event that the Company determines that any amounts payable hereunder will be taxable currently to the Executive under Section 409A(a)(l)(A) of the Code and related Department of Treasury guidance,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provided, however, that this Section 12(a) does not create an obligation on the part of the Company to modify this Agreement and does not guarantee that the amounts payable hereunder will not be subject to interest or penalties under Section 409A, and in no event whatsoever shall the Company or any of its Affiliates be liable for any additional tax, interest, or penalties that may be imposed on the Executive as a result of Section 409A of the Code or any damages for failing to comply with Section 409A of the Code.</w:t>
      </w:r>
    </w:p>
    <w:p>
      <w:pPr>
        <w:spacing w:after="0" w:line="193" w:lineRule="exact"/>
        <w:rPr>
          <w:sz w:val="20"/>
          <w:szCs w:val="20"/>
          <w:color w:val="auto"/>
        </w:rPr>
      </w:pPr>
    </w:p>
    <w:p>
      <w:pPr>
        <w:ind w:left="1300" w:hanging="644"/>
        <w:spacing w:after="0"/>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 Under Section 409A</w:t>
      </w:r>
      <w:r>
        <w:rPr>
          <w:rFonts w:ascii="Times New Roman" w:cs="Times New Roman" w:eastAsia="Times New Roman" w:hAnsi="Times New Roman"/>
          <w:sz w:val="22"/>
          <w:szCs w:val="22"/>
          <w:color w:val="auto"/>
        </w:rPr>
        <w:t>. Notwithstanding any provision to the contrary in this Agreement:</w:t>
      </w:r>
    </w:p>
    <w:p>
      <w:pPr>
        <w:spacing w:after="0" w:line="29" w:lineRule="exact"/>
        <w:rPr>
          <w:rFonts w:ascii="Times New Roman" w:cs="Times New Roman" w:eastAsia="Times New Roman" w:hAnsi="Times New Roman"/>
          <w:sz w:val="22"/>
          <w:szCs w:val="22"/>
          <w:color w:val="auto"/>
        </w:rPr>
      </w:pPr>
    </w:p>
    <w:p>
      <w:pPr>
        <w:jc w:val="both"/>
        <w:ind w:firstLine="8"/>
        <w:spacing w:after="0" w:line="257" w:lineRule="auto"/>
        <w:tabs>
          <w:tab w:leader="none" w:pos="28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amount that is “nonqualified deferred compensation” subject to Section 409A of the Code shall be payable pursuant to Section 4 unless the termination of the Executive’s employment constitutes a “separation from service” within the meaning of Section l .409A-l(h) of the Department of Treasury Regulations; (ii) 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without limitation, any portion of the additional compensation awarded pursuant to Section 4,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w:t>
      </w:r>
    </w:p>
    <w:p>
      <w:pPr>
        <w:spacing w:after="0" w:line="6" w:lineRule="exact"/>
        <w:rPr>
          <w:rFonts w:ascii="Times New Roman" w:cs="Times New Roman" w:eastAsia="Times New Roman" w:hAnsi="Times New Roman"/>
          <w:sz w:val="21"/>
          <w:szCs w:val="21"/>
          <w:color w:val="auto"/>
        </w:rPr>
      </w:pPr>
    </w:p>
    <w:p>
      <w:pPr>
        <w:jc w:val="both"/>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the date of the Executive’s death: provided, that upon the earlier of such dates, all payments deferred pursuant to this Section 12(b)(ii) shall be paid to the Executive in a lump sum, and any remaining payments due under this Agreement shall be paid as otherwise provided herein; (iii) the determination of whether the Executive is a “specified employee” for purposes of Section 409A(a)(2)(B)(i) of the Code as of the time of his separation from service shall be made by the Company in accordance with the terms of Section 409A of the Code and applicable guidance thereunder (including, without limitation, Section l.409A-l(i) of the Department of Treasury Regulations and any successor provision thereto); (iv) for purposes of Section 409A of the Code, the Executive’s right to receive installment payments pursuant to Section 4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2" w:right="339" w:bottom="1440" w:gutter="0" w:footer="0" w:header="0"/>
        </w:sectPr>
      </w:pPr>
    </w:p>
    <w:bookmarkStart w:id="72" w:name="page73"/>
    <w:bookmarkEnd w:id="72"/>
    <w:p>
      <w:pPr>
        <w:jc w:val="both"/>
        <w:spacing w:after="0" w:line="250" w:lineRule="auto"/>
        <w:rPr>
          <w:sz w:val="20"/>
          <w:szCs w:val="20"/>
          <w:color w:val="auto"/>
        </w:rPr>
      </w:pPr>
      <w:r>
        <w:rPr>
          <w:rFonts w:ascii="Times New Roman" w:cs="Times New Roman" w:eastAsia="Times New Roman" w:hAnsi="Times New Roman"/>
          <w:sz w:val="22"/>
          <w:szCs w:val="22"/>
          <w:color w:val="auto"/>
        </w:rPr>
        <w:t>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 The amount of expenses reimbursed in one year shall not affect the amount eligible for reimbursement in any subsequent year. The amount of any in-kind benefits provided in one year shall not affect the amount of in-kind benefits provided in any other year. The right to any benefits or reimbursements or in-kind benefits may not be liquidated or exchanged for any other benefit.</w:t>
      </w:r>
    </w:p>
    <w:p>
      <w:pPr>
        <w:spacing w:after="0" w:line="180"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 of the Code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3"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 “</w:t>
      </w:r>
      <w:r>
        <w:rPr>
          <w:rFonts w:ascii="Times New Roman" w:cs="Times New Roman" w:eastAsia="Times New Roman" w:hAnsi="Times New Roman"/>
          <w:sz w:val="21"/>
          <w:szCs w:val="21"/>
          <w:u w:val="single" w:color="auto"/>
          <w:color w:val="auto"/>
        </w:rPr>
        <w:t>Transaction Payment</w:t>
      </w:r>
      <w:r>
        <w:rPr>
          <w:rFonts w:ascii="Times New Roman" w:cs="Times New Roman" w:eastAsia="Times New Roman" w:hAnsi="Times New Roman"/>
          <w:sz w:val="21"/>
          <w:szCs w:val="21"/>
          <w:color w:val="auto"/>
        </w:rPr>
        <w:t>”) would (i) constitute a “parachute payment” within the meaning of Section 280G of the Internal Revenue Code of 1986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(ii) but for this sentence, be subject to the excise tax imposed by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(x) payment in full of the entire amount of the Transaction Payment (a “</w:t>
      </w:r>
      <w:r>
        <w:rPr>
          <w:rFonts w:ascii="Times New Roman" w:cs="Times New Roman" w:eastAsia="Times New Roman" w:hAnsi="Times New Roman"/>
          <w:sz w:val="21"/>
          <w:szCs w:val="21"/>
          <w:u w:val="single" w:color="auto"/>
          <w:color w:val="auto"/>
        </w:rPr>
        <w:t>Full Payment</w:t>
      </w:r>
      <w:r>
        <w:rPr>
          <w:rFonts w:ascii="Times New Roman" w:cs="Times New Roman" w:eastAsia="Times New Roman" w:hAnsi="Times New Roman"/>
          <w:sz w:val="21"/>
          <w:szCs w:val="21"/>
          <w:color w:val="auto"/>
        </w:rPr>
        <w:t>”), or (y) payment of only a part of the Transaction Payment so that the Executive receives the largest payment possible without the imposition of the Excise Tax (a “</w:t>
      </w:r>
      <w:r>
        <w:rPr>
          <w:rFonts w:ascii="Times New Roman" w:cs="Times New Roman" w:eastAsia="Times New Roman" w:hAnsi="Times New Roman"/>
          <w:sz w:val="21"/>
          <w:szCs w:val="21"/>
          <w:u w:val="single" w:color="auto"/>
          <w:color w:val="auto"/>
        </w:rPr>
        <w:t>Reduced Payment</w:t>
      </w:r>
      <w:r>
        <w:rPr>
          <w:rFonts w:ascii="Times New Roman" w:cs="Times New Roman" w:eastAsia="Times New Roman" w:hAnsi="Times New Roman"/>
          <w:sz w:val="21"/>
          <w:szCs w:val="21"/>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cash payments (from latest scheduled to earliest scheduled); (2) any equity or equity derivatives that are included under Section 280G of the Code at full value rather than accelerated value (with the highest value reduced first); and (3) any equity or equity derivatives included under Section 280G of the Code at an accelerated value (and not at full value), with the highest value reduced first (as such values are determined under Treasury Regulation Section 1.2800-1, Q&amp;A 24); and</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 any other non-cash benefits (from latest scheduled to earliest scheduled).</w:t>
      </w:r>
    </w:p>
    <w:p>
      <w:pPr>
        <w:spacing w:after="0" w:line="19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Executive and the Company otherwise agree in writing, any determination required under this Section</w:t>
      </w:r>
    </w:p>
    <w:p>
      <w:pPr>
        <w:spacing w:after="0" w:line="39" w:lineRule="exact"/>
        <w:rPr>
          <w:rFonts w:ascii="Times New Roman" w:cs="Times New Roman" w:eastAsia="Times New Roman" w:hAnsi="Times New Roman"/>
          <w:sz w:val="21"/>
          <w:szCs w:val="21"/>
          <w:color w:val="auto"/>
        </w:rPr>
      </w:pPr>
    </w:p>
    <w:p>
      <w:pPr>
        <w:jc w:val="both"/>
        <w:ind w:right="20" w:firstLine="8"/>
        <w:spacing w:after="0" w:line="252" w:lineRule="auto"/>
        <w:tabs>
          <w:tab w:leader="none" w:pos="27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made in writing by the Company’s independent public accountants (the “</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whose determination shall be conclusive and binding upon the Executive and the Company for all purposes. For purposes of making the calculations required by this Section 13, the Accountants may make reasonable assumptions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51" w:lineRule="auto"/>
        <w:rPr>
          <w:sz w:val="20"/>
          <w:szCs w:val="20"/>
          <w:color w:val="auto"/>
        </w:rPr>
      </w:pPr>
      <w:r>
        <w:rPr>
          <w:rFonts w:ascii="Times New Roman" w:cs="Times New Roman" w:eastAsia="Times New Roman" w:hAnsi="Times New Roman"/>
          <w:sz w:val="22"/>
          <w:szCs w:val="22"/>
          <w:color w:val="auto"/>
        </w:rPr>
        <w:t>approximations concerning applicable taxes and may rely on reasonable, good faith interpretations concerning the application of Sections 280G 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13. The Company shall bear all costs the Accountants may reasonably incur in connection with any calculations contemplated by this Section 13(b).</w:t>
      </w:r>
    </w:p>
    <w:p>
      <w:pPr>
        <w:spacing w:after="0" w:line="181" w:lineRule="exact"/>
        <w:rPr>
          <w:sz w:val="20"/>
          <w:szCs w:val="20"/>
          <w:color w:val="auto"/>
        </w:rPr>
      </w:pPr>
    </w:p>
    <w:p>
      <w:pPr>
        <w:jc w:val="both"/>
        <w:ind w:firstLine="656"/>
        <w:spacing w:after="0" w:line="250" w:lineRule="auto"/>
        <w:tabs>
          <w:tab w:leader="none" w:pos="12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that no stock of the Company or its Affiliates is readily tradable on an established securities market or otherwise (within the meaning of Section 280G of the Code) at the time of the change in control, the Board may elect to submit to a vote of shareholders for approval the portion of the Transaction Payments that equals and exceeds three times the Executive’s “base amount” (within the meaning of Section 280G of the Code) (the “</w:t>
      </w:r>
      <w:r>
        <w:rPr>
          <w:rFonts w:ascii="Times New Roman" w:cs="Times New Roman" w:eastAsia="Times New Roman" w:hAnsi="Times New Roman"/>
          <w:sz w:val="22"/>
          <w:szCs w:val="22"/>
          <w:u w:val="single" w:color="auto"/>
          <w:color w:val="auto"/>
        </w:rPr>
        <w:t>Excess Parachute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in accordance with Treas. Reg. §1.2800-1, and the Executive shall cooperate with such vote of shareholders, including the execution of any required documentation subjecting the Executive’s entitlement to all Excess Parachute Payments to such shareholder vote.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We look forward to having you on board.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Sun Country, Inc.</w:t>
      </w:r>
    </w:p>
    <w:p>
      <w:pPr>
        <w:spacing w:after="0" w:line="200" w:lineRule="exact"/>
        <w:rPr>
          <w:sz w:val="20"/>
          <w:szCs w:val="20"/>
          <w:color w:val="auto"/>
        </w:rPr>
      </w:pPr>
    </w:p>
    <w:p>
      <w:pPr>
        <w:spacing w:after="0" w:line="2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1353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113538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Jude Bricker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22"/>
          <w:szCs w:val="22"/>
          <w:b w:val="1"/>
          <w:bCs w:val="1"/>
          <w:color w:val="auto"/>
        </w:rPr>
        <w:t>ACKNOWLEDGED AND AGREED: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6700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Daniel Torque Zubeck</w:t>
      </w:r>
    </w:p>
    <w:p>
      <w:pPr>
        <w:sectPr>
          <w:pgSz w:w="11900" w:h="16838" w:orient="portrait"/>
          <w:cols w:equalWidth="0" w:num="1">
            <w:col w:w="10139"/>
          </w:cols>
          <w:pgMar w:left="320" w:top="1422"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Jude Bricker, certify that:</w:t>
      </w:r>
    </w:p>
    <w:p>
      <w:pPr>
        <w:spacing w:after="0" w:line="225" w:lineRule="exact"/>
        <w:rPr>
          <w:sz w:val="20"/>
          <w:szCs w:val="20"/>
          <w:color w:val="auto"/>
        </w:rPr>
      </w:pPr>
    </w:p>
    <w:p>
      <w:pPr>
        <w:ind w:left="660" w:right="4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nine month period ended September 30, 2025;</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30, 2025</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Torque Zubeck, certify that:</w:t>
      </w:r>
    </w:p>
    <w:p>
      <w:pPr>
        <w:spacing w:after="0" w:line="225" w:lineRule="exact"/>
        <w:rPr>
          <w:sz w:val="20"/>
          <w:szCs w:val="20"/>
          <w:color w:val="auto"/>
        </w:rPr>
      </w:pPr>
    </w:p>
    <w:p>
      <w:pPr>
        <w:ind w:left="660" w:right="4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nine month period ended September 30, 2025;</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30, 2025</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45948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Daniel Torque Zubeck</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4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2025</w:t>
      </w: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September 30, 2025 (the "Report").</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Senior Vice President and Chief Financial Officer, respectively, of Sun Country, hereby certifies that, as of the end of the period covered by the Report:</w:t>
      </w:r>
    </w:p>
    <w:p>
      <w:pPr>
        <w:spacing w:after="0" w:line="162"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Sun Country.</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Daniel Torque Zubeck</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2"/>
    </w:lvl>
  </w:abstractNum>
  <w:abstractNum w:abstractNumId="4">
    <w:nsid w:val="77465F01"/>
    <w:multiLevelType w:val="hybridMultilevel"/>
    <w:lvl w:ilvl="0">
      <w:lvlJc w:val="left"/>
      <w:lvlText w:val="%1"/>
      <w:numFmt w:val="decimal"/>
      <w:start w:val="1"/>
    </w:lvl>
    <w:lvl w:ilvl="1">
      <w:lvlJc w:val="left"/>
      <w:lvlText w:val="(%2)"/>
      <w:numFmt w:val="decimal"/>
      <w:start w:val="1"/>
    </w:lvl>
  </w:abstractNum>
  <w:abstractNum w:abstractNumId="5">
    <w:nsid w:val="7724C67E"/>
    <w:multiLevelType w:val="hybridMultilevel"/>
    <w:lvl w:ilvl="0">
      <w:lvlJc w:val="left"/>
      <w:lvlText w:val="%1."/>
      <w:numFmt w:val="decimal"/>
      <w:start w:val="3"/>
    </w:lvl>
    <w:lvl w:ilvl="1">
      <w:lvlJc w:val="left"/>
      <w:lvlText w:val="%2"/>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5"/>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7"/>
    </w:lvl>
  </w:abstractNum>
  <w:abstractNum w:abstractNumId="10">
    <w:nsid w:val="2D517796"/>
    <w:multiLevelType w:val="hybridMultilevel"/>
    <w:lvl w:ilvl="0">
      <w:lvlJc w:val="left"/>
      <w:lvlText w:val="%1."/>
      <w:numFmt w:val="decimal"/>
      <w:start w:val="8"/>
    </w:lvl>
  </w:abstractNum>
  <w:abstractNum w:abstractNumId="11">
    <w:nsid w:val="580BD78F"/>
    <w:multiLevelType w:val="hybridMultilevel"/>
    <w:lvl w:ilvl="0">
      <w:lvlJc w:val="left"/>
      <w:lvlText w:val="%1."/>
      <w:numFmt w:val="decimal"/>
      <w:start w:val="9"/>
    </w:lvl>
  </w:abstractNum>
  <w:abstractNum w:abstractNumId="12">
    <w:nsid w:val="153EA438"/>
    <w:multiLevelType w:val="hybridMultilevel"/>
    <w:lvl w:ilvl="0">
      <w:lvlJc w:val="left"/>
      <w:lvlText w:val="%1."/>
      <w:numFmt w:val="decimal"/>
      <w:start w:val="10"/>
    </w:lvl>
  </w:abstractNum>
  <w:abstractNum w:abstractNumId="13">
    <w:nsid w:val="3855585C"/>
    <w:multiLevelType w:val="hybridMultilevel"/>
    <w:lvl w:ilvl="0">
      <w:lvlJc w:val="left"/>
      <w:lvlText w:val="%1."/>
      <w:numFmt w:val="decimal"/>
      <w:start w:val="11"/>
    </w:lvl>
  </w:abstractNum>
  <w:abstractNum w:abstractNumId="14">
    <w:nsid w:val="70A64E2A"/>
    <w:multiLevelType w:val="hybridMultilevel"/>
    <w:lvl w:ilvl="0">
      <w:lvlJc w:val="left"/>
      <w:lvlText w:val="%1."/>
      <w:numFmt w:val="decimal"/>
      <w:start w:val="12"/>
    </w:lvl>
  </w:abstractNum>
  <w:abstractNum w:abstractNumId="15">
    <w:nsid w:val="6A2342EC"/>
    <w:multiLevelType w:val="hybridMultilevel"/>
    <w:lvl w:ilvl="0">
      <w:lvlJc w:val="left"/>
      <w:lvlText w:val="%1."/>
      <w:numFmt w:val="decimal"/>
      <w:start w:val="13"/>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lvl w:ilvl="1">
      <w:lvlJc w:val="left"/>
      <w:lvlText w:val="(%2)"/>
      <w:numFmt w:val="lowerLetter"/>
      <w:start w:val="1"/>
    </w:lvl>
  </w:abstractNum>
  <w:abstractNum w:abstractNumId="27">
    <w:nsid w:val="32FFF90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8">
    <w:nsid w:val="684A481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9">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1">
    <w:nsid w:val="3DC240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
    <w:nsid w:val="1BA026F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
    <w:nsid w:val="79A1DEAA"/>
    <w:multiLevelType w:val="hybridMultilevel"/>
    <w:lvl w:ilvl="0">
      <w:lvlJc w:val="left"/>
      <w:lvlText w:val="(%1)"/>
      <w:numFmt w:val="lowerLetter"/>
      <w:start w:val="2"/>
    </w:lvl>
    <w:lvl w:ilvl="1">
      <w:lvlJc w:val="left"/>
      <w:lvlText w:val="(%2)"/>
      <w:numFmt w:val="lowerRoman"/>
      <w:start w:val="1"/>
    </w:lvl>
  </w:abstractNum>
  <w:abstractNum w:abstractNumId="34">
    <w:nsid w:val="75C6C33A"/>
    <w:multiLevelType w:val="hybridMultilevel"/>
    <w:lvl w:ilvl="0">
      <w:lvlJc w:val="left"/>
      <w:lvlText w:val="%1"/>
      <w:numFmt w:val="lowerRoman"/>
      <w:start w:val="1"/>
    </w:lvl>
    <w:lvl w:ilvl="1">
      <w:lvlJc w:val="left"/>
      <w:lvlText w:val="(%2)"/>
      <w:numFmt w:val="upperLetter"/>
      <w:start w:val="1"/>
    </w:lvl>
  </w:abstractNum>
  <w:abstractNum w:abstractNumId="35">
    <w:nsid w:val="12E685FB"/>
    <w:multiLevelType w:val="hybridMultilevel"/>
    <w:lvl w:ilvl="0">
      <w:lvlJc w:val="left"/>
      <w:lvlText w:val="(%1)"/>
      <w:numFmt w:val="lowerRoman"/>
      <w:start w:val="2"/>
    </w:lvl>
    <w:lvl w:ilvl="1">
      <w:lvlJc w:val="left"/>
      <w:lvlText w:val="%2"/>
      <w:numFmt w:val="upperLetter"/>
      <w:start w:val="1"/>
    </w:lvl>
  </w:abstractNum>
  <w:abstractNum w:abstractNumId="36">
    <w:nsid w:val="70C6A529"/>
    <w:multiLevelType w:val="hybridMultilevel"/>
    <w:lvl w:ilvl="0">
      <w:lvlJc w:val="left"/>
      <w:lvlText w:val="%1"/>
      <w:numFmt w:val="lowerLetter"/>
      <w:start w:val="1"/>
    </w:lvl>
    <w:lvl w:ilvl="1">
      <w:lvlJc w:val="left"/>
      <w:lvlText w:val="(%2)"/>
      <w:numFmt w:val="lowerLetter"/>
      <w:start w:val="4"/>
    </w:lvl>
  </w:abstractNum>
  <w:abstractNum w:abstractNumId="37">
    <w:nsid w:val="520EEDD1"/>
    <w:multiLevelType w:val="hybridMultilevel"/>
    <w:lvl w:ilvl="0">
      <w:lvlJc w:val="left"/>
      <w:lvlText w:val="(%1)"/>
      <w:numFmt w:val="lowerLetter"/>
      <w:start w:val="35"/>
    </w:lvl>
    <w:lvl w:ilvl="1">
      <w:lvlJc w:val="left"/>
      <w:lvlText w:val="(%2)"/>
      <w:numFmt w:val="lowerLetter"/>
      <w:start w:val="5"/>
    </w:lvl>
  </w:abstractNum>
  <w:abstractNum w:abstractNumId="38">
    <w:nsid w:val="374A3FE6"/>
    <w:multiLevelType w:val="hybridMultilevel"/>
    <w:lvl w:ilvl="0">
      <w:lvlJc w:val="left"/>
      <w:lvlText w:val="%1"/>
      <w:numFmt w:val="decimal"/>
      <w:start w:val="1"/>
    </w:lvl>
    <w:lvl w:ilvl="1">
      <w:lvlJc w:val="left"/>
      <w:lvlText w:val="(%2)"/>
      <w:numFmt w:val="lowerLetter"/>
      <w:start w:val="6"/>
    </w:lvl>
  </w:abstractNum>
  <w:abstractNum w:abstractNumId="39">
    <w:nsid w:val="4F4EF005"/>
    <w:multiLevelType w:val="hybridMultilevel"/>
    <w:lvl w:ilvl="0">
      <w:lvlJc w:val="left"/>
      <w:lvlText w:val="%1."/>
      <w:numFmt w:val="decimal"/>
      <w:start w:val="5"/>
    </w:lvl>
    <w:lvl w:ilvl="1">
      <w:lvlJc w:val="left"/>
      <w:lvlText w:val="%2"/>
      <w:numFmt w:val="lowerLetter"/>
      <w:start w:val="1"/>
    </w:lvl>
  </w:abstractNum>
  <w:abstractNum w:abstractNumId="40">
    <w:nsid w:val="23F9C13C"/>
    <w:multiLevelType w:val="hybridMultilevel"/>
    <w:lvl w:ilvl="0">
      <w:lvlJc w:val="left"/>
      <w:lvlText w:val="%1."/>
      <w:numFmt w:val="decimal"/>
      <w:start w:val="10"/>
    </w:lvl>
    <w:lvl w:ilvl="1">
      <w:lvlJc w:val="left"/>
      <w:lvlText w:val="(%2)"/>
      <w:numFmt w:val="lowerLetter"/>
      <w:start w:val="1"/>
    </w:lvl>
  </w:abstractNum>
  <w:abstractNum w:abstractNumId="41">
    <w:nsid w:val="649BB77C"/>
    <w:multiLevelType w:val="hybridMultilevel"/>
    <w:lvl w:ilvl="0">
      <w:lvlJc w:val="left"/>
      <w:lvlText w:val="%1"/>
      <w:numFmt w:val="lowerLetter"/>
      <w:start w:val="1"/>
    </w:lvl>
    <w:lvl w:ilvl="1">
      <w:lvlJc w:val="left"/>
      <w:lvlText w:val="(%2)"/>
      <w:numFmt w:val="lowerLetter"/>
      <w:start w:val="2"/>
    </w:lvl>
  </w:abstractNum>
  <w:abstractNum w:abstractNumId="42">
    <w:nsid w:val="275AC794"/>
    <w:multiLevelType w:val="hybridMultilevel"/>
    <w:lvl w:ilvl="0">
      <w:lvlJc w:val="left"/>
      <w:lvlText w:val="(%1)"/>
      <w:numFmt w:val="lowerLetter"/>
      <w:start w:val="9"/>
    </w:lvl>
    <w:lvl w:ilvl="1">
      <w:lvlJc w:val="left"/>
      <w:lvlText w:val="%2"/>
      <w:numFmt w:val="lowerLetter"/>
      <w:start w:val="1"/>
    </w:lvl>
  </w:abstractNum>
  <w:abstractNum w:abstractNumId="43">
    <w:nsid w:val="39386575"/>
    <w:multiLevelType w:val="hybridMultilevel"/>
    <w:lvl w:ilvl="0">
      <w:lvlJc w:val="left"/>
      <w:lvlText w:val="%1."/>
      <w:numFmt w:val="decimal"/>
      <w:start w:val="13"/>
    </w:lvl>
    <w:lvl w:ilvl="1">
      <w:lvlJc w:val="left"/>
      <w:lvlText w:val="(%2)"/>
      <w:numFmt w:val="lowerLetter"/>
      <w:start w:val="1"/>
    </w:lvl>
  </w:abstractNum>
  <w:abstractNum w:abstractNumId="44">
    <w:nsid w:val="1CF10FD8"/>
    <w:multiLevelType w:val="hybridMultilevel"/>
    <w:lvl w:ilvl="0">
      <w:lvlJc w:val="left"/>
      <w:lvlText w:val="%1"/>
      <w:numFmt w:val="decimal"/>
      <w:start w:val="13"/>
    </w:lvl>
    <w:lvl w:ilvl="1">
      <w:lvlJc w:val="left"/>
      <w:lvlText w:val="%2"/>
      <w:numFmt w:val="lowerLetter"/>
      <w:start w:val="1"/>
    </w:lvl>
  </w:abstractNum>
  <w:abstractNum w:abstractNumId="45">
    <w:nsid w:val="180115BE"/>
    <w:multiLevelType w:val="hybridMultilevel"/>
    <w:lvl w:ilvl="0">
      <w:lvlJc w:val="left"/>
      <w:lvlText w:val="(%1)"/>
      <w:numFmt w:val="lowerLetter"/>
      <w:start w:val="3"/>
    </w:lvl>
  </w:abstractNum>
  <w:abstractNum w:abstractNumId="46">
    <w:nsid w:val="235BA861"/>
    <w:multiLevelType w:val="hybridMultilevel"/>
    <w:lvl w:ilvl="0">
      <w:lvlJc w:val="left"/>
      <w:lvlText w:val="%1."/>
      <w:numFmt w:val="decimal"/>
      <w:start w:val="1"/>
    </w:lvl>
    <w:lvl w:ilvl="1">
      <w:lvlJc w:val="left"/>
      <w:lvlText w:val="(%2)"/>
      <w:numFmt w:val="lowerLetter"/>
      <w:start w:val="1"/>
    </w:lvl>
  </w:abstractNum>
  <w:abstractNum w:abstractNumId="47">
    <w:nsid w:val="47398C8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8">
    <w:nsid w:val="354FE9F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9">
    <w:nsid w:val="15B5AF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1">
    <w:nsid w:val="D34B6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
    <w:nsid w:val="10233C9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
    <w:nsid w:val="3F6AB60F"/>
    <w:multiLevelType w:val="hybridMultilevel"/>
    <w:lvl w:ilvl="0">
      <w:lvlJc w:val="left"/>
      <w:lvlText w:val="(%1)"/>
      <w:numFmt w:val="lowerLetter"/>
      <w:start w:val="2"/>
    </w:lvl>
    <w:lvl w:ilvl="1">
      <w:lvlJc w:val="left"/>
      <w:lvlText w:val="(%2)"/>
      <w:numFmt w:val="lowerRoman"/>
      <w:start w:val="1"/>
    </w:lvl>
  </w:abstractNum>
  <w:abstractNum w:abstractNumId="54">
    <w:nsid w:val="61574095"/>
    <w:multiLevelType w:val="hybridMultilevel"/>
    <w:lvl w:ilvl="0">
      <w:lvlJc w:val="left"/>
      <w:lvlText w:val="(%1)"/>
      <w:numFmt w:val="lowerRoman"/>
      <w:start w:val="1"/>
    </w:lvl>
  </w:abstractNum>
  <w:abstractNum w:abstractNumId="55">
    <w:nsid w:val="7E0C57B1"/>
    <w:multiLevelType w:val="hybridMultilevel"/>
    <w:lvl w:ilvl="0">
      <w:lvlJc w:val="left"/>
      <w:lvlText w:val="%1"/>
      <w:numFmt w:val="lowerRoman"/>
      <w:start w:val="1"/>
    </w:lvl>
    <w:lvl w:ilvl="1">
      <w:lvlJc w:val="left"/>
      <w:lvlText w:val="(%2)"/>
      <w:numFmt w:val="upperLetter"/>
      <w:start w:val="1"/>
    </w:lvl>
  </w:abstractNum>
  <w:abstractNum w:abstractNumId="56">
    <w:nsid w:val="77AE35EB"/>
    <w:multiLevelType w:val="hybridMultilevel"/>
    <w:lvl w:ilvl="0">
      <w:lvlJc w:val="left"/>
      <w:lvlText w:val="(%1)"/>
      <w:numFmt w:val="lowerRoman"/>
      <w:start w:val="2"/>
    </w:lvl>
    <w:lvl w:ilvl="1">
      <w:lvlJc w:val="left"/>
      <w:lvlText w:val="%2"/>
      <w:numFmt w:val="upperLetter"/>
      <w:start w:val="1"/>
    </w:lvl>
  </w:abstractNum>
  <w:abstractNum w:abstractNumId="57">
    <w:nsid w:val="579BE4F1"/>
    <w:multiLevelType w:val="hybridMultilevel"/>
    <w:lvl w:ilvl="0">
      <w:lvlJc w:val="left"/>
      <w:lvlText w:val="(%1)"/>
      <w:numFmt w:val="lowerLetter"/>
      <w:start w:val="4"/>
    </w:lvl>
  </w:abstractNum>
  <w:abstractNum w:abstractNumId="58">
    <w:nsid w:val="310C50B3"/>
    <w:multiLevelType w:val="hybridMultilevel"/>
    <w:lvl w:ilvl="0">
      <w:lvlJc w:val="left"/>
      <w:lvlText w:val="%1"/>
      <w:numFmt w:val="decimal"/>
      <w:start w:val="1"/>
    </w:lvl>
    <w:lvl w:ilvl="1">
      <w:lvlJc w:val="left"/>
      <w:lvlText w:val="(%2)"/>
      <w:numFmt w:val="lowerLetter"/>
      <w:start w:val="6"/>
    </w:lvl>
  </w:abstractNum>
  <w:abstractNum w:abstractNumId="59">
    <w:nsid w:val="5FF87E05"/>
    <w:multiLevelType w:val="hybridMultilevel"/>
    <w:lvl w:ilvl="0">
      <w:lvlJc w:val="left"/>
      <w:lvlText w:val="%1."/>
      <w:numFmt w:val="decimal"/>
      <w:start w:val="5"/>
    </w:lvl>
    <w:lvl w:ilvl="1">
      <w:lvlJc w:val="left"/>
      <w:lvlText w:val="%2"/>
      <w:numFmt w:val="lowerLetter"/>
      <w:start w:val="1"/>
    </w:lvl>
  </w:abstractNum>
  <w:abstractNum w:abstractNumId="60">
    <w:nsid w:val="2F305DEF"/>
    <w:multiLevelType w:val="hybridMultilevel"/>
    <w:lvl w:ilvl="0">
      <w:lvlJc w:val="left"/>
      <w:lvlText w:val="%1."/>
      <w:numFmt w:val="decimal"/>
      <w:start w:val="9"/>
    </w:lvl>
    <w:lvl w:ilvl="1">
      <w:lvlJc w:val="left"/>
      <w:lvlText w:val="(%2)"/>
      <w:numFmt w:val="lowerLetter"/>
      <w:start w:val="1"/>
    </w:lvl>
  </w:abstractNum>
  <w:abstractNum w:abstractNumId="61">
    <w:nsid w:val="25A70BF7"/>
    <w:multiLevelType w:val="hybridMultilevel"/>
    <w:lvl w:ilvl="0">
      <w:lvlJc w:val="left"/>
      <w:lvlText w:val="%1"/>
      <w:numFmt w:val="lowerLetter"/>
      <w:start w:val="1"/>
    </w:lvl>
    <w:lvl w:ilvl="1">
      <w:lvlJc w:val="left"/>
      <w:lvlText w:val="(%2)"/>
      <w:numFmt w:val="lowerLetter"/>
      <w:start w:val="2"/>
    </w:lvl>
  </w:abstractNum>
  <w:abstractNum w:abstractNumId="62">
    <w:nsid w:val="1DBABF00"/>
    <w:multiLevelType w:val="hybridMultilevel"/>
    <w:lvl w:ilvl="0">
      <w:lvlJc w:val="left"/>
      <w:lvlText w:val="(%1)"/>
      <w:numFmt w:val="lowerLetter"/>
      <w:start w:val="9"/>
    </w:lvl>
    <w:lvl w:ilvl="1">
      <w:lvlJc w:val="left"/>
      <w:lvlText w:val="%2"/>
      <w:numFmt w:val="lowerLetter"/>
      <w:start w:val="1"/>
    </w:lvl>
  </w:abstractNum>
  <w:abstractNum w:abstractNumId="63">
    <w:nsid w:val="4AD084E9"/>
    <w:multiLevelType w:val="hybridMultilevel"/>
    <w:lvl w:ilvl="0">
      <w:lvlJc w:val="left"/>
      <w:lvlText w:val="%1."/>
      <w:numFmt w:val="decimal"/>
      <w:start w:val="13"/>
    </w:lvl>
    <w:lvl w:ilvl="1">
      <w:lvlJc w:val="left"/>
      <w:lvlText w:val="(%2)"/>
      <w:numFmt w:val="lowerLetter"/>
      <w:start w:val="1"/>
    </w:lvl>
  </w:abstractNum>
  <w:abstractNum w:abstractNumId="64">
    <w:nsid w:val="1F48EAA1"/>
    <w:multiLevelType w:val="hybridMultilevel"/>
    <w:lvl w:ilvl="0">
      <w:lvlJc w:val="left"/>
      <w:lvlText w:val="%1"/>
      <w:numFmt w:val="decimal"/>
      <w:start w:val="13"/>
    </w:lvl>
    <w:lvl w:ilvl="1">
      <w:lvlJc w:val="left"/>
      <w:lvlText w:val="%2"/>
      <w:numFmt w:val="lowerLetter"/>
      <w:start w:val="1"/>
    </w:lvl>
  </w:abstractNum>
  <w:abstractNum w:abstractNumId="65">
    <w:nsid w:val="1381823A"/>
    <w:multiLevelType w:val="hybridMultilevel"/>
    <w:lvl w:ilvl="0">
      <w:lvlJc w:val="left"/>
      <w:lvlText w:val="(%1)"/>
      <w:numFmt w:val="lowerLetter"/>
      <w:start w:val="3"/>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31" Type="http://schemas.openxmlformats.org/officeDocument/2006/relationships/hyperlink" Target="https://www.sec.gov/ix?doc=/Archives/edgar/data/1743907/000174390725000005/sncy-20241231.htm#if920b000135448cdb334f8440d73925a_118" TargetMode="External"/><Relationship Id="rId54" Type="http://schemas.openxmlformats.org/officeDocument/2006/relationships/hyperlink" Target="https://www.sec.gov/ix?doc=/Archives/edgar/data/1743907/000174390725000005/sncy-20241231.htm#if920b000135448cdb334f8440d73925a_166" TargetMode="External"/><Relationship Id="rId61" Type="http://schemas.openxmlformats.org/officeDocument/2006/relationships/hyperlink" Target="https://www.sec.gov/ix?doc=/Archives/edgar/data/1743907/000174390725000005/sncy-20241231.htm#if920b000135448cdb334f8440d73925a_52" TargetMode="External"/><Relationship Id="rId62" Type="http://schemas.openxmlformats.org/officeDocument/2006/relationships/hyperlink" Target="https://www.sec.gov/ix?doc=/Archives/edgar/data/1743907/000174390725000005/sncy-20241231.htm#if920b000135448cdb334f8440d73925a_25" TargetMode="External"/><Relationship Id="rId63" Type="http://schemas.openxmlformats.org/officeDocument/2006/relationships/hyperlink" Target="https://www.sec.gov/ix?doc=/Archives/edgar/data/1743907/000174390725000005/sncy-20241231.htm#if920b000135448cdb334f8440d73925a_22" TargetMode="External"/><Relationship Id="rId102" Type="http://schemas.openxmlformats.org/officeDocument/2006/relationships/hyperlink" Target="https://www.sec.gov/ix?doc=/Archives/edgar/data/0001743907/000174390725000005/sncy-20241231.htm#if920b000135448cdb334f8440d73925a_52" TargetMode="External"/><Relationship Id="rId113" Type="http://schemas.openxmlformats.org/officeDocument/2006/relationships/hyperlink" Target="https://www.sec.gov/ix?doc=/Archives/edgar/data/1743907/000174390725000005/sncy-20241231.htm#if920b000135448cdb334f8440d73925a_85" TargetMode="External"/><Relationship Id="rId117" Type="http://schemas.openxmlformats.org/officeDocument/2006/relationships/hyperlink" Target="https://www.sec.gov/Archives/edgar/data/1743907/000174390725000047/a101castlelake-suncountry2.htm" TargetMode="External"/><Relationship Id="rId118" Type="http://schemas.openxmlformats.org/officeDocument/2006/relationships/hyperlink" Target="https://www.sec.gov/Archives/edgar/data/1743907/000174390725000047/a102castlelake-suncountry2.htm" TargetMode="External"/><Relationship Id="rId119" Type="http://schemas.openxmlformats.org/officeDocument/2006/relationships/hyperlink" Target="https://www.sec.gov/Archives/edgar/data/1743907/000119312525179984/d93642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2025-10-30T14:49:27Z</dcterms:created>
  <dcterms:modified xsi:type="dcterms:W3CDTF">2025-10-30T14:49:27Z</dcterms:modified>
</cp:coreProperties>
</file>