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April 27, 2023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Sun Country Airlines Holdings,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125" w:type="dxa"/>
        <w:jc w:val="left"/>
        <w:tblInd w:w="0" w:type="dxa"/>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001-40217</w:t>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82-4092570</w:t>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of</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118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 Number)</w:t>
            </w:r>
          </w:p>
        </w:tc>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tbl>
      <w:tblPr>
        <w:tblW w:w="4335" w:type="dxa"/>
        <w:jc w:val="left"/>
        <w:tblInd w:w="0" w:type="dxa"/>
        <w:tblCellMar>
          <w:top w:w="28" w:type="dxa"/>
          <w:left w:w="28" w:type="dxa"/>
          <w:bottom w:w="28" w:type="dxa"/>
          <w:right w:w="28" w:type="dxa"/>
        </w:tblCellMar>
      </w:tblPr>
      <w:tblGrid>
        <w:gridCol w:w="1192"/>
        <w:gridCol w:w="1047"/>
        <w:gridCol w:w="1061"/>
        <w:gridCol w:w="303"/>
        <w:gridCol w:w="303"/>
        <w:gridCol w:w="429"/>
      </w:tblGrid>
      <w:tr>
        <w:trPr/>
        <w:tc>
          <w:tcPr>
            <w:tcW w:w="1192"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2005 Cargo Road</w:t>
            </w:r>
          </w:p>
        </w:tc>
        <w:tc>
          <w:tcPr>
            <w:tcW w:w="1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Minneapolis, Minnesota</w:t>
            </w:r>
          </w:p>
        </w:tc>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55450</w:t>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(651) 681-3900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762" w:type="dxa"/>
        <w:jc w:val="left"/>
        <w:tblInd w:w="0" w:type="dxa"/>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Trading</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 which registered</w:t>
            </w:r>
          </w:p>
        </w:tc>
      </w:tr>
      <w:tr>
        <w:trPr/>
        <w:tc>
          <w:tcPr>
            <w:tcW w:w="3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36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April 27, 2023, Sun Country Airlines Holdings, Inc. issued a press release announcing its financial results for the fiscal quarter ended March 31, 2023. A copy of the press release is attached hereto as Exhibit 99.1 and incorporated by reference herein.</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120" w:after="283"/>
        <w:ind w:left="0" w:right="0" w:hanging="270"/>
        <w:rPr/>
      </w:pPr>
      <w:r>
        <w:rPr>
          <w:rFonts w:ascii="Times New Roman;sans-serif" w:hAnsi="Times New Roman;sans-serif"/>
          <w:b w:val="false"/>
          <w:color w:val="000000"/>
          <w:sz w:val="20"/>
        </w:rPr>
        <w:t>(d)</w:t>
      </w:r>
      <w:r>
        <w:rPr>
          <w:rFonts w:ascii="Times New Roman;sans-serif" w:hAnsi="Times New Roman;sans-serif"/>
          <w:b w:val="false"/>
          <w:i/>
          <w:color w:val="000000"/>
          <w:sz w:val="20"/>
        </w:rPr>
        <w:t>Exhibits.</w:t>
      </w:r>
    </w:p>
    <w:tbl>
      <w:tblPr>
        <w:tblW w:w="8006" w:type="dxa"/>
        <w:jc w:val="left"/>
        <w:tblInd w:w="0" w:type="dxa"/>
        <w:tblCellMar>
          <w:top w:w="28" w:type="dxa"/>
          <w:left w:w="28" w:type="dxa"/>
          <w:bottom w:w="28" w:type="dxa"/>
          <w:right w:w="28" w:type="dxa"/>
        </w:tblCellMar>
      </w:tblPr>
      <w:tblGrid>
        <w:gridCol w:w="391"/>
        <w:gridCol w:w="344"/>
        <w:gridCol w:w="345"/>
        <w:gridCol w:w="109"/>
        <w:gridCol w:w="109"/>
        <w:gridCol w:w="109"/>
        <w:gridCol w:w="1927"/>
        <w:gridCol w:w="1927"/>
        <w:gridCol w:w="2745"/>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745"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w:anchor="q12023-ex991.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w:anchor="q12023-ex991.htm">
              <w:r>
                <w:rPr>
                  <w:rStyle w:val="InternetLink"/>
                  <w:rFonts w:ascii="Times New Roman;sans-serif" w:hAnsi="Times New Roman;sans-serif"/>
                  <w:b w:val="false"/>
                  <w:color w:val="0000FF"/>
                  <w:sz w:val="20"/>
                  <w:u w:val="single"/>
                </w:rPr>
                <w:t>Press release, dated April 27, 2023</w:t>
              </w:r>
            </w:hyperlink>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8257" w:type="dxa"/>
        <w:jc w:val="left"/>
        <w:tblInd w:w="0" w:type="dxa"/>
        <w:tblCellMar>
          <w:top w:w="28" w:type="dxa"/>
          <w:left w:w="28" w:type="dxa"/>
          <w:bottom w:w="28" w:type="dxa"/>
          <w:right w:w="28" w:type="dxa"/>
        </w:tblCellMar>
      </w:tblPr>
      <w:tblGrid>
        <w:gridCol w:w="645"/>
        <w:gridCol w:w="568"/>
        <w:gridCol w:w="571"/>
        <w:gridCol w:w="334"/>
        <w:gridCol w:w="334"/>
        <w:gridCol w:w="334"/>
        <w:gridCol w:w="334"/>
        <w:gridCol w:w="334"/>
        <w:gridCol w:w="334"/>
        <w:gridCol w:w="1309"/>
        <w:gridCol w:w="1309"/>
        <w:gridCol w:w="1851"/>
      </w:tblGrid>
      <w:tr>
        <w:trPr/>
        <w:tc>
          <w:tcPr>
            <w:tcW w:w="645"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27, 2023</w:t>
            </w:r>
          </w:p>
        </w:tc>
        <w:tc>
          <w:tcPr>
            <w:tcW w:w="6473"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Sun Country Airlines Holdings, Inc.</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47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Erin Rose Neale</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Erin Rose Neale</w:t>
            </w:r>
          </w:p>
        </w:tc>
      </w:tr>
      <w:tr>
        <w:trPr/>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drawing>
          <wp:inline distT="0" distB="63500" distL="0" distR="0">
            <wp:extent cx="28575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571500"/>
                    </a:xfrm>
                    <a:prstGeom prst="rect">
                      <a:avLst/>
                    </a:prstGeom>
                  </pic:spPr>
                </pic:pic>
              </a:graphicData>
            </a:graphic>
          </wp:inline>
        </w:drawing>
      </w:r>
    </w:p>
    <w:p>
      <w:pPr>
        <w:pStyle w:val="TextBody"/>
        <w:spacing w:before="0" w:after="0"/>
        <w:jc w:val="right"/>
        <w:rPr/>
      </w:pPr>
      <w:r>
        <w:rPr/>
      </w:r>
    </w:p>
    <w:p>
      <w:pPr>
        <w:pStyle w:val="TextBody"/>
        <w:spacing w:lineRule="auto" w:line="288" w:before="60" w:after="283"/>
        <w:jc w:val="right"/>
        <w:rPr>
          <w:rFonts w:ascii="Arial;sans-serif" w:hAnsi="Arial;sans-serif"/>
          <w:b/>
          <w:color w:val="000000"/>
          <w:sz w:val="20"/>
        </w:rPr>
      </w:pPr>
      <w:r>
        <w:rPr>
          <w:rFonts w:ascii="Arial;sans-serif" w:hAnsi="Arial;sans-serif"/>
          <w:b/>
          <w:color w:val="000000"/>
          <w:sz w:val="20"/>
        </w:rPr>
        <w:t>Exhibit 99.1</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Sun Country Airlines Reports First Quarter 2023 Results</w:t>
      </w:r>
    </w:p>
    <w:p>
      <w:pPr>
        <w:pStyle w:val="TextBody"/>
        <w:spacing w:lineRule="auto" w:line="288" w:before="0" w:after="0"/>
        <w:jc w:val="center"/>
        <w:rPr/>
      </w:pPr>
      <w:r>
        <w:rPr>
          <w:rFonts w:ascii="Arial;sans-serif" w:hAnsi="Arial;sans-serif"/>
          <w:b w:val="false"/>
          <w:color w:val="000000"/>
          <w:sz w:val="20"/>
        </w:rPr>
        <w:t>Revenue of $294 million, Sun Country’s highest on record</w:t>
      </w:r>
      <w:r>
        <w:rPr>
          <w:rFonts w:ascii="Arial;sans-serif" w:hAnsi="Arial;sans-serif"/>
          <w:b w:val="false"/>
          <w:color w:val="000000"/>
          <w:sz w:val="13"/>
        </w:rPr>
        <w:t>(1)</w:t>
      </w:r>
    </w:p>
    <w:p>
      <w:pPr>
        <w:pStyle w:val="TextBody"/>
        <w:spacing w:lineRule="auto" w:line="288" w:before="0" w:after="0"/>
        <w:jc w:val="center"/>
        <w:rPr/>
      </w:pPr>
      <w:r>
        <w:rPr>
          <w:rFonts w:ascii="Arial;sans-serif" w:hAnsi="Arial;sans-serif"/>
          <w:b w:val="false"/>
          <w:color w:val="000000"/>
          <w:sz w:val="20"/>
        </w:rPr>
        <w:t>GAAP diluted EPS of $0.64 and operating income of $56 million, Sun Country’s highest on record</w:t>
      </w:r>
      <w:r>
        <w:rPr>
          <w:rFonts w:ascii="Arial;sans-serif" w:hAnsi="Arial;sans-serif"/>
          <w:b w:val="false"/>
          <w:color w:val="000000"/>
          <w:sz w:val="13"/>
        </w:rPr>
        <w:t>(1)</w:t>
      </w:r>
    </w:p>
    <w:p>
      <w:pPr>
        <w:pStyle w:val="TextBody"/>
        <w:spacing w:lineRule="auto" w:line="288" w:before="0" w:after="0"/>
        <w:jc w:val="center"/>
        <w:rPr/>
      </w:pPr>
      <w:r>
        <w:rPr>
          <w:rFonts w:ascii="Arial;sans-serif" w:hAnsi="Arial;sans-serif"/>
          <w:b w:val="false"/>
          <w:color w:val="000000"/>
          <w:sz w:val="20"/>
        </w:rPr>
        <w:t>Adj. diluted EPS of $0.68</w:t>
      </w:r>
      <w:r>
        <w:rPr>
          <w:rFonts w:ascii="Arial;sans-serif" w:hAnsi="Arial;sans-serif"/>
          <w:b w:val="false"/>
          <w:color w:val="000000"/>
          <w:sz w:val="13"/>
        </w:rPr>
        <w:t xml:space="preserve">(2) </w:t>
      </w:r>
      <w:r>
        <w:rPr>
          <w:rFonts w:ascii="Arial;sans-serif" w:hAnsi="Arial;sans-serif"/>
          <w:b w:val="false"/>
          <w:color w:val="000000"/>
          <w:sz w:val="20"/>
        </w:rPr>
        <w:t>and adjusted operating income of $58 million</w:t>
      </w:r>
      <w:r>
        <w:rPr>
          <w:rFonts w:ascii="Arial;sans-serif" w:hAnsi="Arial;sans-serif"/>
          <w:b w:val="false"/>
          <w:color w:val="000000"/>
          <w:sz w:val="13"/>
        </w:rPr>
        <w:t>(2)</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Sun Country’s</w:t>
      </w:r>
      <w:r>
        <w:rPr>
          <w:color w:val="000000"/>
        </w:rPr>
        <w:t xml:space="preserve"> </w:t>
      </w:r>
      <w:r>
        <w:rPr>
          <w:rFonts w:ascii="Arial;sans-serif" w:hAnsi="Arial;sans-serif"/>
          <w:b w:val="false"/>
          <w:color w:val="000000"/>
          <w:sz w:val="20"/>
        </w:rPr>
        <w:t>highest on record</w:t>
      </w:r>
      <w:r>
        <w:rPr>
          <w:rFonts w:ascii="Arial;sans-serif" w:hAnsi="Arial;sans-serif"/>
          <w:b w:val="false"/>
          <w:color w:val="000000"/>
          <w:sz w:val="13"/>
        </w:rPr>
        <w:t>(1)</w:t>
      </w:r>
    </w:p>
    <w:p>
      <w:pPr>
        <w:pStyle w:val="TextBody"/>
        <w:spacing w:lineRule="auto" w:line="288" w:before="240" w:after="283"/>
        <w:rPr/>
      </w:pPr>
      <w:r>
        <w:rPr>
          <w:rFonts w:ascii="Arial;sans-serif" w:hAnsi="Arial;sans-serif"/>
          <w:b w:val="false"/>
          <w:color w:val="000000"/>
          <w:sz w:val="20"/>
        </w:rPr>
        <w:t>MINNEAPOLIS. April 27, 2023. Sun Country Airlines Holdings, Inc. (“Sun Country Airlines,” “Sun Country,” the “Company”) (</w:t>
      </w:r>
      <w:r>
        <w:rPr>
          <w:rFonts w:ascii="Arial;sans-serif" w:hAnsi="Arial;sans-serif"/>
          <w:b w:val="false"/>
          <w:color w:val="0563C1"/>
          <w:sz w:val="20"/>
        </w:rPr>
        <w:t>NASDAQ: SNCY</w:t>
      </w:r>
      <w:r>
        <w:rPr>
          <w:rFonts w:ascii="Arial;sans-serif" w:hAnsi="Arial;sans-serif"/>
          <w:b w:val="false"/>
          <w:color w:val="000000"/>
          <w:sz w:val="20"/>
        </w:rPr>
        <w:t>) today reported financial results for its first quarter ended March 31, 2023.</w:t>
      </w:r>
    </w:p>
    <w:p>
      <w:pPr>
        <w:pStyle w:val="TextBody"/>
        <w:spacing w:before="0" w:after="0"/>
        <w:jc w:val="both"/>
        <w:rPr/>
      </w:pPr>
      <w:r>
        <w:rPr/>
      </w:r>
    </w:p>
    <w:p>
      <w:pPr>
        <w:pStyle w:val="TextBody"/>
        <w:spacing w:lineRule="auto" w:line="288" w:before="0" w:after="0"/>
        <w:rPr/>
      </w:pPr>
      <w:r>
        <w:rPr>
          <w:color w:val="0A0A0A"/>
        </w:rPr>
        <w:t>“</w:t>
      </w:r>
      <w:r>
        <w:rPr>
          <w:rFonts w:ascii="Arial;sans-serif" w:hAnsi="Arial;sans-serif"/>
          <w:b w:val="false"/>
          <w:color w:val="0A0A0A"/>
          <w:sz w:val="20"/>
        </w:rPr>
        <w:t>Sun Country’s unique, diversified business model continues to deliver strong results,” said Jude Bricker, Chief Executive Officer of Sun Country. “The revenue environment remains resilient, as we saw a 20.8% increase in total average fare and a gain of 8.6 percentage points in load factor in the first quarter versus 2022. This demand strength helped deliver a first quarter GAAP operating income margin of 19.0% and an adjusted operating income margin of 19.9%</w:t>
      </w:r>
      <w:r>
        <w:rPr>
          <w:rFonts w:ascii="Arial;sans-serif" w:hAnsi="Arial;sans-serif"/>
          <w:b w:val="false"/>
          <w:color w:val="0A0A0A"/>
          <w:sz w:val="13"/>
        </w:rPr>
        <w:t>(2),</w:t>
      </w:r>
      <w:r>
        <w:rPr>
          <w:color w:val="0A0A0A"/>
        </w:rPr>
        <w:t xml:space="preserve"> </w:t>
      </w:r>
      <w:r>
        <w:rPr>
          <w:rFonts w:ascii="Arial;sans-serif" w:hAnsi="Arial;sans-serif"/>
          <w:b w:val="false"/>
          <w:color w:val="0A0A0A"/>
          <w:sz w:val="20"/>
        </w:rPr>
        <w:t>easily exceeding the first quarter of last year by over 9 percentage points. We delivered these outstanding results despite a winter season at our Minneapolis-St. Paul base that was the third snowiest on record. I want to thank our dedicated team of employees for their extraordinary efforts this winter.”</w:t>
      </w:r>
    </w:p>
    <w:p>
      <w:pPr>
        <w:pStyle w:val="TextBody"/>
        <w:spacing w:lineRule="auto" w:line="288" w:before="200" w:after="200"/>
        <w:rPr>
          <w:rFonts w:ascii="Arial;sans-serif" w:hAnsi="Arial;sans-serif"/>
          <w:b/>
          <w:color w:val="000000"/>
          <w:sz w:val="20"/>
        </w:rPr>
      </w:pPr>
      <w:r>
        <w:rPr>
          <w:rFonts w:ascii="Arial;sans-serif" w:hAnsi="Arial;sans-serif"/>
          <w:b/>
          <w:color w:val="000000"/>
          <w:sz w:val="20"/>
        </w:rPr>
        <w:t>Overview of First Quarter</w:t>
      </w:r>
    </w:p>
    <w:tbl>
      <w:tblPr>
        <w:tblW w:w="7776" w:type="dxa"/>
        <w:jc w:val="left"/>
        <w:tblInd w:w="0" w:type="dxa"/>
        <w:tblCellMar>
          <w:top w:w="28" w:type="dxa"/>
          <w:left w:w="28" w:type="dxa"/>
          <w:bottom w:w="28" w:type="dxa"/>
          <w:right w:w="28" w:type="dxa"/>
        </w:tblCellMar>
      </w:tblPr>
      <w:tblGrid>
        <w:gridCol w:w="1517"/>
        <w:gridCol w:w="1330"/>
        <w:gridCol w:w="1338"/>
        <w:gridCol w:w="278"/>
        <w:gridCol w:w="852"/>
        <w:gridCol w:w="143"/>
        <w:gridCol w:w="278"/>
        <w:gridCol w:w="852"/>
        <w:gridCol w:w="143"/>
        <w:gridCol w:w="323"/>
        <w:gridCol w:w="323"/>
        <w:gridCol w:w="399"/>
      </w:tblGrid>
      <w:tr>
        <w:trPr/>
        <w:tc>
          <w:tcPr>
            <w:tcW w:w="1517"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12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294.1 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5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226.5 </w:t>
            </w:r>
          </w:p>
        </w:tc>
        <w:tc>
          <w:tcPr>
            <w:tcW w:w="143"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29.8 </w:t>
            </w:r>
          </w:p>
        </w:tc>
        <w:tc>
          <w:tcPr>
            <w:tcW w:w="39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55.8 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21.8 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155.5 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49.7 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6.4 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674.0 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38.3 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3.6 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953.8 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 earnings per share</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0.64</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0.06 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966.7 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694" w:type="dxa"/>
        <w:jc w:val="left"/>
        <w:tblInd w:w="0" w:type="dxa"/>
        <w:tblCellMar>
          <w:top w:w="28" w:type="dxa"/>
          <w:left w:w="28" w:type="dxa"/>
          <w:bottom w:w="28" w:type="dxa"/>
          <w:right w:w="28" w:type="dxa"/>
        </w:tblCellMar>
      </w:tblPr>
      <w:tblGrid>
        <w:gridCol w:w="1517"/>
        <w:gridCol w:w="1330"/>
        <w:gridCol w:w="1338"/>
        <w:gridCol w:w="312"/>
        <w:gridCol w:w="801"/>
        <w:gridCol w:w="161"/>
        <w:gridCol w:w="312"/>
        <w:gridCol w:w="801"/>
        <w:gridCol w:w="161"/>
        <w:gridCol w:w="281"/>
        <w:gridCol w:w="281"/>
        <w:gridCol w:w="399"/>
      </w:tblGrid>
      <w:tr>
        <w:trPr/>
        <w:tc>
          <w:tcPr>
            <w:tcW w:w="1517"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3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16"/>
              </w:rPr>
            </w:pPr>
            <w:r>
              <w:rPr>
                <w:rFonts w:ascii="Arial;sans-serif" w:hAnsi="Arial;sans-serif"/>
                <w:b/>
                <w:color w:val="0A0A0A"/>
                <w:sz w:val="16"/>
              </w:rPr>
              <w:t>(unaudited) (in millions, except per share amounts)</w:t>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418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A0A0A"/>
                <w:sz w:val="20"/>
              </w:rPr>
              <w:t xml:space="preserve">Adjusted Operating Income </w:t>
            </w:r>
            <w:r>
              <w:rPr>
                <w:rFonts w:ascii="Arial;sans-serif" w:hAnsi="Arial;sans-serif"/>
                <w:b w:val="false"/>
                <w:color w:val="0A0A0A"/>
                <w:sz w:val="13"/>
              </w:rPr>
              <w:t>(2)</w:t>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58.5</w:t>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01" w:type="dxa"/>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22.8 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156.9</w:t>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A0A0A"/>
                <w:sz w:val="20"/>
              </w:rPr>
              <w:t xml:space="preserve">Adjusted Income Before Income Tax </w:t>
            </w:r>
            <w:r>
              <w:rPr>
                <w:rFonts w:ascii="Arial;sans-serif" w:hAnsi="Arial;sans-serif"/>
                <w:b w:val="false"/>
                <w:color w:val="0A0A0A"/>
                <w:sz w:val="13"/>
              </w:rPr>
              <w:t>(2)</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52.5 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234.6</w:t>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A0A0A"/>
                <w:sz w:val="20"/>
              </w:rPr>
              <w:t xml:space="preserve">Adjusted Net Income </w:t>
            </w:r>
            <w:r>
              <w:rPr>
                <w:rFonts w:ascii="Arial;sans-serif" w:hAnsi="Arial;sans-serif"/>
                <w:b w:val="false"/>
                <w:color w:val="0A0A0A"/>
                <w:sz w:val="13"/>
              </w:rPr>
              <w:t>(2)</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40.4 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227.6</w:t>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A0A0A"/>
                <w:sz w:val="20"/>
              </w:rPr>
              <w:t xml:space="preserve">Adjusted diluted earnings per share </w:t>
            </w:r>
            <w:r>
              <w:rPr>
                <w:rFonts w:ascii="Arial;sans-serif" w:hAnsi="Arial;sans-serif"/>
                <w:b w:val="false"/>
                <w:color w:val="0A0A0A"/>
                <w:sz w:val="13"/>
              </w:rPr>
              <w:t>(2)</w:t>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0.20 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240.0</w:t>
            </w:r>
          </w:p>
        </w:tc>
      </w:tr>
    </w:tbl>
    <w:p>
      <w:pPr>
        <w:pStyle w:val="TextBody"/>
        <w:spacing w:before="120" w:after="283"/>
        <w:rPr/>
      </w:pPr>
      <w:r>
        <w:rPr/>
      </w:r>
    </w:p>
    <w:p>
      <w:pPr>
        <w:pStyle w:val="TextBody"/>
        <w:spacing w:lineRule="auto" w:line="288" w:before="0" w:after="0"/>
        <w:rPr/>
      </w:pPr>
      <w:r>
        <w:rPr>
          <w:rFonts w:ascii="Arial;sans-serif" w:hAnsi="Arial;sans-serif"/>
          <w:b w:val="false"/>
          <w:color w:val="0A0A0A"/>
          <w:sz w:val="20"/>
        </w:rPr>
        <w:t>For the quarter ended March 31, 2023, Sun Country reported net income of $38 million and income before income tax of $50 million, on $294 million of revenue. Adjusted income before income tax for the quarter was $53 million</w:t>
      </w:r>
      <w:r>
        <w:rPr>
          <w:rFonts w:ascii="Arial;sans-serif" w:hAnsi="Arial;sans-serif"/>
          <w:b w:val="false"/>
          <w:color w:val="0A0A0A"/>
          <w:sz w:val="13"/>
        </w:rPr>
        <w:t>(2)</w:t>
      </w:r>
      <w:r>
        <w:rPr>
          <w:rFonts w:ascii="Arial;sans-serif" w:hAnsi="Arial;sans-serif"/>
          <w:b w:val="false"/>
          <w:color w:val="0A0A0A"/>
          <w:sz w:val="20"/>
        </w:rPr>
        <w:t>. GAAP operating income during the quarter was $56 million, while adjusted operating income was $58 million</w:t>
      </w:r>
      <w:r>
        <w:rPr>
          <w:rFonts w:ascii="Arial;sans-serif" w:hAnsi="Arial;sans-serif"/>
          <w:b w:val="false"/>
          <w:color w:val="0A0A0A"/>
          <w:sz w:val="13"/>
        </w:rPr>
        <w:t>(2).</w:t>
      </w:r>
      <w:r>
        <w:rPr>
          <w:color w:val="0A0A0A"/>
        </w:rPr>
        <w:t xml:space="preserve"> </w:t>
      </w:r>
    </w:p>
    <w:p>
      <w:pPr>
        <w:pStyle w:val="TextBody"/>
        <w:spacing w:before="0" w:after="0"/>
        <w:rPr/>
      </w:pPr>
      <w:r>
        <w:rPr/>
      </w:r>
    </w:p>
    <w:p>
      <w:pPr>
        <w:pStyle w:val="TextBody"/>
        <w:spacing w:lineRule="auto" w:line="288"/>
        <w:rPr/>
      </w:pPr>
      <w:r>
        <w:rPr>
          <w:color w:val="0A0A0A"/>
        </w:rPr>
        <w:t>“</w:t>
      </w:r>
      <w:r>
        <w:rPr>
          <w:rFonts w:ascii="Arial;sans-serif" w:hAnsi="Arial;sans-serif"/>
          <w:b w:val="false"/>
          <w:color w:val="0A0A0A"/>
          <w:sz w:val="20"/>
        </w:rPr>
        <w:t>We continue to see strength across our scheduled service, charter and cargo businesses,” said Dave Davis, President and Chief Financial Officer. “Total revenue was up nearly 30% year-over-year, with Scheduled Service TRASM</w:t>
      </w:r>
      <w:r>
        <w:rPr>
          <w:rFonts w:ascii="Arial;sans-serif" w:hAnsi="Arial;sans-serif"/>
          <w:b w:val="false"/>
          <w:color w:val="0A0A0A"/>
          <w:sz w:val="13"/>
        </w:rPr>
        <w:t>(3)</w:t>
      </w:r>
      <w:r>
        <w:rPr>
          <w:color w:val="0A0A0A"/>
        </w:rPr>
        <w:t xml:space="preserve"> </w:t>
      </w:r>
      <w:r>
        <w:rPr>
          <w:rFonts w:ascii="Arial;sans-serif" w:hAnsi="Arial;sans-serif"/>
          <w:b w:val="false"/>
          <w:color w:val="0A0A0A"/>
          <w:sz w:val="20"/>
        </w:rPr>
        <w:t>up 34.7% and TRASM</w:t>
      </w:r>
      <w:r>
        <w:rPr>
          <w:rFonts w:ascii="Arial;sans-serif" w:hAnsi="Arial;sans-serif"/>
          <w:b w:val="false"/>
          <w:color w:val="0A0A0A"/>
          <w:sz w:val="13"/>
        </w:rPr>
        <w:t>(4)</w:t>
      </w:r>
      <w:r>
        <w:rPr>
          <w:rFonts w:ascii="Arial;sans-serif" w:hAnsi="Arial;sans-serif"/>
          <w:b w:val="false"/>
          <w:color w:val="0A0A0A"/>
          <w:sz w:val="20"/>
        </w:rPr>
        <w:t>, including charter revenue, up 30.6% versus the first quarter of 2022. GAAP operating income increased 155% while adjusted operating income was up 157% year-over-year, generating a GAAP operating margin of 19.0% and an adjusted operating income margin of nearly 20% in our seasonally strongest quarter. During the first quarter, our unit costs were negatively impacted by decreased aircraft utilization levels. In the second quarter, we expect total block hour growth of at least 11% versus last year, and pressure on non-fuel CASM should ease during the year. We are also excited to have acquired five 737-900ER aircraft which are currently on lease to Oman Air. We will obtain the lease revenue from Oman Air until the expiration of the leases and the aircraft are delivered to us beginning in late 2024 and continuing through 2025. The 737-900ER is a new fleet variant for Sun Country and we expect it to create new opportunities for our network.”</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w:t>
                      </w:r>
                    </w:p>
                  </w:txbxContent>
                </v:textbox>
              </v:rect>
            </w:pict>
          </mc:Fallback>
        </mc:AlternateContent>
      </w:r>
    </w:p>
    <w:p>
      <w:pPr>
        <w:pStyle w:val="TextBody"/>
        <w:spacing w:lineRule="auto" w:line="288" w:before="240" w:after="283"/>
        <w:jc w:val="both"/>
        <w:rPr>
          <w:rFonts w:ascii="Arial;sans-serif" w:hAnsi="Arial;sans-serif"/>
          <w:b/>
          <w:color w:val="0A0A0A"/>
          <w:sz w:val="20"/>
          <w:highlight w:val="white"/>
        </w:rPr>
      </w:pPr>
      <w:r>
        <w:rPr>
          <w:rFonts w:ascii="Arial;sans-serif" w:hAnsi="Arial;sans-serif"/>
          <w:b/>
          <w:color w:val="0A0A0A"/>
          <w:sz w:val="20"/>
          <w:highlight w:val="white"/>
        </w:rPr>
        <w:t xml:space="preserve">Notable Highlights </w:t>
      </w:r>
    </w:p>
    <w:p>
      <w:pPr>
        <w:pStyle w:val="TextBody"/>
        <w:spacing w:before="0" w:after="0"/>
        <w:jc w:val="both"/>
        <w:rPr/>
      </w:pPr>
      <w:r>
        <w:rPr/>
      </w:r>
    </w:p>
    <w:p>
      <w:pPr>
        <w:pStyle w:val="TextBody"/>
        <w:spacing w:lineRule="auto" w:line="268" w:before="0" w:after="0"/>
        <w:ind w:left="0" w:right="0" w:hanging="360"/>
        <w:jc w:val="both"/>
        <w:rPr/>
      </w:pPr>
      <w:r>
        <w:rPr>
          <w:color w:val="000000"/>
          <w:highlight w:val="white"/>
        </w:rPr>
        <w:t>•</w:t>
      </w:r>
      <w:r>
        <w:rPr>
          <w:rFonts w:ascii="Arial;sans-serif" w:hAnsi="Arial;sans-serif"/>
          <w:b w:val="false"/>
          <w:color w:val="0A0A0A"/>
          <w:sz w:val="20"/>
          <w:highlight w:val="white"/>
        </w:rPr>
        <w:t xml:space="preserve">As of early April, the Company acquired five 737-900ER aircraft which are currently on lease to Oman Air. The aircraft will remain on lease to Oman Air until the leases expire in late 2024 and through 2025. Sun Country will take delivery of one aircraft in late 2024 and the other four throughout 2025. </w:t>
      </w:r>
    </w:p>
    <w:p>
      <w:pPr>
        <w:pStyle w:val="TextBody"/>
        <w:spacing w:lineRule="auto" w:line="288" w:before="0" w:after="0"/>
        <w:ind w:left="0" w:right="0" w:hanging="360"/>
        <w:jc w:val="both"/>
        <w:rPr/>
      </w:pPr>
      <w:r>
        <w:rPr>
          <w:color w:val="0A0A0A"/>
          <w:highlight w:val="white"/>
        </w:rPr>
        <w:t>•</w:t>
      </w:r>
      <w:r>
        <w:rPr>
          <w:rFonts w:ascii="Arial;sans-serif" w:hAnsi="Arial;sans-serif"/>
          <w:b w:val="false"/>
          <w:color w:val="0A0A0A"/>
          <w:sz w:val="20"/>
          <w:highlight w:val="white"/>
        </w:rPr>
        <w:t>Extended the flight schedule through December 2023 to include 120 routes serving 90 airports.</w:t>
      </w:r>
    </w:p>
    <w:p>
      <w:pPr>
        <w:pStyle w:val="TextBody"/>
        <w:spacing w:lineRule="auto" w:line="288" w:before="0" w:after="0"/>
        <w:ind w:left="0" w:right="0" w:hanging="360"/>
        <w:rPr/>
      </w:pPr>
      <w:r>
        <w:rPr>
          <w:color w:val="000000"/>
        </w:rPr>
        <w:t>•</w:t>
      </w:r>
      <w:r>
        <w:rPr>
          <w:rFonts w:ascii="Arial;sans-serif" w:hAnsi="Arial;sans-serif"/>
          <w:b w:val="false"/>
          <w:color w:val="0A0A0A"/>
          <w:sz w:val="20"/>
          <w:highlight w:val="white"/>
        </w:rPr>
        <w:t xml:space="preserve">The Company repurchased </w:t>
      </w:r>
      <w:r>
        <w:rPr>
          <w:rFonts w:ascii="Arial;sans-serif" w:hAnsi="Arial;sans-serif"/>
          <w:b w:val="false"/>
          <w:color w:val="000000"/>
          <w:sz w:val="20"/>
        </w:rPr>
        <w:t>750,000</w:t>
      </w:r>
      <w:r>
        <w:rPr>
          <w:color w:val="0A0A0A"/>
          <w:highlight w:val="white"/>
        </w:rPr>
        <w:t xml:space="preserve"> </w:t>
      </w:r>
      <w:r>
        <w:rPr>
          <w:rFonts w:ascii="Arial;sans-serif" w:hAnsi="Arial;sans-serif"/>
          <w:b w:val="false"/>
          <w:color w:val="0A0A0A"/>
          <w:sz w:val="20"/>
          <w:highlight w:val="white"/>
        </w:rPr>
        <w:t xml:space="preserve">shares at a price of </w:t>
      </w:r>
      <w:r>
        <w:rPr>
          <w:rFonts w:ascii="Arial;sans-serif" w:hAnsi="Arial;sans-serif"/>
          <w:b w:val="false"/>
          <w:color w:val="000000"/>
          <w:sz w:val="20"/>
        </w:rPr>
        <w:t>$19.75 from the underwriters of the Apollo Global Management secondary offering</w:t>
      </w:r>
      <w:r>
        <w:rPr>
          <w:rFonts w:ascii="Arial;sans-serif" w:hAnsi="Arial;sans-serif"/>
          <w:b w:val="false"/>
          <w:color w:val="0A0A0A"/>
          <w:sz w:val="20"/>
          <w:highlight w:val="white"/>
        </w:rPr>
        <w:t xml:space="preserve">. The Company also completed its $25 million accelerated share repurchase program resulting in the repurchase of </w:t>
      </w:r>
      <w:r>
        <w:rPr>
          <w:rFonts w:ascii="Arial;sans-serif" w:hAnsi="Arial;sans-serif"/>
          <w:b w:val="false"/>
          <w:color w:val="000000"/>
          <w:sz w:val="20"/>
        </w:rPr>
        <w:t>480,932</w:t>
      </w:r>
      <w:r>
        <w:rPr>
          <w:color w:val="0A0A0A"/>
          <w:highlight w:val="white"/>
        </w:rPr>
        <w:t xml:space="preserve"> </w:t>
      </w:r>
      <w:r>
        <w:rPr>
          <w:rFonts w:ascii="Arial;sans-serif" w:hAnsi="Arial;sans-serif"/>
          <w:b w:val="false"/>
          <w:color w:val="0A0A0A"/>
          <w:sz w:val="20"/>
          <w:highlight w:val="white"/>
        </w:rPr>
        <w:t xml:space="preserve">additional shares. It still has </w:t>
      </w:r>
      <w:r>
        <w:rPr>
          <w:rFonts w:ascii="Arial;sans-serif" w:hAnsi="Arial;sans-serif"/>
          <w:b w:val="false"/>
          <w:color w:val="000000"/>
          <w:sz w:val="20"/>
        </w:rPr>
        <w:t>$10.2 million</w:t>
      </w:r>
      <w:r>
        <w:rPr>
          <w:color w:val="0A0A0A"/>
          <w:highlight w:val="white"/>
        </w:rPr>
        <w:t xml:space="preserve"> </w:t>
      </w:r>
      <w:r>
        <w:rPr>
          <w:rFonts w:ascii="Arial;sans-serif" w:hAnsi="Arial;sans-serif"/>
          <w:b w:val="false"/>
          <w:color w:val="0A0A0A"/>
          <w:sz w:val="20"/>
          <w:highlight w:val="white"/>
        </w:rPr>
        <w:t xml:space="preserve">authorized by the board of directors available for share repurchases. </w:t>
      </w:r>
    </w:p>
    <w:p>
      <w:pPr>
        <w:pStyle w:val="TextBody"/>
        <w:spacing w:lineRule="auto" w:line="288" w:before="0" w:after="0"/>
        <w:ind w:left="0" w:right="0" w:hanging="360"/>
        <w:rPr/>
      </w:pPr>
      <w:r>
        <w:rPr>
          <w:color w:val="000000"/>
          <w:highlight w:val="white"/>
        </w:rPr>
        <w:t>•</w:t>
      </w:r>
      <w:r>
        <w:rPr>
          <w:rFonts w:ascii="Arial;sans-serif" w:hAnsi="Arial;sans-serif"/>
          <w:b w:val="false"/>
          <w:color w:val="000000"/>
          <w:sz w:val="20"/>
          <w:highlight w:val="white"/>
        </w:rPr>
        <w:t>Named Jennifer Vogel as chair of the board of directors, the Company’s first female chairperson. She oversees a diverse board that is comprised of 50% women.</w:t>
      </w:r>
    </w:p>
    <w:p>
      <w:pPr>
        <w:pStyle w:val="TextBody"/>
        <w:spacing w:lineRule="auto" w:line="288" w:before="240" w:after="283"/>
        <w:jc w:val="both"/>
        <w:rPr>
          <w:rFonts w:ascii="Arial;sans-serif" w:hAnsi="Arial;sans-serif"/>
          <w:b/>
          <w:color w:val="0A0A0A"/>
          <w:sz w:val="20"/>
          <w:highlight w:val="white"/>
        </w:rPr>
      </w:pPr>
      <w:r>
        <w:rPr>
          <w:rFonts w:ascii="Arial;sans-serif" w:hAnsi="Arial;sans-serif"/>
          <w:b/>
          <w:color w:val="0A0A0A"/>
          <w:sz w:val="20"/>
          <w:highlight w:val="white"/>
        </w:rPr>
        <w:t>Capacity</w:t>
      </w:r>
    </w:p>
    <w:p>
      <w:pPr>
        <w:pStyle w:val="TextBody"/>
        <w:spacing w:lineRule="auto" w:line="288" w:before="240" w:after="283"/>
        <w:rPr>
          <w:rFonts w:ascii="Arial;sans-serif" w:hAnsi="Arial;sans-serif"/>
          <w:b w:val="false"/>
          <w:color w:val="0A0A0A"/>
          <w:sz w:val="20"/>
          <w:highlight w:val="white"/>
        </w:rPr>
      </w:pPr>
      <w:r>
        <w:rPr>
          <w:rFonts w:ascii="Arial;sans-serif" w:hAnsi="Arial;sans-serif"/>
          <w:b w:val="false"/>
          <w:color w:val="0A0A0A"/>
          <w:sz w:val="20"/>
          <w:highlight w:val="white"/>
        </w:rPr>
        <w:t>System block hours flown during the first quarter of 2023 grew by 3.8% year over year. Cargo and charter block hours grew 5.2% and 32.9% respectively year over year, as more Amazon aircraft were available to fly and our contract charter business continues to expand. Scheduled service flying declined by 2.2% year over year and is expected to resume year over year growth in the second quarter.</w:t>
      </w:r>
    </w:p>
    <w:p>
      <w:pPr>
        <w:pStyle w:val="TextBody"/>
        <w:spacing w:lineRule="auto" w:line="288" w:before="240" w:after="283"/>
        <w:rPr>
          <w:rFonts w:ascii="Arial;sans-serif" w:hAnsi="Arial;sans-serif"/>
          <w:b w:val="false"/>
          <w:color w:val="0A0A0A"/>
          <w:sz w:val="20"/>
          <w:highlight w:val="white"/>
        </w:rPr>
      </w:pPr>
      <w:r>
        <w:rPr>
          <w:rFonts w:ascii="Arial;sans-serif" w:hAnsi="Arial;sans-serif"/>
          <w:b w:val="false"/>
          <w:color w:val="0A0A0A"/>
          <w:sz w:val="20"/>
          <w:highlight w:val="white"/>
        </w:rPr>
        <w:t>Charter block hours under long-term contracts comprised 81% of the total charter flying performed in the first quarter of 2023. As the Company begins to normalize its aircraft utilization, it intends to pursue more ad-hoc charter flying.</w:t>
      </w:r>
    </w:p>
    <w:p>
      <w:pPr>
        <w:pStyle w:val="TextBody"/>
        <w:spacing w:lineRule="auto" w:line="288" w:before="240" w:after="283"/>
        <w:jc w:val="both"/>
        <w:rPr>
          <w:rFonts w:ascii="Arial;sans-serif" w:hAnsi="Arial;sans-serif"/>
          <w:b/>
          <w:color w:val="0A0A0A"/>
          <w:sz w:val="20"/>
          <w:highlight w:val="white"/>
        </w:rPr>
      </w:pPr>
      <w:r>
        <w:rPr>
          <w:rFonts w:ascii="Arial;sans-serif" w:hAnsi="Arial;sans-serif"/>
          <w:b/>
          <w:color w:val="0A0A0A"/>
          <w:sz w:val="20"/>
          <w:highlight w:val="white"/>
        </w:rPr>
        <w:t xml:space="preserve">Revenue </w:t>
      </w:r>
    </w:p>
    <w:p>
      <w:pPr>
        <w:pStyle w:val="TextBody"/>
        <w:spacing w:lineRule="auto" w:line="288" w:before="240" w:after="283"/>
        <w:rPr/>
      </w:pPr>
      <w:r>
        <w:rPr>
          <w:rFonts w:ascii="Arial;sans-serif" w:hAnsi="Arial;sans-serif"/>
          <w:b w:val="false"/>
          <w:color w:val="0A0A0A"/>
          <w:sz w:val="20"/>
          <w:highlight w:val="white"/>
        </w:rPr>
        <w:t xml:space="preserve">For the first quarter of 2023, the Company reported total revenue of $294 million, which was 29.8% more than the first quarter of 2022. </w:t>
      </w:r>
      <w:r>
        <w:rPr>
          <w:rFonts w:ascii="Arial;sans-serif" w:hAnsi="Arial;sans-serif"/>
          <w:b w:val="false"/>
          <w:color w:val="000000"/>
          <w:sz w:val="20"/>
          <w:highlight w:val="white"/>
        </w:rPr>
        <w:t>The Company’s scheduled service TRASM</w:t>
      </w:r>
      <w:r>
        <w:rPr>
          <w:rFonts w:ascii="Arial;sans-serif" w:hAnsi="Arial;sans-serif"/>
          <w:b w:val="false"/>
          <w:color w:val="000000"/>
          <w:sz w:val="13"/>
          <w:highlight w:val="white"/>
        </w:rPr>
        <w:t>(3)</w:t>
      </w:r>
      <w:r>
        <w:rPr>
          <w:color w:val="000000"/>
          <w:highlight w:val="white"/>
        </w:rPr>
        <w:t xml:space="preserve"> </w:t>
      </w:r>
      <w:r>
        <w:rPr>
          <w:rFonts w:ascii="Arial;sans-serif" w:hAnsi="Arial;sans-serif"/>
          <w:b w:val="false"/>
          <w:color w:val="000000"/>
          <w:sz w:val="20"/>
          <w:highlight w:val="white"/>
        </w:rPr>
        <w:t xml:space="preserve">of 13.8 cents in the </w:t>
      </w:r>
      <w:r>
        <w:rPr>
          <w:rFonts w:ascii="Arial;sans-serif" w:hAnsi="Arial;sans-serif"/>
          <w:b w:val="false"/>
          <w:color w:val="0A0A0A"/>
          <w:sz w:val="20"/>
          <w:highlight w:val="white"/>
        </w:rPr>
        <w:t>first</w:t>
      </w:r>
      <w:r>
        <w:rPr>
          <w:color w:val="000000"/>
          <w:highlight w:val="white"/>
        </w:rPr>
        <w:t xml:space="preserve"> </w:t>
      </w:r>
      <w:r>
        <w:rPr>
          <w:rFonts w:ascii="Arial;sans-serif" w:hAnsi="Arial;sans-serif"/>
          <w:b w:val="false"/>
          <w:color w:val="000000"/>
          <w:sz w:val="20"/>
          <w:highlight w:val="white"/>
        </w:rPr>
        <w:t xml:space="preserve">quarter of 2023 increased 34.7% year over year while scheduled service ASMs decreased 3.5%. The first quarter 2023 average total fare of $221 exceeded </w:t>
      </w:r>
      <w:r>
        <w:rPr>
          <w:rFonts w:ascii="Arial;sans-serif" w:hAnsi="Arial;sans-serif"/>
          <w:b w:val="false"/>
          <w:color w:val="0A0A0A"/>
          <w:sz w:val="20"/>
          <w:highlight w:val="white"/>
        </w:rPr>
        <w:t>first</w:t>
      </w:r>
      <w:r>
        <w:rPr>
          <w:color w:val="000000"/>
          <w:highlight w:val="white"/>
        </w:rPr>
        <w:t xml:space="preserve"> </w:t>
      </w:r>
      <w:r>
        <w:rPr>
          <w:rFonts w:ascii="Arial;sans-serif" w:hAnsi="Arial;sans-serif"/>
          <w:b w:val="false"/>
          <w:color w:val="000000"/>
          <w:sz w:val="20"/>
          <w:highlight w:val="white"/>
        </w:rPr>
        <w:t xml:space="preserve">quarter 2022 by 20.8% and included strong average ancillary revenue per passenger of $69. In the first quarter of 2023, the Company’s charter service revenue was $46 million, an increase of 40.5% year over year. On a rate basis, </w:t>
      </w:r>
      <w:r>
        <w:rPr>
          <w:rFonts w:ascii="Arial;sans-serif" w:hAnsi="Arial;sans-serif"/>
          <w:b w:val="false"/>
          <w:color w:val="0A0A0A"/>
          <w:sz w:val="20"/>
          <w:highlight w:val="white"/>
        </w:rPr>
        <w:t>first</w:t>
      </w:r>
      <w:r>
        <w:rPr>
          <w:color w:val="000000"/>
          <w:highlight w:val="white"/>
        </w:rPr>
        <w:t xml:space="preserve"> </w:t>
      </w:r>
      <w:r>
        <w:rPr>
          <w:rFonts w:ascii="Arial;sans-serif" w:hAnsi="Arial;sans-serif"/>
          <w:b w:val="false"/>
          <w:color w:val="000000"/>
          <w:sz w:val="20"/>
          <w:highlight w:val="white"/>
        </w:rPr>
        <w:t xml:space="preserve">quarter 2023 charter revenue per block hour was 5.7% higher than the rate in the </w:t>
      </w:r>
      <w:r>
        <w:rPr>
          <w:rFonts w:ascii="Arial;sans-serif" w:hAnsi="Arial;sans-serif"/>
          <w:b w:val="false"/>
          <w:color w:val="0A0A0A"/>
          <w:sz w:val="20"/>
          <w:highlight w:val="white"/>
        </w:rPr>
        <w:t>first</w:t>
      </w:r>
      <w:r>
        <w:rPr>
          <w:color w:val="000000"/>
          <w:highlight w:val="white"/>
        </w:rPr>
        <w:t xml:space="preserve"> </w:t>
      </w:r>
      <w:r>
        <w:rPr>
          <w:rFonts w:ascii="Arial;sans-serif" w:hAnsi="Arial;sans-serif"/>
          <w:b w:val="false"/>
          <w:color w:val="000000"/>
          <w:sz w:val="20"/>
          <w:highlight w:val="white"/>
        </w:rPr>
        <w:t xml:space="preserve">quarter of 2022. </w:t>
      </w:r>
    </w:p>
    <w:p>
      <w:pPr>
        <w:pStyle w:val="TextBody"/>
        <w:spacing w:lineRule="auto" w:line="288" w:before="240" w:after="283"/>
        <w:rPr>
          <w:rFonts w:ascii="Arial;sans-serif" w:hAnsi="Arial;sans-serif"/>
          <w:b w:val="false"/>
          <w:color w:val="000000"/>
          <w:sz w:val="20"/>
          <w:highlight w:val="white"/>
        </w:rPr>
      </w:pPr>
      <w:r>
        <w:rPr>
          <w:rFonts w:ascii="Arial;sans-serif" w:hAnsi="Arial;sans-serif"/>
          <w:b w:val="false"/>
          <w:color w:val="000000"/>
          <w:sz w:val="20"/>
          <w:highlight w:val="white"/>
        </w:rPr>
        <w:t>In the first quarter of 2023, cargo revenue was $23 million, a 11.0% increase versus the first quarter of 2022. The variance was primarily driven by a 5.2% increase in block hours and the annual rate escalation which went into effect in mid-December 2022.</w:t>
      </w:r>
    </w:p>
    <w:p>
      <w:pPr>
        <w:pStyle w:val="TextBody"/>
        <w:spacing w:lineRule="auto" w:line="288" w:before="240" w:after="283"/>
        <w:rPr>
          <w:rFonts w:ascii="Arial;sans-serif" w:hAnsi="Arial;sans-serif"/>
          <w:b/>
          <w:color w:val="0A0A0A"/>
          <w:sz w:val="20"/>
          <w:highlight w:val="white"/>
        </w:rPr>
      </w:pPr>
      <w:r>
        <w:rPr>
          <w:rFonts w:ascii="Arial;sans-serif" w:hAnsi="Arial;sans-serif"/>
          <w:b/>
          <w:color w:val="0A0A0A"/>
          <w:sz w:val="20"/>
          <w:highlight w:val="white"/>
        </w:rPr>
        <w:t>Cost</w:t>
      </w:r>
    </w:p>
    <w:p>
      <w:pPr>
        <w:pStyle w:val="TextBody"/>
        <w:spacing w:lineRule="auto" w:line="288" w:before="240" w:after="283"/>
        <w:rPr/>
      </w:pPr>
      <w:r>
        <w:rPr>
          <w:rFonts w:ascii="Arial;sans-serif" w:hAnsi="Arial;sans-serif"/>
          <w:b w:val="false"/>
          <w:color w:val="0A0A0A"/>
          <w:sz w:val="20"/>
          <w:highlight w:val="white"/>
        </w:rPr>
        <w:t>For the first quarter of 2023, total GAAP operating expenses increased 16.4% year over year, primarily due to a 12.0% increase in aircraft fuel expense and a 26.5% increase in salaries, wages, and benefits compared to first quarter 2022. Adjusted CASM</w:t>
      </w:r>
      <w:r>
        <w:rPr>
          <w:rFonts w:ascii="Arial;sans-serif" w:hAnsi="Arial;sans-serif"/>
          <w:b w:val="false"/>
          <w:color w:val="0A0A0A"/>
          <w:sz w:val="13"/>
          <w:highlight w:val="white"/>
        </w:rPr>
        <w:t>(5)</w:t>
      </w:r>
      <w:r>
        <w:rPr>
          <w:color w:val="0A0A0A"/>
          <w:highlight w:val="white"/>
        </w:rPr>
        <w:t xml:space="preserve"> </w:t>
      </w:r>
      <w:r>
        <w:rPr>
          <w:rFonts w:ascii="Arial;sans-serif" w:hAnsi="Arial;sans-serif"/>
          <w:b w:val="false"/>
          <w:color w:val="0A0A0A"/>
          <w:sz w:val="20"/>
          <w:highlight w:val="white"/>
        </w:rPr>
        <w:t xml:space="preserve">in the first quarter increased 14.3% versus the first quarter 2022 on a decrease in daily aircraft utilization of 15.1% for the same period. </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2</w:t>
                      </w:r>
                    </w:p>
                  </w:txbxContent>
                </v:textbox>
              </v:rect>
            </w:pict>
          </mc:Fallback>
        </mc:AlternateContent>
      </w:r>
    </w:p>
    <w:p>
      <w:pPr>
        <w:pStyle w:val="TextBody"/>
        <w:spacing w:lineRule="auto" w:line="288" w:before="240" w:after="283"/>
        <w:rPr>
          <w:rFonts w:ascii="Arial;sans-serif" w:hAnsi="Arial;sans-serif"/>
          <w:b/>
          <w:color w:val="0A0A0A"/>
          <w:sz w:val="20"/>
          <w:highlight w:val="white"/>
        </w:rPr>
      </w:pPr>
      <w:r>
        <w:rPr>
          <w:rFonts w:ascii="Arial;sans-serif" w:hAnsi="Arial;sans-serif"/>
          <w:b/>
          <w:color w:val="0A0A0A"/>
          <w:sz w:val="20"/>
          <w:highlight w:val="white"/>
        </w:rPr>
        <w:t>Balance Sheet and Liquidity</w:t>
      </w:r>
    </w:p>
    <w:p>
      <w:pPr>
        <w:pStyle w:val="TextBody"/>
        <w:spacing w:lineRule="auto" w:line="288" w:before="240" w:after="283"/>
        <w:jc w:val="both"/>
        <w:rPr/>
      </w:pPr>
      <w:r>
        <w:rPr>
          <w:rFonts w:ascii="Arial;sans-serif" w:hAnsi="Arial;sans-serif"/>
          <w:b w:val="false"/>
          <w:color w:val="0A0A0A"/>
          <w:sz w:val="20"/>
          <w:highlight w:val="white"/>
        </w:rPr>
        <w:t>Total liquidity</w:t>
      </w:r>
      <w:r>
        <w:rPr>
          <w:rFonts w:ascii="Arial;sans-serif" w:hAnsi="Arial;sans-serif"/>
          <w:b w:val="false"/>
          <w:color w:val="0A0A0A"/>
          <w:sz w:val="13"/>
          <w:highlight w:val="white"/>
        </w:rPr>
        <w:t>(7)</w:t>
      </w:r>
      <w:r>
        <w:rPr>
          <w:color w:val="0A0A0A"/>
          <w:highlight w:val="white"/>
        </w:rPr>
        <w:t xml:space="preserve"> </w:t>
      </w:r>
      <w:r>
        <w:rPr>
          <w:rFonts w:ascii="Arial;sans-serif" w:hAnsi="Arial;sans-serif"/>
          <w:b w:val="false"/>
          <w:color w:val="0A0A0A"/>
          <w:sz w:val="20"/>
          <w:highlight w:val="white"/>
        </w:rPr>
        <w:t>was $262 million on March 31, 2023, while the Company’s net debt</w:t>
      </w:r>
      <w:r>
        <w:rPr>
          <w:rFonts w:ascii="Arial;sans-serif" w:hAnsi="Arial;sans-serif"/>
          <w:b w:val="false"/>
          <w:color w:val="0A0A0A"/>
          <w:sz w:val="13"/>
          <w:highlight w:val="white"/>
        </w:rPr>
        <w:t>(6)</w:t>
      </w:r>
      <w:r>
        <w:rPr>
          <w:color w:val="0A0A0A"/>
          <w:highlight w:val="white"/>
        </w:rPr>
        <w:t xml:space="preserve"> </w:t>
      </w:r>
      <w:r>
        <w:rPr>
          <w:rFonts w:ascii="Arial;sans-serif" w:hAnsi="Arial;sans-serif"/>
          <w:b w:val="false"/>
          <w:color w:val="0A0A0A"/>
          <w:sz w:val="20"/>
          <w:highlight w:val="white"/>
        </w:rPr>
        <w:t>was $449 million.</w:t>
      </w:r>
    </w:p>
    <w:p>
      <w:pPr>
        <w:pStyle w:val="TextBody"/>
        <w:spacing w:before="0" w:after="0"/>
        <w:rPr/>
      </w:pPr>
      <w:r>
        <w:rPr/>
      </w:r>
    </w:p>
    <w:tbl>
      <w:tblPr>
        <w:tblW w:w="7602" w:type="dxa"/>
        <w:jc w:val="left"/>
        <w:tblInd w:w="0" w:type="dxa"/>
        <w:tblCellMar>
          <w:top w:w="28" w:type="dxa"/>
          <w:left w:w="28" w:type="dxa"/>
          <w:bottom w:w="28" w:type="dxa"/>
          <w:right w:w="28" w:type="dxa"/>
        </w:tblCellMar>
      </w:tblPr>
      <w:tblGrid>
        <w:gridCol w:w="1591"/>
        <w:gridCol w:w="1397"/>
        <w:gridCol w:w="1407"/>
        <w:gridCol w:w="275"/>
        <w:gridCol w:w="843"/>
        <w:gridCol w:w="142"/>
        <w:gridCol w:w="109"/>
        <w:gridCol w:w="109"/>
        <w:gridCol w:w="109"/>
        <w:gridCol w:w="338"/>
        <w:gridCol w:w="1036"/>
        <w:gridCol w:w="246"/>
      </w:tblGrid>
      <w:tr>
        <w:trPr/>
        <w:tc>
          <w:tcPr>
            <w:tcW w:w="1591"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7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1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1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16"/>
              </w:rPr>
            </w:pPr>
            <w:r>
              <w:rPr>
                <w:rFonts w:ascii="Arial;sans-serif" w:hAnsi="Arial;sans-serif"/>
                <w:b/>
                <w:color w:val="000000"/>
                <w:sz w:val="16"/>
              </w:rPr>
              <w:t>(in millions)</w:t>
            </w:r>
          </w:p>
        </w:tc>
        <w:tc>
          <w:tcPr>
            <w:tcW w:w="126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27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352.2 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1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1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629.6 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111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1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364.9 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color w:val="0A0A0A"/>
          <w:sz w:val="20"/>
          <w:highlight w:val="white"/>
        </w:rPr>
      </w:pPr>
      <w:r>
        <w:rPr>
          <w:rFonts w:ascii="Arial;sans-serif" w:hAnsi="Arial;sans-serif"/>
          <w:b/>
          <w:color w:val="0A0A0A"/>
          <w:sz w:val="20"/>
          <w:highlight w:val="white"/>
        </w:rPr>
        <w:t>Fleet</w:t>
      </w:r>
    </w:p>
    <w:p>
      <w:pPr>
        <w:pStyle w:val="TextBody"/>
        <w:spacing w:lineRule="auto" w:line="288" w:before="240" w:after="100"/>
        <w:jc w:val="both"/>
        <w:rPr/>
      </w:pPr>
      <w:r>
        <w:rPr>
          <w:rFonts w:ascii="Arial;sans-serif" w:hAnsi="Arial;sans-serif"/>
          <w:b w:val="false"/>
          <w:color w:val="000000"/>
          <w:sz w:val="20"/>
          <w:highlight w:val="white"/>
        </w:rPr>
        <w:t xml:space="preserve">As of March 31, 2023, the Company had 42 aircraft in its passenger service fleet, operated </w:t>
      </w:r>
      <w:r>
        <w:rPr>
          <w:rFonts w:ascii="Arial;sans-serif" w:hAnsi="Arial;sans-serif"/>
          <w:b w:val="false"/>
          <w:color w:val="000000"/>
          <w:sz w:val="20"/>
        </w:rPr>
        <w:t>12</w:t>
      </w:r>
      <w:r>
        <w:rPr>
          <w:color w:val="000000"/>
          <w:highlight w:val="white"/>
        </w:rPr>
        <w:t xml:space="preserve"> </w:t>
      </w:r>
      <w:r>
        <w:rPr>
          <w:rFonts w:ascii="Arial;sans-serif" w:hAnsi="Arial;sans-serif"/>
          <w:b w:val="false"/>
          <w:color w:val="000000"/>
          <w:sz w:val="20"/>
          <w:highlight w:val="white"/>
        </w:rPr>
        <w:t>freighter aircraft in its cargo operation, and had three aircraft held for operating lease.</w:t>
      </w:r>
    </w:p>
    <w:p>
      <w:pPr>
        <w:pStyle w:val="TextBody"/>
        <w:spacing w:lineRule="auto" w:line="288" w:before="240" w:after="283"/>
        <w:rPr>
          <w:rFonts w:ascii="Arial;sans-serif" w:hAnsi="Arial;sans-serif"/>
          <w:b/>
          <w:color w:val="0A0A0A"/>
          <w:sz w:val="20"/>
        </w:rPr>
      </w:pPr>
      <w:r>
        <w:rPr>
          <w:rFonts w:ascii="Arial;sans-serif" w:hAnsi="Arial;sans-serif"/>
          <w:b/>
          <w:color w:val="0A0A0A"/>
          <w:sz w:val="20"/>
        </w:rPr>
        <w:t>Guidance for Second Quarter 2023</w:t>
      </w:r>
    </w:p>
    <w:tbl>
      <w:tblPr>
        <w:tblW w:w="6104" w:type="dxa"/>
        <w:jc w:val="left"/>
        <w:tblInd w:w="0" w:type="dxa"/>
        <w:tblCellMar>
          <w:top w:w="28" w:type="dxa"/>
          <w:left w:w="28" w:type="dxa"/>
          <w:bottom w:w="28" w:type="dxa"/>
          <w:right w:w="28" w:type="dxa"/>
        </w:tblCellMar>
      </w:tblPr>
      <w:tblGrid>
        <w:gridCol w:w="1243"/>
        <w:gridCol w:w="1094"/>
        <w:gridCol w:w="1097"/>
        <w:gridCol w:w="409"/>
        <w:gridCol w:w="409"/>
        <w:gridCol w:w="412"/>
        <w:gridCol w:w="420"/>
        <w:gridCol w:w="420"/>
        <w:gridCol w:w="600"/>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A0A0A"/>
                <w:sz w:val="16"/>
              </w:rPr>
            </w:pPr>
            <w:r>
              <w:rPr>
                <w:rFonts w:ascii="Arial;sans-serif" w:hAnsi="Arial;sans-serif"/>
                <w:b/>
                <w:color w:val="0A0A0A"/>
                <w:sz w:val="16"/>
              </w:rPr>
              <w:t>Q2 2023</w:t>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H/(L) vs Q2 2022</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revenue - millions</w:t>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$255 to $265</w:t>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16% to 21%</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Economic fuel cost per gallon</w:t>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$2.85</w:t>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(35%)</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 margin - percentage</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11% to 16%</w:t>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9pp to 14pp</w:t>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Effective tax rate</w:t>
            </w:r>
          </w:p>
        </w:tc>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23%</w:t>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system block hours - thousands</w:t>
            </w:r>
          </w:p>
        </w:tc>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34 to 35</w:t>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A0A0A"/>
                <w:sz w:val="20"/>
              </w:rPr>
            </w:pPr>
            <w:r>
              <w:rPr>
                <w:rFonts w:ascii="Arial;sans-serif" w:hAnsi="Arial;sans-serif"/>
                <w:b w:val="false"/>
                <w:color w:val="0A0A0A"/>
                <w:sz w:val="20"/>
              </w:rPr>
              <w:t>11% to 14%</w:t>
            </w:r>
          </w:p>
        </w:tc>
      </w:tr>
    </w:tbl>
    <w:p>
      <w:pPr>
        <w:pStyle w:val="TextBody"/>
        <w:spacing w:before="240" w:after="283"/>
        <w:rPr/>
      </w:pPr>
      <w:r>
        <w:rPr/>
      </w:r>
    </w:p>
    <w:p>
      <w:pPr>
        <w:pStyle w:val="TextBody"/>
        <w:spacing w:lineRule="auto" w:line="288" w:before="0" w:after="0"/>
        <w:rPr>
          <w:rFonts w:ascii="Arial;sans-serif" w:hAnsi="Arial;sans-serif"/>
          <w:b/>
          <w:color w:val="0A0A0A"/>
          <w:sz w:val="20"/>
          <w:highlight w:val="white"/>
        </w:rPr>
      </w:pPr>
      <w:r>
        <w:rPr>
          <w:rFonts w:ascii="Arial;sans-serif" w:hAnsi="Arial;sans-serif"/>
          <w:b/>
          <w:color w:val="0A0A0A"/>
          <w:sz w:val="20"/>
          <w:highlight w:val="white"/>
        </w:rPr>
        <w:t>Conference Call &amp; Webcast Details</w:t>
      </w:r>
    </w:p>
    <w:p>
      <w:pPr>
        <w:pStyle w:val="TextBody"/>
        <w:spacing w:lineRule="auto" w:line="288" w:before="240" w:after="283"/>
        <w:rPr/>
      </w:pPr>
      <w:r>
        <w:rPr>
          <w:rFonts w:ascii="Arial;sans-serif" w:hAnsi="Arial;sans-serif"/>
          <w:b w:val="false"/>
          <w:color w:val="0A0A0A"/>
          <w:sz w:val="20"/>
          <w:highlight w:val="white"/>
        </w:rPr>
        <w:t>Sun Country Airlines will host a conference call to discuss its first quarter 2023 results at 8:30 a.m. Eastern Time on Friday, April 28, 2023. A live broadcast of the conference call will be available via the investor relations section of Sun Country Airlines’ website at</w:t>
      </w:r>
      <w:r>
        <w:rPr>
          <w:color w:val="0A0A0A"/>
          <w:highlight w:val="white"/>
          <w:u w:val="single"/>
        </w:rPr>
        <w:t xml:space="preserve"> </w:t>
      </w:r>
      <w:r>
        <w:rPr>
          <w:rFonts w:ascii="Arial;sans-serif" w:hAnsi="Arial;sans-serif"/>
          <w:b w:val="false"/>
          <w:color w:val="026DCE"/>
          <w:sz w:val="20"/>
          <w:highlight w:val="white"/>
          <w:u w:val="single"/>
        </w:rPr>
        <w:t>https://ir.suncountry.com/news-events/events-and-presentations</w:t>
      </w:r>
      <w:r>
        <w:rPr>
          <w:rFonts w:ascii="Arial;sans-serif" w:hAnsi="Arial;sans-serif"/>
          <w:b w:val="false"/>
          <w:color w:val="0A0A0A"/>
          <w:sz w:val="20"/>
          <w:highlight w:val="white"/>
        </w:rPr>
        <w:t>.</w:t>
      </w:r>
      <w:r>
        <w:rPr>
          <w:color w:val="000000"/>
          <w:highlight w:val="white"/>
        </w:rPr>
        <w:t xml:space="preserve"> </w:t>
      </w:r>
      <w:r>
        <w:rPr>
          <w:rFonts w:ascii="Arial;sans-serif" w:hAnsi="Arial;sans-serif"/>
          <w:b w:val="false"/>
          <w:color w:val="000000"/>
          <w:sz w:val="20"/>
          <w:highlight w:val="white"/>
        </w:rPr>
        <w:t>The online replay will be available on the same website approximately one hour after the call.</w:t>
      </w:r>
    </w:p>
    <w:p>
      <w:pPr>
        <w:pStyle w:val="TextBody"/>
        <w:spacing w:lineRule="auto" w:line="288" w:before="240" w:after="160"/>
        <w:rPr>
          <w:rFonts w:ascii="Arial;sans-serif" w:hAnsi="Arial;sans-serif"/>
          <w:b/>
          <w:color w:val="0A0A0A"/>
          <w:sz w:val="20"/>
          <w:highlight w:val="white"/>
        </w:rPr>
      </w:pPr>
      <w:r>
        <w:rPr>
          <w:rFonts w:ascii="Arial;sans-serif" w:hAnsi="Arial;sans-serif"/>
          <w:b/>
          <w:color w:val="0A0A0A"/>
          <w:sz w:val="20"/>
          <w:highlight w:val="white"/>
        </w:rPr>
        <w:t>About Sun Country Airlines</w:t>
      </w:r>
    </w:p>
    <w:p>
      <w:pPr>
        <w:pStyle w:val="TextBody"/>
        <w:spacing w:lineRule="auto" w:line="288" w:before="240" w:after="283"/>
        <w:jc w:val="both"/>
        <w:rPr>
          <w:rFonts w:ascii="Arial;sans-serif" w:hAnsi="Arial;sans-serif"/>
          <w:b w:val="false"/>
          <w:color w:val="0A0A0A"/>
          <w:sz w:val="20"/>
          <w:highlight w:val="white"/>
        </w:rPr>
      </w:pPr>
      <w:r>
        <w:rPr>
          <w:rFonts w:ascii="Arial;sans-serif" w:hAnsi="Arial;sans-serif"/>
          <w:b w:val="false"/>
          <w:color w:val="0A0A0A"/>
          <w:sz w:val="20"/>
          <w:highlight w:val="white"/>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services, with flights throughout the United States and to destinations in Mexico, Central America, Canada, and the Caribbean.</w:t>
      </w:r>
    </w:p>
    <w:p>
      <w:pPr>
        <w:pStyle w:val="TextBody"/>
        <w:spacing w:before="0" w:after="0"/>
        <w:jc w:val="both"/>
        <w:rPr/>
      </w:pPr>
      <w:r>
        <w:rPr/>
      </w:r>
    </w:p>
    <w:p>
      <w:pPr>
        <w:pStyle w:val="TextBody"/>
        <w:spacing w:lineRule="auto" w:line="288"/>
        <w:jc w:val="both"/>
        <w:rPr>
          <w:rFonts w:ascii="Arial;sans-serif" w:hAnsi="Arial;sans-serif"/>
          <w:b/>
          <w:color w:val="0A0A0A"/>
          <w:sz w:val="20"/>
          <w:highlight w:val="white"/>
        </w:rPr>
      </w:pPr>
      <w:r>
        <w:rPr>
          <w:rFonts w:ascii="Arial;sans-serif" w:hAnsi="Arial;sans-serif"/>
          <w:b/>
          <w:color w:val="0A0A0A"/>
          <w:sz w:val="20"/>
          <w:highlight w:val="white"/>
        </w:rPr>
        <w:t>End Notes</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3</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9"/>
        <w:gridCol w:w="113"/>
        <w:gridCol w:w="113"/>
        <w:gridCol w:w="3377"/>
        <w:gridCol w:w="2678"/>
        <w:gridCol w:w="3795"/>
      </w:tblGrid>
      <w:tr>
        <w:trPr/>
        <w:tc>
          <w:tcPr>
            <w:tcW w:w="12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77" w:type="dxa"/>
            <w:tcBorders/>
            <w:shd w:fill="auto" w:val="clear"/>
            <w:vAlign w:val="center"/>
          </w:tcPr>
          <w:p>
            <w:pPr>
              <w:pStyle w:val="TableContents"/>
              <w:spacing w:before="0" w:after="283"/>
              <w:rPr>
                <w:sz w:val="4"/>
                <w:szCs w:val="4"/>
              </w:rPr>
            </w:pPr>
            <w:r>
              <w:rPr>
                <w:sz w:val="4"/>
                <w:szCs w:val="4"/>
              </w:rPr>
            </w:r>
          </w:p>
        </w:tc>
        <w:tc>
          <w:tcPr>
            <w:tcW w:w="2678" w:type="dxa"/>
            <w:tcBorders/>
            <w:shd w:fill="auto" w:val="clear"/>
            <w:vAlign w:val="center"/>
          </w:tcPr>
          <w:p>
            <w:pPr>
              <w:pStyle w:val="TableContents"/>
              <w:spacing w:before="0" w:after="283"/>
              <w:rPr>
                <w:sz w:val="4"/>
                <w:szCs w:val="4"/>
              </w:rPr>
            </w:pPr>
            <w:r>
              <w:rPr>
                <w:sz w:val="4"/>
                <w:szCs w:val="4"/>
              </w:rPr>
            </w:r>
          </w:p>
        </w:tc>
        <w:tc>
          <w:tcPr>
            <w:tcW w:w="3795" w:type="dxa"/>
            <w:tcBorders/>
            <w:shd w:fill="auto" w:val="clear"/>
            <w:vAlign w:val="center"/>
          </w:tcPr>
          <w:p>
            <w:pPr>
              <w:pStyle w:val="TableContents"/>
              <w:spacing w:before="0" w:after="283"/>
              <w:rPr>
                <w:sz w:val="4"/>
                <w:szCs w:val="4"/>
              </w:rPr>
            </w:pPr>
            <w:r>
              <w:rPr>
                <w:sz w:val="4"/>
                <w:szCs w:val="4"/>
              </w:rPr>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20"/>
              </w:rPr>
            </w:pPr>
            <w:r>
              <w:rPr>
                <w:rFonts w:ascii="Arial;sans-serif" w:hAnsi="Arial;sans-serif"/>
                <w:b w:val="false"/>
                <w:color w:val="000000"/>
                <w:sz w:val="20"/>
              </w:rPr>
              <w:t>1 -</w:t>
            </w:r>
          </w:p>
        </w:tc>
        <w:tc>
          <w:tcPr>
            <w:tcW w:w="9850" w:type="dxa"/>
            <w:gridSpan w:val="3"/>
            <w:tcBorders/>
            <w:shd w:fill="FFFFFF" w:val="clear"/>
            <w:tcMar>
              <w:top w:w="0" w:type="dxa"/>
              <w:left w:w="0" w:type="dxa"/>
              <w:bottom w:w="0" w:type="dxa"/>
              <w:right w:w="0" w:type="dxa"/>
            </w:tcMar>
            <w:vAlign w:val="center"/>
          </w:tcPr>
          <w:p>
            <w:pPr>
              <w:pStyle w:val="TableContents"/>
              <w:spacing w:lineRule="auto" w:line="268" w:before="0" w:after="283"/>
              <w:jc w:val="both"/>
              <w:rPr>
                <w:rFonts w:ascii="Arial;sans-serif" w:hAnsi="Arial;sans-serif"/>
                <w:b w:val="false"/>
                <w:color w:val="000000"/>
                <w:sz w:val="20"/>
                <w:highlight w:val="white"/>
              </w:rPr>
            </w:pPr>
            <w:r>
              <w:rPr>
                <w:rFonts w:ascii="Arial;sans-serif" w:hAnsi="Arial;sans-serif"/>
                <w:b w:val="false"/>
                <w:color w:val="000000"/>
                <w:sz w:val="20"/>
                <w:highlight w:val="white"/>
              </w:rPr>
              <w:t>Records begin in January 2017</w:t>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20"/>
              </w:rPr>
            </w:pPr>
            <w:r>
              <w:rPr>
                <w:rFonts w:ascii="Arial;sans-serif" w:hAnsi="Arial;sans-serif"/>
                <w:b w:val="false"/>
                <w:color w:val="000000"/>
                <w:sz w:val="20"/>
              </w:rPr>
              <w:t>2 -</w:t>
            </w:r>
          </w:p>
        </w:tc>
        <w:tc>
          <w:tcPr>
            <w:tcW w:w="9850"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r>
              <w:rPr>
                <w:rFonts w:ascii="Arial;sans-serif" w:hAnsi="Arial;sans-serif"/>
                <w:b w:val="false"/>
                <w:color w:val="0A0A0A"/>
                <w:sz w:val="20"/>
                <w:highlight w:val="white"/>
              </w:rPr>
              <w:t>See additional details, including reconciliations to the most comparable GAAP measures, in the section titled “</w:t>
            </w:r>
            <w:r>
              <w:rPr>
                <w:rFonts w:ascii="Arial;sans-serif" w:hAnsi="Arial;sans-serif"/>
                <w:b w:val="false"/>
                <w:color w:val="000000"/>
                <w:sz w:val="20"/>
                <w:highlight w:val="white"/>
              </w:rPr>
              <w:t>Non-GAAP financial measures”</w:t>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20"/>
              </w:rPr>
            </w:pPr>
            <w:r>
              <w:rPr>
                <w:rFonts w:ascii="Arial;sans-serif" w:hAnsi="Arial;sans-serif"/>
                <w:b w:val="false"/>
                <w:color w:val="000000"/>
                <w:sz w:val="20"/>
              </w:rPr>
              <w:t>3 -</w:t>
            </w:r>
          </w:p>
        </w:tc>
        <w:tc>
          <w:tcPr>
            <w:tcW w:w="9850"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rFonts w:ascii="Arial;sans-serif" w:hAnsi="Arial;sans-serif"/>
                <w:b w:val="false"/>
                <w:color w:val="000000"/>
                <w:sz w:val="20"/>
              </w:rPr>
            </w:pPr>
            <w:r>
              <w:rPr>
                <w:rFonts w:ascii="Arial;sans-serif" w:hAnsi="Arial;sans-serif"/>
                <w:b w:val="false"/>
                <w:color w:val="000000"/>
                <w:sz w:val="20"/>
              </w:rPr>
              <w:t>Scheduled service TRASM = scheduled service revenue + ancillary revenue + other revenue / scheduled service ASMs</w:t>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20"/>
              </w:rPr>
            </w:pPr>
            <w:r>
              <w:rPr>
                <w:rFonts w:ascii="Arial;sans-serif" w:hAnsi="Arial;sans-serif"/>
                <w:b w:val="false"/>
                <w:color w:val="000000"/>
                <w:sz w:val="20"/>
              </w:rPr>
              <w:t>4 -</w:t>
            </w:r>
          </w:p>
        </w:tc>
        <w:tc>
          <w:tcPr>
            <w:tcW w:w="9850"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hanging="270"/>
              <w:jc w:val="both"/>
              <w:rPr>
                <w:rFonts w:ascii="Arial;sans-serif" w:hAnsi="Arial;sans-serif"/>
                <w:b w:val="false"/>
                <w:color w:val="000000"/>
                <w:sz w:val="20"/>
              </w:rPr>
            </w:pPr>
            <w:r>
              <w:rPr>
                <w:rFonts w:ascii="Arial;sans-serif" w:hAnsi="Arial;sans-serif"/>
                <w:b w:val="false"/>
                <w:color w:val="000000"/>
                <w:sz w:val="20"/>
              </w:rPr>
              <w:t>Total system TRASM = total revenue – cargo revenue / system ASMs</w:t>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20"/>
              </w:rPr>
            </w:pPr>
            <w:r>
              <w:rPr>
                <w:rFonts w:ascii="Arial;sans-serif" w:hAnsi="Arial;sans-serif"/>
                <w:b w:val="false"/>
                <w:color w:val="000000"/>
                <w:sz w:val="20"/>
              </w:rPr>
              <w:t>5 -</w:t>
            </w:r>
          </w:p>
        </w:tc>
        <w:tc>
          <w:tcPr>
            <w:tcW w:w="9850"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r>
              <w:rPr>
                <w:rFonts w:ascii="Arial;sans-serif" w:hAnsi="Arial;sans-serif"/>
                <w:b w:val="false"/>
                <w:color w:val="0A0A0A"/>
                <w:sz w:val="20"/>
              </w:rPr>
              <w:t>Adjusted CASM is a non-GAAP measure derived from CASM by excluding fuel costs, non-cash management stock compensation expense, costs arising from its cargo operations (began in 2020 when the Company launched cargo operations), certain commissions, and other costs of selling its vacations product from this measure. See table titled “</w:t>
            </w:r>
            <w:r>
              <w:rPr>
                <w:rFonts w:ascii="Arial;sans-serif" w:hAnsi="Arial;sans-serif"/>
                <w:b w:val="false"/>
                <w:color w:val="000000"/>
                <w:sz w:val="20"/>
              </w:rPr>
              <w:t>Reconciliation of CASM to Adjusted CASM”</w:t>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20"/>
              </w:rPr>
            </w:pPr>
            <w:r>
              <w:rPr>
                <w:rFonts w:ascii="Arial;sans-serif" w:hAnsi="Arial;sans-serif"/>
                <w:b w:val="false"/>
                <w:color w:val="000000"/>
                <w:sz w:val="20"/>
              </w:rPr>
              <w:t>6 -</w:t>
            </w:r>
          </w:p>
        </w:tc>
        <w:tc>
          <w:tcPr>
            <w:tcW w:w="9850"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rFonts w:ascii="Arial;sans-serif" w:hAnsi="Arial;sans-serif"/>
                <w:b w:val="false"/>
                <w:color w:val="000000"/>
                <w:sz w:val="20"/>
              </w:rPr>
            </w:pPr>
            <w:r>
              <w:rPr>
                <w:rFonts w:ascii="Arial;sans-serif" w:hAnsi="Arial;sans-serif"/>
                <w:b w:val="false"/>
                <w:color w:val="000000"/>
                <w:sz w:val="20"/>
              </w:rPr>
              <w:t>Net debt = current portion of long-term debt + long-term debt + finance lease obligations + operating lease obligations – cash and cash equivalents - Available-for-Sale Securities</w:t>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20"/>
              </w:rPr>
            </w:pPr>
            <w:r>
              <w:rPr>
                <w:rFonts w:ascii="Arial;sans-serif" w:hAnsi="Arial;sans-serif"/>
                <w:b w:val="false"/>
                <w:color w:val="000000"/>
                <w:sz w:val="20"/>
              </w:rPr>
              <w:t xml:space="preserve">7 - </w:t>
            </w:r>
          </w:p>
        </w:tc>
        <w:tc>
          <w:tcPr>
            <w:tcW w:w="9850" w:type="dxa"/>
            <w:gridSpan w:val="3"/>
            <w:tcBorders/>
            <w:shd w:fill="FFFFFF" w:val="clear"/>
            <w:tcMar>
              <w:top w:w="0" w:type="dxa"/>
              <w:left w:w="0" w:type="dxa"/>
              <w:bottom w:w="0" w:type="dxa"/>
              <w:right w:w="0" w:type="dxa"/>
            </w:tcMar>
            <w:vAlign w:val="center"/>
          </w:tcPr>
          <w:p>
            <w:pPr>
              <w:pStyle w:val="TableContents"/>
              <w:spacing w:lineRule="auto" w:line="268" w:before="0" w:after="283"/>
              <w:jc w:val="both"/>
              <w:rPr>
                <w:rFonts w:ascii="Arial;sans-serif" w:hAnsi="Arial;sans-serif"/>
                <w:b w:val="false"/>
                <w:color w:val="000000"/>
                <w:sz w:val="20"/>
              </w:rPr>
            </w:pPr>
            <w:r>
              <w:rPr>
                <w:rFonts w:ascii="Arial;sans-serif" w:hAnsi="Arial;sans-serif"/>
                <w:b w:val="false"/>
                <w:color w:val="000000"/>
                <w:sz w:val="20"/>
              </w:rPr>
              <w:t>Total liquidity = cash and cash equivalents + available-for-sale securities + amount available under revolver</w:t>
            </w:r>
          </w:p>
        </w:tc>
      </w:tr>
    </w:tbl>
    <w:p>
      <w:pPr>
        <w:pStyle w:val="TextBody"/>
        <w:spacing w:lineRule="auto" w:line="288" w:before="240" w:after="283"/>
        <w:rPr>
          <w:rFonts w:ascii="Arial;sans-serif" w:hAnsi="Arial;sans-serif"/>
          <w:b/>
          <w:color w:val="0A0A0A"/>
          <w:sz w:val="20"/>
          <w:highlight w:val="white"/>
        </w:rPr>
      </w:pPr>
      <w:r>
        <w:rPr>
          <w:rFonts w:ascii="Arial;sans-serif" w:hAnsi="Arial;sans-serif"/>
          <w:b/>
          <w:color w:val="0A0A0A"/>
          <w:sz w:val="20"/>
          <w:highlight w:val="white"/>
        </w:rPr>
        <w:t>Contacts</w:t>
      </w:r>
    </w:p>
    <w:p>
      <w:pPr>
        <w:pStyle w:val="TextBody"/>
        <w:spacing w:before="0" w:after="0"/>
        <w:rPr/>
      </w:pPr>
      <w:r>
        <w:rPr/>
      </w:r>
    </w:p>
    <w:p>
      <w:pPr>
        <w:pStyle w:val="TextBody"/>
        <w:spacing w:lineRule="auto" w:line="288" w:before="0" w:after="0"/>
        <w:rPr/>
      </w:pPr>
      <w:r>
        <w:rPr>
          <w:rFonts w:ascii="Arial;sans-serif" w:hAnsi="Arial;sans-serif"/>
          <w:b/>
          <w:color w:val="0A0A0A"/>
          <w:sz w:val="22"/>
          <w:highlight w:val="white"/>
        </w:rPr>
        <w:t>I</w:t>
      </w:r>
      <w:r>
        <w:rPr>
          <w:rFonts w:ascii="Arial;sans-serif" w:hAnsi="Arial;sans-serif"/>
          <w:b/>
          <w:color w:val="0A0A0A"/>
          <w:sz w:val="20"/>
          <w:highlight w:val="white"/>
        </w:rPr>
        <w:t>nvestor Relations</w:t>
      </w:r>
    </w:p>
    <w:p>
      <w:pPr>
        <w:pStyle w:val="TextBody"/>
        <w:spacing w:lineRule="auto" w:line="288" w:before="0" w:after="0"/>
        <w:rPr>
          <w:rFonts w:ascii="Arial;sans-serif" w:hAnsi="Arial;sans-serif"/>
          <w:b w:val="false"/>
          <w:color w:val="0A0A0A"/>
          <w:sz w:val="20"/>
          <w:highlight w:val="white"/>
        </w:rPr>
      </w:pPr>
      <w:r>
        <w:rPr>
          <w:rFonts w:ascii="Arial;sans-serif" w:hAnsi="Arial;sans-serif"/>
          <w:b w:val="false"/>
          <w:color w:val="0A0A0A"/>
          <w:sz w:val="20"/>
          <w:highlight w:val="white"/>
        </w:rPr>
        <w:t>Chris Allen</w:t>
      </w:r>
    </w:p>
    <w:p>
      <w:pPr>
        <w:pStyle w:val="TextBody"/>
        <w:spacing w:lineRule="auto" w:line="288" w:before="0" w:after="0"/>
        <w:rPr>
          <w:rFonts w:ascii="Arial;sans-serif" w:hAnsi="Arial;sans-serif"/>
          <w:b w:val="false"/>
          <w:color w:val="0A0A0A"/>
          <w:sz w:val="20"/>
          <w:highlight w:val="white"/>
        </w:rPr>
      </w:pPr>
      <w:r>
        <w:rPr>
          <w:rFonts w:ascii="Arial;sans-serif" w:hAnsi="Arial;sans-serif"/>
          <w:b w:val="false"/>
          <w:color w:val="0A0A0A"/>
          <w:sz w:val="20"/>
          <w:highlight w:val="white"/>
        </w:rPr>
        <w:t>651-681-4810</w:t>
      </w:r>
    </w:p>
    <w:p>
      <w:pPr>
        <w:pStyle w:val="TextBody"/>
        <w:spacing w:lineRule="auto" w:line="288" w:before="0" w:after="0"/>
        <w:rPr>
          <w:rFonts w:ascii="Arial;sans-serif" w:hAnsi="Arial;sans-serif"/>
          <w:b w:val="false"/>
          <w:color w:val="0563C1"/>
          <w:sz w:val="20"/>
          <w:highlight w:val="white"/>
          <w:u w:val="single"/>
        </w:rPr>
      </w:pPr>
      <w:r>
        <w:rPr>
          <w:rFonts w:ascii="Arial;sans-serif" w:hAnsi="Arial;sans-serif"/>
          <w:b w:val="false"/>
          <w:color w:val="0563C1"/>
          <w:sz w:val="20"/>
          <w:highlight w:val="white"/>
          <w:u w:val="single"/>
        </w:rPr>
        <w:t>IR@suncountry.com</w:t>
      </w:r>
    </w:p>
    <w:p>
      <w:pPr>
        <w:pStyle w:val="TextBody"/>
        <w:spacing w:lineRule="auto" w:line="288" w:before="240" w:after="283"/>
        <w:rPr>
          <w:rFonts w:ascii="Arial;sans-serif" w:hAnsi="Arial;sans-serif"/>
          <w:b/>
          <w:color w:val="0A0A0A"/>
          <w:sz w:val="20"/>
          <w:highlight w:val="white"/>
        </w:rPr>
      </w:pPr>
      <w:r>
        <w:rPr>
          <w:rFonts w:ascii="Arial;sans-serif" w:hAnsi="Arial;sans-serif"/>
          <w:b/>
          <w:color w:val="0A0A0A"/>
          <w:sz w:val="20"/>
          <w:highlight w:val="white"/>
        </w:rPr>
        <w:t>Media</w:t>
      </w:r>
    </w:p>
    <w:p>
      <w:pPr>
        <w:pStyle w:val="TextBody"/>
        <w:spacing w:lineRule="auto" w:line="288" w:before="0" w:after="0"/>
        <w:rPr>
          <w:rFonts w:ascii="Arial;sans-serif" w:hAnsi="Arial;sans-serif"/>
          <w:b w:val="false"/>
          <w:color w:val="0A0A0A"/>
          <w:sz w:val="20"/>
          <w:highlight w:val="white"/>
        </w:rPr>
      </w:pPr>
      <w:r>
        <w:rPr>
          <w:rFonts w:ascii="Arial;sans-serif" w:hAnsi="Arial;sans-serif"/>
          <w:b w:val="false"/>
          <w:color w:val="0A0A0A"/>
          <w:sz w:val="20"/>
          <w:highlight w:val="white"/>
        </w:rPr>
        <w:t>Wendy Burt</w:t>
      </w:r>
    </w:p>
    <w:p>
      <w:pPr>
        <w:pStyle w:val="TextBody"/>
        <w:spacing w:lineRule="auto" w:line="288" w:before="0" w:after="0"/>
        <w:rPr>
          <w:rFonts w:ascii="Arial;sans-serif" w:hAnsi="Arial;sans-serif"/>
          <w:b w:val="false"/>
          <w:color w:val="0A0A0A"/>
          <w:sz w:val="20"/>
          <w:highlight w:val="white"/>
        </w:rPr>
      </w:pPr>
      <w:r>
        <w:rPr>
          <w:rFonts w:ascii="Arial;sans-serif" w:hAnsi="Arial;sans-serif"/>
          <w:b w:val="false"/>
          <w:color w:val="0A0A0A"/>
          <w:sz w:val="20"/>
          <w:highlight w:val="white"/>
        </w:rPr>
        <w:t>651-900-8400</w:t>
      </w:r>
    </w:p>
    <w:p>
      <w:pPr>
        <w:pStyle w:val="TextBody"/>
        <w:spacing w:lineRule="auto" w:line="288" w:before="0" w:after="100"/>
        <w:rPr>
          <w:rFonts w:ascii="Arial;sans-serif" w:hAnsi="Arial;sans-serif"/>
          <w:b w:val="false"/>
          <w:color w:val="0563C1"/>
          <w:sz w:val="20"/>
          <w:highlight w:val="white"/>
          <w:u w:val="single"/>
        </w:rPr>
      </w:pPr>
      <w:r>
        <w:rPr>
          <w:rFonts w:ascii="Arial;sans-serif" w:hAnsi="Arial;sans-serif"/>
          <w:b w:val="false"/>
          <w:color w:val="0563C1"/>
          <w:sz w:val="20"/>
          <w:highlight w:val="white"/>
          <w:u w:val="single"/>
        </w:rPr>
        <w:t>mediarelations@suncountry.com</w:t>
      </w:r>
    </w:p>
    <w:p>
      <w:pPr>
        <w:pStyle w:val="TextBody"/>
        <w:spacing w:before="240" w:after="16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4</w:t>
                      </w:r>
                    </w:p>
                  </w:txbxContent>
                </v:textbox>
              </v:rect>
            </w:pict>
          </mc:Fallback>
        </mc:AlternateContent>
      </w:r>
    </w:p>
    <w:p>
      <w:pPr>
        <w:pStyle w:val="TextBody"/>
        <w:spacing w:lineRule="auto" w:line="288" w:before="0" w:after="0"/>
        <w:rPr>
          <w:rFonts w:ascii="Arial;sans-serif" w:hAnsi="Arial;sans-serif"/>
          <w:b/>
          <w:color w:val="0A0A0A"/>
          <w:sz w:val="20"/>
          <w:highlight w:val="white"/>
        </w:rPr>
      </w:pPr>
      <w:r>
        <w:rPr>
          <w:rFonts w:ascii="Arial;sans-serif" w:hAnsi="Arial;sans-serif"/>
          <w:b/>
          <w:color w:val="0A0A0A"/>
          <w:sz w:val="20"/>
          <w:highlight w:val="white"/>
        </w:rPr>
        <w:t>Forward Looking Statements</w:t>
      </w:r>
    </w:p>
    <w:p>
      <w:pPr>
        <w:pStyle w:val="TextBody"/>
        <w:spacing w:lineRule="auto" w:line="288" w:before="240" w:after="283"/>
        <w:jc w:val="both"/>
        <w:rPr>
          <w:rFonts w:ascii="Arial;sans-serif" w:hAnsi="Arial;sans-serif"/>
          <w:b w:val="false"/>
          <w:color w:val="0A0A0A"/>
          <w:sz w:val="20"/>
          <w:highlight w:val="white"/>
        </w:rPr>
      </w:pPr>
      <w:r>
        <w:rPr>
          <w:rFonts w:ascii="Arial;sans-serif" w:hAnsi="Arial;sans-serif"/>
          <w:b w:val="false"/>
          <w:color w:val="0A0A0A"/>
          <w:sz w:val="20"/>
          <w:highlight w:val="white"/>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pStyle w:val="TextBody"/>
        <w:spacing w:lineRule="auto" w:line="288" w:before="240" w:after="283"/>
        <w:jc w:val="both"/>
        <w:rPr>
          <w:color w:val="0A0A0A"/>
          <w:highlight w:val="white"/>
        </w:rPr>
      </w:pPr>
      <w:r>
        <w:rPr>
          <w:color w:val="0A0A0A"/>
          <w:highlight w:val="white"/>
        </w:rPr>
        <w:t xml:space="preserve">• </w:t>
      </w:r>
      <w:r>
        <w:rPr>
          <w:rFonts w:ascii="Arial;sans-serif" w:hAnsi="Arial;sans-serif"/>
          <w:b w:val="false"/>
          <w:color w:val="0A0A0A"/>
          <w:sz w:val="20"/>
          <w:highlight w:val="white"/>
        </w:rPr>
        <w:t>our strategy, outlook and growth prospects;</w:t>
      </w:r>
    </w:p>
    <w:p>
      <w:pPr>
        <w:pStyle w:val="TextBody"/>
        <w:spacing w:lineRule="auto" w:line="288" w:before="240" w:after="283"/>
        <w:jc w:val="both"/>
        <w:rPr>
          <w:color w:val="0A0A0A"/>
          <w:highlight w:val="white"/>
        </w:rPr>
      </w:pPr>
      <w:r>
        <w:rPr>
          <w:color w:val="0A0A0A"/>
          <w:highlight w:val="white"/>
        </w:rPr>
        <w:t xml:space="preserve">• </w:t>
      </w:r>
      <w:r>
        <w:rPr>
          <w:rFonts w:ascii="Arial;sans-serif" w:hAnsi="Arial;sans-serif"/>
          <w:b w:val="false"/>
          <w:color w:val="0A0A0A"/>
          <w:sz w:val="20"/>
          <w:highlight w:val="white"/>
        </w:rPr>
        <w:t>our operational and financial targets and dividend policy;</w:t>
      </w:r>
    </w:p>
    <w:p>
      <w:pPr>
        <w:pStyle w:val="TextBody"/>
        <w:spacing w:lineRule="auto" w:line="288" w:before="240" w:after="283"/>
        <w:jc w:val="both"/>
        <w:rPr>
          <w:color w:val="0A0A0A"/>
          <w:highlight w:val="white"/>
        </w:rPr>
      </w:pPr>
      <w:r>
        <w:rPr>
          <w:color w:val="0A0A0A"/>
          <w:highlight w:val="white"/>
        </w:rPr>
        <w:t xml:space="preserve">• </w:t>
      </w:r>
      <w:r>
        <w:rPr>
          <w:rFonts w:ascii="Arial;sans-serif" w:hAnsi="Arial;sans-serif"/>
          <w:b w:val="false"/>
          <w:color w:val="0A0A0A"/>
          <w:sz w:val="20"/>
          <w:highlight w:val="white"/>
        </w:rPr>
        <w:t xml:space="preserve">general economic trends and trends in the industry and markets; </w:t>
      </w:r>
    </w:p>
    <w:p>
      <w:pPr>
        <w:pStyle w:val="TextBody"/>
        <w:spacing w:lineRule="auto" w:line="288" w:before="240" w:after="283"/>
        <w:jc w:val="both"/>
        <w:rPr>
          <w:color w:val="0A0A0A"/>
          <w:highlight w:val="white"/>
        </w:rPr>
      </w:pPr>
      <w:r>
        <w:rPr>
          <w:color w:val="0A0A0A"/>
          <w:highlight w:val="white"/>
        </w:rPr>
        <w:t xml:space="preserve">• </w:t>
      </w:r>
      <w:r>
        <w:rPr>
          <w:rFonts w:ascii="Arial;sans-serif" w:hAnsi="Arial;sans-serif"/>
          <w:b w:val="false"/>
          <w:color w:val="0A0A0A"/>
          <w:sz w:val="20"/>
          <w:highlight w:val="white"/>
        </w:rPr>
        <w:t xml:space="preserve">potential repurchases of our common stock; and </w:t>
      </w:r>
    </w:p>
    <w:p>
      <w:pPr>
        <w:pStyle w:val="TextBody"/>
        <w:spacing w:lineRule="auto" w:line="288" w:before="240" w:after="283"/>
        <w:jc w:val="both"/>
        <w:rPr>
          <w:color w:val="0A0A0A"/>
          <w:highlight w:val="white"/>
        </w:rPr>
      </w:pPr>
      <w:r>
        <w:rPr>
          <w:color w:val="0A0A0A"/>
          <w:highlight w:val="white"/>
        </w:rPr>
        <w:t xml:space="preserve">• </w:t>
      </w:r>
      <w:r>
        <w:rPr>
          <w:rFonts w:ascii="Arial;sans-serif" w:hAnsi="Arial;sans-serif"/>
          <w:b w:val="false"/>
          <w:color w:val="0A0A0A"/>
          <w:sz w:val="20"/>
          <w:highlight w:val="white"/>
        </w:rPr>
        <w:t>the competitive environment in which we operate.</w:t>
      </w:r>
    </w:p>
    <w:p>
      <w:pPr>
        <w:pStyle w:val="TextBody"/>
        <w:spacing w:lineRule="auto" w:line="288" w:before="240" w:after="283"/>
        <w:jc w:val="both"/>
        <w:rPr>
          <w:rFonts w:ascii="Arial;sans-serif" w:hAnsi="Arial;sans-serif"/>
          <w:b w:val="false"/>
          <w:color w:val="0A0A0A"/>
          <w:sz w:val="20"/>
          <w:highlight w:val="white"/>
        </w:rPr>
      </w:pPr>
      <w:r>
        <w:rPr>
          <w:rFonts w:ascii="Arial;sans-serif" w:hAnsi="Arial;sans-serif"/>
          <w:b w:val="false"/>
          <w:color w:val="0A0A0A"/>
          <w:sz w:val="20"/>
          <w:highlight w:val="white"/>
        </w:rPr>
        <w:t xml:space="preserve">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spacing w:lineRule="auto" w:line="288" w:before="240" w:after="283"/>
        <w:jc w:val="both"/>
        <w:rPr>
          <w:rFonts w:ascii="Arial;sans-serif" w:hAnsi="Arial;sans-serif"/>
          <w:b w:val="false"/>
          <w:color w:val="0A0A0A"/>
          <w:sz w:val="20"/>
          <w:highlight w:val="white"/>
        </w:rPr>
      </w:pPr>
      <w:r>
        <w:rPr>
          <w:rFonts w:ascii="Arial;sans-serif" w:hAnsi="Arial;sans-serif"/>
          <w:b w:val="false"/>
          <w:color w:val="0A0A0A"/>
          <w:sz w:val="20"/>
          <w:highlight w:val="white"/>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pStyle w:val="TextBody"/>
        <w:spacing w:lineRule="auto" w:line="288" w:before="240" w:after="100"/>
        <w:jc w:val="both"/>
        <w:rPr>
          <w:rFonts w:ascii="Arial;sans-serif" w:hAnsi="Arial;sans-serif"/>
          <w:b/>
          <w:color w:val="0A0A0A"/>
          <w:sz w:val="20"/>
          <w:highlight w:val="white"/>
        </w:rPr>
      </w:pPr>
      <w:r>
        <w:rPr>
          <w:rFonts w:ascii="Arial;sans-serif" w:hAnsi="Arial;sans-serif"/>
          <w:b/>
          <w:color w:val="0A0A0A"/>
          <w:sz w:val="20"/>
          <w:highlight w:val="white"/>
        </w:rPr>
        <w:t>Non-GAAP Financial Measures</w:t>
      </w:r>
    </w:p>
    <w:p>
      <w:pPr>
        <w:pStyle w:val="TextBody"/>
        <w:spacing w:lineRule="auto" w:line="288" w:before="240" w:after="283"/>
        <w:jc w:val="both"/>
        <w:rPr>
          <w:rFonts w:ascii="Arial;sans-serif" w:hAnsi="Arial;sans-serif"/>
          <w:b w:val="false"/>
          <w:color w:val="000000"/>
          <w:sz w:val="20"/>
          <w:highlight w:val="white"/>
        </w:rPr>
      </w:pPr>
      <w:r>
        <w:rPr>
          <w:rFonts w:ascii="Arial;sans-serif" w:hAnsi="Arial;sans-serif"/>
          <w:b w:val="false"/>
          <w:color w:val="000000"/>
          <w:sz w:val="20"/>
          <w:highlight w:val="white"/>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pStyle w:val="TextBody"/>
        <w:spacing w:before="240" w:after="283"/>
        <w:rPr/>
      </w:pPr>
      <w:r>
        <w:rPr/>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5</w:t>
                      </w:r>
                    </w:p>
                  </w:txbxContent>
                </v:textbox>
              </v:rect>
            </w:pict>
          </mc:Fallback>
        </mc:AlternateContent>
      </w:r>
    </w:p>
    <w:tbl>
      <w:tblPr>
        <w:tblW w:w="6075" w:type="dxa"/>
        <w:jc w:val="left"/>
        <w:tblInd w:w="0" w:type="dxa"/>
        <w:tblCellMar>
          <w:top w:w="28" w:type="dxa"/>
          <w:left w:w="28" w:type="dxa"/>
          <w:bottom w:w="28" w:type="dxa"/>
          <w:right w:w="28" w:type="dxa"/>
        </w:tblCellMar>
      </w:tblPr>
      <w:tblGrid>
        <w:gridCol w:w="1946"/>
        <w:gridCol w:w="1708"/>
        <w:gridCol w:w="2421"/>
      </w:tblGrid>
      <w:tr>
        <w:trPr/>
        <w:tc>
          <w:tcPr>
            <w:tcW w:w="1946" w:type="dxa"/>
            <w:tcBorders/>
            <w:shd w:fill="auto" w:val="clear"/>
            <w:vAlign w:val="center"/>
          </w:tcPr>
          <w:p>
            <w:pPr>
              <w:pStyle w:val="TableContents"/>
              <w:spacing w:before="0" w:after="283"/>
              <w:rPr>
                <w:sz w:val="4"/>
                <w:szCs w:val="4"/>
              </w:rPr>
            </w:pPr>
            <w:r>
              <w:rPr>
                <w:sz w:val="4"/>
                <w:szCs w:val="4"/>
              </w:rPr>
            </w:r>
          </w:p>
        </w:tc>
        <w:tc>
          <w:tcPr>
            <w:tcW w:w="1708" w:type="dxa"/>
            <w:tcBorders/>
            <w:shd w:fill="auto" w:val="clear"/>
            <w:vAlign w:val="center"/>
          </w:tcPr>
          <w:p>
            <w:pPr>
              <w:pStyle w:val="TableContents"/>
              <w:spacing w:before="0" w:after="283"/>
              <w:rPr>
                <w:sz w:val="4"/>
                <w:szCs w:val="4"/>
              </w:rPr>
            </w:pPr>
            <w:r>
              <w:rPr>
                <w:sz w:val="4"/>
                <w:szCs w:val="4"/>
              </w:rPr>
            </w:r>
          </w:p>
        </w:tc>
        <w:tc>
          <w:tcPr>
            <w:tcW w:w="2421" w:type="dxa"/>
            <w:tcBorders/>
            <w:shd w:fill="auto" w:val="clear"/>
            <w:vAlign w:val="center"/>
          </w:tcPr>
          <w:p>
            <w:pPr>
              <w:pStyle w:val="TableContents"/>
              <w:spacing w:before="0" w:after="283"/>
              <w:rPr>
                <w:sz w:val="4"/>
                <w:szCs w:val="4"/>
              </w:rPr>
            </w:pPr>
            <w:r>
              <w:rPr>
                <w:sz w:val="4"/>
                <w:szCs w:val="4"/>
              </w:rPr>
            </w:r>
          </w:p>
        </w:tc>
      </w:tr>
      <w:tr>
        <w:trPr/>
        <w:tc>
          <w:tcPr>
            <w:tcW w:w="60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0"/>
              <w:jc w:val="left"/>
              <w:rPr>
                <w:rFonts w:ascii="Arial;sans-serif" w:hAnsi="Arial;sans-serif"/>
                <w:b/>
                <w:color w:val="000000"/>
                <w:sz w:val="20"/>
              </w:rPr>
            </w:pPr>
            <w:r>
              <w:rPr>
                <w:rFonts w:ascii="Arial;sans-serif" w:hAnsi="Arial;sans-serif"/>
                <w:b/>
                <w:color w:val="000000"/>
                <w:sz w:val="20"/>
              </w:rPr>
              <w:t>CONDENSED CONSOLIDATED STATEMENTS OF OPERATIONS</w:t>
              <w:br/>
              <w:t xml:space="preserve">(Dollars in thousands, except per share amounts) </w:t>
            </w:r>
          </w:p>
          <w:p>
            <w:pPr>
              <w:pStyle w:val="TableContents"/>
              <w:spacing w:lineRule="auto" w:line="300" w:before="0" w:after="0"/>
              <w:jc w:val="left"/>
              <w:rPr>
                <w:rFonts w:ascii="Arial;sans-serif" w:hAnsi="Arial;sans-serif"/>
                <w:b/>
                <w:color w:val="000000"/>
                <w:sz w:val="20"/>
              </w:rPr>
            </w:pPr>
            <w:r>
              <w:rPr>
                <w:rFonts w:ascii="Arial;sans-serif" w:hAnsi="Arial;sans-serif"/>
                <w:b/>
                <w:color w:val="000000"/>
                <w:sz w:val="20"/>
              </w:rPr>
              <w:t xml:space="preserve">(Unaudited) </w:t>
            </w:r>
          </w:p>
        </w:tc>
      </w:tr>
    </w:tbl>
    <w:tbl>
      <w:tblPr>
        <w:tblW w:w="7498" w:type="dxa"/>
        <w:jc w:val="left"/>
        <w:tblInd w:w="0" w:type="dxa"/>
        <w:tblCellMar>
          <w:top w:w="28" w:type="dxa"/>
          <w:left w:w="28" w:type="dxa"/>
          <w:bottom w:w="28" w:type="dxa"/>
          <w:right w:w="28" w:type="dxa"/>
        </w:tblCellMar>
      </w:tblPr>
      <w:tblGrid>
        <w:gridCol w:w="1168"/>
        <w:gridCol w:w="1027"/>
        <w:gridCol w:w="1029"/>
        <w:gridCol w:w="222"/>
        <w:gridCol w:w="904"/>
        <w:gridCol w:w="109"/>
        <w:gridCol w:w="109"/>
        <w:gridCol w:w="109"/>
        <w:gridCol w:w="109"/>
        <w:gridCol w:w="222"/>
        <w:gridCol w:w="904"/>
        <w:gridCol w:w="109"/>
        <w:gridCol w:w="109"/>
        <w:gridCol w:w="109"/>
        <w:gridCol w:w="109"/>
        <w:gridCol w:w="375"/>
        <w:gridCol w:w="376"/>
        <w:gridCol w:w="399"/>
      </w:tblGrid>
      <w:tr>
        <w:trPr/>
        <w:tc>
          <w:tcPr>
            <w:tcW w:w="1168"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 Change</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Operating Revenues: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Scheduled Service</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124,068 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23.0 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Charter Service</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32,879 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40.5 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Ancillary</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45,086 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51.8 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Passenger</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32.3 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Cargo</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21,053 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11.0 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1.3 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Revenue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226,525 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29.8 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Operating Expenses:</w:t>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Fuel</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64,544 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12.0</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Salaries, Wages, and Benefits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59,617 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Aircraft Rent</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3,186 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Maintenance</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11,995 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Sales and Marketing</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Depreciation and Amortization</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27.0</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Ground Handling</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7,958 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Landing Fees and Airport Rent</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10,286 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Operating, net</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23,150 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Operating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204,692 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16.4 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Income</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155.5 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Non-operating Income (Expense):</w:t>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Income</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Interest Expense</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(8,562)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(6,876)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Non-operating Expense, net</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(15,414)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before Income Tax</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674.0 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Income Tax Expense </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2,782 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953.8 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21"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 xml:space="preserve">Net Income per share to common stockholders: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1033.3 </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966.7 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Shares used for computation:</w:t>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Basic</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56,630,656 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57,907,655 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Diluted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59,535,045 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61,731,942 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color w:val="0A0A0A"/>
        </w:rPr>
      </w:pPr>
      <w:r>
        <w:rPr>
          <w:color w:val="0A0A0A"/>
        </w:rPr>
        <w:t>“</w:t>
      </w:r>
      <w:r>
        <w:rPr>
          <w:rFonts w:ascii="Arial;sans-serif" w:hAnsi="Arial;sans-serif"/>
          <w:b w:val="false"/>
          <w:color w:val="0A0A0A"/>
          <w:sz w:val="16"/>
        </w:rPr>
        <w:t>NM” stands for not meaningful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6</w:t>
                      </w:r>
                    </w:p>
                  </w:txbxContent>
                </v:textbox>
              </v:rect>
            </w:pict>
          </mc:Fallback>
        </mc:AlternateContent>
      </w:r>
    </w:p>
    <w:tbl>
      <w:tblPr>
        <w:tblW w:w="2999" w:type="dxa"/>
        <w:jc w:val="left"/>
        <w:tblInd w:w="0" w:type="dxa"/>
        <w:tblCellMar>
          <w:top w:w="28" w:type="dxa"/>
          <w:left w:w="28" w:type="dxa"/>
          <w:bottom w:w="28" w:type="dxa"/>
          <w:right w:w="28" w:type="dxa"/>
        </w:tblCellMar>
      </w:tblPr>
      <w:tblGrid>
        <w:gridCol w:w="960"/>
        <w:gridCol w:w="845"/>
        <w:gridCol w:w="1194"/>
      </w:tblGrid>
      <w:tr>
        <w:trPr/>
        <w:tc>
          <w:tcPr>
            <w:tcW w:w="9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KEY OPERATING STATISTICS</w:t>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The following table presents key operating statistics and metrics for the three months ended March 31, 2023 and 2022.</w:t>
      </w:r>
    </w:p>
    <w:tbl>
      <w:tblPr>
        <w:tblW w:w="8007" w:type="dxa"/>
        <w:jc w:val="left"/>
        <w:tblInd w:w="0" w:type="dxa"/>
        <w:tblCellMar>
          <w:top w:w="28" w:type="dxa"/>
          <w:left w:w="28" w:type="dxa"/>
          <w:bottom w:w="28" w:type="dxa"/>
          <w:right w:w="28" w:type="dxa"/>
        </w:tblCellMar>
      </w:tblPr>
      <w:tblGrid>
        <w:gridCol w:w="1525"/>
        <w:gridCol w:w="1342"/>
        <w:gridCol w:w="1347"/>
        <w:gridCol w:w="627"/>
        <w:gridCol w:w="465"/>
        <w:gridCol w:w="324"/>
        <w:gridCol w:w="627"/>
        <w:gridCol w:w="465"/>
        <w:gridCol w:w="324"/>
        <w:gridCol w:w="281"/>
        <w:gridCol w:w="281"/>
        <w:gridCol w:w="399"/>
      </w:tblGrid>
      <w:tr>
        <w:trPr/>
        <w:tc>
          <w:tcPr>
            <w:tcW w:w="152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A0A0A"/>
                <w:sz w:val="16"/>
              </w:rPr>
            </w:pPr>
            <w:r>
              <w:rPr>
                <w:rFonts w:ascii="Arial;sans-serif" w:hAnsi="Arial;sans-serif"/>
                <w:b/>
                <w:color w:val="0A0A0A"/>
                <w:sz w:val="16"/>
              </w:rPr>
              <w:t>Three Months Ended March 31,</w:t>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Scheduled Service Statistics: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 miles (RPMs) – thousands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1,432,131</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1,338,459</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1,625,728</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1,684,532</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Load factor</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passengers carried</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998,238</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922,652</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6,177</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6,227</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21,941</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22,433</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Scheduled service TRASM</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cents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152.93</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134.47</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 revenue per passenger</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68.55</w:t>
            </w:r>
          </w:p>
        </w:tc>
        <w:tc>
          <w:tcPr>
            <w:tcW w:w="6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48.87</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17,383</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17,401</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r>
      <w:tr>
        <w:trPr/>
        <w:tc>
          <w:tcPr>
            <w:tcW w:w="4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Charter Statistics:</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1,620</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5,054</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seats miles (ASMs) - thousands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301,913</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235,705</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3,526</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2,758</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r>
      <w:tr>
        <w:trPr/>
        <w:tc>
          <w:tcPr>
            <w:tcW w:w="4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Cargo Statistics:</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3,027</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7,776</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7,390</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r>
      <w:tr>
        <w:trPr/>
        <w:tc>
          <w:tcPr>
            <w:tcW w:w="4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System Statistics:</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passenger aircraft</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aircraft – end of period</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aircraft – end of period</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 – end of period</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thousands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1,945,001</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1,928,149</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11,672</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10,487</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Block hours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35,083</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33,805</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Daily utilization – hours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stage length – miles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1,336</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Total revenue per ASM (TRASM)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cents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per ASM (CASM) - cents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 - cents</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14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 thousands</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21,073</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20,245</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w:t>
            </w:r>
          </w:p>
        </w:tc>
        <w:tc>
          <w:tcPr>
            <w:tcW w:w="6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Employees at end of period</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w:t>
            </w:r>
          </w:p>
        </w:tc>
        <w:tc>
          <w:tcPr>
            <w:tcW w:w="14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2,316</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r>
    </w:tbl>
    <w:p>
      <w:pPr>
        <w:pStyle w:val="TextBody"/>
        <w:spacing w:lineRule="auto" w:line="288" w:before="60" w:after="283"/>
        <w:rPr>
          <w:rFonts w:ascii="Arial;sans-serif" w:hAnsi="Arial;sans-serif"/>
          <w:b w:val="false"/>
          <w:color w:val="000000"/>
          <w:sz w:val="16"/>
          <w:highlight w:val="white"/>
        </w:rPr>
      </w:pPr>
      <w:r>
        <w:rPr>
          <w:rFonts w:ascii="Arial;sans-serif" w:hAnsi="Arial;sans-serif"/>
          <w:b w:val="false"/>
          <w:color w:val="000000"/>
          <w:sz w:val="16"/>
          <w:highlight w:val="white"/>
        </w:rPr>
        <w:t xml:space="preserve">1 – Scheduled service TRASM = scheduled service revenue + ancillary revenue + other revenue / scheduled service ASMs </w:t>
      </w:r>
    </w:p>
    <w:p>
      <w:pPr>
        <w:pStyle w:val="TextBody"/>
        <w:spacing w:lineRule="auto" w:line="288" w:before="60" w:after="283"/>
        <w:rPr>
          <w:rFonts w:ascii="Arial;sans-serif" w:hAnsi="Arial;sans-serif"/>
          <w:b w:val="false"/>
          <w:color w:val="000000"/>
          <w:sz w:val="16"/>
          <w:highlight w:val="white"/>
        </w:rPr>
      </w:pPr>
      <w:r>
        <w:rPr>
          <w:rFonts w:ascii="Arial;sans-serif" w:hAnsi="Arial;sans-serif"/>
          <w:b w:val="false"/>
          <w:color w:val="000000"/>
          <w:sz w:val="16"/>
          <w:highlight w:val="white"/>
        </w:rPr>
        <w:t>2 – Total system TRASM = total revenue – cargo revenue / system ASMs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7</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589" w:type="dxa"/>
        <w:jc w:val="left"/>
        <w:tblInd w:w="0" w:type="dxa"/>
        <w:tblCellMar>
          <w:top w:w="28" w:type="dxa"/>
          <w:left w:w="28" w:type="dxa"/>
          <w:bottom w:w="28" w:type="dxa"/>
          <w:right w:w="28" w:type="dxa"/>
        </w:tblCellMar>
      </w:tblPr>
      <w:tblGrid>
        <w:gridCol w:w="1470"/>
        <w:gridCol w:w="1289"/>
        <w:gridCol w:w="1830"/>
      </w:tblGrid>
      <w:tr>
        <w:trPr/>
        <w:tc>
          <w:tcPr>
            <w:tcW w:w="1470"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0"/>
              <w:jc w:val="left"/>
              <w:rPr>
                <w:rFonts w:ascii="Arial;sans-serif" w:hAnsi="Arial;sans-serif"/>
                <w:b/>
                <w:color w:val="000000"/>
                <w:sz w:val="20"/>
              </w:rPr>
            </w:pPr>
            <w:r>
              <w:rPr>
                <w:rFonts w:ascii="Arial;sans-serif" w:hAnsi="Arial;sans-serif"/>
                <w:b/>
                <w:color w:val="000000"/>
                <w:sz w:val="20"/>
              </w:rPr>
              <w:t>SUMMARY BALANCE SHEET</w:t>
              <w:br/>
              <w:t xml:space="preserve">(Dollars in millions) </w:t>
            </w:r>
          </w:p>
          <w:p>
            <w:pPr>
              <w:pStyle w:val="TableContents"/>
              <w:spacing w:lineRule="auto" w:line="300" w:before="0" w:after="0"/>
              <w:jc w:val="left"/>
              <w:rPr>
                <w:rFonts w:ascii="Arial;sans-serif" w:hAnsi="Arial;sans-serif"/>
                <w:b/>
                <w:color w:val="000000"/>
                <w:sz w:val="20"/>
              </w:rPr>
            </w:pPr>
            <w:r>
              <w:rPr>
                <w:rFonts w:ascii="Arial;sans-serif" w:hAnsi="Arial;sans-serif"/>
                <w:b/>
                <w:color w:val="000000"/>
                <w:sz w:val="20"/>
              </w:rPr>
              <w:t xml:space="preserve">(amounts may not recalculate due to rounding) </w:t>
            </w:r>
          </w:p>
        </w:tc>
      </w:tr>
    </w:tbl>
    <w:tbl>
      <w:tblPr>
        <w:tblW w:w="8519" w:type="dxa"/>
        <w:jc w:val="left"/>
        <w:tblInd w:w="0" w:type="dxa"/>
        <w:tblCellMar>
          <w:top w:w="28" w:type="dxa"/>
          <w:left w:w="28" w:type="dxa"/>
          <w:bottom w:w="28" w:type="dxa"/>
          <w:right w:w="28" w:type="dxa"/>
        </w:tblCellMar>
      </w:tblPr>
      <w:tblGrid>
        <w:gridCol w:w="1412"/>
        <w:gridCol w:w="1242"/>
        <w:gridCol w:w="1246"/>
        <w:gridCol w:w="275"/>
        <w:gridCol w:w="843"/>
        <w:gridCol w:w="142"/>
        <w:gridCol w:w="109"/>
        <w:gridCol w:w="109"/>
        <w:gridCol w:w="109"/>
        <w:gridCol w:w="344"/>
        <w:gridCol w:w="1053"/>
        <w:gridCol w:w="177"/>
        <w:gridCol w:w="109"/>
        <w:gridCol w:w="109"/>
        <w:gridCol w:w="109"/>
        <w:gridCol w:w="322"/>
        <w:gridCol w:w="324"/>
        <w:gridCol w:w="485"/>
      </w:tblGrid>
      <w:tr>
        <w:trPr/>
        <w:tc>
          <w:tcPr>
            <w:tcW w:w="141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9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&amp; Cash Equivalents</w:t>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Assets</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Assets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Property &amp; Equipment, net</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868.3 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85"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Total Assets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Air Traffic Liabilities</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Finance Lease Obligations</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Operating Lease Obligations</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Current Maturities of Long-Term Debt, net</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Current Liabilities</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485"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Total Current Liabilities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Finance Lease Obligations</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Operating Lease Obligations</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Long-Term Debt, net</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4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Income Tax Receivable Agreement Liability</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485"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Total Liabilities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Total Stockholders Equity</w:t>
            </w:r>
          </w:p>
        </w:tc>
        <w:tc>
          <w:tcPr>
            <w:tcW w:w="2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8</w:t>
                      </w:r>
                    </w:p>
                  </w:txbxContent>
                </v:textbox>
              </v:rect>
            </w:pict>
          </mc:Fallback>
        </mc:AlternateContent>
      </w:r>
    </w:p>
    <w:tbl>
      <w:tblPr>
        <w:tblW w:w="5714" w:type="dxa"/>
        <w:jc w:val="left"/>
        <w:tblInd w:w="0" w:type="dxa"/>
        <w:tblCellMar>
          <w:top w:w="28" w:type="dxa"/>
          <w:left w:w="28" w:type="dxa"/>
          <w:bottom w:w="28" w:type="dxa"/>
          <w:right w:w="28" w:type="dxa"/>
        </w:tblCellMar>
      </w:tblPr>
      <w:tblGrid>
        <w:gridCol w:w="1830"/>
        <w:gridCol w:w="1605"/>
        <w:gridCol w:w="2279"/>
      </w:tblGrid>
      <w:tr>
        <w:trPr/>
        <w:tc>
          <w:tcPr>
            <w:tcW w:w="1830"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60" w:after="283"/>
              <w:jc w:val="left"/>
              <w:rPr>
                <w:rFonts w:ascii="Arial;sans-serif" w:hAnsi="Arial;sans-serif"/>
                <w:b/>
                <w:color w:val="000000"/>
                <w:sz w:val="20"/>
              </w:rPr>
            </w:pPr>
            <w:r>
              <w:rPr>
                <w:rFonts w:ascii="Arial;sans-serif" w:hAnsi="Arial;sans-serif"/>
                <w:b/>
                <w:color w:val="000000"/>
                <w:sz w:val="20"/>
              </w:rPr>
              <w:t>SUMMARY CASH FLOW</w:t>
              <w:br/>
              <w:t xml:space="preserve">(Dollars in millions) </w:t>
            </w:r>
          </w:p>
          <w:p>
            <w:pPr>
              <w:pStyle w:val="TableContents"/>
              <w:spacing w:lineRule="auto" w:line="240" w:before="60" w:after="283"/>
              <w:jc w:val="left"/>
              <w:rPr>
                <w:rFonts w:ascii="Arial;sans-serif" w:hAnsi="Arial;sans-serif"/>
                <w:b/>
                <w:color w:val="000000"/>
                <w:sz w:val="20"/>
              </w:rPr>
            </w:pPr>
            <w:r>
              <w:rPr>
                <w:rFonts w:ascii="Arial;sans-serif" w:hAnsi="Arial;sans-serif"/>
                <w:b/>
                <w:color w:val="000000"/>
                <w:sz w:val="20"/>
              </w:rPr>
              <w:t xml:space="preserve">(Unaudited - amounts may not recalculate due to rounding) </w:t>
            </w:r>
          </w:p>
        </w:tc>
      </w:tr>
    </w:tbl>
    <w:tbl>
      <w:tblPr>
        <w:tblW w:w="10205" w:type="dxa"/>
        <w:jc w:val="left"/>
        <w:tblInd w:w="0" w:type="dxa"/>
        <w:tblCellMar>
          <w:top w:w="28" w:type="dxa"/>
          <w:left w:w="28" w:type="dxa"/>
          <w:bottom w:w="28" w:type="dxa"/>
          <w:right w:w="28" w:type="dxa"/>
        </w:tblCellMar>
      </w:tblPr>
      <w:tblGrid>
        <w:gridCol w:w="2262"/>
        <w:gridCol w:w="1989"/>
        <w:gridCol w:w="1995"/>
        <w:gridCol w:w="451"/>
        <w:gridCol w:w="240"/>
        <w:gridCol w:w="241"/>
        <w:gridCol w:w="232"/>
        <w:gridCol w:w="232"/>
        <w:gridCol w:w="232"/>
        <w:gridCol w:w="451"/>
        <w:gridCol w:w="292"/>
        <w:gridCol w:w="294"/>
        <w:gridCol w:w="109"/>
        <w:gridCol w:w="109"/>
        <w:gridCol w:w="109"/>
        <w:gridCol w:w="281"/>
        <w:gridCol w:w="281"/>
        <w:gridCol w:w="405"/>
      </w:tblGrid>
      <w:tr>
        <w:trPr/>
        <w:tc>
          <w:tcPr>
            <w:tcW w:w="2262"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6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Net Cash Provided by Operating Activities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w:t>
            </w:r>
          </w:p>
        </w:tc>
      </w:tr>
      <w:tr>
        <w:trPr/>
        <w:tc>
          <w:tcPr>
            <w:tcW w:w="6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Purchases of Property &amp; Equipment</w:t>
            </w:r>
          </w:p>
        </w:tc>
        <w:tc>
          <w:tcPr>
            <w:tcW w:w="9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w:t>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w:t>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9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Net Cash Used in Investing Activities</w:t>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w:t>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w:t>
            </w:r>
          </w:p>
        </w:tc>
      </w:tr>
      <w:tr>
        <w:trPr/>
        <w:tc>
          <w:tcPr>
            <w:tcW w:w="62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Common Stock Repurchases</w:t>
            </w:r>
          </w:p>
        </w:tc>
        <w:tc>
          <w:tcPr>
            <w:tcW w:w="9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Proceeds from Borrowing</w:t>
            </w:r>
          </w:p>
        </w:tc>
        <w:tc>
          <w:tcPr>
            <w:tcW w:w="9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Finance Lease Obligations</w:t>
            </w:r>
          </w:p>
        </w:tc>
        <w:tc>
          <w:tcPr>
            <w:tcW w:w="9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Repayment of Borrowings</w:t>
            </w:r>
          </w:p>
        </w:tc>
        <w:tc>
          <w:tcPr>
            <w:tcW w:w="9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w:t>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Other, net</w:t>
            </w:r>
          </w:p>
        </w:tc>
        <w:tc>
          <w:tcPr>
            <w:tcW w:w="9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123.8</w:t>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A0A0A"/>
                <w:sz w:val="20"/>
              </w:rPr>
            </w:pPr>
            <w:r>
              <w:rPr>
                <w:rFonts w:ascii="Arial;sans-serif" w:hAnsi="Arial;sans-serif"/>
                <w:b/>
                <w:color w:val="0A0A0A"/>
                <w:sz w:val="20"/>
              </w:rPr>
              <w:t>Net Cash Provided by (Used In) Financing Activities</w:t>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(759.7)</w:t>
            </w:r>
          </w:p>
        </w:tc>
      </w:tr>
      <w:tr>
        <w:trPr/>
        <w:tc>
          <w:tcPr>
            <w:tcW w:w="6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Net Decrease in Cash</w:t>
            </w:r>
          </w:p>
        </w:tc>
        <w:tc>
          <w:tcPr>
            <w:tcW w:w="9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(77.0)</w:t>
            </w:r>
          </w:p>
        </w:tc>
      </w:tr>
      <w:tr>
        <w:trPr/>
        <w:tc>
          <w:tcPr>
            <w:tcW w:w="62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A0A0A"/>
                <w:sz w:val="20"/>
              </w:rPr>
            </w:pPr>
            <w:r>
              <w:rPr>
                <w:rFonts w:ascii="Arial;sans-serif" w:hAnsi="Arial;sans-serif"/>
                <w:b w:val="false"/>
                <w:color w:val="0A0A0A"/>
                <w:sz w:val="20"/>
              </w:rPr>
              <w:t>Cash, Cash Equivalents and Restricted Cash – Beginning of the Period</w:t>
            </w:r>
          </w:p>
        </w:tc>
        <w:tc>
          <w:tcPr>
            <w:tcW w:w="9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w:t>
            </w:r>
          </w:p>
        </w:tc>
        <w:tc>
          <w:tcPr>
            <w:tcW w:w="6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w:t>
            </w:r>
          </w:p>
        </w:tc>
      </w:tr>
      <w:tr>
        <w:trPr/>
        <w:tc>
          <w:tcPr>
            <w:tcW w:w="624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 xml:space="preserve">Cash, Cash Equivalents and Restricted Cash – </w:t>
            </w:r>
          </w:p>
          <w:p>
            <w:pPr>
              <w:pStyle w:val="TableContents"/>
              <w:spacing w:lineRule="auto" w:line="240" w:before="0" w:after="0"/>
              <w:ind w:left="0" w:right="0" w:hanging="90"/>
              <w:jc w:val="left"/>
              <w:rPr>
                <w:rFonts w:ascii="Arial;sans-serif" w:hAnsi="Arial;sans-serif"/>
                <w:b w:val="false"/>
                <w:color w:val="0A0A0A"/>
                <w:sz w:val="20"/>
              </w:rPr>
            </w:pPr>
            <w:r>
              <w:rPr>
                <w:rFonts w:ascii="Arial;sans-serif" w:hAnsi="Arial;sans-serif"/>
                <w:b w:val="false"/>
                <w:color w:val="0A0A0A"/>
                <w:sz w:val="20"/>
              </w:rPr>
              <w:t>End of the Period</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w:t>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w:t>
            </w:r>
          </w:p>
        </w:tc>
      </w:tr>
    </w:tbl>
    <w:p>
      <w:pPr>
        <w:pStyle w:val="TextBody"/>
        <w:spacing w:lineRule="auto" w:line="288" w:before="60" w:after="283"/>
        <w:rPr>
          <w:color w:val="0A0A0A"/>
        </w:rPr>
      </w:pPr>
      <w:r>
        <w:rPr>
          <w:color w:val="0A0A0A"/>
        </w:rPr>
        <w:t>“</w:t>
      </w:r>
      <w:r>
        <w:rPr>
          <w:rFonts w:ascii="Arial;sans-serif" w:hAnsi="Arial;sans-serif"/>
          <w:b w:val="false"/>
          <w:color w:val="0A0A0A"/>
          <w:sz w:val="16"/>
        </w:rPr>
        <w:t>NM” stands for not meaningful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spacing w:lineRule="auto" w:line="288" w:before="240" w:after="283"/>
        <w:jc w:val="both"/>
        <w:rPr>
          <w:rFonts w:ascii="Arial;sans-serif" w:hAnsi="Arial;sans-serif"/>
          <w:b/>
          <w:color w:val="000000"/>
          <w:sz w:val="20"/>
          <w:highlight w:val="white"/>
        </w:rPr>
      </w:pPr>
      <w:r>
        <w:rPr>
          <w:rFonts w:ascii="Arial;sans-serif" w:hAnsi="Arial;sans-serif"/>
          <w:b/>
          <w:color w:val="000000"/>
          <w:sz w:val="20"/>
          <w:highlight w:val="white"/>
        </w:rPr>
        <w:t>Adjusted Operating Income, Adjusted Operating Income Margin, Adjusted Income Before Income Tax, Adjusted Pre-tax Margin, Adjusted Net Income, Adjusted Net Income per Share, Adjusted EBITDA and Adjusted EBITDA Margin</w:t>
      </w:r>
    </w:p>
    <w:p>
      <w:pPr>
        <w:pStyle w:val="TextBody"/>
        <w:spacing w:lineRule="auto" w:line="288" w:before="240" w:after="283"/>
        <w:jc w:val="both"/>
        <w:rPr/>
      </w:pPr>
      <w:r>
        <w:rPr>
          <w:rFonts w:ascii="Arial;sans-serif" w:hAnsi="Arial;sans-serif"/>
          <w:b w:val="false"/>
          <w:color w:val="000000"/>
          <w:sz w:val="20"/>
          <w:highlight w:val="white"/>
        </w:rPr>
        <w:t xml:space="preserve">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w:t>
      </w:r>
      <w:r>
        <w:rPr>
          <w:rFonts w:ascii="Arial;sans-serif" w:hAnsi="Arial;sans-serif"/>
          <w:b w:val="false"/>
          <w:color w:val="000000"/>
          <w:sz w:val="20"/>
        </w:rPr>
        <w:t>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For the aforementioned reasons, Adjusted Operating Income, Adjusted Operating Income Margin, Adjusted Income Before Income Tax, Adjusted Pre-tax Margin, Adjusted Net Income, Adjusted Net Income per Share, </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9</w:t>
                      </w:r>
                    </w:p>
                  </w:txbxContent>
                </v:textbox>
              </v:rect>
            </w:pict>
          </mc:Fallback>
        </mc:AlternateContent>
      </w:r>
    </w:p>
    <w:p>
      <w:pPr>
        <w:pStyle w:val="TextBody"/>
        <w:spacing w:lineRule="auto" w:line="288" w:before="240" w:after="283"/>
        <w:jc w:val="both"/>
        <w:rPr/>
      </w:pPr>
      <w:r>
        <w:rPr>
          <w:rFonts w:ascii="Arial;sans-serif" w:hAnsi="Arial;sans-serif"/>
          <w:b w:val="false"/>
          <w:color w:val="000000"/>
          <w:sz w:val="20"/>
        </w:rPr>
        <w:t>Adjusted EBITDA and Adjusted EBITDA Margin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w:t>
      </w:r>
    </w:p>
    <w:p>
      <w:pPr>
        <w:pStyle w:val="TextBody"/>
        <w:spacing w:before="0" w:after="0"/>
        <w:rPr/>
      </w:pPr>
      <w:r>
        <w:rPr/>
      </w:r>
    </w:p>
    <w:tbl>
      <w:tblPr>
        <w:tblW w:w="9135" w:type="dxa"/>
        <w:jc w:val="left"/>
        <w:tblInd w:w="0" w:type="dxa"/>
        <w:tblCellMar>
          <w:top w:w="28" w:type="dxa"/>
          <w:left w:w="28" w:type="dxa"/>
          <w:bottom w:w="28" w:type="dxa"/>
          <w:right w:w="28" w:type="dxa"/>
        </w:tblCellMar>
      </w:tblPr>
      <w:tblGrid>
        <w:gridCol w:w="2921"/>
        <w:gridCol w:w="2568"/>
        <w:gridCol w:w="3646"/>
      </w:tblGrid>
      <w:tr>
        <w:trPr/>
        <w:tc>
          <w:tcPr>
            <w:tcW w:w="2921"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3646" w:type="dxa"/>
            <w:tcBorders/>
            <w:shd w:fill="auto" w:val="clear"/>
            <w:vAlign w:val="center"/>
          </w:tcPr>
          <w:p>
            <w:pPr>
              <w:pStyle w:val="TableContents"/>
              <w:spacing w:before="0" w:after="283"/>
              <w:rPr>
                <w:sz w:val="4"/>
                <w:szCs w:val="4"/>
              </w:rPr>
            </w:pPr>
            <w:r>
              <w:rPr>
                <w:sz w:val="4"/>
                <w:szCs w:val="4"/>
              </w:rPr>
            </w:r>
          </w:p>
        </w:tc>
      </w:tr>
      <w:tr>
        <w:trPr/>
        <w:tc>
          <w:tcPr>
            <w:tcW w:w="9135"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Operating Income to Adjusted Operating Income </w:t>
            </w:r>
          </w:p>
          <w:p>
            <w:pPr>
              <w:pStyle w:val="TableContents"/>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9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operating income to adjusted operating income.</w:t>
            </w:r>
          </w:p>
        </w:tc>
      </w:tr>
    </w:tbl>
    <w:tbl>
      <w:tblPr>
        <w:tblW w:w="5793" w:type="dxa"/>
        <w:jc w:val="left"/>
        <w:tblInd w:w="0" w:type="dxa"/>
        <w:tblCellMar>
          <w:top w:w="28" w:type="dxa"/>
          <w:left w:w="28" w:type="dxa"/>
          <w:bottom w:w="28" w:type="dxa"/>
          <w:right w:w="28" w:type="dxa"/>
        </w:tblCellMar>
      </w:tblPr>
      <w:tblGrid>
        <w:gridCol w:w="1135"/>
        <w:gridCol w:w="998"/>
        <w:gridCol w:w="1002"/>
        <w:gridCol w:w="211"/>
        <w:gridCol w:w="646"/>
        <w:gridCol w:w="286"/>
        <w:gridCol w:w="109"/>
        <w:gridCol w:w="109"/>
        <w:gridCol w:w="109"/>
        <w:gridCol w:w="211"/>
        <w:gridCol w:w="646"/>
        <w:gridCol w:w="331"/>
      </w:tblGrid>
      <w:tr>
        <w:trPr/>
        <w:tc>
          <w:tcPr>
            <w:tcW w:w="1135"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Operating Income Margin</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Operating Income Margin</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263"/>
        <w:gridCol w:w="2868"/>
        <w:gridCol w:w="4074"/>
      </w:tblGrid>
      <w:tr>
        <w:trPr/>
        <w:tc>
          <w:tcPr>
            <w:tcW w:w="3263"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Arial;sans-serif" w:hAnsi="Arial;sans-serif"/>
                <w:b/>
                <w:color w:val="000000"/>
                <w:sz w:val="20"/>
              </w:rPr>
            </w:pPr>
            <w:r>
              <w:rPr>
                <w:rFonts w:ascii="Arial;sans-serif" w:hAnsi="Arial;sans-serif"/>
                <w:b/>
                <w:color w:val="000000"/>
                <w:sz w:val="20"/>
              </w:rPr>
              <w:t xml:space="preserve">Reconciliation of GAAP Income Before Income Tax to Adjusted Income Before Income Tax </w:t>
            </w:r>
          </w:p>
          <w:p>
            <w:pPr>
              <w:pStyle w:val="TableContents"/>
              <w:spacing w:lineRule="auto" w:line="240"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income before income tax to adjusted income before income tax.</w:t>
            </w:r>
          </w:p>
        </w:tc>
      </w:tr>
    </w:tbl>
    <w:tbl>
      <w:tblPr>
        <w:tblW w:w="6311" w:type="dxa"/>
        <w:jc w:val="left"/>
        <w:tblInd w:w="0" w:type="dxa"/>
        <w:tblCellMar>
          <w:top w:w="28" w:type="dxa"/>
          <w:left w:w="28" w:type="dxa"/>
          <w:bottom w:w="28" w:type="dxa"/>
          <w:right w:w="28" w:type="dxa"/>
        </w:tblCellMar>
      </w:tblPr>
      <w:tblGrid>
        <w:gridCol w:w="1346"/>
        <w:gridCol w:w="1183"/>
        <w:gridCol w:w="1191"/>
        <w:gridCol w:w="223"/>
        <w:gridCol w:w="573"/>
        <w:gridCol w:w="303"/>
        <w:gridCol w:w="115"/>
        <w:gridCol w:w="115"/>
        <w:gridCol w:w="115"/>
        <w:gridCol w:w="223"/>
        <w:gridCol w:w="573"/>
        <w:gridCol w:w="351"/>
      </w:tblGrid>
      <w:tr>
        <w:trPr/>
        <w:tc>
          <w:tcPr>
            <w:tcW w:w="1346"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Add: Provision for Income Tax Expense</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Income Before Income Tax, as reported</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Pre-tax margin</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 xml:space="preserve">Tax Receivable Agreement adjustment </w:t>
            </w:r>
            <w:r>
              <w:rPr>
                <w:rFonts w:ascii="Arial;sans-serif" w:hAnsi="Arial;sans-serif"/>
                <w:b w:val="false"/>
                <w:color w:val="000000"/>
                <w:sz w:val="13"/>
              </w:rPr>
              <w:t>(1)</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refinancing credit facility</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Income Before Income Tax</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Pre-tax margin</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3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8651" w:type="dxa"/>
        <w:jc w:val="left"/>
        <w:tblInd w:w="0" w:type="dxa"/>
        <w:tblCellMar>
          <w:top w:w="28" w:type="dxa"/>
          <w:left w:w="28" w:type="dxa"/>
          <w:bottom w:w="28" w:type="dxa"/>
          <w:right w:w="28" w:type="dxa"/>
        </w:tblCellMar>
      </w:tblPr>
      <w:tblGrid>
        <w:gridCol w:w="124"/>
        <w:gridCol w:w="109"/>
        <w:gridCol w:w="109"/>
        <w:gridCol w:w="2430"/>
        <w:gridCol w:w="2430"/>
        <w:gridCol w:w="34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34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8309" w:type="dxa"/>
            <w:gridSpan w:val="3"/>
            <w:tcBorders/>
            <w:shd w:fill="auto" w:val="clear"/>
            <w:tcMar>
              <w:top w:w="0" w:type="dxa"/>
              <w:left w:w="0" w:type="dxa"/>
              <w:bottom w:w="0" w:type="dxa"/>
              <w:right w:w="0" w:type="dxa"/>
            </w:tcMar>
            <w:vAlign w:val="center"/>
          </w:tcPr>
          <w:p>
            <w:pPr>
              <w:pStyle w:val="TableContents"/>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10</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263"/>
        <w:gridCol w:w="2869"/>
        <w:gridCol w:w="4073"/>
      </w:tblGrid>
      <w:tr>
        <w:trPr/>
        <w:tc>
          <w:tcPr>
            <w:tcW w:w="3263"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60" w:after="283"/>
              <w:jc w:val="both"/>
              <w:rPr>
                <w:rFonts w:ascii="Arial;sans-serif" w:hAnsi="Arial;sans-serif"/>
                <w:b/>
                <w:color w:val="000000"/>
                <w:sz w:val="20"/>
              </w:rPr>
            </w:pPr>
            <w:r>
              <w:rPr>
                <w:rFonts w:ascii="Arial;sans-serif" w:hAnsi="Arial;sans-serif"/>
                <w:b/>
                <w:color w:val="000000"/>
                <w:sz w:val="20"/>
              </w:rPr>
              <w:t>Reconciliation of GAAP Net Income and Earnings per Share to Adjusted Net Income and Adjusted Earnings per Share</w:t>
            </w:r>
          </w:p>
          <w:p>
            <w:pPr>
              <w:pStyle w:val="TableContents"/>
              <w:spacing w:lineRule="auto" w:line="240" w:before="60" w:after="283"/>
              <w:jc w:val="left"/>
              <w:rPr>
                <w:rFonts w:ascii="Arial;sans-serif" w:hAnsi="Arial;sans-serif"/>
                <w:b/>
                <w:color w:val="000000"/>
                <w:sz w:val="20"/>
              </w:rPr>
            </w:pPr>
            <w:r>
              <w:rPr>
                <w:rFonts w:ascii="Arial;sans-serif" w:hAnsi="Arial;sans-serif"/>
                <w:b/>
                <w:color w:val="000000"/>
                <w:sz w:val="20"/>
              </w:rPr>
              <w:t>Dollars and shares in millions, except for per share – Unaudited - amounts may not recalculate due to rounding</w:t>
            </w:r>
          </w:p>
        </w:tc>
      </w:tr>
      <w:tr>
        <w:trPr/>
        <w:tc>
          <w:tcPr>
            <w:tcW w:w="10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GAAP net income and earnings per share to adjusted net income and adjusted earnings per share.</w:t>
            </w:r>
          </w:p>
        </w:tc>
      </w:tr>
    </w:tbl>
    <w:tbl>
      <w:tblPr>
        <w:tblW w:w="9736" w:type="dxa"/>
        <w:jc w:val="left"/>
        <w:tblInd w:w="0" w:type="dxa"/>
        <w:tblCellMar>
          <w:top w:w="28" w:type="dxa"/>
          <w:left w:w="28" w:type="dxa"/>
          <w:bottom w:w="28" w:type="dxa"/>
          <w:right w:w="28" w:type="dxa"/>
        </w:tblCellMar>
      </w:tblPr>
      <w:tblGrid>
        <w:gridCol w:w="1396"/>
        <w:gridCol w:w="1233"/>
        <w:gridCol w:w="1241"/>
        <w:gridCol w:w="211"/>
        <w:gridCol w:w="541"/>
        <w:gridCol w:w="109"/>
        <w:gridCol w:w="109"/>
        <w:gridCol w:w="109"/>
        <w:gridCol w:w="109"/>
        <w:gridCol w:w="382"/>
        <w:gridCol w:w="980"/>
        <w:gridCol w:w="197"/>
        <w:gridCol w:w="109"/>
        <w:gridCol w:w="109"/>
        <w:gridCol w:w="109"/>
        <w:gridCol w:w="211"/>
        <w:gridCol w:w="541"/>
        <w:gridCol w:w="109"/>
        <w:gridCol w:w="109"/>
        <w:gridCol w:w="109"/>
        <w:gridCol w:w="109"/>
        <w:gridCol w:w="374"/>
        <w:gridCol w:w="958"/>
        <w:gridCol w:w="272"/>
      </w:tblGrid>
      <w:tr>
        <w:trPr/>
        <w:tc>
          <w:tcPr>
            <w:tcW w:w="1396"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6"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Share - diluted</w:t>
            </w:r>
          </w:p>
        </w:tc>
      </w:tr>
      <w:tr>
        <w:trPr/>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Stock Compensation Expense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r>
              <w:rPr>
                <w:rFonts w:ascii="Arial;sans-serif" w:hAnsi="Arial;sans-serif"/>
                <w:b w:val="false"/>
                <w:color w:val="000000"/>
                <w:sz w:val="20"/>
              </w:rPr>
              <w:t xml:space="preserve">Tax Receivable Agreement adjustment </w:t>
            </w:r>
            <w:r>
              <w:rPr>
                <w:rFonts w:ascii="Arial;sans-serif" w:hAnsi="Arial;sans-serif"/>
                <w:b w:val="false"/>
                <w:color w:val="000000"/>
                <w:sz w:val="13"/>
              </w:rPr>
              <w:t>(1)</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refinancing credit facility</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(2)</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Diluted share count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A0A0A"/>
                <w:sz w:val="20"/>
              </w:rPr>
            </w:pPr>
            <w:r>
              <w:rPr>
                <w:rFonts w:ascii="Arial;sans-serif" w:hAnsi="Arial;sans-serif"/>
                <w:b w:val="false"/>
                <w:color w:val="0A0A0A"/>
                <w:sz w:val="20"/>
              </w:rPr>
              <w:t>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651" w:type="dxa"/>
        <w:jc w:val="left"/>
        <w:tblInd w:w="0" w:type="dxa"/>
        <w:tblCellMar>
          <w:top w:w="28" w:type="dxa"/>
          <w:left w:w="28" w:type="dxa"/>
          <w:bottom w:w="28" w:type="dxa"/>
          <w:right w:w="28" w:type="dxa"/>
        </w:tblCellMar>
      </w:tblPr>
      <w:tblGrid>
        <w:gridCol w:w="124"/>
        <w:gridCol w:w="109"/>
        <w:gridCol w:w="109"/>
        <w:gridCol w:w="2430"/>
        <w:gridCol w:w="2430"/>
        <w:gridCol w:w="34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34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8309" w:type="dxa"/>
            <w:gridSpan w:val="3"/>
            <w:tcBorders/>
            <w:shd w:fill="auto" w:val="clear"/>
            <w:tcMar>
              <w:top w:w="0" w:type="dxa"/>
              <w:left w:w="0" w:type="dxa"/>
              <w:bottom w:w="0" w:type="dxa"/>
              <w:right w:w="0" w:type="dxa"/>
            </w:tcMar>
            <w:vAlign w:val="center"/>
          </w:tcPr>
          <w:p>
            <w:pPr>
              <w:pStyle w:val="TableContents"/>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(2)</w:t>
            </w:r>
          </w:p>
        </w:tc>
        <w:tc>
          <w:tcPr>
            <w:tcW w:w="8309" w:type="dxa"/>
            <w:gridSpan w:val="3"/>
            <w:tcBorders/>
            <w:shd w:fill="auto" w:val="clear"/>
            <w:tcMar>
              <w:top w:w="0" w:type="dxa"/>
              <w:left w:w="0" w:type="dxa"/>
              <w:bottom w:w="0" w:type="dxa"/>
              <w:right w:w="0" w:type="dxa"/>
            </w:tcMar>
            <w:vAlign w:val="center"/>
          </w:tcPr>
          <w:p>
            <w:pPr>
              <w:pStyle w:val="TableContents"/>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application period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064" w:type="dxa"/>
        <w:jc w:val="left"/>
        <w:tblInd w:w="0" w:type="dxa"/>
        <w:tblCellMar>
          <w:top w:w="28" w:type="dxa"/>
          <w:left w:w="28" w:type="dxa"/>
          <w:bottom w:w="28" w:type="dxa"/>
          <w:right w:w="28" w:type="dxa"/>
        </w:tblCellMar>
      </w:tblPr>
      <w:tblGrid>
        <w:gridCol w:w="3218"/>
        <w:gridCol w:w="2829"/>
        <w:gridCol w:w="4017"/>
      </w:tblGrid>
      <w:tr>
        <w:trPr/>
        <w:tc>
          <w:tcPr>
            <w:tcW w:w="3218" w:type="dxa"/>
            <w:tcBorders/>
            <w:shd w:fill="auto" w:val="clear"/>
            <w:vAlign w:val="center"/>
          </w:tcPr>
          <w:p>
            <w:pPr>
              <w:pStyle w:val="TableContents"/>
              <w:spacing w:before="0" w:after="283"/>
              <w:rPr>
                <w:sz w:val="4"/>
                <w:szCs w:val="4"/>
              </w:rPr>
            </w:pPr>
            <w:r>
              <w:rPr>
                <w:sz w:val="4"/>
                <w:szCs w:val="4"/>
              </w:rPr>
            </w:r>
          </w:p>
        </w:tc>
        <w:tc>
          <w:tcPr>
            <w:tcW w:w="2829" w:type="dxa"/>
            <w:tcBorders/>
            <w:shd w:fill="auto" w:val="clear"/>
            <w:vAlign w:val="center"/>
          </w:tcPr>
          <w:p>
            <w:pPr>
              <w:pStyle w:val="TableContents"/>
              <w:spacing w:before="0" w:after="283"/>
              <w:rPr>
                <w:sz w:val="4"/>
                <w:szCs w:val="4"/>
              </w:rPr>
            </w:pPr>
            <w:r>
              <w:rPr>
                <w:sz w:val="4"/>
                <w:szCs w:val="4"/>
              </w:rPr>
            </w:r>
          </w:p>
        </w:tc>
        <w:tc>
          <w:tcPr>
            <w:tcW w:w="4017" w:type="dxa"/>
            <w:tcBorders/>
            <w:shd w:fill="auto" w:val="clear"/>
            <w:vAlign w:val="center"/>
          </w:tcPr>
          <w:p>
            <w:pPr>
              <w:pStyle w:val="TableContents"/>
              <w:spacing w:before="0" w:after="283"/>
              <w:rPr>
                <w:sz w:val="4"/>
                <w:szCs w:val="4"/>
              </w:rPr>
            </w:pPr>
            <w:r>
              <w:rPr>
                <w:sz w:val="4"/>
                <w:szCs w:val="4"/>
              </w:rPr>
            </w:r>
          </w:p>
        </w:tc>
      </w:tr>
      <w:tr>
        <w:trPr/>
        <w:tc>
          <w:tcPr>
            <w:tcW w:w="10064"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rFonts w:ascii="Arial;sans-serif" w:hAnsi="Arial;sans-serif"/>
                <w:b/>
                <w:color w:val="000000"/>
                <w:sz w:val="20"/>
              </w:rPr>
            </w:pPr>
            <w:r>
              <w:rPr>
                <w:rFonts w:ascii="Arial;sans-serif" w:hAnsi="Arial;sans-serif"/>
                <w:b/>
                <w:color w:val="000000"/>
                <w:sz w:val="20"/>
              </w:rPr>
              <w:t>Reconciliation of GAAP Net Income to Adjusted EBITDA</w:t>
            </w:r>
          </w:p>
          <w:p>
            <w:pPr>
              <w:pStyle w:val="TableContents"/>
              <w:spacing w:lineRule="auto" w:line="288" w:before="60" w:after="283"/>
              <w:jc w:val="left"/>
              <w:rPr>
                <w:rFonts w:ascii="Arial;sans-serif" w:hAnsi="Arial;sans-serif"/>
                <w:b/>
                <w:color w:val="000000"/>
                <w:sz w:val="20"/>
              </w:rPr>
            </w:pPr>
            <w:r>
              <w:rPr>
                <w:rFonts w:ascii="Arial;sans-serif" w:hAnsi="Arial;sans-serif"/>
                <w:b/>
                <w:color w:val="000000"/>
                <w:sz w:val="20"/>
              </w:rPr>
              <w:t>Dollars in millions – Unaudited - amounts may not recalculate due to rounding</w:t>
            </w:r>
          </w:p>
        </w:tc>
      </w:tr>
      <w:tr>
        <w:trPr/>
        <w:tc>
          <w:tcPr>
            <w:tcW w:w="10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following tables present the reconciliation of net income to adjusted EBITDA for the periods presented below. </w:t>
            </w:r>
          </w:p>
        </w:tc>
      </w:tr>
    </w:tbl>
    <w:tbl>
      <w:tblPr>
        <w:tblW w:w="6371" w:type="dxa"/>
        <w:jc w:val="left"/>
        <w:tblInd w:w="0" w:type="dxa"/>
        <w:tblCellMar>
          <w:top w:w="28" w:type="dxa"/>
          <w:left w:w="28" w:type="dxa"/>
          <w:bottom w:w="28" w:type="dxa"/>
          <w:right w:w="28" w:type="dxa"/>
        </w:tblCellMar>
      </w:tblPr>
      <w:tblGrid>
        <w:gridCol w:w="1368"/>
        <w:gridCol w:w="1201"/>
        <w:gridCol w:w="1211"/>
        <w:gridCol w:w="223"/>
        <w:gridCol w:w="573"/>
        <w:gridCol w:w="303"/>
        <w:gridCol w:w="115"/>
        <w:gridCol w:w="115"/>
        <w:gridCol w:w="115"/>
        <w:gridCol w:w="223"/>
        <w:gridCol w:w="573"/>
        <w:gridCol w:w="351"/>
      </w:tblGrid>
      <w:tr>
        <w:trPr/>
        <w:tc>
          <w:tcPr>
            <w:tcW w:w="1368"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color w:val="000000"/>
              </w:rPr>
              <w:t> </w:t>
            </w:r>
            <w:r>
              <w:rPr>
                <w:rFonts w:ascii="Arial;sans-serif" w:hAnsi="Arial;sans-serif"/>
                <w:b w:val="false"/>
                <w:color w:val="000000"/>
                <w:sz w:val="20"/>
              </w:rPr>
              <w:t xml:space="preserve">Tax Receivable Agreement adjustment </w:t>
            </w:r>
            <w:r>
              <w:rPr>
                <w:rFonts w:ascii="Arial;sans-serif" w:hAnsi="Arial;sans-serif"/>
                <w:b w:val="false"/>
                <w:color w:val="000000"/>
                <w:sz w:val="13"/>
              </w:rPr>
              <w:t>(1)</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8651" w:type="dxa"/>
        <w:jc w:val="left"/>
        <w:tblInd w:w="0" w:type="dxa"/>
        <w:tblCellMar>
          <w:top w:w="28" w:type="dxa"/>
          <w:left w:w="28" w:type="dxa"/>
          <w:bottom w:w="28" w:type="dxa"/>
          <w:right w:w="28" w:type="dxa"/>
        </w:tblCellMar>
      </w:tblPr>
      <w:tblGrid>
        <w:gridCol w:w="124"/>
        <w:gridCol w:w="109"/>
        <w:gridCol w:w="109"/>
        <w:gridCol w:w="2430"/>
        <w:gridCol w:w="2430"/>
        <w:gridCol w:w="34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34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8309" w:type="dxa"/>
            <w:gridSpan w:val="3"/>
            <w:tcBorders/>
            <w:shd w:fill="auto" w:val="clear"/>
            <w:tcMar>
              <w:top w:w="0" w:type="dxa"/>
              <w:left w:w="0" w:type="dxa"/>
              <w:bottom w:w="0" w:type="dxa"/>
              <w:right w:w="0" w:type="dxa"/>
            </w:tcMar>
            <w:vAlign w:val="center"/>
          </w:tcPr>
          <w:p>
            <w:pPr>
              <w:pStyle w:val="TableContents"/>
              <w:spacing w:lineRule="auto" w:line="268" w:before="60" w:after="283"/>
              <w:jc w:val="left"/>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11</w:t>
                      </w:r>
                    </w:p>
                  </w:txbxContent>
                </v:textbox>
              </v:rect>
            </w:pict>
          </mc:Fallback>
        </mc:AlternateContent>
      </w:r>
    </w:p>
    <w:p>
      <w:pPr>
        <w:pStyle w:val="TextBody"/>
        <w:spacing w:lineRule="auto" w:line="288" w:before="240" w:after="283"/>
        <w:jc w:val="both"/>
        <w:rPr>
          <w:rFonts w:ascii="Arial;sans-serif" w:hAnsi="Arial;sans-serif"/>
          <w:b/>
          <w:color w:val="000000"/>
          <w:sz w:val="20"/>
          <w:highlight w:val="white"/>
        </w:rPr>
      </w:pPr>
      <w:r>
        <w:rPr>
          <w:rFonts w:ascii="Arial;sans-serif" w:hAnsi="Arial;sans-serif"/>
          <w:b/>
          <w:color w:val="000000"/>
          <w:sz w:val="20"/>
          <w:highlight w:val="white"/>
        </w:rPr>
        <w:t>Adjusted CASM</w:t>
      </w:r>
    </w:p>
    <w:p>
      <w:pPr>
        <w:pStyle w:val="TextBody"/>
        <w:spacing w:lineRule="auto" w:line="288" w:before="240" w:after="283"/>
        <w:jc w:val="both"/>
        <w:rPr>
          <w:rFonts w:ascii="Arial;sans-serif" w:hAnsi="Arial;sans-serif"/>
          <w:b w:val="false"/>
          <w:color w:val="000000"/>
          <w:sz w:val="20"/>
          <w:highlight w:val="white"/>
        </w:rPr>
      </w:pPr>
      <w:r>
        <w:rPr>
          <w:rFonts w:ascii="Arial;sans-serif" w:hAnsi="Arial;sans-serif"/>
          <w:b w:val="false"/>
          <w:color w:val="000000"/>
          <w:sz w:val="20"/>
          <w:highlight w:val="white"/>
        </w:rPr>
        <w:t xml:space="preserve">Adjusted CASM is a non-GAAP measure derived from CASM by excluding fuel costs, costs related to our cargo operations, stock based compensation,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highlight w:val="white"/>
        </w:rPr>
      </w:pPr>
      <w:r>
        <w:rPr>
          <w:rFonts w:ascii="Arial;sans-serif" w:hAnsi="Arial;sans-serif"/>
          <w:b w:val="false"/>
          <w:color w:val="000000"/>
          <w:sz w:val="20"/>
          <w:highlight w:val="white"/>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pStyle w:val="TextBody"/>
        <w:spacing w:lineRule="auto" w:line="288" w:before="240" w:after="283"/>
        <w:jc w:val="both"/>
        <w:rPr/>
      </w:pPr>
      <w:r>
        <w:rPr>
          <w:rFonts w:ascii="Arial;sans-serif" w:hAnsi="Arial;sans-serif"/>
          <w:b w:val="false"/>
          <w:color w:val="000000"/>
          <w:sz w:val="20"/>
        </w:rPr>
        <w:t xml:space="preserve">We have excluded costs related to the cargo operations as these operations do not create ASMs. </w:t>
      </w:r>
      <w:r>
        <w:rPr>
          <w:rFonts w:ascii="Arial;sans-serif" w:hAnsi="Arial;sans-serif"/>
          <w:b w:val="false"/>
          <w:color w:val="000000"/>
          <w:sz w:val="20"/>
          <w:highlight w:val="white"/>
        </w:rPr>
        <w:t>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TextBody"/>
        <w:spacing w:before="0" w:after="0"/>
        <w:rPr/>
      </w:pPr>
      <w:r>
        <w:rPr/>
      </w:r>
    </w:p>
    <w:tbl>
      <w:tblPr>
        <w:tblW w:w="7035" w:type="dxa"/>
        <w:jc w:val="left"/>
        <w:tblInd w:w="0" w:type="dxa"/>
        <w:tblCellMar>
          <w:top w:w="28" w:type="dxa"/>
          <w:left w:w="28" w:type="dxa"/>
          <w:bottom w:w="28" w:type="dxa"/>
          <w:right w:w="28" w:type="dxa"/>
        </w:tblCellMar>
      </w:tblPr>
      <w:tblGrid>
        <w:gridCol w:w="2250"/>
        <w:gridCol w:w="1978"/>
        <w:gridCol w:w="2807"/>
      </w:tblGrid>
      <w:tr>
        <w:trPr/>
        <w:tc>
          <w:tcPr>
            <w:tcW w:w="2250" w:type="dxa"/>
            <w:tcBorders/>
            <w:shd w:fill="auto" w:val="clear"/>
            <w:vAlign w:val="center"/>
          </w:tcPr>
          <w:p>
            <w:pPr>
              <w:pStyle w:val="TableContents"/>
              <w:spacing w:before="0" w:after="283"/>
              <w:rPr>
                <w:sz w:val="4"/>
                <w:szCs w:val="4"/>
              </w:rPr>
            </w:pPr>
            <w:r>
              <w:rPr>
                <w:sz w:val="4"/>
                <w:szCs w:val="4"/>
              </w:rPr>
            </w:r>
          </w:p>
        </w:tc>
        <w:tc>
          <w:tcPr>
            <w:tcW w:w="1978" w:type="dxa"/>
            <w:tcBorders/>
            <w:shd w:fill="auto" w:val="clear"/>
            <w:vAlign w:val="center"/>
          </w:tcPr>
          <w:p>
            <w:pPr>
              <w:pStyle w:val="TableContents"/>
              <w:spacing w:before="0" w:after="283"/>
              <w:rPr>
                <w:sz w:val="4"/>
                <w:szCs w:val="4"/>
              </w:rPr>
            </w:pPr>
            <w:r>
              <w:rPr>
                <w:sz w:val="4"/>
                <w:szCs w:val="4"/>
              </w:rPr>
            </w:r>
          </w:p>
        </w:tc>
        <w:tc>
          <w:tcPr>
            <w:tcW w:w="2807" w:type="dxa"/>
            <w:tcBorders/>
            <w:shd w:fill="auto" w:val="clear"/>
            <w:vAlign w:val="center"/>
          </w:tcPr>
          <w:p>
            <w:pPr>
              <w:pStyle w:val="TableContents"/>
              <w:spacing w:before="0" w:after="283"/>
              <w:rPr>
                <w:sz w:val="4"/>
                <w:szCs w:val="4"/>
              </w:rPr>
            </w:pPr>
            <w:r>
              <w:rPr>
                <w:sz w:val="4"/>
                <w:szCs w:val="4"/>
              </w:rPr>
            </w:r>
          </w:p>
        </w:tc>
      </w:tr>
      <w:tr>
        <w:trPr/>
        <w:tc>
          <w:tcPr>
            <w:tcW w:w="7035" w:type="dxa"/>
            <w:gridSpan w:val="3"/>
            <w:tcBorders/>
            <w:shd w:fill="auto" w:val="clear"/>
            <w:tcMar>
              <w:top w:w="0" w:type="dxa"/>
              <w:left w:w="0" w:type="dxa"/>
              <w:bottom w:w="0" w:type="dxa"/>
              <w:right w:w="0" w:type="dxa"/>
            </w:tcMar>
            <w:vAlign w:val="center"/>
          </w:tcPr>
          <w:p>
            <w:pPr>
              <w:pStyle w:val="TableContents"/>
              <w:spacing w:lineRule="auto" w:line="288" w:before="60" w:after="283"/>
              <w:jc w:val="left"/>
              <w:rPr>
                <w:rFonts w:ascii="Arial;sans-serif" w:hAnsi="Arial;sans-serif"/>
                <w:b/>
                <w:color w:val="000000"/>
                <w:sz w:val="20"/>
              </w:rPr>
            </w:pPr>
            <w:r>
              <w:rPr>
                <w:rFonts w:ascii="Arial;sans-serif" w:hAnsi="Arial;sans-serif"/>
                <w:b/>
                <w:color w:val="000000"/>
                <w:sz w:val="20"/>
              </w:rPr>
              <w:t>Reconciliation of CASM to Adjusted CASM</w:t>
            </w:r>
          </w:p>
          <w:p>
            <w:pPr>
              <w:pStyle w:val="TableContents"/>
              <w:spacing w:lineRule="auto" w:line="288" w:before="60" w:after="283"/>
              <w:jc w:val="left"/>
              <w:rPr>
                <w:rFonts w:ascii="Arial;sans-serif" w:hAnsi="Arial;sans-serif"/>
                <w:b/>
                <w:color w:val="000000"/>
                <w:sz w:val="20"/>
              </w:rPr>
            </w:pPr>
            <w:r>
              <w:rPr>
                <w:rFonts w:ascii="Arial;sans-serif" w:hAnsi="Arial;sans-serif"/>
                <w:b/>
                <w:color w:val="000000"/>
                <w:sz w:val="20"/>
              </w:rPr>
              <w:t>Amounts may not recalculate due to rounding, dollar amounts in millions</w:t>
            </w:r>
          </w:p>
          <w:p>
            <w:pPr>
              <w:pStyle w:val="TableContents"/>
              <w:spacing w:before="60" w:after="283"/>
              <w:rPr/>
            </w:pPr>
            <w:r>
              <w:rPr/>
            </w:r>
          </w:p>
        </w:tc>
      </w:tr>
      <w:tr>
        <w:trPr/>
        <w:tc>
          <w:tcPr>
            <w:tcW w:w="7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CASM to Adjusted CASM.</w:t>
            </w:r>
          </w:p>
        </w:tc>
      </w:tr>
    </w:tbl>
    <w:tbl>
      <w:tblPr>
        <w:tblW w:w="10205" w:type="dxa"/>
        <w:jc w:val="left"/>
        <w:tblInd w:w="0" w:type="dxa"/>
        <w:tblCellMar>
          <w:top w:w="28" w:type="dxa"/>
          <w:left w:w="28" w:type="dxa"/>
          <w:bottom w:w="28" w:type="dxa"/>
          <w:right w:w="28" w:type="dxa"/>
        </w:tblCellMar>
      </w:tblPr>
      <w:tblGrid>
        <w:gridCol w:w="1266"/>
        <w:gridCol w:w="1117"/>
        <w:gridCol w:w="1132"/>
        <w:gridCol w:w="769"/>
        <w:gridCol w:w="418"/>
        <w:gridCol w:w="398"/>
        <w:gridCol w:w="109"/>
        <w:gridCol w:w="109"/>
        <w:gridCol w:w="109"/>
        <w:gridCol w:w="408"/>
        <w:gridCol w:w="408"/>
        <w:gridCol w:w="409"/>
        <w:gridCol w:w="109"/>
        <w:gridCol w:w="109"/>
        <w:gridCol w:w="109"/>
        <w:gridCol w:w="343"/>
        <w:gridCol w:w="1054"/>
        <w:gridCol w:w="177"/>
        <w:gridCol w:w="109"/>
        <w:gridCol w:w="109"/>
        <w:gridCol w:w="109"/>
        <w:gridCol w:w="412"/>
        <w:gridCol w:w="379"/>
        <w:gridCol w:w="534"/>
      </w:tblGrid>
      <w:tr>
        <w:trPr/>
        <w:tc>
          <w:tcPr>
            <w:tcW w:w="1266"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r>
      <w:tr>
        <w:trPr/>
        <w:tc>
          <w:tcPr>
            <w:tcW w:w="3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Operating Expenses</w:t>
            </w:r>
          </w:p>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 mm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ASM (cents)</w:t>
            </w:r>
          </w:p>
        </w:tc>
      </w:tr>
      <w:tr>
        <w:trPr/>
        <w:tc>
          <w:tcPr>
            <w:tcW w:w="35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5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5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5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5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5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 seat miles (ASMs) - mm</w:t>
            </w:r>
          </w:p>
        </w:tc>
        <w:tc>
          <w:tcPr>
            <w:tcW w:w="15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Page 12</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4792</Words>
  <CharactersWithSpaces>30360</CharactersWithSpaces>
  <Paragraphs>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