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374" w:lineRule="exact"/>
        <w:rPr>
          <w:sz w:val="24"/>
          <w:szCs w:val="24"/>
          <w:color w:val="auto"/>
        </w:rPr>
      </w:pPr>
    </w:p>
    <w:p>
      <w:pPr>
        <w:jc w:val="center"/>
        <w:ind w:right="39"/>
        <w:spacing w:after="0"/>
        <w:rPr>
          <w:sz w:val="20"/>
          <w:szCs w:val="20"/>
          <w:color w:val="auto"/>
        </w:rPr>
      </w:pPr>
      <w:r>
        <w:rPr>
          <w:rFonts w:ascii="Arial" w:cs="Arial" w:eastAsia="Arial" w:hAnsi="Arial"/>
          <w:sz w:val="9"/>
          <w:szCs w:val="9"/>
          <w:b w:val="1"/>
          <w:bCs w:val="1"/>
          <w:color w:val="auto"/>
        </w:rPr>
        <w:t>Confidential Treatment Requested by Sun Country Airlines Holdings, Inc.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9"/>
          <w:szCs w:val="9"/>
          <w:b w:val="1"/>
          <w:bCs w:val="1"/>
          <w:color w:val="auto"/>
        </w:rPr>
        <w:t>Pursuant to 17 C.F.R. Section 200.83</w:t>
      </w:r>
    </w:p>
    <w:p>
      <w:pPr>
        <w:jc w:val="center"/>
        <w:ind w:right="39"/>
        <w:spacing w:after="0" w:line="229" w:lineRule="auto"/>
        <w:rPr>
          <w:sz w:val="20"/>
          <w:szCs w:val="20"/>
          <w:color w:val="auto"/>
        </w:rPr>
      </w:pPr>
      <w:r>
        <w:rPr>
          <w:rFonts w:ascii="Arial" w:cs="Arial" w:eastAsia="Arial" w:hAnsi="Arial"/>
          <w:sz w:val="9"/>
          <w:szCs w:val="9"/>
          <w:b w:val="1"/>
          <w:bCs w:val="1"/>
          <w:color w:val="auto"/>
        </w:rPr>
        <w:t>As submitted confidentially with the Securities and Exchange Commission on July 15, 2021.</w:t>
      </w:r>
    </w:p>
    <w:p>
      <w:pPr>
        <w:jc w:val="center"/>
        <w:ind w:right="19"/>
        <w:spacing w:after="0"/>
        <w:rPr>
          <w:sz w:val="20"/>
          <w:szCs w:val="20"/>
          <w:color w:val="auto"/>
        </w:rPr>
      </w:pPr>
      <w:r>
        <w:rPr>
          <w:rFonts w:ascii="Arial" w:cs="Arial" w:eastAsia="Arial" w:hAnsi="Arial"/>
          <w:sz w:val="9"/>
          <w:szCs w:val="9"/>
          <w:b w:val="1"/>
          <w:bCs w:val="1"/>
          <w:color w:val="auto"/>
        </w:rPr>
        <w:t>This draft registration statement has not been publicly filed with the Securities and Exchange Commission and all information herein remains strictly confidential.</w:t>
      </w:r>
    </w:p>
    <w:p>
      <w:pPr>
        <w:spacing w:after="0" w:line="7" w:lineRule="exact"/>
        <w:rPr>
          <w:sz w:val="24"/>
          <w:szCs w:val="24"/>
          <w:color w:val="auto"/>
        </w:rPr>
      </w:pPr>
    </w:p>
    <w:p>
      <w:pPr>
        <w:ind w:left="7460"/>
        <w:spacing w:after="0"/>
        <w:rPr>
          <w:sz w:val="20"/>
          <w:szCs w:val="20"/>
          <w:color w:val="auto"/>
        </w:rPr>
      </w:pPr>
      <w:r>
        <w:rPr>
          <w:rFonts w:ascii="Arial" w:cs="Arial" w:eastAsia="Arial" w:hAnsi="Arial"/>
          <w:sz w:val="8"/>
          <w:szCs w:val="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60325</wp:posOffset>
            </wp:positionV>
            <wp:extent cx="503682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36820" cy="1397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102235</wp:posOffset>
            </wp:positionV>
            <wp:extent cx="5036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UNITED STATES</w:t>
      </w: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75565</wp:posOffset>
            </wp:positionV>
            <wp:extent cx="10045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80" w:lineRule="exact"/>
        <w:rPr>
          <w:sz w:val="24"/>
          <w:szCs w:val="24"/>
          <w:color w:val="auto"/>
        </w:rPr>
      </w:pPr>
    </w:p>
    <w:tbl>
      <w:tblPr>
        <w:tblLayout w:type="fixed"/>
        <w:tblInd w:w="900" w:type="dxa"/>
        <w:tblCellMar>
          <w:top w:w="0" w:type="dxa"/>
          <w:left w:w="0" w:type="dxa"/>
          <w:bottom w:w="0" w:type="dxa"/>
          <w:right w:w="0" w:type="dxa"/>
        </w:tblCellMar>
      </w:tblPr>
      <w:tr>
        <w:trPr>
          <w:trHeight w:val="241"/>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80" w:type="dxa"/>
            <w:vAlign w:val="bottom"/>
            <w:gridSpan w:val="2"/>
          </w:tcPr>
          <w:p>
            <w:pPr>
              <w:jc w:val="center"/>
              <w:ind w:right="660"/>
              <w:spacing w:after="0"/>
              <w:rPr>
                <w:sz w:val="20"/>
                <w:szCs w:val="20"/>
                <w:color w:val="auto"/>
              </w:rPr>
            </w:pPr>
            <w:r>
              <w:rPr>
                <w:rFonts w:ascii="Arial" w:cs="Arial" w:eastAsia="Arial" w:hAnsi="Arial"/>
                <w:sz w:val="21"/>
                <w:szCs w:val="21"/>
                <w:b w:val="1"/>
                <w:bCs w:val="1"/>
                <w:color w:val="auto"/>
                <w:w w:val="91"/>
              </w:rPr>
              <w:t>FORM S-1</w:t>
            </w:r>
          </w:p>
        </w:tc>
        <w:tc>
          <w:tcPr>
            <w:tcW w:w="2040" w:type="dxa"/>
            <w:vAlign w:val="bottom"/>
          </w:tcPr>
          <w:p>
            <w:pPr>
              <w:spacing w:after="0"/>
              <w:rPr>
                <w:sz w:val="21"/>
                <w:szCs w:val="21"/>
                <w:color w:val="auto"/>
              </w:rPr>
            </w:pPr>
          </w:p>
        </w:tc>
      </w:tr>
      <w:tr>
        <w:trPr>
          <w:trHeight w:val="224"/>
        </w:trPr>
        <w:tc>
          <w:tcPr>
            <w:tcW w:w="2160" w:type="dxa"/>
            <w:vAlign w:val="bottom"/>
          </w:tcPr>
          <w:p>
            <w:pPr>
              <w:spacing w:after="0"/>
              <w:rPr>
                <w:sz w:val="19"/>
                <w:szCs w:val="19"/>
                <w:color w:val="auto"/>
              </w:rPr>
            </w:pPr>
          </w:p>
        </w:tc>
        <w:tc>
          <w:tcPr>
            <w:tcW w:w="2840" w:type="dxa"/>
            <w:vAlign w:val="bottom"/>
            <w:gridSpan w:val="3"/>
          </w:tcPr>
          <w:p>
            <w:pPr>
              <w:jc w:val="center"/>
              <w:spacing w:after="0" w:line="224" w:lineRule="exact"/>
              <w:rPr>
                <w:sz w:val="20"/>
                <w:szCs w:val="20"/>
                <w:color w:val="auto"/>
              </w:rPr>
            </w:pPr>
            <w:r>
              <w:rPr>
                <w:rFonts w:ascii="Arial" w:cs="Arial" w:eastAsia="Arial" w:hAnsi="Arial"/>
                <w:sz w:val="21"/>
                <w:szCs w:val="21"/>
                <w:b w:val="1"/>
                <w:bCs w:val="1"/>
                <w:color w:val="auto"/>
                <w:w w:val="95"/>
              </w:rPr>
              <w:t>REGISTRATION STATEMENT</w:t>
            </w:r>
          </w:p>
        </w:tc>
        <w:tc>
          <w:tcPr>
            <w:tcW w:w="2040" w:type="dxa"/>
            <w:vAlign w:val="bottom"/>
          </w:tcPr>
          <w:p>
            <w:pPr>
              <w:spacing w:after="0"/>
              <w:rPr>
                <w:sz w:val="19"/>
                <w:szCs w:val="19"/>
                <w:color w:val="auto"/>
              </w:rPr>
            </w:pPr>
          </w:p>
        </w:tc>
      </w:tr>
      <w:tr>
        <w:trPr>
          <w:trHeight w:val="220"/>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gridSpan w:val="2"/>
          </w:tcPr>
          <w:p>
            <w:pPr>
              <w:jc w:val="center"/>
              <w:ind w:right="680"/>
              <w:spacing w:after="0" w:line="220" w:lineRule="exact"/>
              <w:rPr>
                <w:sz w:val="20"/>
                <w:szCs w:val="20"/>
                <w:color w:val="auto"/>
              </w:rPr>
            </w:pPr>
            <w:r>
              <w:rPr>
                <w:rFonts w:ascii="Arial" w:cs="Arial" w:eastAsia="Arial" w:hAnsi="Arial"/>
                <w:sz w:val="21"/>
                <w:szCs w:val="21"/>
                <w:i w:val="1"/>
                <w:iCs w:val="1"/>
                <w:color w:val="auto"/>
                <w:w w:val="93"/>
              </w:rPr>
              <w:t>UNDER</w:t>
            </w:r>
          </w:p>
        </w:tc>
        <w:tc>
          <w:tcPr>
            <w:tcW w:w="2040" w:type="dxa"/>
            <w:vAlign w:val="bottom"/>
          </w:tcPr>
          <w:p>
            <w:pPr>
              <w:spacing w:after="0"/>
              <w:rPr>
                <w:sz w:val="19"/>
                <w:szCs w:val="19"/>
                <w:color w:val="auto"/>
              </w:rPr>
            </w:pPr>
          </w:p>
        </w:tc>
      </w:tr>
      <w:tr>
        <w:trPr>
          <w:trHeight w:val="261"/>
        </w:trPr>
        <w:tc>
          <w:tcPr>
            <w:tcW w:w="2160" w:type="dxa"/>
            <w:vAlign w:val="bottom"/>
          </w:tcPr>
          <w:p>
            <w:pPr>
              <w:spacing w:after="0"/>
              <w:rPr>
                <w:sz w:val="22"/>
                <w:szCs w:val="22"/>
                <w:color w:val="auto"/>
              </w:rPr>
            </w:pPr>
          </w:p>
        </w:tc>
        <w:tc>
          <w:tcPr>
            <w:tcW w:w="4880" w:type="dxa"/>
            <w:vAlign w:val="bottom"/>
            <w:gridSpan w:val="4"/>
          </w:tcPr>
          <w:p>
            <w:pPr>
              <w:jc w:val="center"/>
              <w:ind w:right="1949"/>
              <w:spacing w:after="0"/>
              <w:rPr>
                <w:sz w:val="20"/>
                <w:szCs w:val="20"/>
                <w:color w:val="auto"/>
              </w:rPr>
            </w:pPr>
            <w:r>
              <w:rPr>
                <w:rFonts w:ascii="Arial" w:cs="Arial" w:eastAsia="Arial" w:hAnsi="Arial"/>
                <w:sz w:val="21"/>
                <w:szCs w:val="21"/>
                <w:i w:val="1"/>
                <w:iCs w:val="1"/>
                <w:color w:val="auto"/>
                <w:w w:val="93"/>
              </w:rPr>
              <w:t>THE SECURITIES ACT OF 1933</w:t>
            </w:r>
          </w:p>
        </w:tc>
      </w:tr>
      <w:tr>
        <w:trPr>
          <w:trHeight w:val="94"/>
        </w:trPr>
        <w:tc>
          <w:tcPr>
            <w:tcW w:w="2820" w:type="dxa"/>
            <w:vAlign w:val="bottom"/>
            <w:gridSpan w:val="2"/>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640" w:type="dxa"/>
            <w:vAlign w:val="bottom"/>
            <w:gridSpan w:val="2"/>
          </w:tcPr>
          <w:p>
            <w:pPr>
              <w:spacing w:after="0"/>
              <w:rPr>
                <w:sz w:val="8"/>
                <w:szCs w:val="8"/>
                <w:color w:val="auto"/>
              </w:rPr>
            </w:pPr>
          </w:p>
        </w:tc>
      </w:tr>
      <w:tr>
        <w:trPr>
          <w:trHeight w:val="189"/>
        </w:trPr>
        <w:tc>
          <w:tcPr>
            <w:tcW w:w="7040" w:type="dxa"/>
            <w:vAlign w:val="bottom"/>
            <w:gridSpan w:val="5"/>
          </w:tcPr>
          <w:p>
            <w:pPr>
              <w:jc w:val="center"/>
              <w:ind w:left="64"/>
              <w:spacing w:after="0" w:line="189" w:lineRule="exact"/>
              <w:rPr>
                <w:sz w:val="20"/>
                <w:szCs w:val="20"/>
                <w:color w:val="auto"/>
              </w:rPr>
            </w:pPr>
            <w:r>
              <w:rPr>
                <w:rFonts w:ascii="Arial" w:cs="Arial" w:eastAsia="Arial" w:hAnsi="Arial"/>
                <w:sz w:val="21"/>
                <w:szCs w:val="21"/>
                <w:b w:val="1"/>
                <w:bCs w:val="1"/>
                <w:color w:val="auto"/>
                <w:w w:val="85"/>
              </w:rPr>
              <w:t>Sun Country Airlines Holdings, Inc.</w:t>
            </w:r>
          </w:p>
        </w:tc>
      </w:tr>
      <w:tr>
        <w:trPr>
          <w:trHeight w:val="150"/>
        </w:trPr>
        <w:tc>
          <w:tcPr>
            <w:tcW w:w="2160" w:type="dxa"/>
            <w:vAlign w:val="bottom"/>
          </w:tcPr>
          <w:p>
            <w:pPr>
              <w:spacing w:after="0"/>
              <w:rPr>
                <w:sz w:val="13"/>
                <w:szCs w:val="13"/>
                <w:color w:val="auto"/>
              </w:rPr>
            </w:pPr>
          </w:p>
        </w:tc>
        <w:tc>
          <w:tcPr>
            <w:tcW w:w="28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(Exact name of registrant as specified in its charter)</w:t>
            </w:r>
          </w:p>
        </w:tc>
        <w:tc>
          <w:tcPr>
            <w:tcW w:w="2040" w:type="dxa"/>
            <w:vAlign w:val="bottom"/>
          </w:tcPr>
          <w:p>
            <w:pPr>
              <w:spacing w:after="0"/>
              <w:rPr>
                <w:sz w:val="13"/>
                <w:szCs w:val="13"/>
                <w:color w:val="auto"/>
              </w:rPr>
            </w:pPr>
          </w:p>
        </w:tc>
      </w:tr>
      <w:tr>
        <w:trPr>
          <w:trHeight w:val="80"/>
        </w:trPr>
        <w:tc>
          <w:tcPr>
            <w:tcW w:w="2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2040" w:type="dxa"/>
            <w:vAlign w:val="bottom"/>
          </w:tcPr>
          <w:p>
            <w:pPr>
              <w:spacing w:after="0"/>
              <w:rPr>
                <w:sz w:val="6"/>
                <w:szCs w:val="6"/>
                <w:color w:val="auto"/>
              </w:rPr>
            </w:pPr>
          </w:p>
        </w:tc>
      </w:tr>
      <w:tr>
        <w:trPr>
          <w:trHeight w:val="142"/>
        </w:trPr>
        <w:tc>
          <w:tcPr>
            <w:tcW w:w="2160" w:type="dxa"/>
            <w:vAlign w:val="bottom"/>
          </w:tcPr>
          <w:p>
            <w:pPr>
              <w:jc w:val="center"/>
              <w:ind w:right="784"/>
              <w:spacing w:after="0"/>
              <w:rPr>
                <w:sz w:val="20"/>
                <w:szCs w:val="20"/>
                <w:color w:val="auto"/>
              </w:rPr>
            </w:pPr>
            <w:r>
              <w:rPr>
                <w:rFonts w:ascii="Arial" w:cs="Arial" w:eastAsia="Arial" w:hAnsi="Arial"/>
                <w:sz w:val="10"/>
                <w:szCs w:val="10"/>
                <w:b w:val="1"/>
                <w:bCs w:val="1"/>
                <w:color w:val="auto"/>
                <w:w w:val="90"/>
              </w:rPr>
              <w:t>Delaware</w:t>
            </w:r>
          </w:p>
        </w:tc>
        <w:tc>
          <w:tcPr>
            <w:tcW w:w="2240" w:type="dxa"/>
            <w:vAlign w:val="bottom"/>
            <w:gridSpan w:val="2"/>
          </w:tcPr>
          <w:p>
            <w:pPr>
              <w:jc w:val="right"/>
              <w:ind w:right="639"/>
              <w:spacing w:after="0"/>
              <w:rPr>
                <w:sz w:val="20"/>
                <w:szCs w:val="20"/>
                <w:color w:val="auto"/>
              </w:rPr>
            </w:pPr>
            <w:r>
              <w:rPr>
                <w:rFonts w:ascii="Arial" w:cs="Arial" w:eastAsia="Arial" w:hAnsi="Arial"/>
                <w:sz w:val="10"/>
                <w:szCs w:val="10"/>
                <w:b w:val="1"/>
                <w:bCs w:val="1"/>
                <w:color w:val="auto"/>
              </w:rPr>
              <w:t>4512</w:t>
            </w:r>
          </w:p>
        </w:tc>
        <w:tc>
          <w:tcPr>
            <w:tcW w:w="600" w:type="dxa"/>
            <w:vAlign w:val="bottom"/>
          </w:tcPr>
          <w:p>
            <w:pPr>
              <w:spacing w:after="0"/>
              <w:rPr>
                <w:sz w:val="12"/>
                <w:szCs w:val="12"/>
                <w:color w:val="auto"/>
              </w:rPr>
            </w:pPr>
          </w:p>
        </w:tc>
        <w:tc>
          <w:tcPr>
            <w:tcW w:w="2040" w:type="dxa"/>
            <w:vAlign w:val="bottom"/>
          </w:tcPr>
          <w:p>
            <w:pPr>
              <w:jc w:val="center"/>
              <w:ind w:left="989"/>
              <w:spacing w:after="0"/>
              <w:rPr>
                <w:sz w:val="20"/>
                <w:szCs w:val="20"/>
                <w:color w:val="auto"/>
              </w:rPr>
            </w:pPr>
            <w:r>
              <w:rPr>
                <w:rFonts w:ascii="Arial" w:cs="Arial" w:eastAsia="Arial" w:hAnsi="Arial"/>
                <w:sz w:val="10"/>
                <w:szCs w:val="10"/>
                <w:b w:val="1"/>
                <w:bCs w:val="1"/>
                <w:color w:val="auto"/>
                <w:w w:val="89"/>
              </w:rPr>
              <w:t>87-4092570</w:t>
            </w:r>
          </w:p>
        </w:tc>
      </w:tr>
      <w:tr>
        <w:trPr>
          <w:trHeight w:val="135"/>
        </w:trPr>
        <w:tc>
          <w:tcPr>
            <w:tcW w:w="2160" w:type="dxa"/>
            <w:vAlign w:val="bottom"/>
          </w:tcPr>
          <w:p>
            <w:pPr>
              <w:jc w:val="center"/>
              <w:ind w:right="844"/>
              <w:spacing w:after="0"/>
              <w:rPr>
                <w:sz w:val="20"/>
                <w:szCs w:val="20"/>
                <w:color w:val="auto"/>
              </w:rPr>
            </w:pPr>
            <w:r>
              <w:rPr>
                <w:rFonts w:ascii="Arial" w:cs="Arial" w:eastAsia="Arial" w:hAnsi="Arial"/>
                <w:sz w:val="10"/>
                <w:szCs w:val="10"/>
                <w:color w:val="auto"/>
              </w:rPr>
              <w:t>(State or other jurisdiction of</w:t>
            </w:r>
          </w:p>
        </w:tc>
        <w:tc>
          <w:tcPr>
            <w:tcW w:w="660" w:type="dxa"/>
            <w:vAlign w:val="bottom"/>
          </w:tcPr>
          <w:p>
            <w:pPr>
              <w:spacing w:after="0"/>
              <w:rPr>
                <w:sz w:val="11"/>
                <w:szCs w:val="11"/>
                <w:color w:val="auto"/>
              </w:rPr>
            </w:pPr>
          </w:p>
        </w:tc>
        <w:tc>
          <w:tcPr>
            <w:tcW w:w="2180" w:type="dxa"/>
            <w:vAlign w:val="bottom"/>
            <w:gridSpan w:val="2"/>
          </w:tcPr>
          <w:p>
            <w:pPr>
              <w:jc w:val="center"/>
              <w:ind w:right="660"/>
              <w:spacing w:after="0"/>
              <w:rPr>
                <w:sz w:val="20"/>
                <w:szCs w:val="20"/>
                <w:color w:val="auto"/>
              </w:rPr>
            </w:pPr>
            <w:r>
              <w:rPr>
                <w:rFonts w:ascii="Arial" w:cs="Arial" w:eastAsia="Arial" w:hAnsi="Arial"/>
                <w:sz w:val="10"/>
                <w:szCs w:val="10"/>
                <w:color w:val="auto"/>
                <w:w w:val="99"/>
              </w:rPr>
              <w:t>(Primary Standard Industrial</w:t>
            </w:r>
          </w:p>
        </w:tc>
        <w:tc>
          <w:tcPr>
            <w:tcW w:w="2040" w:type="dxa"/>
            <w:vAlign w:val="bottom"/>
          </w:tcPr>
          <w:p>
            <w:pPr>
              <w:jc w:val="center"/>
              <w:ind w:left="969"/>
              <w:spacing w:after="0"/>
              <w:rPr>
                <w:sz w:val="20"/>
                <w:szCs w:val="20"/>
                <w:color w:val="auto"/>
              </w:rPr>
            </w:pPr>
            <w:r>
              <w:rPr>
                <w:rFonts w:ascii="Arial" w:cs="Arial" w:eastAsia="Arial" w:hAnsi="Arial"/>
                <w:sz w:val="10"/>
                <w:szCs w:val="10"/>
                <w:color w:val="auto"/>
              </w:rPr>
              <w:t>(I.R.S. Employer</w:t>
            </w:r>
          </w:p>
        </w:tc>
      </w:tr>
      <w:tr>
        <w:trPr>
          <w:trHeight w:val="129"/>
        </w:trPr>
        <w:tc>
          <w:tcPr>
            <w:tcW w:w="2160" w:type="dxa"/>
            <w:vAlign w:val="bottom"/>
          </w:tcPr>
          <w:p>
            <w:pPr>
              <w:jc w:val="center"/>
              <w:ind w:right="804"/>
              <w:spacing w:after="0"/>
              <w:rPr>
                <w:sz w:val="20"/>
                <w:szCs w:val="20"/>
                <w:color w:val="auto"/>
              </w:rPr>
            </w:pPr>
            <w:r>
              <w:rPr>
                <w:rFonts w:ascii="Arial" w:cs="Arial" w:eastAsia="Arial" w:hAnsi="Arial"/>
                <w:sz w:val="10"/>
                <w:szCs w:val="10"/>
                <w:color w:val="auto"/>
                <w:w w:val="99"/>
              </w:rPr>
              <w:t>incorporation or organization)</w:t>
            </w:r>
          </w:p>
        </w:tc>
        <w:tc>
          <w:tcPr>
            <w:tcW w:w="660" w:type="dxa"/>
            <w:vAlign w:val="bottom"/>
          </w:tcPr>
          <w:p>
            <w:pPr>
              <w:spacing w:after="0"/>
              <w:rPr>
                <w:sz w:val="11"/>
                <w:szCs w:val="11"/>
                <w:color w:val="auto"/>
              </w:rPr>
            </w:pPr>
          </w:p>
        </w:tc>
        <w:tc>
          <w:tcPr>
            <w:tcW w:w="2180" w:type="dxa"/>
            <w:vAlign w:val="bottom"/>
            <w:gridSpan w:val="2"/>
          </w:tcPr>
          <w:p>
            <w:pPr>
              <w:jc w:val="center"/>
              <w:ind w:right="640"/>
              <w:spacing w:after="0"/>
              <w:rPr>
                <w:sz w:val="20"/>
                <w:szCs w:val="20"/>
                <w:color w:val="auto"/>
              </w:rPr>
            </w:pPr>
            <w:r>
              <w:rPr>
                <w:rFonts w:ascii="Arial" w:cs="Arial" w:eastAsia="Arial" w:hAnsi="Arial"/>
                <w:sz w:val="10"/>
                <w:szCs w:val="10"/>
                <w:color w:val="auto"/>
                <w:w w:val="98"/>
              </w:rPr>
              <w:t>Classification Code Number)</w:t>
            </w:r>
          </w:p>
        </w:tc>
        <w:tc>
          <w:tcPr>
            <w:tcW w:w="2040" w:type="dxa"/>
            <w:vAlign w:val="bottom"/>
          </w:tcPr>
          <w:p>
            <w:pPr>
              <w:jc w:val="center"/>
              <w:ind w:left="989"/>
              <w:spacing w:after="0"/>
              <w:rPr>
                <w:sz w:val="20"/>
                <w:szCs w:val="20"/>
                <w:color w:val="auto"/>
              </w:rPr>
            </w:pPr>
            <w:r>
              <w:rPr>
                <w:rFonts w:ascii="Arial" w:cs="Arial" w:eastAsia="Arial" w:hAnsi="Arial"/>
                <w:sz w:val="10"/>
                <w:szCs w:val="10"/>
                <w:color w:val="auto"/>
              </w:rPr>
              <w:t>Identification Number)</w:t>
            </w:r>
          </w:p>
        </w:tc>
      </w:tr>
      <w:tr>
        <w:trPr>
          <w:trHeight w:val="264"/>
        </w:trPr>
        <w:tc>
          <w:tcPr>
            <w:tcW w:w="2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8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0"/>
              </w:rPr>
              <w:t>2005 Cargo Road</w:t>
            </w:r>
          </w:p>
        </w:tc>
        <w:tc>
          <w:tcPr>
            <w:tcW w:w="2040" w:type="dxa"/>
            <w:vAlign w:val="bottom"/>
          </w:tcPr>
          <w:p>
            <w:pPr>
              <w:spacing w:after="0"/>
              <w:rPr>
                <w:sz w:val="22"/>
                <w:szCs w:val="22"/>
                <w:color w:val="auto"/>
              </w:rPr>
            </w:pPr>
          </w:p>
        </w:tc>
      </w:tr>
      <w:tr>
        <w:trPr>
          <w:trHeight w:val="110"/>
        </w:trPr>
        <w:tc>
          <w:tcPr>
            <w:tcW w:w="2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gridSpan w:val="2"/>
          </w:tcPr>
          <w:p>
            <w:pPr>
              <w:jc w:val="center"/>
              <w:ind w:right="620"/>
              <w:spacing w:after="0" w:line="110" w:lineRule="exact"/>
              <w:rPr>
                <w:sz w:val="20"/>
                <w:szCs w:val="20"/>
                <w:color w:val="auto"/>
              </w:rPr>
            </w:pPr>
            <w:r>
              <w:rPr>
                <w:rFonts w:ascii="Arial" w:cs="Arial" w:eastAsia="Arial" w:hAnsi="Arial"/>
                <w:sz w:val="10"/>
                <w:szCs w:val="10"/>
                <w:b w:val="1"/>
                <w:bCs w:val="1"/>
                <w:color w:val="auto"/>
                <w:w w:val="91"/>
              </w:rPr>
              <w:t>Minneapolis, MN 55450</w:t>
            </w:r>
          </w:p>
        </w:tc>
        <w:tc>
          <w:tcPr>
            <w:tcW w:w="2040" w:type="dxa"/>
            <w:vAlign w:val="bottom"/>
          </w:tcPr>
          <w:p>
            <w:pPr>
              <w:spacing w:after="0"/>
              <w:rPr>
                <w:sz w:val="9"/>
                <w:szCs w:val="9"/>
                <w:color w:val="auto"/>
              </w:rPr>
            </w:pPr>
          </w:p>
        </w:tc>
      </w:tr>
      <w:tr>
        <w:trPr>
          <w:trHeight w:val="110"/>
        </w:trPr>
        <w:tc>
          <w:tcPr>
            <w:tcW w:w="2160" w:type="dxa"/>
            <w:vAlign w:val="bottom"/>
          </w:tcPr>
          <w:p>
            <w:pPr>
              <w:spacing w:after="0"/>
              <w:rPr>
                <w:sz w:val="9"/>
                <w:szCs w:val="9"/>
                <w:color w:val="auto"/>
              </w:rPr>
            </w:pPr>
          </w:p>
        </w:tc>
        <w:tc>
          <w:tcPr>
            <w:tcW w:w="2240" w:type="dxa"/>
            <w:vAlign w:val="bottom"/>
            <w:gridSpan w:val="2"/>
          </w:tcPr>
          <w:p>
            <w:pPr>
              <w:jc w:val="right"/>
              <w:ind w:right="439"/>
              <w:spacing w:after="0" w:line="110" w:lineRule="exact"/>
              <w:rPr>
                <w:sz w:val="20"/>
                <w:szCs w:val="20"/>
                <w:color w:val="auto"/>
              </w:rPr>
            </w:pPr>
            <w:r>
              <w:rPr>
                <w:rFonts w:ascii="Arial" w:cs="Arial" w:eastAsia="Arial" w:hAnsi="Arial"/>
                <w:sz w:val="10"/>
                <w:szCs w:val="10"/>
                <w:b w:val="1"/>
                <w:bCs w:val="1"/>
                <w:color w:val="auto"/>
              </w:rPr>
              <w:t>(651) 681-3900</w:t>
            </w:r>
          </w:p>
        </w:tc>
        <w:tc>
          <w:tcPr>
            <w:tcW w:w="600" w:type="dxa"/>
            <w:vAlign w:val="bottom"/>
          </w:tcPr>
          <w:p>
            <w:pPr>
              <w:spacing w:after="0"/>
              <w:rPr>
                <w:sz w:val="9"/>
                <w:szCs w:val="9"/>
                <w:color w:val="auto"/>
              </w:rPr>
            </w:pPr>
          </w:p>
        </w:tc>
        <w:tc>
          <w:tcPr>
            <w:tcW w:w="2040" w:type="dxa"/>
            <w:vAlign w:val="bottom"/>
          </w:tcPr>
          <w:p>
            <w:pPr>
              <w:spacing w:after="0"/>
              <w:rPr>
                <w:sz w:val="9"/>
                <w:szCs w:val="9"/>
                <w:color w:val="auto"/>
              </w:rPr>
            </w:pPr>
          </w:p>
        </w:tc>
      </w:tr>
      <w:tr>
        <w:trPr>
          <w:trHeight w:val="131"/>
        </w:trPr>
        <w:tc>
          <w:tcPr>
            <w:tcW w:w="7040" w:type="dxa"/>
            <w:vAlign w:val="bottom"/>
            <w:gridSpan w:val="5"/>
          </w:tcPr>
          <w:p>
            <w:pPr>
              <w:jc w:val="center"/>
              <w:ind w:left="124"/>
              <w:spacing w:after="0"/>
              <w:rPr>
                <w:sz w:val="20"/>
                <w:szCs w:val="20"/>
                <w:color w:val="auto"/>
              </w:rPr>
            </w:pPr>
            <w:r>
              <w:rPr>
                <w:rFonts w:ascii="Arial" w:cs="Arial" w:eastAsia="Arial" w:hAnsi="Arial"/>
                <w:sz w:val="10"/>
                <w:szCs w:val="10"/>
                <w:b w:val="1"/>
                <w:bCs w:val="1"/>
                <w:color w:val="auto"/>
                <w:w w:val="86"/>
              </w:rPr>
              <w:t>(Address, including zip code, and telephone number, including area code, of registrant’s principal executive offices)</w:t>
            </w:r>
          </w:p>
        </w:tc>
      </w:tr>
      <w:tr>
        <w:trPr>
          <w:trHeight w:val="69"/>
        </w:trPr>
        <w:tc>
          <w:tcPr>
            <w:tcW w:w="2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2040" w:type="dxa"/>
            <w:vAlign w:val="bottom"/>
          </w:tcPr>
          <w:p>
            <w:pPr>
              <w:spacing w:after="0"/>
              <w:rPr>
                <w:sz w:val="5"/>
                <w:szCs w:val="5"/>
                <w:color w:val="auto"/>
              </w:rPr>
            </w:pPr>
          </w:p>
        </w:tc>
      </w:tr>
      <w:tr>
        <w:trPr>
          <w:trHeight w:val="142"/>
        </w:trPr>
        <w:tc>
          <w:tcPr>
            <w:tcW w:w="2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8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88"/>
              </w:rPr>
              <w:t>Eric Levenhagen, Esq.</w:t>
            </w:r>
          </w:p>
        </w:tc>
        <w:tc>
          <w:tcPr>
            <w:tcW w:w="2040" w:type="dxa"/>
            <w:vAlign w:val="bottom"/>
          </w:tcPr>
          <w:p>
            <w:pPr>
              <w:spacing w:after="0"/>
              <w:rPr>
                <w:sz w:val="12"/>
                <w:szCs w:val="12"/>
                <w:color w:val="auto"/>
              </w:rPr>
            </w:pPr>
          </w:p>
        </w:tc>
      </w:tr>
      <w:tr>
        <w:trPr>
          <w:trHeight w:val="110"/>
        </w:trPr>
        <w:tc>
          <w:tcPr>
            <w:tcW w:w="2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gridSpan w:val="2"/>
          </w:tcPr>
          <w:p>
            <w:pPr>
              <w:jc w:val="center"/>
              <w:ind w:right="640"/>
              <w:spacing w:after="0" w:line="110" w:lineRule="exact"/>
              <w:rPr>
                <w:sz w:val="20"/>
                <w:szCs w:val="20"/>
                <w:color w:val="auto"/>
              </w:rPr>
            </w:pPr>
            <w:r>
              <w:rPr>
                <w:rFonts w:ascii="Arial" w:cs="Arial" w:eastAsia="Arial" w:hAnsi="Arial"/>
                <w:sz w:val="10"/>
                <w:szCs w:val="10"/>
                <w:b w:val="1"/>
                <w:bCs w:val="1"/>
                <w:color w:val="auto"/>
                <w:w w:val="87"/>
              </w:rPr>
              <w:t>General Counsel and Secretary</w:t>
            </w:r>
          </w:p>
        </w:tc>
        <w:tc>
          <w:tcPr>
            <w:tcW w:w="2040" w:type="dxa"/>
            <w:vAlign w:val="bottom"/>
          </w:tcPr>
          <w:p>
            <w:pPr>
              <w:spacing w:after="0"/>
              <w:rPr>
                <w:sz w:val="9"/>
                <w:szCs w:val="9"/>
                <w:color w:val="auto"/>
              </w:rPr>
            </w:pPr>
          </w:p>
        </w:tc>
      </w:tr>
      <w:tr>
        <w:trPr>
          <w:trHeight w:val="110"/>
        </w:trPr>
        <w:tc>
          <w:tcPr>
            <w:tcW w:w="2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gridSpan w:val="2"/>
          </w:tcPr>
          <w:p>
            <w:pPr>
              <w:jc w:val="center"/>
              <w:ind w:right="640"/>
              <w:spacing w:after="0" w:line="110" w:lineRule="exact"/>
              <w:rPr>
                <w:sz w:val="20"/>
                <w:szCs w:val="20"/>
                <w:color w:val="auto"/>
              </w:rPr>
            </w:pPr>
            <w:r>
              <w:rPr>
                <w:rFonts w:ascii="Arial" w:cs="Arial" w:eastAsia="Arial" w:hAnsi="Arial"/>
                <w:sz w:val="10"/>
                <w:szCs w:val="10"/>
                <w:b w:val="1"/>
                <w:bCs w:val="1"/>
                <w:color w:val="auto"/>
                <w:w w:val="90"/>
              </w:rPr>
              <w:t>2005 Cargo Road</w:t>
            </w:r>
          </w:p>
        </w:tc>
        <w:tc>
          <w:tcPr>
            <w:tcW w:w="2040" w:type="dxa"/>
            <w:vAlign w:val="bottom"/>
          </w:tcPr>
          <w:p>
            <w:pPr>
              <w:spacing w:after="0"/>
              <w:rPr>
                <w:sz w:val="9"/>
                <w:szCs w:val="9"/>
                <w:color w:val="auto"/>
              </w:rPr>
            </w:pPr>
          </w:p>
        </w:tc>
      </w:tr>
      <w:tr>
        <w:trPr>
          <w:trHeight w:val="110"/>
        </w:trPr>
        <w:tc>
          <w:tcPr>
            <w:tcW w:w="2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gridSpan w:val="2"/>
          </w:tcPr>
          <w:p>
            <w:pPr>
              <w:jc w:val="center"/>
              <w:ind w:right="620"/>
              <w:spacing w:after="0" w:line="110" w:lineRule="exact"/>
              <w:rPr>
                <w:sz w:val="20"/>
                <w:szCs w:val="20"/>
                <w:color w:val="auto"/>
              </w:rPr>
            </w:pPr>
            <w:r>
              <w:rPr>
                <w:rFonts w:ascii="Arial" w:cs="Arial" w:eastAsia="Arial" w:hAnsi="Arial"/>
                <w:sz w:val="10"/>
                <w:szCs w:val="10"/>
                <w:b w:val="1"/>
                <w:bCs w:val="1"/>
                <w:color w:val="auto"/>
                <w:w w:val="91"/>
              </w:rPr>
              <w:t>Minneapolis, MN 55450</w:t>
            </w:r>
          </w:p>
        </w:tc>
        <w:tc>
          <w:tcPr>
            <w:tcW w:w="2040" w:type="dxa"/>
            <w:vAlign w:val="bottom"/>
          </w:tcPr>
          <w:p>
            <w:pPr>
              <w:spacing w:after="0"/>
              <w:rPr>
                <w:sz w:val="9"/>
                <w:szCs w:val="9"/>
                <w:color w:val="auto"/>
              </w:rPr>
            </w:pPr>
          </w:p>
        </w:tc>
      </w:tr>
      <w:tr>
        <w:trPr>
          <w:trHeight w:val="131"/>
        </w:trPr>
        <w:tc>
          <w:tcPr>
            <w:tcW w:w="2160" w:type="dxa"/>
            <w:vAlign w:val="bottom"/>
          </w:tcPr>
          <w:p>
            <w:pPr>
              <w:spacing w:after="0"/>
              <w:rPr>
                <w:sz w:val="11"/>
                <w:szCs w:val="11"/>
                <w:color w:val="auto"/>
              </w:rPr>
            </w:pPr>
          </w:p>
        </w:tc>
        <w:tc>
          <w:tcPr>
            <w:tcW w:w="2240" w:type="dxa"/>
            <w:vAlign w:val="bottom"/>
            <w:gridSpan w:val="2"/>
          </w:tcPr>
          <w:p>
            <w:pPr>
              <w:jc w:val="center"/>
              <w:ind w:left="590"/>
              <w:spacing w:after="0"/>
              <w:rPr>
                <w:sz w:val="20"/>
                <w:szCs w:val="20"/>
                <w:color w:val="auto"/>
              </w:rPr>
            </w:pPr>
            <w:r>
              <w:rPr>
                <w:rFonts w:ascii="Arial" w:cs="Arial" w:eastAsia="Arial" w:hAnsi="Arial"/>
                <w:sz w:val="10"/>
                <w:szCs w:val="10"/>
                <w:b w:val="1"/>
                <w:bCs w:val="1"/>
                <w:color w:val="auto"/>
                <w:w w:val="90"/>
              </w:rPr>
              <w:t>(651) 681-3900</w:t>
            </w:r>
          </w:p>
        </w:tc>
        <w:tc>
          <w:tcPr>
            <w:tcW w:w="60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43"/>
        </w:trPr>
        <w:tc>
          <w:tcPr>
            <w:tcW w:w="7040" w:type="dxa"/>
            <w:vAlign w:val="bottom"/>
            <w:gridSpan w:val="5"/>
          </w:tcPr>
          <w:p>
            <w:pPr>
              <w:jc w:val="center"/>
              <w:ind w:left="124"/>
              <w:spacing w:after="0"/>
              <w:rPr>
                <w:sz w:val="20"/>
                <w:szCs w:val="20"/>
                <w:color w:val="auto"/>
              </w:rPr>
            </w:pPr>
            <w:r>
              <w:rPr>
                <w:rFonts w:ascii="Arial" w:cs="Arial" w:eastAsia="Arial" w:hAnsi="Arial"/>
                <w:sz w:val="10"/>
                <w:szCs w:val="10"/>
                <w:b w:val="1"/>
                <w:bCs w:val="1"/>
                <w:color w:val="auto"/>
                <w:w w:val="88"/>
              </w:rPr>
              <w:t>(Name, Address, Including Zip Code, and Telephone Number, Including Area Code, of Agent For Service)</w:t>
            </w:r>
          </w:p>
        </w:tc>
      </w:tr>
      <w:tr>
        <w:trPr>
          <w:trHeight w:val="69"/>
        </w:trPr>
        <w:tc>
          <w:tcPr>
            <w:tcW w:w="2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2040" w:type="dxa"/>
            <w:vAlign w:val="bottom"/>
          </w:tcPr>
          <w:p>
            <w:pPr>
              <w:spacing w:after="0"/>
              <w:rPr>
                <w:sz w:val="5"/>
                <w:szCs w:val="5"/>
                <w:color w:val="auto"/>
              </w:rPr>
            </w:pPr>
          </w:p>
        </w:tc>
      </w:tr>
      <w:tr>
        <w:trPr>
          <w:trHeight w:val="175"/>
        </w:trPr>
        <w:tc>
          <w:tcPr>
            <w:tcW w:w="2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80" w:type="dxa"/>
            <w:vAlign w:val="bottom"/>
            <w:gridSpan w:val="2"/>
          </w:tcPr>
          <w:p>
            <w:pPr>
              <w:jc w:val="center"/>
              <w:ind w:right="620"/>
              <w:spacing w:after="0"/>
              <w:rPr>
                <w:sz w:val="20"/>
                <w:szCs w:val="20"/>
                <w:color w:val="auto"/>
              </w:rPr>
            </w:pPr>
            <w:r>
              <w:rPr>
                <w:rFonts w:ascii="Arial" w:cs="Arial" w:eastAsia="Arial" w:hAnsi="Arial"/>
                <w:sz w:val="10"/>
                <w:szCs w:val="10"/>
                <w:b w:val="1"/>
                <w:bCs w:val="1"/>
                <w:i w:val="1"/>
                <w:iCs w:val="1"/>
                <w:color w:val="auto"/>
                <w:w w:val="81"/>
              </w:rPr>
              <w:t>Copies to:</w:t>
            </w:r>
          </w:p>
        </w:tc>
        <w:tc>
          <w:tcPr>
            <w:tcW w:w="2040" w:type="dxa"/>
            <w:vAlign w:val="bottom"/>
          </w:tcPr>
          <w:p>
            <w:pPr>
              <w:spacing w:after="0"/>
              <w:rPr>
                <w:sz w:val="15"/>
                <w:szCs w:val="15"/>
                <w:color w:val="auto"/>
              </w:rPr>
            </w:pPr>
          </w:p>
        </w:tc>
      </w:tr>
      <w:tr>
        <w:trPr>
          <w:trHeight w:val="135"/>
        </w:trPr>
        <w:tc>
          <w:tcPr>
            <w:tcW w:w="2160" w:type="dxa"/>
            <w:vAlign w:val="bottom"/>
          </w:tcPr>
          <w:p>
            <w:pPr>
              <w:jc w:val="center"/>
              <w:ind w:left="904"/>
              <w:spacing w:after="0"/>
              <w:rPr>
                <w:sz w:val="20"/>
                <w:szCs w:val="20"/>
                <w:color w:val="auto"/>
              </w:rPr>
            </w:pPr>
            <w:r>
              <w:rPr>
                <w:rFonts w:ascii="Arial" w:cs="Arial" w:eastAsia="Arial" w:hAnsi="Arial"/>
                <w:sz w:val="10"/>
                <w:szCs w:val="10"/>
                <w:b w:val="1"/>
                <w:bCs w:val="1"/>
                <w:color w:val="auto"/>
                <w:w w:val="88"/>
              </w:rPr>
              <w:t>Brian M. Janson, Esq.</w:t>
            </w:r>
          </w:p>
        </w:tc>
        <w:tc>
          <w:tcPr>
            <w:tcW w:w="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40" w:type="dxa"/>
            <w:vAlign w:val="bottom"/>
          </w:tcPr>
          <w:p>
            <w:pPr>
              <w:jc w:val="center"/>
              <w:ind w:right="769"/>
              <w:spacing w:after="0"/>
              <w:rPr>
                <w:sz w:val="20"/>
                <w:szCs w:val="20"/>
                <w:color w:val="auto"/>
              </w:rPr>
            </w:pPr>
            <w:r>
              <w:rPr>
                <w:rFonts w:ascii="Arial" w:cs="Arial" w:eastAsia="Arial" w:hAnsi="Arial"/>
                <w:sz w:val="10"/>
                <w:szCs w:val="10"/>
                <w:b w:val="1"/>
                <w:bCs w:val="1"/>
                <w:color w:val="auto"/>
                <w:w w:val="90"/>
              </w:rPr>
              <w:t>Michael Kaplan, Esq.</w:t>
            </w:r>
          </w:p>
        </w:tc>
      </w:tr>
      <w:tr>
        <w:trPr>
          <w:trHeight w:val="99"/>
        </w:trPr>
        <w:tc>
          <w:tcPr>
            <w:tcW w:w="5000" w:type="dxa"/>
            <w:vAlign w:val="bottom"/>
            <w:gridSpan w:val="4"/>
          </w:tcPr>
          <w:p>
            <w:pPr>
              <w:jc w:val="center"/>
              <w:ind w:right="1880"/>
              <w:spacing w:after="0" w:line="99" w:lineRule="exact"/>
              <w:rPr>
                <w:sz w:val="20"/>
                <w:szCs w:val="20"/>
                <w:color w:val="auto"/>
              </w:rPr>
            </w:pPr>
            <w:r>
              <w:rPr>
                <w:rFonts w:ascii="Arial" w:cs="Arial" w:eastAsia="Arial" w:hAnsi="Arial"/>
                <w:sz w:val="10"/>
                <w:szCs w:val="10"/>
                <w:b w:val="1"/>
                <w:bCs w:val="1"/>
                <w:color w:val="auto"/>
                <w:w w:val="92"/>
              </w:rPr>
              <w:t>Paul, Weiss, Rifkind, Wharton &amp; Garrison LLP</w:t>
            </w:r>
          </w:p>
        </w:tc>
        <w:tc>
          <w:tcPr>
            <w:tcW w:w="2040" w:type="dxa"/>
            <w:vAlign w:val="bottom"/>
          </w:tcPr>
          <w:p>
            <w:pPr>
              <w:jc w:val="center"/>
              <w:ind w:right="769"/>
              <w:spacing w:after="0" w:line="99" w:lineRule="exact"/>
              <w:rPr>
                <w:sz w:val="20"/>
                <w:szCs w:val="20"/>
                <w:color w:val="auto"/>
              </w:rPr>
            </w:pPr>
            <w:r>
              <w:rPr>
                <w:rFonts w:ascii="Arial" w:cs="Arial" w:eastAsia="Arial" w:hAnsi="Arial"/>
                <w:sz w:val="10"/>
                <w:szCs w:val="10"/>
                <w:b w:val="1"/>
                <w:bCs w:val="1"/>
                <w:color w:val="auto"/>
                <w:w w:val="88"/>
              </w:rPr>
              <w:t>Derek Dostal, Esq.</w:t>
            </w:r>
          </w:p>
        </w:tc>
      </w:tr>
      <w:tr>
        <w:trPr>
          <w:trHeight w:val="99"/>
        </w:trPr>
        <w:tc>
          <w:tcPr>
            <w:tcW w:w="2160" w:type="dxa"/>
            <w:vAlign w:val="bottom"/>
          </w:tcPr>
          <w:p>
            <w:pPr>
              <w:jc w:val="center"/>
              <w:ind w:left="904"/>
              <w:spacing w:after="0" w:line="99" w:lineRule="exact"/>
              <w:rPr>
                <w:sz w:val="20"/>
                <w:szCs w:val="20"/>
                <w:color w:val="auto"/>
              </w:rPr>
            </w:pPr>
            <w:r>
              <w:rPr>
                <w:rFonts w:ascii="Arial" w:cs="Arial" w:eastAsia="Arial" w:hAnsi="Arial"/>
                <w:sz w:val="10"/>
                <w:szCs w:val="10"/>
                <w:b w:val="1"/>
                <w:bCs w:val="1"/>
                <w:color w:val="auto"/>
                <w:w w:val="86"/>
              </w:rPr>
              <w:t>1285 Avenue of the Americas</w:t>
            </w:r>
          </w:p>
        </w:tc>
        <w:tc>
          <w:tcPr>
            <w:tcW w:w="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40" w:type="dxa"/>
            <w:vAlign w:val="bottom"/>
          </w:tcPr>
          <w:p>
            <w:pPr>
              <w:jc w:val="center"/>
              <w:ind w:right="789"/>
              <w:spacing w:after="0" w:line="99" w:lineRule="exact"/>
              <w:rPr>
                <w:sz w:val="20"/>
                <w:szCs w:val="20"/>
                <w:color w:val="auto"/>
              </w:rPr>
            </w:pPr>
            <w:r>
              <w:rPr>
                <w:rFonts w:ascii="Arial" w:cs="Arial" w:eastAsia="Arial" w:hAnsi="Arial"/>
                <w:sz w:val="10"/>
                <w:szCs w:val="10"/>
                <w:b w:val="1"/>
                <w:bCs w:val="1"/>
                <w:color w:val="auto"/>
                <w:w w:val="93"/>
              </w:rPr>
              <w:t>Davis Polk &amp; Wardwell LLP</w:t>
            </w:r>
          </w:p>
        </w:tc>
      </w:tr>
      <w:tr>
        <w:trPr>
          <w:trHeight w:val="99"/>
        </w:trPr>
        <w:tc>
          <w:tcPr>
            <w:tcW w:w="2160" w:type="dxa"/>
            <w:vAlign w:val="bottom"/>
          </w:tcPr>
          <w:p>
            <w:pPr>
              <w:jc w:val="center"/>
              <w:ind w:left="904"/>
              <w:spacing w:after="0" w:line="99" w:lineRule="exact"/>
              <w:rPr>
                <w:sz w:val="20"/>
                <w:szCs w:val="20"/>
                <w:color w:val="auto"/>
              </w:rPr>
            </w:pPr>
            <w:r>
              <w:rPr>
                <w:rFonts w:ascii="Arial" w:cs="Arial" w:eastAsia="Arial" w:hAnsi="Arial"/>
                <w:sz w:val="10"/>
                <w:szCs w:val="10"/>
                <w:b w:val="1"/>
                <w:bCs w:val="1"/>
                <w:color w:val="auto"/>
                <w:w w:val="92"/>
              </w:rPr>
              <w:t>New York, NY 10019-6064</w:t>
            </w:r>
          </w:p>
        </w:tc>
        <w:tc>
          <w:tcPr>
            <w:tcW w:w="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40" w:type="dxa"/>
            <w:vAlign w:val="bottom"/>
          </w:tcPr>
          <w:p>
            <w:pPr>
              <w:jc w:val="center"/>
              <w:ind w:right="769"/>
              <w:spacing w:after="0" w:line="99" w:lineRule="exact"/>
              <w:rPr>
                <w:sz w:val="20"/>
                <w:szCs w:val="20"/>
                <w:color w:val="auto"/>
              </w:rPr>
            </w:pPr>
            <w:r>
              <w:rPr>
                <w:rFonts w:ascii="Arial" w:cs="Arial" w:eastAsia="Arial" w:hAnsi="Arial"/>
                <w:sz w:val="10"/>
                <w:szCs w:val="10"/>
                <w:b w:val="1"/>
                <w:bCs w:val="1"/>
                <w:color w:val="auto"/>
                <w:w w:val="88"/>
              </w:rPr>
              <w:t>450 Lexington Avenue</w:t>
            </w:r>
          </w:p>
        </w:tc>
      </w:tr>
      <w:tr>
        <w:trPr>
          <w:trHeight w:val="99"/>
        </w:trPr>
        <w:tc>
          <w:tcPr>
            <w:tcW w:w="2160" w:type="dxa"/>
            <w:vAlign w:val="bottom"/>
          </w:tcPr>
          <w:p>
            <w:pPr>
              <w:jc w:val="center"/>
              <w:ind w:left="924"/>
              <w:spacing w:after="0" w:line="99" w:lineRule="exact"/>
              <w:rPr>
                <w:sz w:val="20"/>
                <w:szCs w:val="20"/>
                <w:color w:val="auto"/>
              </w:rPr>
            </w:pPr>
            <w:r>
              <w:rPr>
                <w:rFonts w:ascii="Arial" w:cs="Arial" w:eastAsia="Arial" w:hAnsi="Arial"/>
                <w:sz w:val="10"/>
                <w:szCs w:val="10"/>
                <w:b w:val="1"/>
                <w:bCs w:val="1"/>
                <w:color w:val="auto"/>
                <w:w w:val="90"/>
              </w:rPr>
              <w:t>(212) 373-3000</w:t>
            </w:r>
          </w:p>
        </w:tc>
        <w:tc>
          <w:tcPr>
            <w:tcW w:w="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40" w:type="dxa"/>
            <w:vAlign w:val="bottom"/>
          </w:tcPr>
          <w:p>
            <w:pPr>
              <w:jc w:val="center"/>
              <w:ind w:right="789"/>
              <w:spacing w:after="0" w:line="99" w:lineRule="exact"/>
              <w:rPr>
                <w:sz w:val="20"/>
                <w:szCs w:val="20"/>
                <w:color w:val="auto"/>
              </w:rPr>
            </w:pPr>
            <w:r>
              <w:rPr>
                <w:rFonts w:ascii="Arial" w:cs="Arial" w:eastAsia="Arial" w:hAnsi="Arial"/>
                <w:sz w:val="10"/>
                <w:szCs w:val="10"/>
                <w:b w:val="1"/>
                <w:bCs w:val="1"/>
                <w:color w:val="auto"/>
                <w:w w:val="91"/>
              </w:rPr>
              <w:t>New York, NY 10017</w:t>
            </w:r>
          </w:p>
        </w:tc>
      </w:tr>
      <w:tr>
        <w:trPr>
          <w:trHeight w:val="131"/>
        </w:trPr>
        <w:tc>
          <w:tcPr>
            <w:tcW w:w="2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40" w:type="dxa"/>
            <w:vAlign w:val="bottom"/>
          </w:tcPr>
          <w:p>
            <w:pPr>
              <w:jc w:val="center"/>
              <w:ind w:right="749"/>
              <w:spacing w:after="0"/>
              <w:rPr>
                <w:sz w:val="20"/>
                <w:szCs w:val="20"/>
                <w:color w:val="auto"/>
              </w:rPr>
            </w:pPr>
            <w:r>
              <w:rPr>
                <w:rFonts w:ascii="Arial" w:cs="Arial" w:eastAsia="Arial" w:hAnsi="Arial"/>
                <w:sz w:val="10"/>
                <w:szCs w:val="10"/>
                <w:b w:val="1"/>
                <w:bCs w:val="1"/>
                <w:color w:val="auto"/>
                <w:w w:val="87"/>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76835</wp:posOffset>
            </wp:positionV>
            <wp:extent cx="10045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167" w:lineRule="exact"/>
        <w:rPr>
          <w:sz w:val="24"/>
          <w:szCs w:val="24"/>
          <w:color w:val="auto"/>
        </w:rPr>
      </w:pPr>
    </w:p>
    <w:p>
      <w:pPr>
        <w:ind w:left="840"/>
        <w:spacing w:after="0"/>
        <w:rPr>
          <w:sz w:val="20"/>
          <w:szCs w:val="20"/>
          <w:color w:val="auto"/>
        </w:rPr>
      </w:pPr>
      <w:r>
        <w:rPr>
          <w:rFonts w:ascii="Arial" w:cs="Arial" w:eastAsia="Arial" w:hAnsi="Arial"/>
          <w:sz w:val="10"/>
          <w:szCs w:val="10"/>
          <w:color w:val="auto"/>
        </w:rPr>
        <w:t>Approximate date of commencement of proposed sale to the public: As soon as practicable after the effective date of this registration statement.</w:t>
      </w:r>
    </w:p>
    <w:p>
      <w:pPr>
        <w:spacing w:after="0" w:line="28" w:lineRule="exact"/>
        <w:rPr>
          <w:sz w:val="24"/>
          <w:szCs w:val="24"/>
          <w:color w:val="auto"/>
        </w:rPr>
      </w:pPr>
    </w:p>
    <w:p>
      <w:pPr>
        <w:ind w:left="540" w:right="979" w:firstLine="293"/>
        <w:spacing w:after="0" w:line="126" w:lineRule="exact"/>
        <w:rPr>
          <w:sz w:val="20"/>
          <w:szCs w:val="20"/>
          <w:color w:val="auto"/>
        </w:rPr>
      </w:pPr>
      <w:r>
        <w:rPr>
          <w:rFonts w:ascii="Arial" w:cs="Arial" w:eastAsia="Arial" w:hAnsi="Arial"/>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2" w:lineRule="exact"/>
        <w:rPr>
          <w:sz w:val="24"/>
          <w:szCs w:val="24"/>
          <w:color w:val="auto"/>
        </w:rPr>
      </w:pPr>
    </w:p>
    <w:p>
      <w:pPr>
        <w:ind w:left="540" w:right="699" w:firstLine="293"/>
        <w:spacing w:after="0" w:line="126" w:lineRule="exact"/>
        <w:rPr>
          <w:sz w:val="20"/>
          <w:szCs w:val="20"/>
          <w:color w:val="auto"/>
        </w:rPr>
      </w:pPr>
      <w:r>
        <w:rPr>
          <w:rFonts w:ascii="Arial" w:cs="Arial" w:eastAsia="Arial" w:hAnsi="Arial"/>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2" w:lineRule="exact"/>
        <w:rPr>
          <w:sz w:val="24"/>
          <w:szCs w:val="24"/>
          <w:color w:val="auto"/>
        </w:rPr>
      </w:pPr>
    </w:p>
    <w:p>
      <w:pPr>
        <w:ind w:left="540" w:right="839" w:firstLine="293"/>
        <w:spacing w:after="0" w:line="125" w:lineRule="exact"/>
        <w:rPr>
          <w:sz w:val="20"/>
          <w:szCs w:val="20"/>
          <w:color w:val="auto"/>
        </w:rPr>
      </w:pPr>
      <w:r>
        <w:rPr>
          <w:rFonts w:ascii="Arial" w:cs="Arial" w:eastAsia="Arial" w:hAnsi="Arial"/>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 w:lineRule="exact"/>
        <w:rPr>
          <w:sz w:val="24"/>
          <w:szCs w:val="24"/>
          <w:color w:val="auto"/>
        </w:rPr>
      </w:pPr>
    </w:p>
    <w:p>
      <w:pPr>
        <w:ind w:left="540" w:right="819" w:firstLine="293"/>
        <w:spacing w:after="0" w:line="122" w:lineRule="exact"/>
        <w:rPr>
          <w:sz w:val="20"/>
          <w:szCs w:val="20"/>
          <w:color w:val="auto"/>
        </w:rPr>
      </w:pPr>
      <w:r>
        <w:rPr>
          <w:rFonts w:ascii="Arial" w:cs="Arial" w:eastAsia="Arial" w:hAnsi="Arial"/>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2" w:lineRule="exact"/>
        <w:rPr>
          <w:sz w:val="24"/>
          <w:szCs w:val="24"/>
          <w:color w:val="auto"/>
        </w:rPr>
      </w:pPr>
    </w:p>
    <w:p>
      <w:pPr>
        <w:jc w:val="both"/>
        <w:ind w:left="540" w:right="899" w:firstLine="293"/>
        <w:spacing w:after="0" w:line="282" w:lineRule="auto"/>
        <w:rPr>
          <w:sz w:val="20"/>
          <w:szCs w:val="20"/>
          <w:color w:val="auto"/>
        </w:rPr>
      </w:pPr>
      <w:r>
        <w:rPr>
          <w:rFonts w:ascii="Arial" w:cs="Arial" w:eastAsia="Arial" w:hAnsi="Arial"/>
          <w:sz w:val="9"/>
          <w:szCs w:val="9"/>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220" w:right="1440" w:bottom="1440" w:gutter="0" w:footer="0" w:header="0"/>
        </w:sectPr>
      </w:pPr>
    </w:p>
    <w:p>
      <w:pPr>
        <w:spacing w:after="0" w:line="1" w:lineRule="exact"/>
        <w:rPr>
          <w:sz w:val="24"/>
          <w:szCs w:val="24"/>
          <w:color w:val="auto"/>
        </w:rPr>
      </w:pPr>
    </w:p>
    <w:p>
      <w:pPr>
        <w:ind w:left="720"/>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23" w:lineRule="exact"/>
        <w:rPr>
          <w:sz w:val="24"/>
          <w:szCs w:val="24"/>
          <w:color w:val="auto"/>
        </w:rPr>
      </w:pPr>
    </w:p>
    <w:p>
      <w:pPr>
        <w:ind w:left="720"/>
        <w:spacing w:after="0" w:line="115"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7"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Smaller reporting company </w:t>
      </w:r>
      <w:r>
        <w:rPr>
          <w:rFonts w:ascii="MS PGothic" w:cs="MS PGothic" w:eastAsia="MS PGothic" w:hAnsi="MS PGothic"/>
          <w:sz w:val="9"/>
          <w:szCs w:val="9"/>
          <w:color w:val="auto"/>
        </w:rPr>
        <w:t>☐</w:t>
      </w:r>
    </w:p>
    <w:p>
      <w:pPr>
        <w:spacing w:after="0" w:line="104" w:lineRule="exact"/>
        <w:rPr>
          <w:sz w:val="20"/>
          <w:szCs w:val="20"/>
          <w:color w:val="auto"/>
        </w:rPr>
      </w:pPr>
      <w:r>
        <w:rPr>
          <w:rFonts w:ascii="Arial" w:cs="Arial" w:eastAsia="Arial" w:hAnsi="Arial"/>
          <w:sz w:val="9"/>
          <w:szCs w:val="9"/>
          <w:color w:val="auto"/>
        </w:rPr>
        <w:t xml:space="preserve">Emerging growth company </w:t>
      </w:r>
      <w:r>
        <w:rPr>
          <w:rFonts w:ascii="MS PGothic" w:cs="MS PGothic" w:eastAsia="MS PGothic" w:hAnsi="MS PGothic"/>
          <w:sz w:val="9"/>
          <w:szCs w:val="9"/>
          <w:color w:val="auto"/>
        </w:rPr>
        <w:t>☒</w:t>
      </w:r>
    </w:p>
    <w:p>
      <w:pPr>
        <w:spacing w:after="0" w:line="97" w:lineRule="exact"/>
        <w:rPr>
          <w:sz w:val="24"/>
          <w:szCs w:val="24"/>
          <w:color w:val="auto"/>
        </w:rPr>
      </w:pPr>
    </w:p>
    <w:p>
      <w:pPr>
        <w:sectPr>
          <w:pgSz w:w="11900" w:h="16838" w:orient="portrait"/>
          <w:cols w:equalWidth="0" w:num="2">
            <w:col w:w="5640" w:space="720"/>
            <w:col w:w="2659"/>
          </w:cols>
          <w:pgMar w:left="1440" w:top="220" w:right="1440" w:bottom="1440" w:gutter="0" w:footer="0" w:header="0"/>
          <w:type w:val="continuous"/>
        </w:sectPr>
      </w:pPr>
    </w:p>
    <w:p>
      <w:pPr>
        <w:ind w:left="540" w:right="719" w:firstLine="293"/>
        <w:spacing w:after="0" w:line="126"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29210</wp:posOffset>
            </wp:positionV>
            <wp:extent cx="10045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CALCULATION OF REGISTRATION FEE</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126"/>
        </w:trPr>
        <w:tc>
          <w:tcPr>
            <w:tcW w:w="700" w:type="dxa"/>
            <w:vAlign w:val="bottom"/>
            <w:tcBorders>
              <w:top w:val="single" w:sz="8" w:color="auto"/>
            </w:tcBorders>
          </w:tcPr>
          <w:p>
            <w:pPr>
              <w:spacing w:after="0"/>
              <w:rPr>
                <w:sz w:val="10"/>
                <w:szCs w:val="10"/>
                <w:color w:val="auto"/>
              </w:rPr>
            </w:pPr>
          </w:p>
        </w:tc>
        <w:tc>
          <w:tcPr>
            <w:tcW w:w="4140" w:type="dxa"/>
            <w:vAlign w:val="bottom"/>
            <w:tcBorders>
              <w:top w:val="single" w:sz="8" w:color="auto"/>
              <w:right w:val="single" w:sz="8" w:color="auto"/>
            </w:tcBorders>
          </w:tcPr>
          <w:p>
            <w:pPr>
              <w:spacing w:after="0"/>
              <w:rPr>
                <w:sz w:val="10"/>
                <w:szCs w:val="10"/>
                <w:color w:val="auto"/>
              </w:rPr>
            </w:pPr>
          </w:p>
        </w:tc>
        <w:tc>
          <w:tcPr>
            <w:tcW w:w="780" w:type="dxa"/>
            <w:vAlign w:val="bottom"/>
            <w:tcBorders>
              <w:top w:val="single" w:sz="8" w:color="auto"/>
              <w:right w:val="single" w:sz="8" w:color="auto"/>
            </w:tcBorders>
          </w:tcPr>
          <w:p>
            <w:pPr>
              <w:spacing w:after="0"/>
              <w:rPr>
                <w:sz w:val="10"/>
                <w:szCs w:val="10"/>
                <w:color w:val="auto"/>
              </w:rPr>
            </w:pPr>
          </w:p>
        </w:tc>
        <w:tc>
          <w:tcPr>
            <w:tcW w:w="1040" w:type="dxa"/>
            <w:vAlign w:val="bottom"/>
            <w:tcBorders>
              <w:top w:val="single" w:sz="8" w:color="auto"/>
              <w:right w:val="single" w:sz="8" w:color="auto"/>
            </w:tcBorders>
          </w:tcPr>
          <w:p>
            <w:pPr>
              <w:spacing w:after="0"/>
              <w:rPr>
                <w:sz w:val="10"/>
                <w:szCs w:val="10"/>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Proposed</w:t>
            </w: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414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jc w:val="center"/>
              <w:ind w:right="9"/>
              <w:spacing w:after="0"/>
              <w:rPr>
                <w:sz w:val="20"/>
                <w:szCs w:val="20"/>
                <w:color w:val="auto"/>
              </w:rPr>
            </w:pPr>
            <w:r>
              <w:rPr>
                <w:rFonts w:ascii="Arial" w:cs="Arial" w:eastAsia="Arial" w:hAnsi="Arial"/>
                <w:sz w:val="10"/>
                <w:szCs w:val="10"/>
                <w:b w:val="1"/>
                <w:bCs w:val="1"/>
                <w:color w:val="auto"/>
                <w:w w:val="90"/>
              </w:rPr>
              <w:t>Proposed Maximum</w:t>
            </w:r>
          </w:p>
        </w:tc>
        <w:tc>
          <w:tcPr>
            <w:tcW w:w="6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95"/>
              </w:rPr>
              <w:t>Maximum</w:t>
            </w:r>
          </w:p>
        </w:tc>
        <w:tc>
          <w:tcPr>
            <w:tcW w:w="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Amount of</w:t>
            </w: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414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ind w:right="9"/>
              <w:spacing w:after="0"/>
              <w:rPr>
                <w:sz w:val="20"/>
                <w:szCs w:val="20"/>
                <w:color w:val="auto"/>
              </w:rPr>
            </w:pPr>
            <w:r>
              <w:rPr>
                <w:rFonts w:ascii="Arial" w:cs="Arial" w:eastAsia="Arial" w:hAnsi="Arial"/>
                <w:sz w:val="10"/>
                <w:szCs w:val="10"/>
                <w:b w:val="1"/>
                <w:bCs w:val="1"/>
                <w:color w:val="auto"/>
                <w:w w:val="86"/>
              </w:rPr>
              <w:t>Amount to be</w:t>
            </w:r>
          </w:p>
        </w:tc>
        <w:tc>
          <w:tcPr>
            <w:tcW w:w="1040" w:type="dxa"/>
            <w:vAlign w:val="bottom"/>
            <w:tcBorders>
              <w:right w:val="single" w:sz="8" w:color="auto"/>
            </w:tcBorders>
            <w:vMerge w:val="continue"/>
          </w:tcPr>
          <w:p>
            <w:pPr>
              <w:spacing w:after="0"/>
              <w:rPr>
                <w:sz w:val="8"/>
                <w:szCs w:val="8"/>
                <w:color w:val="auto"/>
              </w:rPr>
            </w:pPr>
          </w:p>
        </w:tc>
        <w:tc>
          <w:tcPr>
            <w:tcW w:w="6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88"/>
              </w:rPr>
              <w:t>Aggregate</w:t>
            </w: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4140" w:type="dxa"/>
            <w:vAlign w:val="bottom"/>
            <w:tcBorders>
              <w:right w:val="single" w:sz="8" w:color="auto"/>
            </w:tcBorders>
            <w:vMerge w:val="restart"/>
          </w:tcPr>
          <w:p>
            <w:pPr>
              <w:ind w:left="660"/>
              <w:spacing w:after="0"/>
              <w:rPr>
                <w:sz w:val="20"/>
                <w:szCs w:val="20"/>
                <w:color w:val="auto"/>
              </w:rPr>
            </w:pPr>
            <w:r>
              <w:rPr>
                <w:rFonts w:ascii="Arial" w:cs="Arial" w:eastAsia="Arial" w:hAnsi="Arial"/>
                <w:sz w:val="10"/>
                <w:szCs w:val="10"/>
                <w:b w:val="1"/>
                <w:bCs w:val="1"/>
                <w:color w:val="auto"/>
              </w:rPr>
              <w:t>Title of Each Class of Securities to be Registered</w:t>
            </w:r>
          </w:p>
        </w:tc>
        <w:tc>
          <w:tcPr>
            <w:tcW w:w="78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90"/>
              </w:rPr>
              <w:t>Offering Price</w:t>
            </w:r>
          </w:p>
        </w:tc>
        <w:tc>
          <w:tcPr>
            <w:tcW w:w="6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92"/>
              </w:rPr>
              <w:t>Offering</w:t>
            </w:r>
          </w:p>
        </w:tc>
        <w:tc>
          <w:tcPr>
            <w:tcW w:w="620" w:type="dxa"/>
            <w:vAlign w:val="bottom"/>
          </w:tcPr>
          <w:p>
            <w:pPr>
              <w:jc w:val="center"/>
              <w:ind w:left="9"/>
              <w:spacing w:after="0" w:line="99" w:lineRule="exact"/>
              <w:rPr>
                <w:sz w:val="20"/>
                <w:szCs w:val="20"/>
                <w:color w:val="auto"/>
              </w:rPr>
            </w:pPr>
            <w:r>
              <w:rPr>
                <w:rFonts w:ascii="Arial" w:cs="Arial" w:eastAsia="Arial" w:hAnsi="Arial"/>
                <w:sz w:val="10"/>
                <w:szCs w:val="10"/>
                <w:b w:val="1"/>
                <w:bCs w:val="1"/>
                <w:color w:val="auto"/>
                <w:w w:val="89"/>
              </w:rPr>
              <w:t>Registration</w:t>
            </w:r>
          </w:p>
        </w:tc>
        <w:tc>
          <w:tcPr>
            <w:tcW w:w="0" w:type="dxa"/>
            <w:vAlign w:val="bottom"/>
          </w:tcPr>
          <w:p>
            <w:pPr>
              <w:spacing w:after="0"/>
              <w:rPr>
                <w:sz w:val="1"/>
                <w:szCs w:val="1"/>
                <w:color w:val="auto"/>
              </w:rPr>
            </w:pPr>
          </w:p>
        </w:tc>
      </w:tr>
      <w:tr>
        <w:trPr>
          <w:trHeight w:val="143"/>
        </w:trPr>
        <w:tc>
          <w:tcPr>
            <w:tcW w:w="700" w:type="dxa"/>
            <w:vAlign w:val="bottom"/>
            <w:tcBorders>
              <w:bottom w:val="single" w:sz="8" w:color="auto"/>
            </w:tcBorders>
          </w:tcPr>
          <w:p>
            <w:pPr>
              <w:spacing w:after="0"/>
              <w:rPr>
                <w:sz w:val="12"/>
                <w:szCs w:val="12"/>
                <w:color w:val="auto"/>
              </w:rPr>
            </w:pPr>
          </w:p>
        </w:tc>
        <w:tc>
          <w:tcPr>
            <w:tcW w:w="4140" w:type="dxa"/>
            <w:vAlign w:val="bottom"/>
            <w:tcBorders>
              <w:bottom w:val="single" w:sz="8" w:color="auto"/>
              <w:right w:val="single" w:sz="8" w:color="auto"/>
            </w:tcBorders>
            <w:vMerge w:val="continue"/>
          </w:tcPr>
          <w:p>
            <w:pPr>
              <w:spacing w:after="0"/>
              <w:rPr>
                <w:sz w:val="12"/>
                <w:szCs w:val="12"/>
                <w:color w:val="auto"/>
              </w:rPr>
            </w:pPr>
          </w:p>
        </w:tc>
        <w:tc>
          <w:tcPr>
            <w:tcW w:w="78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0"/>
                <w:szCs w:val="10"/>
                <w:b w:val="1"/>
                <w:bCs w:val="1"/>
                <w:color w:val="auto"/>
                <w:w w:val="83"/>
              </w:rPr>
              <w:t>Registered</w:t>
            </w:r>
            <w:r>
              <w:rPr>
                <w:rFonts w:ascii="Arial" w:cs="Arial" w:eastAsia="Arial" w:hAnsi="Arial"/>
                <w:sz w:val="16"/>
                <w:szCs w:val="16"/>
                <w:b w:val="1"/>
                <w:bCs w:val="1"/>
                <w:color w:val="auto"/>
                <w:w w:val="83"/>
                <w:vertAlign w:val="superscript"/>
              </w:rPr>
              <w:t>(1)</w:t>
            </w:r>
          </w:p>
        </w:tc>
        <w:tc>
          <w:tcPr>
            <w:tcW w:w="10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0"/>
                <w:szCs w:val="10"/>
                <w:b w:val="1"/>
                <w:bCs w:val="1"/>
                <w:color w:val="auto"/>
                <w:w w:val="83"/>
              </w:rPr>
              <w:t>Per Share</w:t>
            </w:r>
            <w:r>
              <w:rPr>
                <w:rFonts w:ascii="Arial" w:cs="Arial" w:eastAsia="Arial" w:hAnsi="Arial"/>
                <w:sz w:val="16"/>
                <w:szCs w:val="16"/>
                <w:b w:val="1"/>
                <w:bCs w:val="1"/>
                <w:color w:val="auto"/>
                <w:w w:val="83"/>
                <w:vertAlign w:val="superscript"/>
              </w:rPr>
              <w:t>(2)</w:t>
            </w:r>
          </w:p>
        </w:tc>
        <w:tc>
          <w:tcPr>
            <w:tcW w:w="6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6"/>
                <w:szCs w:val="16"/>
                <w:b w:val="1"/>
                <w:bCs w:val="1"/>
                <w:color w:val="auto"/>
                <w:w w:val="87"/>
                <w:vertAlign w:val="subscript"/>
              </w:rPr>
              <w:t>Price</w:t>
            </w:r>
            <w:r>
              <w:rPr>
                <w:rFonts w:ascii="Arial" w:cs="Arial" w:eastAsia="Arial" w:hAnsi="Arial"/>
                <w:sz w:val="7"/>
                <w:szCs w:val="7"/>
                <w:b w:val="1"/>
                <w:bCs w:val="1"/>
                <w:color w:val="auto"/>
                <w:w w:val="87"/>
              </w:rPr>
              <w:t>(1)(2)</w:t>
            </w:r>
          </w:p>
        </w:tc>
        <w:tc>
          <w:tcPr>
            <w:tcW w:w="620" w:type="dxa"/>
            <w:vAlign w:val="bottom"/>
            <w:tcBorders>
              <w:bottom w:val="single" w:sz="8" w:color="auto"/>
            </w:tcBorders>
          </w:tcPr>
          <w:p>
            <w:pPr>
              <w:jc w:val="center"/>
              <w:ind w:left="9"/>
              <w:spacing w:after="0" w:line="143" w:lineRule="exact"/>
              <w:rPr>
                <w:sz w:val="20"/>
                <w:szCs w:val="20"/>
                <w:color w:val="auto"/>
              </w:rPr>
            </w:pPr>
            <w:r>
              <w:rPr>
                <w:rFonts w:ascii="Arial" w:cs="Arial" w:eastAsia="Arial" w:hAnsi="Arial"/>
                <w:sz w:val="10"/>
                <w:szCs w:val="10"/>
                <w:b w:val="1"/>
                <w:bCs w:val="1"/>
                <w:color w:val="auto"/>
                <w:w w:val="79"/>
              </w:rPr>
              <w:t>Fee</w:t>
            </w:r>
            <w:r>
              <w:rPr>
                <w:rFonts w:ascii="Arial" w:cs="Arial" w:eastAsia="Arial" w:hAnsi="Arial"/>
                <w:sz w:val="16"/>
                <w:szCs w:val="16"/>
                <w:b w:val="1"/>
                <w:bCs w:val="1"/>
                <w:color w:val="auto"/>
                <w:w w:val="79"/>
                <w:vertAlign w:val="superscript"/>
              </w:rPr>
              <w:t>(3)</w:t>
            </w:r>
          </w:p>
        </w:tc>
        <w:tc>
          <w:tcPr>
            <w:tcW w:w="0" w:type="dxa"/>
            <w:vAlign w:val="bottom"/>
          </w:tcPr>
          <w:p>
            <w:pPr>
              <w:spacing w:after="0"/>
              <w:rPr>
                <w:sz w:val="1"/>
                <w:szCs w:val="1"/>
                <w:color w:val="auto"/>
              </w:rPr>
            </w:pPr>
          </w:p>
        </w:tc>
      </w:tr>
      <w:tr>
        <w:trPr>
          <w:trHeight w:val="138"/>
        </w:trPr>
        <w:tc>
          <w:tcPr>
            <w:tcW w:w="48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0"/>
                <w:szCs w:val="10"/>
                <w:color w:val="auto"/>
              </w:rPr>
              <w:t>Common stock, par value $0.01 per share</w:t>
            </w:r>
          </w:p>
        </w:tc>
        <w:tc>
          <w:tcPr>
            <w:tcW w:w="780" w:type="dxa"/>
            <w:vAlign w:val="bottom"/>
            <w:tcBorders>
              <w:bottom w:val="single" w:sz="8" w:color="auto"/>
              <w:right w:val="single" w:sz="8" w:color="auto"/>
            </w:tcBorders>
            <w:shd w:val="clear" w:color="auto" w:fill="CCEEFF"/>
          </w:tcPr>
          <w:p>
            <w:pPr>
              <w:spacing w:after="0"/>
              <w:rPr>
                <w:sz w:val="11"/>
                <w:szCs w:val="11"/>
                <w:color w:val="auto"/>
              </w:rPr>
            </w:pPr>
          </w:p>
        </w:tc>
        <w:tc>
          <w:tcPr>
            <w:tcW w:w="1040" w:type="dxa"/>
            <w:vAlign w:val="bottom"/>
            <w:tcBorders>
              <w:bottom w:val="single" w:sz="8" w:color="auto"/>
              <w:right w:val="single" w:sz="8" w:color="auto"/>
            </w:tcBorders>
            <w:shd w:val="clear" w:color="auto" w:fill="CCEEFF"/>
          </w:tcPr>
          <w:p>
            <w:pPr>
              <w:jc w:val="right"/>
              <w:ind w:right="569"/>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center"/>
              <w:ind w:left="9"/>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63"/>
        </w:trPr>
        <w:tc>
          <w:tcPr>
            <w:tcW w:w="700" w:type="dxa"/>
            <w:vAlign w:val="bottom"/>
            <w:tcBorders>
              <w:bottom w:val="single" w:sz="8" w:color="auto"/>
            </w:tcBorders>
          </w:tcPr>
          <w:p>
            <w:pPr>
              <w:spacing w:after="0"/>
              <w:rPr>
                <w:sz w:val="14"/>
                <w:szCs w:val="14"/>
                <w:color w:val="auto"/>
              </w:rPr>
            </w:pPr>
          </w:p>
        </w:tc>
        <w:tc>
          <w:tcPr>
            <w:tcW w:w="596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20"/>
                <w:szCs w:val="20"/>
                <w:color w:val="auto"/>
              </w:rPr>
            </w:pPr>
            <w:r>
              <w:rPr>
                <w:rFonts w:ascii="Arial" w:cs="Arial" w:eastAsia="Arial" w:hAnsi="Arial"/>
                <w:sz w:val="10"/>
                <w:szCs w:val="10"/>
                <w:color w:val="auto"/>
              </w:rPr>
              <w:t>(1)   Includes</w:t>
            </w:r>
          </w:p>
        </w:tc>
        <w:tc>
          <w:tcPr>
            <w:tcW w:w="5960" w:type="dxa"/>
            <w:vAlign w:val="bottom"/>
            <w:gridSpan w:val="3"/>
          </w:tcPr>
          <w:p>
            <w:pPr>
              <w:jc w:val="right"/>
              <w:ind w:right="729"/>
              <w:spacing w:after="0"/>
              <w:rPr>
                <w:sz w:val="20"/>
                <w:szCs w:val="20"/>
                <w:color w:val="auto"/>
              </w:rPr>
            </w:pPr>
            <w:r>
              <w:rPr>
                <w:rFonts w:ascii="Arial" w:cs="Arial" w:eastAsia="Arial" w:hAnsi="Arial"/>
                <w:sz w:val="10"/>
                <w:szCs w:val="10"/>
                <w:color w:val="auto"/>
              </w:rPr>
              <w:t>shares of common stock that the underwriters have the option to purchase. See “</w:t>
            </w:r>
            <w:r>
              <w:rPr>
                <w:rFonts w:ascii="Arial" w:cs="Arial" w:eastAsia="Arial" w:hAnsi="Arial"/>
                <w:sz w:val="10"/>
                <w:szCs w:val="10"/>
                <w:i w:val="1"/>
                <w:iCs w:val="1"/>
                <w:color w:val="auto"/>
              </w:rPr>
              <w:t>Underwriting (Conflict of Interest)</w:t>
            </w:r>
            <w:r>
              <w:rPr>
                <w:rFonts w:ascii="Arial" w:cs="Arial" w:eastAsia="Arial" w:hAnsi="Arial"/>
                <w:sz w:val="10"/>
                <w:szCs w:val="10"/>
                <w:color w:val="auto"/>
              </w:rPr>
              <w:t>.”</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840" w:hanging="301"/>
        <w:spacing w:after="0"/>
        <w:tabs>
          <w:tab w:leader="none" w:pos="840" w:val="left"/>
        </w:tabs>
        <w:numPr>
          <w:ilvl w:val="0"/>
          <w:numId w:val="1"/>
        </w:numPr>
        <w:rPr>
          <w:rFonts w:ascii="Arial" w:cs="Arial" w:eastAsia="Arial" w:hAnsi="Arial"/>
          <w:sz w:val="9"/>
          <w:szCs w:val="9"/>
          <w:color w:val="auto"/>
        </w:rPr>
      </w:pPr>
      <w:r>
        <w:rPr>
          <w:rFonts w:ascii="Arial" w:cs="Arial" w:eastAsia="Arial" w:hAnsi="Arial"/>
          <w:sz w:val="9"/>
          <w:szCs w:val="9"/>
          <w:color w:val="auto"/>
        </w:rPr>
        <w:t>Estimated solely for the purpose of calculating the registration fee pursuant to Rule 457(a) under the Securities Act of 1933, as amended. In accordance with Rule 457(c) of the</w:t>
      </w:r>
    </w:p>
    <w:p>
      <w:pPr>
        <w:spacing w:after="0" w:line="23" w:lineRule="exact"/>
        <w:rPr>
          <w:sz w:val="24"/>
          <w:szCs w:val="24"/>
          <w:color w:val="auto"/>
        </w:rPr>
      </w:pPr>
    </w:p>
    <w:tbl>
      <w:tblPr>
        <w:tblLayout w:type="fixed"/>
        <w:tblInd w:w="54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5780" w:type="dxa"/>
            <w:vAlign w:val="bottom"/>
          </w:tcPr>
          <w:p>
            <w:pPr>
              <w:ind w:left="100"/>
              <w:spacing w:after="0"/>
              <w:rPr>
                <w:sz w:val="20"/>
                <w:szCs w:val="20"/>
                <w:color w:val="auto"/>
              </w:rPr>
            </w:pPr>
            <w:r>
              <w:rPr>
                <w:rFonts w:ascii="Arial" w:cs="Arial" w:eastAsia="Arial" w:hAnsi="Arial"/>
                <w:sz w:val="10"/>
                <w:szCs w:val="10"/>
                <w:color w:val="auto"/>
              </w:rPr>
              <w:t>Securities Act of 1933, as amended, the price shown is the average of the high and low selling prices of the common stock on</w:t>
            </w:r>
          </w:p>
        </w:tc>
        <w:tc>
          <w:tcPr>
            <w:tcW w:w="1720" w:type="dxa"/>
            <w:vAlign w:val="bottom"/>
          </w:tcPr>
          <w:p>
            <w:pPr>
              <w:ind w:left="280"/>
              <w:spacing w:after="0"/>
              <w:rPr>
                <w:sz w:val="20"/>
                <w:szCs w:val="20"/>
                <w:color w:val="auto"/>
              </w:rPr>
            </w:pPr>
            <w:r>
              <w:rPr>
                <w:rFonts w:ascii="Arial" w:cs="Arial" w:eastAsia="Arial" w:hAnsi="Arial"/>
                <w:sz w:val="10"/>
                <w:szCs w:val="10"/>
                <w:color w:val="auto"/>
                <w:w w:val="93"/>
              </w:rPr>
              <w:t>, 2021, as reported by the Nasdaq</w:t>
            </w:r>
          </w:p>
        </w:tc>
      </w:tr>
      <w:tr>
        <w:trPr>
          <w:trHeight w:val="129"/>
        </w:trPr>
        <w:tc>
          <w:tcPr>
            <w:tcW w:w="200" w:type="dxa"/>
            <w:vAlign w:val="bottom"/>
          </w:tcPr>
          <w:p>
            <w:pPr>
              <w:spacing w:after="0"/>
              <w:rPr>
                <w:sz w:val="11"/>
                <w:szCs w:val="11"/>
                <w:color w:val="auto"/>
              </w:rPr>
            </w:pPr>
          </w:p>
        </w:tc>
        <w:tc>
          <w:tcPr>
            <w:tcW w:w="5780" w:type="dxa"/>
            <w:vAlign w:val="bottom"/>
          </w:tcPr>
          <w:p>
            <w:pPr>
              <w:ind w:left="100"/>
              <w:spacing w:after="0"/>
              <w:rPr>
                <w:sz w:val="20"/>
                <w:szCs w:val="20"/>
                <w:color w:val="auto"/>
              </w:rPr>
            </w:pPr>
            <w:r>
              <w:rPr>
                <w:rFonts w:ascii="Arial" w:cs="Arial" w:eastAsia="Arial" w:hAnsi="Arial"/>
                <w:sz w:val="10"/>
                <w:szCs w:val="10"/>
                <w:color w:val="auto"/>
              </w:rPr>
              <w:t>Global Select Market.</w:t>
            </w:r>
          </w:p>
        </w:tc>
        <w:tc>
          <w:tcPr>
            <w:tcW w:w="1720" w:type="dxa"/>
            <w:vAlign w:val="bottom"/>
          </w:tcPr>
          <w:p>
            <w:pPr>
              <w:spacing w:after="0"/>
              <w:rPr>
                <w:sz w:val="11"/>
                <w:szCs w:val="11"/>
                <w:color w:val="auto"/>
              </w:rPr>
            </w:pPr>
          </w:p>
        </w:tc>
      </w:tr>
      <w:tr>
        <w:trPr>
          <w:trHeight w:val="143"/>
        </w:trPr>
        <w:tc>
          <w:tcPr>
            <w:tcW w:w="200" w:type="dxa"/>
            <w:vAlign w:val="bottom"/>
          </w:tcPr>
          <w:p>
            <w:pPr>
              <w:jc w:val="right"/>
              <w:ind w:right="29"/>
              <w:spacing w:after="0"/>
              <w:rPr>
                <w:sz w:val="20"/>
                <w:szCs w:val="20"/>
                <w:color w:val="auto"/>
              </w:rPr>
            </w:pPr>
            <w:r>
              <w:rPr>
                <w:rFonts w:ascii="Arial" w:cs="Arial" w:eastAsia="Arial" w:hAnsi="Arial"/>
                <w:sz w:val="10"/>
                <w:szCs w:val="10"/>
                <w:color w:val="auto"/>
                <w:w w:val="81"/>
              </w:rPr>
              <w:t>(3)</w:t>
            </w:r>
          </w:p>
        </w:tc>
        <w:tc>
          <w:tcPr>
            <w:tcW w:w="5780" w:type="dxa"/>
            <w:vAlign w:val="bottom"/>
          </w:tcPr>
          <w:p>
            <w:pPr>
              <w:ind w:left="100"/>
              <w:spacing w:after="0"/>
              <w:rPr>
                <w:sz w:val="20"/>
                <w:szCs w:val="20"/>
                <w:color w:val="auto"/>
              </w:rPr>
            </w:pPr>
            <w:r>
              <w:rPr>
                <w:rFonts w:ascii="Arial" w:cs="Arial" w:eastAsia="Arial" w:hAnsi="Arial"/>
                <w:sz w:val="10"/>
                <w:szCs w:val="10"/>
                <w:color w:val="auto"/>
              </w:rPr>
              <w:t>To be paid in connection with the initial filing of the registration statement.</w:t>
            </w:r>
          </w:p>
        </w:tc>
        <w:tc>
          <w:tcPr>
            <w:tcW w:w="1720" w:type="dxa"/>
            <w:vAlign w:val="bottom"/>
          </w:tcPr>
          <w:p>
            <w:pPr>
              <w:spacing w:after="0"/>
              <w:rPr>
                <w:sz w:val="12"/>
                <w:szCs w:val="12"/>
                <w:color w:val="auto"/>
              </w:rPr>
            </w:pPr>
          </w:p>
        </w:tc>
      </w:tr>
    </w:tbl>
    <w:p>
      <w:pPr>
        <w:spacing w:after="0" w:line="11" w:lineRule="exact"/>
        <w:rPr>
          <w:sz w:val="24"/>
          <w:szCs w:val="24"/>
          <w:color w:val="auto"/>
        </w:rPr>
      </w:pPr>
    </w:p>
    <w:p>
      <w:pPr>
        <w:ind w:left="540" w:right="579" w:firstLine="293"/>
        <w:spacing w:after="0" w:line="246"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41910</wp:posOffset>
            </wp:positionV>
            <wp:extent cx="50368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3682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69850</wp:posOffset>
            </wp:positionV>
            <wp:extent cx="503682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36820" cy="209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280670</wp:posOffset>
            </wp:positionV>
            <wp:extent cx="556450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type w:val="continuous"/>
        </w:sectPr>
      </w:pPr>
    </w:p>
    <w:bookmarkStart w:id="1" w:name="page2"/>
    <w:bookmarkEnd w:id="1"/>
    <w:p>
      <w:pPr>
        <w:ind w:left="140"/>
        <w:spacing w:after="0"/>
        <w:rPr>
          <w:rFonts w:ascii="Arial" w:cs="Arial" w:eastAsia="Arial" w:hAnsi="Arial"/>
          <w:sz w:val="11"/>
          <w:szCs w:val="11"/>
          <w:color w:val="003366"/>
        </w:rPr>
      </w:pPr>
      <w:hyperlink w:anchor="page3">
        <w:r>
          <w:rPr>
            <w:rFonts w:ascii="Arial" w:cs="Arial" w:eastAsia="Arial" w:hAnsi="Arial"/>
            <w:sz w:val="11"/>
            <w:szCs w:val="11"/>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358" w:lineRule="exact"/>
        <w:rPr>
          <w:sz w:val="20"/>
          <w:szCs w:val="20"/>
          <w:color w:val="auto"/>
        </w:rPr>
      </w:pPr>
    </w:p>
    <w:tbl>
      <w:tblPr>
        <w:tblLayout w:type="fixed"/>
        <w:tblInd w:w="480" w:type="dxa"/>
        <w:tblCellMar>
          <w:top w:w="0" w:type="dxa"/>
          <w:left w:w="0" w:type="dxa"/>
          <w:bottom w:w="0" w:type="dxa"/>
          <w:right w:w="0" w:type="dxa"/>
        </w:tblCellMar>
      </w:tblPr>
      <w:tr>
        <w:trPr>
          <w:trHeight w:val="2397"/>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C0014"/>
                <w:w w:val="97"/>
              </w:rPr>
              <w:t>these securities until the registration</w:t>
            </w:r>
          </w:p>
        </w:tc>
        <w:tc>
          <w:tcPr>
            <w:tcW w:w="260" w:type="dxa"/>
            <w:vAlign w:val="bottom"/>
            <w:textDirection w:val="btLr"/>
          </w:tcPr>
          <w:p>
            <w:pPr>
              <w:ind w:left="17"/>
              <w:spacing w:after="0"/>
              <w:rPr>
                <w:sz w:val="20"/>
                <w:szCs w:val="20"/>
                <w:color w:val="auto"/>
              </w:rPr>
            </w:pPr>
            <w:r>
              <w:rPr>
                <w:rFonts w:ascii="Arial" w:cs="Arial" w:eastAsia="Arial" w:hAnsi="Arial"/>
                <w:sz w:val="14"/>
                <w:szCs w:val="14"/>
                <w:b w:val="1"/>
                <w:bCs w:val="1"/>
                <w:color w:val="FC0014"/>
              </w:rPr>
              <w:t>to sell these securities and it is not</w:t>
            </w:r>
          </w:p>
        </w:tc>
      </w:tr>
      <w:tr>
        <w:trPr>
          <w:trHeight w:val="836"/>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may not sell</w:t>
            </w:r>
          </w:p>
        </w:tc>
        <w:tc>
          <w:tcPr>
            <w:tcW w:w="260" w:type="dxa"/>
            <w:vAlign w:val="bottom"/>
            <w:textDirection w:val="btLr"/>
          </w:tcPr>
          <w:p>
            <w:pPr>
              <w:ind w:left="17"/>
              <w:spacing w:after="0"/>
              <w:rPr>
                <w:sz w:val="20"/>
                <w:szCs w:val="20"/>
                <w:color w:val="auto"/>
              </w:rPr>
            </w:pPr>
            <w:r>
              <w:rPr>
                <w:rFonts w:ascii="Arial" w:cs="Arial" w:eastAsia="Arial" w:hAnsi="Arial"/>
                <w:sz w:val="14"/>
                <w:szCs w:val="14"/>
                <w:b w:val="1"/>
                <w:bCs w:val="1"/>
                <w:color w:val="FC0014"/>
              </w:rPr>
              <w:t>not an offer</w:t>
            </w:r>
          </w:p>
        </w:tc>
      </w:tr>
      <w:tr>
        <w:trPr>
          <w:trHeight w:val="7110"/>
        </w:trPr>
        <w:tc>
          <w:tcPr>
            <w:tcW w:w="120" w:type="dxa"/>
            <w:vAlign w:val="bottom"/>
            <w:textDirection w:val="btLr"/>
          </w:tcPr>
          <w:p>
            <w:pPr>
              <w:spacing w:after="0"/>
              <w:rPr>
                <w:sz w:val="20"/>
                <w:szCs w:val="20"/>
                <w:color w:val="auto"/>
              </w:rPr>
            </w:pPr>
            <w:r>
              <w:rPr>
                <w:rFonts w:ascii="Arial" w:cs="Arial" w:eastAsia="Arial" w:hAnsi="Arial"/>
                <w:sz w:val="14"/>
                <w:szCs w:val="14"/>
                <w:b w:val="1"/>
                <w:bCs w:val="1"/>
                <w:color w:val="FC0014"/>
                <w:w w:val="97"/>
              </w:rPr>
              <w:t>The information in this preliminary prospectus is not complete and may be changed. The selling stockholder</w:t>
            </w:r>
          </w:p>
        </w:tc>
        <w:tc>
          <w:tcPr>
            <w:tcW w:w="260" w:type="dxa"/>
            <w:vAlign w:val="bottom"/>
            <w:textDirection w:val="btLr"/>
          </w:tcPr>
          <w:p>
            <w:pPr>
              <w:ind w:left="145"/>
              <w:spacing w:after="0"/>
              <w:rPr>
                <w:sz w:val="20"/>
                <w:szCs w:val="20"/>
                <w:color w:val="auto"/>
              </w:rPr>
            </w:pPr>
            <w:r>
              <w:rPr>
                <w:rFonts w:ascii="Arial" w:cs="Arial" w:eastAsia="Arial" w:hAnsi="Arial"/>
                <w:sz w:val="10"/>
                <w:szCs w:val="10"/>
                <w:b w:val="1"/>
                <w:bCs w:val="1"/>
                <w:color w:val="FC0014"/>
                <w:w w:val="76"/>
              </w:rPr>
              <w:t>statement filed with the Securities and Exchange Commission is effective. This preliminary prospectus issolicitinganoffertobuythesesecuritiesinanyjurisdictionwheretheofferorsaleisnotpermitted.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Confidential Treatment Requested by Sun Country Airlines Holdings, Inc.</w:t>
      </w:r>
    </w:p>
    <w:p>
      <w:pPr>
        <w:jc w:val="center"/>
        <w:ind w:right="539"/>
        <w:spacing w:after="0"/>
        <w:rPr>
          <w:sz w:val="20"/>
          <w:szCs w:val="20"/>
          <w:color w:val="auto"/>
        </w:rPr>
      </w:pPr>
      <w:r>
        <w:rPr>
          <w:rFonts w:ascii="Arial" w:cs="Arial" w:eastAsia="Arial" w:hAnsi="Arial"/>
          <w:sz w:val="15"/>
          <w:szCs w:val="15"/>
          <w:color w:val="auto"/>
        </w:rPr>
        <w:t>Pursuant to 17 C.F.R. Section 200.83</w:t>
      </w:r>
    </w:p>
    <w:p>
      <w:pPr>
        <w:spacing w:after="0" w:line="36" w:lineRule="exact"/>
        <w:rPr>
          <w:sz w:val="20"/>
          <w:szCs w:val="20"/>
          <w:color w:val="auto"/>
        </w:rPr>
      </w:pPr>
    </w:p>
    <w:p>
      <w:pPr>
        <w:ind w:left="2320"/>
        <w:spacing w:after="0"/>
        <w:rPr>
          <w:sz w:val="20"/>
          <w:szCs w:val="20"/>
          <w:color w:val="auto"/>
        </w:rPr>
      </w:pPr>
      <w:r>
        <w:rPr>
          <w:rFonts w:ascii="Arial" w:cs="Arial" w:eastAsia="Arial" w:hAnsi="Arial"/>
          <w:sz w:val="15"/>
          <w:szCs w:val="15"/>
          <w:color w:val="FC0014"/>
        </w:rPr>
        <w:t>Subject to completion, dated July 15,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47021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291" w:lineRule="exact"/>
        <w:rPr>
          <w:sz w:val="20"/>
          <w:szCs w:val="20"/>
          <w:color w:val="auto"/>
        </w:rPr>
      </w:pPr>
    </w:p>
    <w:p>
      <w:pPr>
        <w:jc w:val="center"/>
        <w:ind w:right="539"/>
        <w:spacing w:after="0"/>
        <w:rPr>
          <w:sz w:val="20"/>
          <w:szCs w:val="20"/>
          <w:color w:val="auto"/>
        </w:rPr>
      </w:pPr>
      <w:r>
        <w:rPr>
          <w:rFonts w:ascii="Arial" w:cs="Arial" w:eastAsia="Arial" w:hAnsi="Arial"/>
          <w:sz w:val="23"/>
          <w:szCs w:val="23"/>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57150</wp:posOffset>
            </wp:positionV>
            <wp:extent cx="1814195" cy="230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539"/>
        <w:spacing w:after="0"/>
        <w:rPr>
          <w:sz w:val="20"/>
          <w:szCs w:val="20"/>
          <w:color w:val="auto"/>
        </w:rPr>
      </w:pPr>
      <w:r>
        <w:rPr>
          <w:rFonts w:ascii="Arial" w:cs="Arial" w:eastAsia="Arial" w:hAnsi="Arial"/>
          <w:sz w:val="26"/>
          <w:szCs w:val="26"/>
          <w:color w:val="auto"/>
        </w:rPr>
        <w:t>Sun Country Airlines Holdings, Inc.</w:t>
      </w:r>
    </w:p>
    <w:p>
      <w:pPr>
        <w:spacing w:after="0" w:line="167" w:lineRule="exact"/>
        <w:rPr>
          <w:sz w:val="20"/>
          <w:szCs w:val="20"/>
          <w:color w:val="auto"/>
        </w:rPr>
      </w:pPr>
    </w:p>
    <w:p>
      <w:pPr>
        <w:jc w:val="center"/>
        <w:ind w:right="539"/>
        <w:spacing w:after="0"/>
        <w:rPr>
          <w:sz w:val="20"/>
          <w:szCs w:val="20"/>
          <w:color w:val="auto"/>
        </w:rPr>
      </w:pPr>
      <w:r>
        <w:rPr>
          <w:rFonts w:ascii="Arial" w:cs="Arial" w:eastAsia="Arial" w:hAnsi="Arial"/>
          <w:sz w:val="23"/>
          <w:szCs w:val="23"/>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47021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2175" cy="6985"/>
                    </a:xfrm>
                    <a:prstGeom prst="rect">
                      <a:avLst/>
                    </a:prstGeom>
                    <a:noFill/>
                  </pic:spPr>
                </pic:pic>
              </a:graphicData>
            </a:graphic>
          </wp:anchor>
        </w:drawing>
      </w:r>
    </w:p>
    <w:p>
      <w:pPr>
        <w:spacing w:after="0" w:line="125" w:lineRule="exact"/>
        <w:rPr>
          <w:sz w:val="20"/>
          <w:szCs w:val="20"/>
          <w:color w:val="auto"/>
        </w:rPr>
      </w:pPr>
    </w:p>
    <w:p>
      <w:pPr>
        <w:jc w:val="both"/>
        <w:ind w:right="559"/>
        <w:spacing w:after="0" w:line="224" w:lineRule="auto"/>
        <w:rPr>
          <w:sz w:val="20"/>
          <w:szCs w:val="20"/>
          <w:color w:val="auto"/>
        </w:rPr>
      </w:pPr>
      <w:r>
        <w:rPr>
          <w:rFonts w:ascii="Arial" w:cs="Arial" w:eastAsia="Arial" w:hAnsi="Arial"/>
          <w:sz w:val="15"/>
          <w:szCs w:val="15"/>
          <w:color w:val="auto"/>
        </w:rPr>
        <w:t>The selling stockholder identified in this prospectus is selling shares of common stock of Sun Country Airlines Holdings, Inc., a Delaware corporation. We are not selling any shares of our common stock, and we will not receive any of the proceeds from the sale of shares of our common stock offered by the selling stockholder.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Our common stock is listed on the Nasdaq Global Select Market (</w:t>
      </w:r>
      <w:r>
        <w:rPr>
          <w:rFonts w:ascii="Arial" w:cs="Arial" w:eastAsia="Arial" w:hAnsi="Arial"/>
          <w:sz w:val="15"/>
          <w:szCs w:val="15"/>
          <w:i w:val="1"/>
          <w:iCs w:val="1"/>
          <w:color w:val="auto"/>
        </w:rPr>
        <w:t>“</w:t>
      </w:r>
      <w:r>
        <w:rPr>
          <w:rFonts w:ascii="Arial" w:cs="Arial" w:eastAsia="Arial" w:hAnsi="Arial"/>
          <w:sz w:val="15"/>
          <w:szCs w:val="15"/>
          <w:color w:val="auto"/>
        </w:rPr>
        <w:t>Nasdaq</w:t>
      </w:r>
      <w:r>
        <w:rPr>
          <w:rFonts w:ascii="Arial" w:cs="Arial" w:eastAsia="Arial" w:hAnsi="Arial"/>
          <w:sz w:val="15"/>
          <w:szCs w:val="15"/>
          <w:i w:val="1"/>
          <w:iCs w:val="1"/>
          <w:color w:val="auto"/>
        </w:rPr>
        <w:t>”</w:t>
      </w:r>
      <w:r>
        <w:rPr>
          <w:rFonts w:ascii="Arial" w:cs="Arial" w:eastAsia="Arial" w:hAnsi="Arial"/>
          <w:sz w:val="15"/>
          <w:szCs w:val="15"/>
          <w:color w:val="auto"/>
        </w:rPr>
        <w:t xml:space="preserve">) under the symbol </w:t>
      </w:r>
      <w:r>
        <w:rPr>
          <w:rFonts w:ascii="Arial" w:cs="Arial" w:eastAsia="Arial" w:hAnsi="Arial"/>
          <w:sz w:val="15"/>
          <w:szCs w:val="15"/>
          <w:i w:val="1"/>
          <w:iCs w:val="1"/>
          <w:color w:val="auto"/>
        </w:rPr>
        <w:t>“</w:t>
      </w:r>
      <w:r>
        <w:rPr>
          <w:rFonts w:ascii="Arial" w:cs="Arial" w:eastAsia="Arial" w:hAnsi="Arial"/>
          <w:sz w:val="15"/>
          <w:szCs w:val="15"/>
          <w:color w:val="auto"/>
        </w:rPr>
        <w:t>SNCY.</w:t>
      </w:r>
      <w:r>
        <w:rPr>
          <w:rFonts w:ascii="Arial" w:cs="Arial" w:eastAsia="Arial" w:hAnsi="Arial"/>
          <w:sz w:val="15"/>
          <w:szCs w:val="15"/>
          <w:i w:val="1"/>
          <w:iCs w:val="1"/>
          <w:color w:val="auto"/>
        </w:rPr>
        <w:t>”</w:t>
      </w:r>
      <w:r>
        <w:rPr>
          <w:rFonts w:ascii="Arial" w:cs="Arial" w:eastAsia="Arial" w:hAnsi="Arial"/>
          <w:sz w:val="15"/>
          <w:szCs w:val="15"/>
          <w:color w:val="auto"/>
        </w:rPr>
        <w:t xml:space="preserve"> The last</w:t>
      </w:r>
    </w:p>
    <w:p>
      <w:pPr>
        <w:spacing w:after="0"/>
        <w:tabs>
          <w:tab w:leader="none" w:pos="3700" w:val="left"/>
          <w:tab w:leader="none" w:pos="4980" w:val="left"/>
        </w:tabs>
        <w:rPr>
          <w:sz w:val="20"/>
          <w:szCs w:val="20"/>
          <w:color w:val="auto"/>
        </w:rPr>
      </w:pPr>
      <w:r>
        <w:rPr>
          <w:rFonts w:ascii="Arial" w:cs="Arial" w:eastAsia="Arial" w:hAnsi="Arial"/>
          <w:sz w:val="15"/>
          <w:szCs w:val="15"/>
          <w:color w:val="auto"/>
        </w:rPr>
        <w:t>reported sale price of our common stock on</w:t>
      </w:r>
      <w:r>
        <w:rPr>
          <w:sz w:val="20"/>
          <w:szCs w:val="20"/>
          <w:color w:val="auto"/>
        </w:rPr>
        <w:tab/>
      </w:r>
      <w:r>
        <w:rPr>
          <w:rFonts w:ascii="Arial" w:cs="Arial" w:eastAsia="Arial" w:hAnsi="Arial"/>
          <w:sz w:val="15"/>
          <w:szCs w:val="15"/>
          <w:color w:val="auto"/>
        </w:rPr>
        <w:t>, 2021 was $</w:t>
      </w:r>
      <w:r>
        <w:rPr>
          <w:sz w:val="20"/>
          <w:szCs w:val="20"/>
          <w:color w:val="auto"/>
        </w:rPr>
        <w:tab/>
      </w:r>
      <w:r>
        <w:rPr>
          <w:rFonts w:ascii="Arial" w:cs="Arial" w:eastAsia="Arial" w:hAnsi="Arial"/>
          <w:sz w:val="14"/>
          <w:szCs w:val="14"/>
          <w:color w:val="auto"/>
        </w:rPr>
        <w:t>per share.</w:t>
      </w:r>
    </w:p>
    <w:p>
      <w:pPr>
        <w:spacing w:after="0" w:line="22" w:lineRule="exact"/>
        <w:rPr>
          <w:sz w:val="20"/>
          <w:szCs w:val="20"/>
          <w:color w:val="auto"/>
        </w:rPr>
      </w:pPr>
    </w:p>
    <w:p>
      <w:pPr>
        <w:jc w:val="both"/>
        <w:ind w:right="559"/>
        <w:spacing w:after="0" w:line="220" w:lineRule="auto"/>
        <w:rPr>
          <w:sz w:val="20"/>
          <w:szCs w:val="20"/>
          <w:color w:val="auto"/>
        </w:rPr>
      </w:pPr>
      <w:r>
        <w:rPr>
          <w:rFonts w:ascii="Arial" w:cs="Arial" w:eastAsia="Arial" w:hAnsi="Arial"/>
          <w:sz w:val="15"/>
          <w:szCs w:val="15"/>
          <w:color w:val="auto"/>
        </w:rPr>
        <w:t xml:space="preserve">SCA Horus Holdings, LLC (the </w:t>
      </w:r>
      <w:r>
        <w:rPr>
          <w:rFonts w:ascii="Arial" w:cs="Arial" w:eastAsia="Arial" w:hAnsi="Arial"/>
          <w:sz w:val="15"/>
          <w:szCs w:val="15"/>
          <w:i w:val="1"/>
          <w:iCs w:val="1"/>
          <w:color w:val="auto"/>
        </w:rPr>
        <w:t>“</w:t>
      </w:r>
      <w:r>
        <w:rPr>
          <w:rFonts w:ascii="Arial" w:cs="Arial" w:eastAsia="Arial" w:hAnsi="Arial"/>
          <w:sz w:val="15"/>
          <w:szCs w:val="15"/>
          <w:color w:val="auto"/>
        </w:rPr>
        <w:t>Apollo Stockholder</w:t>
      </w:r>
      <w:r>
        <w:rPr>
          <w:rFonts w:ascii="Arial" w:cs="Arial" w:eastAsia="Arial" w:hAnsi="Arial"/>
          <w:sz w:val="15"/>
          <w:szCs w:val="15"/>
          <w:i w:val="1"/>
          <w:iCs w:val="1"/>
          <w:color w:val="auto"/>
        </w:rPr>
        <w:t>”</w:t>
      </w:r>
      <w:r>
        <w:rPr>
          <w:rFonts w:ascii="Arial" w:cs="Arial" w:eastAsia="Arial" w:hAnsi="Arial"/>
          <w:sz w:val="15"/>
          <w:szCs w:val="15"/>
          <w:color w:val="auto"/>
        </w:rPr>
        <w:t xml:space="preserve">), which is an affiliate of certain investment funds managed by affiliates of Apollo Global Management, Inc., is currently our majority stockholder and is the selling stockholder in this offering. Following the completion of this offering, the Apollo Stockholder will no longer own a majority of the voting power of our outstanding common stock. As a result, we will no longer be a </w:t>
      </w:r>
      <w:r>
        <w:rPr>
          <w:rFonts w:ascii="Arial" w:cs="Arial" w:eastAsia="Arial" w:hAnsi="Arial"/>
          <w:sz w:val="15"/>
          <w:szCs w:val="15"/>
          <w:i w:val="1"/>
          <w:iCs w:val="1"/>
          <w:color w:val="auto"/>
        </w:rPr>
        <w:t>“</w:t>
      </w:r>
      <w:r>
        <w:rPr>
          <w:rFonts w:ascii="Arial" w:cs="Arial" w:eastAsia="Arial" w:hAnsi="Arial"/>
          <w:sz w:val="15"/>
          <w:szCs w:val="15"/>
          <w:color w:val="auto"/>
        </w:rPr>
        <w:t>controlled company</w:t>
      </w:r>
      <w:r>
        <w:rPr>
          <w:rFonts w:ascii="Arial" w:cs="Arial" w:eastAsia="Arial" w:hAnsi="Arial"/>
          <w:sz w:val="15"/>
          <w:szCs w:val="15"/>
          <w:i w:val="1"/>
          <w:iCs w:val="1"/>
          <w:color w:val="auto"/>
        </w:rPr>
        <w:t>”</w:t>
      </w:r>
      <w:r>
        <w:rPr>
          <w:rFonts w:ascii="Arial" w:cs="Arial" w:eastAsia="Arial" w:hAnsi="Arial"/>
          <w:sz w:val="15"/>
          <w:szCs w:val="15"/>
          <w:color w:val="auto"/>
        </w:rPr>
        <w:t xml:space="preserve"> under the corporate governance rules for Nasdaq-listed companies and we will be required to comply with additional corporate governance requirements of the Nasdaq rules, subject to the applicable phase-in periods. See </w:t>
      </w:r>
      <w:r>
        <w:rPr>
          <w:rFonts w:ascii="Arial" w:cs="Arial" w:eastAsia="Arial" w:hAnsi="Arial"/>
          <w:sz w:val="15"/>
          <w:szCs w:val="15"/>
          <w:i w:val="1"/>
          <w:iCs w:val="1"/>
          <w:color w:val="auto"/>
        </w:rPr>
        <w:t>“Risk</w:t>
      </w:r>
      <w:r>
        <w:rPr>
          <w:rFonts w:ascii="Arial" w:cs="Arial" w:eastAsia="Arial" w:hAnsi="Arial"/>
          <w:sz w:val="15"/>
          <w:szCs w:val="15"/>
          <w:color w:val="auto"/>
        </w:rPr>
        <w:t xml:space="preserve"> </w:t>
      </w:r>
      <w:r>
        <w:rPr>
          <w:rFonts w:ascii="Arial" w:cs="Arial" w:eastAsia="Arial" w:hAnsi="Arial"/>
          <w:sz w:val="15"/>
          <w:szCs w:val="15"/>
          <w:i w:val="1"/>
          <w:iCs w:val="1"/>
          <w:color w:val="auto"/>
        </w:rPr>
        <w:t>Factors—Risks Related to this Offering and Ownership of our Common Stock</w:t>
      </w:r>
      <w:r>
        <w:rPr>
          <w:rFonts w:ascii="Arial" w:cs="Arial" w:eastAsia="Arial" w:hAnsi="Arial"/>
          <w:sz w:val="15"/>
          <w:szCs w:val="15"/>
          <w:color w:val="auto"/>
        </w:rPr>
        <w:t>,</w:t>
      </w:r>
      <w:r>
        <w:rPr>
          <w:rFonts w:ascii="Arial" w:cs="Arial" w:eastAsia="Arial" w:hAnsi="Arial"/>
          <w:sz w:val="15"/>
          <w:szCs w:val="15"/>
          <w:i w:val="1"/>
          <w:iCs w:val="1"/>
          <w:color w:val="auto"/>
        </w:rPr>
        <w:t xml:space="preserve">” “Management—Loss of Controlled Company Status” </w:t>
      </w:r>
      <w:r>
        <w:rPr>
          <w:rFonts w:ascii="Arial" w:cs="Arial" w:eastAsia="Arial" w:hAnsi="Arial"/>
          <w:sz w:val="15"/>
          <w:szCs w:val="15"/>
          <w:color w:val="auto"/>
        </w:rPr>
        <w:t>and</w:t>
      </w:r>
      <w:r>
        <w:rPr>
          <w:rFonts w:ascii="Arial" w:cs="Arial" w:eastAsia="Arial" w:hAnsi="Arial"/>
          <w:sz w:val="15"/>
          <w:szCs w:val="15"/>
          <w:i w:val="1"/>
          <w:iCs w:val="1"/>
          <w:color w:val="auto"/>
        </w:rPr>
        <w:t xml:space="preserve"> “Principal and Selling Stockholders</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21" w:lineRule="exact"/>
        <w:rPr>
          <w:sz w:val="20"/>
          <w:szCs w:val="20"/>
          <w:color w:val="auto"/>
        </w:rPr>
      </w:pPr>
    </w:p>
    <w:p>
      <w:pPr>
        <w:jc w:val="both"/>
        <w:ind w:right="559"/>
        <w:spacing w:after="0" w:line="231" w:lineRule="auto"/>
        <w:rPr>
          <w:sz w:val="20"/>
          <w:szCs w:val="20"/>
          <w:color w:val="auto"/>
        </w:rPr>
      </w:pPr>
      <w:r>
        <w:rPr>
          <w:rFonts w:ascii="Arial" w:cs="Arial" w:eastAsia="Arial" w:hAnsi="Arial"/>
          <w:sz w:val="15"/>
          <w:szCs w:val="15"/>
          <w:color w:val="auto"/>
        </w:rPr>
        <w:t xml:space="preserve">We are an </w:t>
      </w:r>
      <w:r>
        <w:rPr>
          <w:rFonts w:ascii="Arial" w:cs="Arial" w:eastAsia="Arial" w:hAnsi="Arial"/>
          <w:sz w:val="15"/>
          <w:szCs w:val="15"/>
          <w:i w:val="1"/>
          <w:iCs w:val="1"/>
          <w:color w:val="auto"/>
        </w:rPr>
        <w:t>“</w:t>
      </w:r>
      <w:r>
        <w:rPr>
          <w:rFonts w:ascii="Arial" w:cs="Arial" w:eastAsia="Arial" w:hAnsi="Arial"/>
          <w:sz w:val="15"/>
          <w:szCs w:val="15"/>
          <w:color w:val="auto"/>
        </w:rPr>
        <w:t>emerging growth company</w:t>
      </w:r>
      <w:r>
        <w:rPr>
          <w:rFonts w:ascii="Arial" w:cs="Arial" w:eastAsia="Arial" w:hAnsi="Arial"/>
          <w:sz w:val="15"/>
          <w:szCs w:val="15"/>
          <w:i w:val="1"/>
          <w:iCs w:val="1"/>
          <w:color w:val="auto"/>
        </w:rPr>
        <w:t>”</w:t>
      </w:r>
      <w:r>
        <w:rPr>
          <w:rFonts w:ascii="Arial" w:cs="Arial" w:eastAsia="Arial" w:hAnsi="Arial"/>
          <w:sz w:val="15"/>
          <w:szCs w:val="15"/>
          <w:color w:val="auto"/>
        </w:rPr>
        <w:t xml:space="preserve"> as defined in the Jumpstart Our Business Startups Act of 2012 and are eligible for reduced public company reporting requirements. Please see </w:t>
      </w:r>
      <w:r>
        <w:rPr>
          <w:rFonts w:ascii="Arial" w:cs="Arial" w:eastAsia="Arial" w:hAnsi="Arial"/>
          <w:sz w:val="15"/>
          <w:szCs w:val="15"/>
          <w:i w:val="1"/>
          <w:iCs w:val="1"/>
          <w:color w:val="auto"/>
        </w:rPr>
        <w:t>“Prospectus Summary—Implications of</w:t>
      </w:r>
      <w:r>
        <w:rPr>
          <w:rFonts w:ascii="Arial" w:cs="Arial" w:eastAsia="Arial" w:hAnsi="Arial"/>
          <w:sz w:val="15"/>
          <w:szCs w:val="15"/>
          <w:color w:val="auto"/>
        </w:rPr>
        <w:t xml:space="preserve"> </w:t>
      </w:r>
      <w:r>
        <w:rPr>
          <w:rFonts w:ascii="Arial" w:cs="Arial" w:eastAsia="Arial" w:hAnsi="Arial"/>
          <w:sz w:val="15"/>
          <w:szCs w:val="15"/>
          <w:i w:val="1"/>
          <w:iCs w:val="1"/>
          <w:color w:val="auto"/>
        </w:rPr>
        <w:t>Being an Emerging Growth Company</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43" w:lineRule="exact"/>
        <w:rPr>
          <w:sz w:val="20"/>
          <w:szCs w:val="20"/>
          <w:color w:val="auto"/>
        </w:rPr>
      </w:pPr>
    </w:p>
    <w:p>
      <w:pPr>
        <w:jc w:val="both"/>
        <w:ind w:right="559"/>
        <w:spacing w:after="0" w:line="229" w:lineRule="auto"/>
        <w:rPr>
          <w:sz w:val="20"/>
          <w:szCs w:val="20"/>
          <w:color w:val="auto"/>
        </w:rPr>
      </w:pPr>
      <w:r>
        <w:rPr>
          <w:rFonts w:ascii="Arial" w:cs="Arial" w:eastAsia="Arial" w:hAnsi="Arial"/>
          <w:sz w:val="15"/>
          <w:szCs w:val="15"/>
          <w:color w:val="auto"/>
        </w:rPr>
        <w:t xml:space="preserve">By participating in this offering, you are representing that you are a citizen of the United States, as defined in 49 U.S.C. § 40102(a)(15). See </w:t>
      </w:r>
      <w:r>
        <w:rPr>
          <w:rFonts w:ascii="Arial" w:cs="Arial" w:eastAsia="Arial" w:hAnsi="Arial"/>
          <w:sz w:val="15"/>
          <w:szCs w:val="15"/>
          <w:i w:val="1"/>
          <w:iCs w:val="1"/>
          <w:color w:val="auto"/>
        </w:rPr>
        <w:t>“Description of Capital Stock—Limited Ownership and Voting by Foreign Owners</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15" w:lineRule="exact"/>
        <w:rPr>
          <w:sz w:val="20"/>
          <w:szCs w:val="20"/>
          <w:color w:val="auto"/>
        </w:rPr>
      </w:pPr>
    </w:p>
    <w:p>
      <w:pPr>
        <w:jc w:val="both"/>
        <w:ind w:right="559"/>
        <w:spacing w:after="0" w:line="248"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Investing in our common stock involves risks that are described in the “Risk Factors” section beginning on page </w:t>
      </w:r>
      <w:hyperlink w:anchor="page29">
        <w:r>
          <w:rPr>
            <w:rFonts w:ascii="Arial" w:cs="Arial" w:eastAsia="Arial" w:hAnsi="Arial"/>
            <w:sz w:val="16"/>
            <w:szCs w:val="16"/>
            <w:i w:val="1"/>
            <w:iCs w:val="1"/>
            <w:u w:val="single" w:color="auto"/>
            <w:color w:val="0000EE"/>
          </w:rPr>
          <w:t>22</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of this prospectus.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Per Share</w:t>
            </w:r>
          </w:p>
        </w:tc>
        <w:tc>
          <w:tcPr>
            <w:tcW w:w="520" w:type="dxa"/>
            <w:vAlign w:val="bottom"/>
          </w:tcPr>
          <w:p>
            <w:pPr>
              <w:jc w:val="right"/>
              <w:ind w:right="50"/>
              <w:spacing w:after="0"/>
              <w:rPr>
                <w:sz w:val="20"/>
                <w:szCs w:val="20"/>
                <w:color w:val="auto"/>
              </w:rPr>
            </w:pPr>
            <w:r>
              <w:rPr>
                <w:rFonts w:ascii="Arial" w:cs="Arial" w:eastAsia="Arial" w:hAnsi="Arial"/>
                <w:sz w:val="12"/>
                <w:szCs w:val="12"/>
                <w:b w:val="1"/>
                <w:bCs w:val="1"/>
                <w:color w:val="auto"/>
              </w:rPr>
              <w:t>Total</w:t>
            </w:r>
          </w:p>
        </w:tc>
      </w:tr>
      <w:tr>
        <w:trPr>
          <w:trHeight w:val="205"/>
        </w:trPr>
        <w:tc>
          <w:tcPr>
            <w:tcW w:w="6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5"/>
                <w:szCs w:val="15"/>
                <w:color w:val="auto"/>
                <w:w w:val="95"/>
              </w:rPr>
              <w:t>$</w:t>
            </w:r>
          </w:p>
        </w:tc>
      </w:tr>
      <w:tr>
        <w:trPr>
          <w:trHeight w:val="220"/>
        </w:trPr>
        <w:tc>
          <w:tcPr>
            <w:tcW w:w="6160" w:type="dxa"/>
            <w:vAlign w:val="bottom"/>
            <w:gridSpan w:val="2"/>
          </w:tcPr>
          <w:p>
            <w:pPr>
              <w:spacing w:after="0" w:line="220"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21"/>
                <w:szCs w:val="21"/>
                <w:color w:val="auto"/>
                <w:vertAlign w:val="superscript"/>
              </w:rPr>
              <w:t>(1)</w:t>
            </w:r>
          </w:p>
        </w:tc>
        <w:tc>
          <w:tcPr>
            <w:tcW w:w="540" w:type="dxa"/>
            <w:vAlign w:val="bottom"/>
          </w:tcPr>
          <w:p>
            <w:pPr>
              <w:ind w:left="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520" w:type="dxa"/>
            <w:vAlign w:val="bottom"/>
          </w:tcPr>
          <w:p>
            <w:pPr>
              <w:jc w:val="right"/>
              <w:ind w:right="350"/>
              <w:spacing w:after="0"/>
              <w:rPr>
                <w:sz w:val="20"/>
                <w:szCs w:val="20"/>
                <w:color w:val="auto"/>
              </w:rPr>
            </w:pPr>
            <w:r>
              <w:rPr>
                <w:rFonts w:ascii="Arial" w:cs="Arial" w:eastAsia="Arial" w:hAnsi="Arial"/>
                <w:sz w:val="15"/>
                <w:szCs w:val="15"/>
                <w:color w:val="auto"/>
                <w:w w:val="95"/>
              </w:rPr>
              <w:t>$</w:t>
            </w:r>
          </w:p>
        </w:tc>
      </w:tr>
      <w:tr>
        <w:trPr>
          <w:trHeight w:val="209"/>
        </w:trPr>
        <w:tc>
          <w:tcPr>
            <w:tcW w:w="6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Proceeds, before expenses, to the selling stockholder</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0"/>
              <w:spacing w:after="0"/>
              <w:rPr>
                <w:sz w:val="20"/>
                <w:szCs w:val="20"/>
                <w:color w:val="auto"/>
              </w:rPr>
            </w:pPr>
            <w:r>
              <w:rPr>
                <w:rFonts w:ascii="Arial" w:cs="Arial" w:eastAsia="Arial" w:hAnsi="Arial"/>
                <w:sz w:val="15"/>
                <w:szCs w:val="15"/>
                <w:color w:val="auto"/>
                <w:w w:val="95"/>
              </w:rPr>
              <w:t>$</w:t>
            </w:r>
          </w:p>
        </w:tc>
      </w:tr>
      <w:tr>
        <w:trPr>
          <w:trHeight w:val="187"/>
        </w:trPr>
        <w:tc>
          <w:tcPr>
            <w:tcW w:w="700" w:type="dxa"/>
            <w:vAlign w:val="bottom"/>
            <w:tcBorders>
              <w:bottom w:val="single" w:sz="8" w:color="auto"/>
            </w:tcBorders>
          </w:tcPr>
          <w:p>
            <w:pPr>
              <w:spacing w:after="0"/>
              <w:rPr>
                <w:sz w:val="16"/>
                <w:szCs w:val="16"/>
                <w:color w:val="auto"/>
              </w:rPr>
            </w:pPr>
          </w:p>
        </w:tc>
        <w:tc>
          <w:tcPr>
            <w:tcW w:w="5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4367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08" w:lineRule="exact"/>
        <w:rPr>
          <w:sz w:val="20"/>
          <w:szCs w:val="20"/>
          <w:color w:val="auto"/>
        </w:rPr>
      </w:pPr>
    </w:p>
    <w:p>
      <w:pPr>
        <w:ind w:left="300" w:right="559" w:hanging="293"/>
        <w:spacing w:after="0" w:line="269"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See </w:t>
      </w:r>
      <w:r>
        <w:rPr>
          <w:rFonts w:ascii="Arial" w:cs="Arial" w:eastAsia="Arial" w:hAnsi="Arial"/>
          <w:sz w:val="15"/>
          <w:szCs w:val="15"/>
          <w:i w:val="1"/>
          <w:iCs w:val="1"/>
          <w:color w:val="auto"/>
        </w:rPr>
        <w:t>“Underwriting (Conflict of Interest)”</w:t>
      </w:r>
      <w:r>
        <w:rPr>
          <w:rFonts w:ascii="Arial" w:cs="Arial" w:eastAsia="Arial" w:hAnsi="Arial"/>
          <w:sz w:val="15"/>
          <w:szCs w:val="15"/>
          <w:color w:val="auto"/>
        </w:rPr>
        <w:t xml:space="preserve"> for additional information regarding the underwriters’ compensation and reimbursement of expenses.</w:t>
      </w:r>
    </w:p>
    <w:p>
      <w:pPr>
        <w:spacing w:after="0" w:line="34" w:lineRule="exact"/>
        <w:rPr>
          <w:sz w:val="20"/>
          <w:szCs w:val="20"/>
          <w:color w:val="auto"/>
        </w:rPr>
      </w:pPr>
    </w:p>
    <w:p>
      <w:pPr>
        <w:jc w:val="both"/>
        <w:ind w:right="559"/>
        <w:spacing w:after="0" w:line="224" w:lineRule="auto"/>
        <w:rPr>
          <w:sz w:val="20"/>
          <w:szCs w:val="20"/>
          <w:color w:val="auto"/>
        </w:rPr>
      </w:pPr>
      <w:r>
        <w:rPr>
          <w:rFonts w:ascii="Arial" w:cs="Arial" w:eastAsia="Arial" w:hAnsi="Arial"/>
          <w:sz w:val="15"/>
          <w:szCs w:val="15"/>
          <w:color w:val="auto"/>
        </w:rPr>
        <w:t>The underwriters may also exercise their option to purchase up to an additional shares from the selling stockholder at the public offering price, less underwriting discounts and commissions, for 30 days after the date of this prospectus.</w:t>
      </w:r>
    </w:p>
    <w:p>
      <w:pPr>
        <w:spacing w:after="0" w:line="33" w:lineRule="exact"/>
        <w:rPr>
          <w:sz w:val="20"/>
          <w:szCs w:val="20"/>
          <w:color w:val="auto"/>
        </w:rPr>
      </w:pPr>
    </w:p>
    <w:p>
      <w:pPr>
        <w:jc w:val="both"/>
        <w:ind w:right="559"/>
        <w:spacing w:after="0" w:line="224"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420" w:type="dxa"/>
            <w:vAlign w:val="bottom"/>
            <w:gridSpan w:val="2"/>
          </w:tcPr>
          <w:p>
            <w:pPr>
              <w:spacing w:after="0"/>
              <w:rPr>
                <w:sz w:val="20"/>
                <w:szCs w:val="20"/>
                <w:color w:val="auto"/>
              </w:rPr>
            </w:pPr>
            <w:r>
              <w:rPr>
                <w:rFonts w:ascii="Arial" w:cs="Arial" w:eastAsia="Arial" w:hAnsi="Arial"/>
                <w:sz w:val="15"/>
                <w:szCs w:val="15"/>
                <w:color w:val="auto"/>
              </w:rPr>
              <w:t>The underwriters expect to deliver the shares of common stock against payment on or about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 2021.</w:t>
            </w:r>
          </w:p>
        </w:tc>
      </w:tr>
      <w:tr>
        <w:trPr>
          <w:trHeight w:val="66"/>
        </w:trPr>
        <w:tc>
          <w:tcPr>
            <w:tcW w:w="444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22"/>
        </w:trPr>
        <w:tc>
          <w:tcPr>
            <w:tcW w:w="4440" w:type="dxa"/>
            <w:vAlign w:val="bottom"/>
          </w:tcPr>
          <w:p>
            <w:pPr>
              <w:jc w:val="center"/>
              <w:ind w:left="2895"/>
              <w:spacing w:after="0"/>
              <w:rPr>
                <w:sz w:val="20"/>
                <w:szCs w:val="20"/>
                <w:color w:val="auto"/>
              </w:rPr>
            </w:pPr>
            <w:r>
              <w:rPr>
                <w:rFonts w:ascii="Arial" w:cs="Arial" w:eastAsia="Arial" w:hAnsi="Arial"/>
                <w:sz w:val="15"/>
                <w:szCs w:val="15"/>
                <w:b w:val="1"/>
                <w:bCs w:val="1"/>
                <w:i w:val="1"/>
                <w:iCs w:val="1"/>
                <w:color w:val="auto"/>
                <w:w w:val="97"/>
              </w:rPr>
              <w:t>Joint Bookrunners</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44"/>
        </w:trPr>
        <w:tc>
          <w:tcPr>
            <w:tcW w:w="4440" w:type="dxa"/>
            <w:vAlign w:val="bottom"/>
          </w:tcPr>
          <w:p>
            <w:pPr>
              <w:spacing w:after="0"/>
              <w:rPr>
                <w:sz w:val="20"/>
                <w:szCs w:val="20"/>
                <w:color w:val="auto"/>
              </w:rPr>
            </w:pPr>
            <w:r>
              <w:rPr>
                <w:rFonts w:ascii="Arial" w:cs="Arial" w:eastAsia="Arial" w:hAnsi="Arial"/>
                <w:sz w:val="26"/>
                <w:szCs w:val="26"/>
                <w:b w:val="1"/>
                <w:bCs w:val="1"/>
                <w:color w:val="auto"/>
              </w:rPr>
              <w:t>Barclays</w:t>
            </w:r>
          </w:p>
        </w:tc>
        <w:tc>
          <w:tcPr>
            <w:tcW w:w="2980" w:type="dxa"/>
            <w:vAlign w:val="bottom"/>
            <w:gridSpan w:val="2"/>
          </w:tcPr>
          <w:p>
            <w:pPr>
              <w:jc w:val="right"/>
              <w:spacing w:after="0"/>
              <w:rPr>
                <w:sz w:val="20"/>
                <w:szCs w:val="20"/>
                <w:color w:val="auto"/>
              </w:rPr>
            </w:pPr>
            <w:r>
              <w:rPr>
                <w:rFonts w:ascii="Arial" w:cs="Arial" w:eastAsia="Arial" w:hAnsi="Arial"/>
                <w:sz w:val="26"/>
                <w:szCs w:val="26"/>
                <w:b w:val="1"/>
                <w:bCs w:val="1"/>
                <w:color w:val="auto"/>
              </w:rPr>
              <w:t>Morgan Stanley</w:t>
            </w:r>
          </w:p>
        </w:tc>
      </w:tr>
      <w:tr>
        <w:trPr>
          <w:trHeight w:val="195"/>
        </w:trPr>
        <w:tc>
          <w:tcPr>
            <w:tcW w:w="4440" w:type="dxa"/>
            <w:vAlign w:val="bottom"/>
          </w:tcPr>
          <w:p>
            <w:pPr>
              <w:jc w:val="center"/>
              <w:ind w:left="2895"/>
              <w:spacing w:after="0"/>
              <w:rPr>
                <w:sz w:val="20"/>
                <w:szCs w:val="20"/>
                <w:color w:val="auto"/>
              </w:rPr>
            </w:pPr>
            <w:r>
              <w:rPr>
                <w:rFonts w:ascii="Arial" w:cs="Arial" w:eastAsia="Arial" w:hAnsi="Arial"/>
                <w:sz w:val="15"/>
                <w:szCs w:val="15"/>
                <w:b w:val="1"/>
                <w:bCs w:val="1"/>
                <w:i w:val="1"/>
                <w:iCs w:val="1"/>
                <w:color w:val="auto"/>
                <w:w w:val="99"/>
              </w:rPr>
              <w:t>Co- Manager</w:t>
            </w:r>
          </w:p>
        </w:tc>
        <w:tc>
          <w:tcPr>
            <w:tcW w:w="19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9"/>
        </w:trPr>
        <w:tc>
          <w:tcPr>
            <w:tcW w:w="6420" w:type="dxa"/>
            <w:vAlign w:val="bottom"/>
            <w:gridSpan w:val="2"/>
          </w:tcPr>
          <w:p>
            <w:pPr>
              <w:jc w:val="center"/>
              <w:ind w:left="915"/>
              <w:spacing w:after="0"/>
              <w:rPr>
                <w:sz w:val="20"/>
                <w:szCs w:val="20"/>
                <w:color w:val="auto"/>
              </w:rPr>
            </w:pPr>
            <w:r>
              <w:rPr>
                <w:rFonts w:ascii="Arial" w:cs="Arial" w:eastAsia="Arial" w:hAnsi="Arial"/>
                <w:sz w:val="18"/>
                <w:szCs w:val="18"/>
                <w:b w:val="1"/>
                <w:bCs w:val="1"/>
                <w:color w:val="auto"/>
                <w:w w:val="97"/>
              </w:rPr>
              <w:t>Apollo Global Securities</w:t>
            </w:r>
          </w:p>
        </w:tc>
        <w:tc>
          <w:tcPr>
            <w:tcW w:w="1000" w:type="dxa"/>
            <w:vAlign w:val="bottom"/>
          </w:tcPr>
          <w:p>
            <w:pPr>
              <w:spacing w:after="0"/>
              <w:rPr>
                <w:sz w:val="20"/>
                <w:szCs w:val="20"/>
                <w:color w:val="auto"/>
              </w:rPr>
            </w:pPr>
          </w:p>
        </w:tc>
      </w:tr>
      <w:tr>
        <w:trPr>
          <w:trHeight w:val="497"/>
        </w:trPr>
        <w:tc>
          <w:tcPr>
            <w:tcW w:w="4440" w:type="dxa"/>
            <w:vAlign w:val="bottom"/>
          </w:tcPr>
          <w:p>
            <w:pPr>
              <w:ind w:left="2480"/>
              <w:spacing w:after="0"/>
              <w:rPr>
                <w:sz w:val="20"/>
                <w:szCs w:val="20"/>
                <w:color w:val="auto"/>
              </w:rPr>
            </w:pPr>
            <w:r>
              <w:rPr>
                <w:rFonts w:ascii="Arial" w:cs="Arial" w:eastAsia="Arial" w:hAnsi="Arial"/>
                <w:sz w:val="15"/>
                <w:szCs w:val="15"/>
                <w:color w:val="auto"/>
              </w:rPr>
              <w:t>Prospectus dated</w:t>
            </w:r>
          </w:p>
        </w:tc>
        <w:tc>
          <w:tcPr>
            <w:tcW w:w="1980" w:type="dxa"/>
            <w:vAlign w:val="bottom"/>
          </w:tcPr>
          <w:p>
            <w:pPr>
              <w:jc w:val="right"/>
              <w:ind w:right="1397"/>
              <w:spacing w:after="0"/>
              <w:rPr>
                <w:sz w:val="20"/>
                <w:szCs w:val="20"/>
                <w:color w:val="auto"/>
              </w:rPr>
            </w:pPr>
            <w:r>
              <w:rPr>
                <w:rFonts w:ascii="Arial" w:cs="Arial" w:eastAsia="Arial" w:hAnsi="Arial"/>
                <w:sz w:val="15"/>
                <w:szCs w:val="15"/>
                <w:color w:val="auto"/>
              </w:rPr>
              <w:t>, 2021</w:t>
            </w: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29210</wp:posOffset>
            </wp:positionV>
            <wp:extent cx="553910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9105" cy="39370"/>
                    </a:xfrm>
                    <a:prstGeom prst="rect">
                      <a:avLst/>
                    </a:prstGeom>
                    <a:noFill/>
                  </pic:spPr>
                </pic:pic>
              </a:graphicData>
            </a:graphic>
          </wp:anchor>
        </w:drawing>
      </w:r>
    </w:p>
    <w:p>
      <w:pPr>
        <w:sectPr>
          <w:pgSz w:w="11900" w:h="16838" w:orient="portrait"/>
          <w:cols w:equalWidth="0" w:num="2">
            <w:col w:w="860" w:space="200"/>
            <w:col w:w="7959"/>
          </w:cols>
          <w:pgMar w:left="1440" w:top="134" w:right="1440" w:bottom="1440" w:gutter="0" w:footer="0" w:header="0"/>
          <w:type w:val="continuous"/>
        </w:sectPr>
      </w:pPr>
    </w:p>
    <w:bookmarkStart w:id="2" w:name="page3"/>
    <w:bookmarkEnd w:id="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Confidential Treatment Requested by Sun Country Airlines Holdings, Inc.</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6158865</wp:posOffset>
            </wp:positionV>
            <wp:extent cx="556450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74295</wp:posOffset>
            </wp:positionV>
            <wp:extent cx="4241800" cy="5490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41800" cy="549021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For investors outside the United States: none of us, the selling stockholder 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11"/>
          </w:tcPr>
          <w:p>
            <w:pPr>
              <w:ind w:left="160"/>
              <w:spacing w:after="0"/>
              <w:rPr>
                <w:sz w:val="20"/>
                <w:szCs w:val="20"/>
                <w:color w:val="auto"/>
              </w:rPr>
            </w:pPr>
            <w:r>
              <w:rPr>
                <w:rFonts w:ascii="Arial" w:cs="Arial" w:eastAsia="Arial" w:hAnsi="Arial"/>
                <w:sz w:val="15"/>
                <w:szCs w:val="15"/>
                <w:b w:val="1"/>
                <w:bCs w:val="1"/>
                <w:color w:val="auto"/>
              </w:rPr>
              <w:t>TABLE OF CONTENTS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4"/>
        </w:trPr>
        <w:tc>
          <w:tcPr>
            <w:tcW w:w="1760" w:type="dxa"/>
            <w:vAlign w:val="bottom"/>
            <w:tcBorders>
              <w:bottom w:val="single" w:sz="8" w:color="0000EE"/>
            </w:tcBorders>
            <w:gridSpan w:val="8"/>
            <w:shd w:val="clear" w:color="auto" w:fill="CCEEFF"/>
          </w:tcPr>
          <w:p>
            <w:pPr>
              <w:spacing w:after="0" w:line="132" w:lineRule="exact"/>
              <w:rPr>
                <w:rFonts w:ascii="Arial" w:cs="Arial" w:eastAsia="Arial" w:hAnsi="Arial"/>
                <w:sz w:val="15"/>
                <w:szCs w:val="15"/>
                <w:color w:val="0000EE"/>
                <w:w w:val="94"/>
              </w:rPr>
            </w:pPr>
            <w:hyperlink w:anchor="page8">
              <w:r>
                <w:rPr>
                  <w:rFonts w:ascii="Arial" w:cs="Arial" w:eastAsia="Arial" w:hAnsi="Arial"/>
                  <w:sz w:val="15"/>
                  <w:szCs w:val="15"/>
                  <w:color w:val="0000EE"/>
                  <w:w w:val="94"/>
                </w:rPr>
                <w:t>PROSPECTUS SUMMARY</w:t>
              </w:r>
            </w:hyperlink>
          </w:p>
        </w:tc>
        <w:tc>
          <w:tcPr>
            <w:tcW w:w="3860" w:type="dxa"/>
            <w:vAlign w:val="bottom"/>
            <w:tcBorders>
              <w:bottom w:val="single" w:sz="8" w:color="CCEEFF"/>
            </w:tcBorders>
            <w:gridSpan w:val="14"/>
            <w:shd w:val="clear" w:color="auto" w:fill="CCEEFF"/>
          </w:tcPr>
          <w:p>
            <w:pPr>
              <w:spacing w:after="0"/>
              <w:rPr>
                <w:sz w:val="11"/>
                <w:szCs w:val="11"/>
                <w:color w:val="auto"/>
              </w:rPr>
            </w:pPr>
          </w:p>
        </w:tc>
        <w:tc>
          <w:tcPr>
            <w:tcW w:w="92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left w:val="single" w:sz="8" w:color="CCEEFF"/>
              <w:bottom w:val="single" w:sz="8" w:color="0000EE"/>
            </w:tcBorders>
            <w:shd w:val="clear" w:color="auto" w:fill="CCEEFF"/>
          </w:tcPr>
          <w:p>
            <w:pPr>
              <w:jc w:val="right"/>
              <w:spacing w:after="0" w:line="132" w:lineRule="exact"/>
              <w:rPr>
                <w:rFonts w:ascii="Arial" w:cs="Arial" w:eastAsia="Arial" w:hAnsi="Arial"/>
                <w:sz w:val="15"/>
                <w:szCs w:val="15"/>
                <w:color w:val="0000EE"/>
              </w:rPr>
            </w:pPr>
            <w:hyperlink w:anchor="page8">
              <w:r>
                <w:rPr>
                  <w:rFonts w:ascii="Arial" w:cs="Arial" w:eastAsia="Arial" w:hAnsi="Arial"/>
                  <w:sz w:val="15"/>
                  <w:szCs w:val="15"/>
                  <w:color w:val="0000EE"/>
                </w:rPr>
                <w:t>1</w:t>
              </w:r>
            </w:hyperlink>
          </w:p>
        </w:tc>
      </w:tr>
      <w:tr>
        <w:trPr>
          <w:trHeight w:val="176"/>
        </w:trPr>
        <w:tc>
          <w:tcPr>
            <w:tcW w:w="1060" w:type="dxa"/>
            <w:vAlign w:val="bottom"/>
            <w:gridSpan w:val="5"/>
          </w:tcPr>
          <w:p>
            <w:pPr>
              <w:spacing w:after="0"/>
              <w:rPr>
                <w:rFonts w:ascii="Arial" w:cs="Arial" w:eastAsia="Arial" w:hAnsi="Arial"/>
                <w:sz w:val="15"/>
                <w:szCs w:val="15"/>
                <w:color w:val="0000EE"/>
                <w:w w:val="91"/>
              </w:rPr>
            </w:pPr>
            <w:hyperlink w:anchor="page29">
              <w:r>
                <w:rPr>
                  <w:rFonts w:ascii="Arial" w:cs="Arial" w:eastAsia="Arial" w:hAnsi="Arial"/>
                  <w:sz w:val="15"/>
                  <w:szCs w:val="15"/>
                  <w:color w:val="0000EE"/>
                  <w:w w:val="91"/>
                </w:rPr>
                <w:t>RISK FACTORS</w:t>
              </w:r>
            </w:hyperlink>
          </w:p>
        </w:tc>
        <w:tc>
          <w:tcPr>
            <w:tcW w:w="4560" w:type="dxa"/>
            <w:vAlign w:val="bottom"/>
            <w:gridSpan w:val="17"/>
          </w:tcPr>
          <w:p>
            <w:pPr>
              <w:spacing w:after="0"/>
              <w:rPr>
                <w:sz w:val="15"/>
                <w:szCs w:val="15"/>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29">
              <w:r>
                <w:rPr>
                  <w:rFonts w:ascii="Arial" w:cs="Arial" w:eastAsia="Arial" w:hAnsi="Arial"/>
                  <w:sz w:val="15"/>
                  <w:szCs w:val="15"/>
                  <w:color w:val="0000EE"/>
                </w:rPr>
                <w:t>22</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2"/>
            <w:shd w:val="clear" w:color="auto" w:fill="CCEEFF"/>
          </w:tcPr>
          <w:p>
            <w:pPr>
              <w:spacing w:after="0"/>
              <w:rPr>
                <w:rFonts w:ascii="Arial" w:cs="Arial" w:eastAsia="Arial" w:hAnsi="Arial"/>
                <w:sz w:val="15"/>
                <w:szCs w:val="15"/>
                <w:color w:val="0000EE"/>
              </w:rPr>
            </w:pPr>
            <w:hyperlink w:anchor="page65">
              <w:r>
                <w:rPr>
                  <w:rFonts w:ascii="Arial" w:cs="Arial" w:eastAsia="Arial" w:hAnsi="Arial"/>
                  <w:sz w:val="15"/>
                  <w:szCs w:val="15"/>
                  <w:color w:val="0000EE"/>
                </w:rPr>
                <w:t>CAUTIONARY NOTE REGARDING FORWARD-LOOKING STATEMENTS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65">
              <w:r>
                <w:rPr>
                  <w:rFonts w:ascii="Arial" w:cs="Arial" w:eastAsia="Arial" w:hAnsi="Arial"/>
                  <w:sz w:val="15"/>
                  <w:szCs w:val="15"/>
                  <w:color w:val="0000EE"/>
                </w:rPr>
                <w:t>58</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1340" w:type="dxa"/>
            <w:vAlign w:val="bottom"/>
            <w:gridSpan w:val="7"/>
          </w:tcPr>
          <w:p>
            <w:pPr>
              <w:spacing w:after="0"/>
              <w:rPr>
                <w:rFonts w:ascii="Arial" w:cs="Arial" w:eastAsia="Arial" w:hAnsi="Arial"/>
                <w:sz w:val="15"/>
                <w:szCs w:val="15"/>
                <w:color w:val="0000EE"/>
                <w:w w:val="91"/>
              </w:rPr>
            </w:pPr>
            <w:hyperlink w:anchor="page67">
              <w:r>
                <w:rPr>
                  <w:rFonts w:ascii="Arial" w:cs="Arial" w:eastAsia="Arial" w:hAnsi="Arial"/>
                  <w:sz w:val="15"/>
                  <w:szCs w:val="15"/>
                  <w:color w:val="0000EE"/>
                  <w:w w:val="91"/>
                </w:rPr>
                <w:t>USE OF PROCEEDS</w:t>
              </w:r>
            </w:hyperlink>
          </w:p>
        </w:tc>
        <w:tc>
          <w:tcPr>
            <w:tcW w:w="3520" w:type="dxa"/>
            <w:vAlign w:val="bottom"/>
            <w:gridSpan w:val="14"/>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67">
              <w:r>
                <w:rPr>
                  <w:rFonts w:ascii="Arial" w:cs="Arial" w:eastAsia="Arial" w:hAnsi="Arial"/>
                  <w:sz w:val="15"/>
                  <w:szCs w:val="15"/>
                  <w:color w:val="0000EE"/>
                </w:rPr>
                <w:t>60</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340" w:type="dxa"/>
            <w:vAlign w:val="bottom"/>
            <w:gridSpan w:val="19"/>
            <w:shd w:val="clear" w:color="auto" w:fill="CCEEFF"/>
          </w:tcPr>
          <w:p>
            <w:pPr>
              <w:spacing w:after="0"/>
              <w:rPr>
                <w:rFonts w:ascii="Arial" w:cs="Arial" w:eastAsia="Arial" w:hAnsi="Arial"/>
                <w:sz w:val="15"/>
                <w:szCs w:val="15"/>
                <w:color w:val="0000EE"/>
                <w:w w:val="98"/>
              </w:rPr>
            </w:pPr>
            <w:hyperlink w:anchor="page68">
              <w:r>
                <w:rPr>
                  <w:rFonts w:ascii="Arial" w:cs="Arial" w:eastAsia="Arial" w:hAnsi="Arial"/>
                  <w:sz w:val="15"/>
                  <w:szCs w:val="15"/>
                  <w:color w:val="0000EE"/>
                  <w:w w:val="98"/>
                </w:rPr>
                <w:t>MARKET PRICE OF COMMON STOCK AND DIVIDEND POLICY</w:t>
              </w:r>
            </w:hyperlink>
          </w:p>
        </w:tc>
        <w:tc>
          <w:tcPr>
            <w:tcW w:w="1280" w:type="dxa"/>
            <w:vAlign w:val="bottom"/>
            <w:gridSpan w:val="3"/>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68">
              <w:r>
                <w:rPr>
                  <w:rFonts w:ascii="Arial" w:cs="Arial" w:eastAsia="Arial" w:hAnsi="Arial"/>
                  <w:sz w:val="15"/>
                  <w:szCs w:val="15"/>
                  <w:color w:val="0000EE"/>
                </w:rPr>
                <w:t>61</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4340" w:type="dxa"/>
            <w:vAlign w:val="bottom"/>
            <w:gridSpan w:val="19"/>
          </w:tcPr>
          <w:p>
            <w:pPr>
              <w:spacing w:after="0"/>
              <w:rPr>
                <w:rFonts w:ascii="Arial" w:cs="Arial" w:eastAsia="Arial" w:hAnsi="Arial"/>
                <w:sz w:val="15"/>
                <w:szCs w:val="15"/>
                <w:color w:val="0000EE"/>
              </w:rPr>
            </w:pPr>
            <w:hyperlink w:anchor="page69">
              <w:r>
                <w:rPr>
                  <w:rFonts w:ascii="Arial" w:cs="Arial" w:eastAsia="Arial" w:hAnsi="Arial"/>
                  <w:sz w:val="15"/>
                  <w:szCs w:val="15"/>
                  <w:color w:val="0000EE"/>
                </w:rPr>
                <w:t>CAPITALIZATION</w:t>
              </w:r>
            </w:hyperlink>
          </w:p>
        </w:tc>
        <w:tc>
          <w:tcPr>
            <w:tcW w:w="1280" w:type="dxa"/>
            <w:vAlign w:val="bottom"/>
            <w:gridSpan w:val="3"/>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69">
              <w:r>
                <w:rPr>
                  <w:rFonts w:ascii="Arial" w:cs="Arial" w:eastAsia="Arial" w:hAnsi="Arial"/>
                  <w:sz w:val="15"/>
                  <w:szCs w:val="15"/>
                  <w:color w:val="0000EE"/>
                </w:rPr>
                <w:t>62</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4180" w:type="dxa"/>
            <w:vAlign w:val="bottom"/>
            <w:gridSpan w:val="18"/>
            <w:shd w:val="clear" w:color="auto" w:fill="CCEEFF"/>
          </w:tcPr>
          <w:p>
            <w:pPr>
              <w:spacing w:after="0"/>
              <w:rPr>
                <w:rFonts w:ascii="Arial" w:cs="Arial" w:eastAsia="Arial" w:hAnsi="Arial"/>
                <w:sz w:val="15"/>
                <w:szCs w:val="15"/>
                <w:color w:val="0000EE"/>
                <w:w w:val="98"/>
              </w:rPr>
            </w:pPr>
            <w:hyperlink w:anchor="page70">
              <w:r>
                <w:rPr>
                  <w:rFonts w:ascii="Arial" w:cs="Arial" w:eastAsia="Arial" w:hAnsi="Arial"/>
                  <w:sz w:val="15"/>
                  <w:szCs w:val="15"/>
                  <w:color w:val="0000EE"/>
                  <w:w w:val="98"/>
                </w:rPr>
                <w:t>SELECTED HISTORICAL CONSOLIDATED FINANCIAL DATA</w:t>
              </w:r>
            </w:hyperlink>
          </w:p>
        </w:tc>
        <w:tc>
          <w:tcPr>
            <w:tcW w:w="1440" w:type="dxa"/>
            <w:vAlign w:val="bottom"/>
            <w:gridSpan w:val="4"/>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70">
              <w:r>
                <w:rPr>
                  <w:rFonts w:ascii="Arial" w:cs="Arial" w:eastAsia="Arial" w:hAnsi="Arial"/>
                  <w:sz w:val="15"/>
                  <w:szCs w:val="15"/>
                  <w:color w:val="0000EE"/>
                </w:rPr>
                <w:t>63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76"/>
        </w:trPr>
        <w:tc>
          <w:tcPr>
            <w:tcW w:w="5620" w:type="dxa"/>
            <w:vAlign w:val="bottom"/>
            <w:tcBorders>
              <w:bottom w:val="single" w:sz="8" w:color="0000EE"/>
            </w:tcBorders>
            <w:gridSpan w:val="22"/>
          </w:tcPr>
          <w:p>
            <w:pPr>
              <w:spacing w:after="0"/>
              <w:rPr>
                <w:rFonts w:ascii="Arial" w:cs="Arial" w:eastAsia="Arial" w:hAnsi="Arial"/>
                <w:sz w:val="15"/>
                <w:szCs w:val="15"/>
                <w:color w:val="0000EE"/>
                <w:w w:val="99"/>
              </w:rPr>
            </w:pPr>
            <w:hyperlink w:anchor="page73">
              <w:r>
                <w:rPr>
                  <w:rFonts w:ascii="Arial" w:cs="Arial" w:eastAsia="Arial" w:hAnsi="Arial"/>
                  <w:sz w:val="15"/>
                  <w:szCs w:val="15"/>
                  <w:color w:val="0000EE"/>
                  <w:w w:val="99"/>
                </w:rPr>
                <w:t>MANAGEMENT’S DISCUSSION AND ANALYSIS OF FINANCIAL CONDITION AND</w:t>
              </w:r>
            </w:hyperlink>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5620" w:type="dxa"/>
            <w:vAlign w:val="bottom"/>
            <w:gridSpan w:val="22"/>
          </w:tcPr>
          <w:p>
            <w:pPr>
              <w:ind w:left="160"/>
              <w:spacing w:after="0" w:line="156" w:lineRule="exact"/>
              <w:rPr>
                <w:rFonts w:ascii="Arial" w:cs="Arial" w:eastAsia="Arial" w:hAnsi="Arial"/>
                <w:sz w:val="15"/>
                <w:szCs w:val="15"/>
                <w:color w:val="0000EE"/>
              </w:rPr>
            </w:pPr>
            <w:hyperlink w:anchor="page73">
              <w:r>
                <w:rPr>
                  <w:rFonts w:ascii="Arial" w:cs="Arial" w:eastAsia="Arial" w:hAnsi="Arial"/>
                  <w:sz w:val="15"/>
                  <w:szCs w:val="15"/>
                  <w:color w:val="0000EE"/>
                </w:rPr>
                <w:t>RESULTS OF OPERATIONS</w:t>
              </w:r>
            </w:hyperlink>
          </w:p>
        </w:tc>
        <w:tc>
          <w:tcPr>
            <w:tcW w:w="1060" w:type="dxa"/>
            <w:vAlign w:val="bottom"/>
            <w:gridSpan w:val="2"/>
          </w:tcPr>
          <w:p>
            <w:pPr>
              <w:jc w:val="right"/>
              <w:spacing w:after="0" w:line="156" w:lineRule="exact"/>
              <w:rPr>
                <w:rFonts w:ascii="Arial" w:cs="Arial" w:eastAsia="Arial" w:hAnsi="Arial"/>
                <w:sz w:val="15"/>
                <w:szCs w:val="15"/>
                <w:color w:val="0000EE"/>
              </w:rPr>
            </w:pPr>
            <w:hyperlink w:anchor="page73">
              <w:r>
                <w:rPr>
                  <w:rFonts w:ascii="Arial" w:cs="Arial" w:eastAsia="Arial" w:hAnsi="Arial"/>
                  <w:sz w:val="15"/>
                  <w:szCs w:val="15"/>
                  <w:color w:val="0000EE"/>
                </w:rPr>
                <w:t>66</w:t>
              </w:r>
            </w:hyperlink>
          </w:p>
        </w:tc>
      </w:tr>
      <w:tr>
        <w:trPr>
          <w:trHeight w:val="24"/>
        </w:trPr>
        <w:tc>
          <w:tcPr>
            <w:tcW w:w="16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r>
      <w:tr>
        <w:trPr>
          <w:trHeight w:val="200"/>
        </w:trPr>
        <w:tc>
          <w:tcPr>
            <w:tcW w:w="760" w:type="dxa"/>
            <w:vAlign w:val="bottom"/>
            <w:gridSpan w:val="4"/>
            <w:shd w:val="clear" w:color="auto" w:fill="CCEEFF"/>
          </w:tcPr>
          <w:p>
            <w:pPr>
              <w:spacing w:after="0"/>
              <w:rPr>
                <w:rFonts w:ascii="Arial" w:cs="Arial" w:eastAsia="Arial" w:hAnsi="Arial"/>
                <w:sz w:val="15"/>
                <w:szCs w:val="15"/>
                <w:color w:val="0000EE"/>
                <w:w w:val="96"/>
              </w:rPr>
            </w:pPr>
            <w:hyperlink w:anchor="page116">
              <w:r>
                <w:rPr>
                  <w:rFonts w:ascii="Arial" w:cs="Arial" w:eastAsia="Arial" w:hAnsi="Arial"/>
                  <w:sz w:val="15"/>
                  <w:szCs w:val="15"/>
                  <w:color w:val="0000EE"/>
                  <w:w w:val="96"/>
                </w:rPr>
                <w:t>INDUSTRY</w:t>
              </w:r>
            </w:hyperlink>
          </w:p>
        </w:tc>
        <w:tc>
          <w:tcPr>
            <w:tcW w:w="4860" w:type="dxa"/>
            <w:vAlign w:val="bottom"/>
            <w:gridSpan w:val="18"/>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16">
              <w:r>
                <w:rPr>
                  <w:rFonts w:ascii="Arial" w:cs="Arial" w:eastAsia="Arial" w:hAnsi="Arial"/>
                  <w:sz w:val="15"/>
                  <w:szCs w:val="15"/>
                  <w:color w:val="0000EE"/>
                </w:rPr>
                <w:t>109</w:t>
              </w:r>
            </w:hyperlink>
          </w:p>
        </w:tc>
      </w:tr>
      <w:tr>
        <w:trPr>
          <w:trHeight w:val="193"/>
        </w:trPr>
        <w:tc>
          <w:tcPr>
            <w:tcW w:w="72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2"/>
              </w:rPr>
            </w:pPr>
            <w:hyperlink w:anchor="page120">
              <w:r>
                <w:rPr>
                  <w:rFonts w:ascii="Arial" w:cs="Arial" w:eastAsia="Arial" w:hAnsi="Arial"/>
                  <w:sz w:val="15"/>
                  <w:szCs w:val="15"/>
                  <w:color w:val="0000EE"/>
                  <w:w w:val="92"/>
                </w:rPr>
                <w:t>BUSINESS</w:t>
              </w:r>
            </w:hyperlink>
          </w:p>
        </w:tc>
        <w:tc>
          <w:tcPr>
            <w:tcW w:w="40" w:type="dxa"/>
            <w:vAlign w:val="bottom"/>
            <w:tcBorders>
              <w:top w:val="single" w:sz="8" w:color="0000EE"/>
            </w:tcBorders>
          </w:tcPr>
          <w:p>
            <w:pPr>
              <w:spacing w:after="0"/>
              <w:rPr>
                <w:sz w:val="16"/>
                <w:szCs w:val="16"/>
                <w:color w:val="auto"/>
              </w:rPr>
            </w:pPr>
          </w:p>
        </w:tc>
        <w:tc>
          <w:tcPr>
            <w:tcW w:w="4860" w:type="dxa"/>
            <w:vAlign w:val="bottom"/>
            <w:tcBorders>
              <w:top w:val="single" w:sz="8" w:color="CCEEFF"/>
            </w:tcBorders>
            <w:gridSpan w:val="18"/>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40" w:type="dxa"/>
            <w:vAlign w:val="bottom"/>
            <w:tcBorders>
              <w:top w:val="single" w:sz="8" w:color="0000EE"/>
              <w:bottom w:val="single" w:sz="8" w:color="0000EE"/>
            </w:tcBorders>
          </w:tcPr>
          <w:p>
            <w:pPr>
              <w:jc w:val="right"/>
              <w:spacing w:after="0"/>
              <w:rPr>
                <w:rFonts w:ascii="Arial" w:cs="Arial" w:eastAsia="Arial" w:hAnsi="Arial"/>
                <w:sz w:val="10"/>
                <w:szCs w:val="10"/>
                <w:color w:val="0000EE"/>
                <w:w w:val="71"/>
              </w:rPr>
            </w:pPr>
            <w:hyperlink w:anchor="page120">
              <w:r>
                <w:rPr>
                  <w:rFonts w:ascii="Arial" w:cs="Arial" w:eastAsia="Arial" w:hAnsi="Arial"/>
                  <w:sz w:val="10"/>
                  <w:szCs w:val="10"/>
                  <w:color w:val="0000EE"/>
                  <w:w w:val="71"/>
                </w:rPr>
                <w:t>113</w:t>
              </w:r>
            </w:hyperlink>
          </w:p>
        </w:tc>
      </w:tr>
      <w:tr>
        <w:trPr>
          <w:trHeight w:val="193"/>
        </w:trPr>
        <w:tc>
          <w:tcPr>
            <w:tcW w:w="1060" w:type="dxa"/>
            <w:vAlign w:val="bottom"/>
            <w:gridSpan w:val="5"/>
            <w:shd w:val="clear" w:color="auto" w:fill="CCEEFF"/>
          </w:tcPr>
          <w:p>
            <w:pPr>
              <w:spacing w:after="0"/>
              <w:rPr>
                <w:rFonts w:ascii="Arial" w:cs="Arial" w:eastAsia="Arial" w:hAnsi="Arial"/>
                <w:sz w:val="15"/>
                <w:szCs w:val="15"/>
                <w:color w:val="0000EE"/>
                <w:w w:val="94"/>
              </w:rPr>
            </w:pPr>
            <w:hyperlink w:anchor="page141">
              <w:r>
                <w:rPr>
                  <w:rFonts w:ascii="Arial" w:cs="Arial" w:eastAsia="Arial" w:hAnsi="Arial"/>
                  <w:sz w:val="15"/>
                  <w:szCs w:val="15"/>
                  <w:color w:val="0000EE"/>
                  <w:w w:val="94"/>
                </w:rPr>
                <w:t>MANAGEMENT</w:t>
              </w:r>
            </w:hyperlink>
          </w:p>
        </w:tc>
        <w:tc>
          <w:tcPr>
            <w:tcW w:w="4560" w:type="dxa"/>
            <w:vAlign w:val="bottom"/>
            <w:tcBorders>
              <w:left w:val="single" w:sz="8" w:color="CCEEFF"/>
            </w:tcBorders>
            <w:gridSpan w:val="17"/>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41">
              <w:r>
                <w:rPr>
                  <w:rFonts w:ascii="Arial" w:cs="Arial" w:eastAsia="Arial" w:hAnsi="Arial"/>
                  <w:sz w:val="15"/>
                  <w:szCs w:val="15"/>
                  <w:color w:val="0000EE"/>
                </w:rPr>
                <w:t>134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060" w:type="dxa"/>
            <w:vAlign w:val="bottom"/>
            <w:gridSpan w:val="10"/>
          </w:tcPr>
          <w:p>
            <w:pPr>
              <w:spacing w:after="0"/>
              <w:rPr>
                <w:rFonts w:ascii="Arial" w:cs="Arial" w:eastAsia="Arial" w:hAnsi="Arial"/>
                <w:sz w:val="15"/>
                <w:szCs w:val="15"/>
                <w:color w:val="0000EE"/>
                <w:w w:val="96"/>
              </w:rPr>
            </w:pPr>
            <w:hyperlink w:anchor="page149">
              <w:r>
                <w:rPr>
                  <w:rFonts w:ascii="Arial" w:cs="Arial" w:eastAsia="Arial" w:hAnsi="Arial"/>
                  <w:sz w:val="15"/>
                  <w:szCs w:val="15"/>
                  <w:color w:val="0000EE"/>
                  <w:w w:val="96"/>
                </w:rPr>
                <w:t>EXECUTIVE COMPENSATION</w:t>
              </w:r>
            </w:hyperlink>
          </w:p>
        </w:tc>
        <w:tc>
          <w:tcPr>
            <w:tcW w:w="3560" w:type="dxa"/>
            <w:vAlign w:val="bottom"/>
            <w:gridSpan w:val="12"/>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49">
              <w:r>
                <w:rPr>
                  <w:rFonts w:ascii="Arial" w:cs="Arial" w:eastAsia="Arial" w:hAnsi="Arial"/>
                  <w:sz w:val="15"/>
                  <w:szCs w:val="15"/>
                  <w:color w:val="0000EE"/>
                </w:rPr>
                <w:t>142</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2"/>
            <w:shd w:val="clear" w:color="auto" w:fill="CCEEFF"/>
          </w:tcPr>
          <w:p>
            <w:pPr>
              <w:spacing w:after="0"/>
              <w:rPr>
                <w:rFonts w:ascii="Arial" w:cs="Arial" w:eastAsia="Arial" w:hAnsi="Arial"/>
                <w:sz w:val="15"/>
                <w:szCs w:val="15"/>
                <w:color w:val="0000EE"/>
              </w:rPr>
            </w:pPr>
            <w:hyperlink w:anchor="page160">
              <w:r>
                <w:rPr>
                  <w:rFonts w:ascii="Arial" w:cs="Arial" w:eastAsia="Arial" w:hAnsi="Arial"/>
                  <w:sz w:val="15"/>
                  <w:szCs w:val="15"/>
                  <w:color w:val="0000EE"/>
                </w:rPr>
                <w:t>CERTAIN RELATIONSHIPS AND RELATED PARTY TRANSACTIONS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60">
              <w:r>
                <w:rPr>
                  <w:rFonts w:ascii="Arial" w:cs="Arial" w:eastAsia="Arial" w:hAnsi="Arial"/>
                  <w:sz w:val="15"/>
                  <w:szCs w:val="15"/>
                  <w:color w:val="0000EE"/>
                </w:rPr>
                <w:t>153</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4"/>
          </w:tcPr>
          <w:p>
            <w:pPr>
              <w:spacing w:after="0"/>
              <w:rPr>
                <w:rFonts w:ascii="Arial" w:cs="Arial" w:eastAsia="Arial" w:hAnsi="Arial"/>
                <w:sz w:val="15"/>
                <w:szCs w:val="15"/>
                <w:color w:val="0000EE"/>
                <w:w w:val="97"/>
              </w:rPr>
            </w:pPr>
            <w:hyperlink w:anchor="page166">
              <w:r>
                <w:rPr>
                  <w:rFonts w:ascii="Arial" w:cs="Arial" w:eastAsia="Arial" w:hAnsi="Arial"/>
                  <w:sz w:val="15"/>
                  <w:szCs w:val="15"/>
                  <w:color w:val="0000EE"/>
                  <w:w w:val="97"/>
                </w:rPr>
                <w:t>PRINCIPAL AND SELLING STOCKHOLDERS</w:t>
              </w:r>
            </w:hyperlink>
          </w:p>
        </w:tc>
        <w:tc>
          <w:tcPr>
            <w:tcW w:w="1560" w:type="dxa"/>
            <w:vAlign w:val="bottom"/>
            <w:gridSpan w:val="6"/>
          </w:tcPr>
          <w:p>
            <w:pPr>
              <w:spacing w:after="0"/>
              <w:rPr>
                <w:sz w:val="16"/>
                <w:szCs w:val="16"/>
                <w:color w:val="auto"/>
              </w:rPr>
            </w:pPr>
          </w:p>
        </w:tc>
        <w:tc>
          <w:tcPr>
            <w:tcW w:w="1020" w:type="dxa"/>
            <w:vAlign w:val="bottom"/>
            <w:gridSpan w:val="2"/>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66">
              <w:r>
                <w:rPr>
                  <w:rFonts w:ascii="Arial" w:cs="Arial" w:eastAsia="Arial" w:hAnsi="Arial"/>
                  <w:sz w:val="15"/>
                  <w:szCs w:val="15"/>
                  <w:color w:val="0000EE"/>
                </w:rPr>
                <w:t>159</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2420" w:type="dxa"/>
            <w:vAlign w:val="bottom"/>
            <w:gridSpan w:val="11"/>
            <w:shd w:val="clear" w:color="auto" w:fill="CCEEFF"/>
          </w:tcPr>
          <w:p>
            <w:pPr>
              <w:spacing w:after="0"/>
              <w:rPr>
                <w:rFonts w:ascii="Arial" w:cs="Arial" w:eastAsia="Arial" w:hAnsi="Arial"/>
                <w:sz w:val="15"/>
                <w:szCs w:val="15"/>
                <w:color w:val="0000EE"/>
                <w:w w:val="95"/>
              </w:rPr>
            </w:pPr>
            <w:hyperlink w:anchor="page168">
              <w:r>
                <w:rPr>
                  <w:rFonts w:ascii="Arial" w:cs="Arial" w:eastAsia="Arial" w:hAnsi="Arial"/>
                  <w:sz w:val="15"/>
                  <w:szCs w:val="15"/>
                  <w:color w:val="0000EE"/>
                  <w:w w:val="95"/>
                </w:rPr>
                <w:t>DESCRIPTION OF CAPITAL STOCK</w:t>
              </w:r>
            </w:hyperlink>
          </w:p>
        </w:tc>
        <w:tc>
          <w:tcPr>
            <w:tcW w:w="620" w:type="dxa"/>
            <w:vAlign w:val="bottom"/>
            <w:gridSpan w:val="3"/>
            <w:shd w:val="clear" w:color="auto" w:fill="CCEEFF"/>
          </w:tcPr>
          <w:p>
            <w:pPr>
              <w:spacing w:after="0"/>
              <w:rPr>
                <w:sz w:val="16"/>
                <w:szCs w:val="16"/>
                <w:color w:val="auto"/>
              </w:rPr>
            </w:pPr>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68">
              <w:r>
                <w:rPr>
                  <w:rFonts w:ascii="Arial" w:cs="Arial" w:eastAsia="Arial" w:hAnsi="Arial"/>
                  <w:sz w:val="15"/>
                  <w:szCs w:val="15"/>
                  <w:color w:val="0000EE"/>
                </w:rPr>
                <w:t>161</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2680" w:type="dxa"/>
            <w:vAlign w:val="bottom"/>
            <w:gridSpan w:val="13"/>
          </w:tcPr>
          <w:p>
            <w:pPr>
              <w:spacing w:after="0"/>
              <w:rPr>
                <w:rFonts w:ascii="Arial" w:cs="Arial" w:eastAsia="Arial" w:hAnsi="Arial"/>
                <w:sz w:val="15"/>
                <w:szCs w:val="15"/>
                <w:color w:val="0000EE"/>
                <w:w w:val="96"/>
              </w:rPr>
            </w:pPr>
            <w:hyperlink w:anchor="page177">
              <w:r>
                <w:rPr>
                  <w:rFonts w:ascii="Arial" w:cs="Arial" w:eastAsia="Arial" w:hAnsi="Arial"/>
                  <w:sz w:val="15"/>
                  <w:szCs w:val="15"/>
                  <w:color w:val="0000EE"/>
                  <w:w w:val="96"/>
                </w:rPr>
                <w:t>SHARES ELIGIBLE FOR FUTURE SALE</w:t>
              </w:r>
            </w:hyperlink>
          </w:p>
        </w:tc>
        <w:tc>
          <w:tcPr>
            <w:tcW w:w="2940" w:type="dxa"/>
            <w:vAlign w:val="bottom"/>
            <w:gridSpan w:val="9"/>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77">
              <w:r>
                <w:rPr>
                  <w:rFonts w:ascii="Arial" w:cs="Arial" w:eastAsia="Arial" w:hAnsi="Arial"/>
                  <w:sz w:val="15"/>
                  <w:szCs w:val="15"/>
                  <w:color w:val="0000EE"/>
                </w:rPr>
                <w:t>170</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5620" w:type="dxa"/>
            <w:vAlign w:val="bottom"/>
            <w:gridSpan w:val="22"/>
            <w:shd w:val="clear" w:color="auto" w:fill="CCEEFF"/>
          </w:tcPr>
          <w:p>
            <w:pPr>
              <w:spacing w:after="0"/>
              <w:rPr>
                <w:rFonts w:ascii="Arial" w:cs="Arial" w:eastAsia="Arial" w:hAnsi="Arial"/>
                <w:sz w:val="15"/>
                <w:szCs w:val="15"/>
                <w:color w:val="0000EE"/>
              </w:rPr>
            </w:pPr>
            <w:hyperlink w:anchor="page179">
              <w:r>
                <w:rPr>
                  <w:rFonts w:ascii="Arial" w:cs="Arial" w:eastAsia="Arial" w:hAnsi="Arial"/>
                  <w:sz w:val="15"/>
                  <w:szCs w:val="15"/>
                  <w:color w:val="0000EE"/>
                </w:rPr>
                <w:t>MATERIAL U.S. FEDERAL INCOME TAX CONSIDERATIONS</w:t>
              </w:r>
            </w:hyperlink>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79">
              <w:r>
                <w:rPr>
                  <w:rFonts w:ascii="Arial" w:cs="Arial" w:eastAsia="Arial" w:hAnsi="Arial"/>
                  <w:sz w:val="15"/>
                  <w:szCs w:val="15"/>
                  <w:color w:val="0000EE"/>
                </w:rPr>
                <w:t>172</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3040" w:type="dxa"/>
            <w:vAlign w:val="bottom"/>
            <w:gridSpan w:val="14"/>
          </w:tcPr>
          <w:p>
            <w:pPr>
              <w:spacing w:after="0"/>
              <w:rPr>
                <w:rFonts w:ascii="Arial" w:cs="Arial" w:eastAsia="Arial" w:hAnsi="Arial"/>
                <w:sz w:val="15"/>
                <w:szCs w:val="15"/>
                <w:color w:val="0000EE"/>
                <w:w w:val="97"/>
              </w:rPr>
            </w:pPr>
            <w:hyperlink w:anchor="page183">
              <w:r>
                <w:rPr>
                  <w:rFonts w:ascii="Arial" w:cs="Arial" w:eastAsia="Arial" w:hAnsi="Arial"/>
                  <w:sz w:val="15"/>
                  <w:szCs w:val="15"/>
                  <w:color w:val="0000EE"/>
                  <w:w w:val="97"/>
                </w:rPr>
                <w:t>UNDERWRITING (CONFLICT OF INTEREST)</w:t>
              </w:r>
            </w:hyperlink>
          </w:p>
        </w:tc>
        <w:tc>
          <w:tcPr>
            <w:tcW w:w="1060" w:type="dxa"/>
            <w:vAlign w:val="bottom"/>
            <w:gridSpan w:val="3"/>
          </w:tcPr>
          <w:p>
            <w:pPr>
              <w:spacing w:after="0"/>
              <w:rPr>
                <w:sz w:val="16"/>
                <w:szCs w:val="16"/>
                <w:color w:val="auto"/>
              </w:rPr>
            </w:pPr>
          </w:p>
        </w:tc>
        <w:tc>
          <w:tcPr>
            <w:tcW w:w="1520" w:type="dxa"/>
            <w:vAlign w:val="bottom"/>
            <w:gridSpan w:val="5"/>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83">
              <w:r>
                <w:rPr>
                  <w:rFonts w:ascii="Arial" w:cs="Arial" w:eastAsia="Arial" w:hAnsi="Arial"/>
                  <w:sz w:val="15"/>
                  <w:szCs w:val="15"/>
                  <w:color w:val="0000EE"/>
                </w:rPr>
                <w:t>176</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040" w:type="dxa"/>
            <w:vAlign w:val="bottom"/>
            <w:gridSpan w:val="14"/>
            <w:shd w:val="clear" w:color="auto" w:fill="CCEEFF"/>
          </w:tcPr>
          <w:p>
            <w:pPr>
              <w:spacing w:after="0"/>
              <w:rPr>
                <w:rFonts w:ascii="Arial" w:cs="Arial" w:eastAsia="Arial" w:hAnsi="Arial"/>
                <w:sz w:val="15"/>
                <w:szCs w:val="15"/>
                <w:color w:val="0000EE"/>
              </w:rPr>
            </w:pPr>
            <w:hyperlink w:anchor="page191">
              <w:r>
                <w:rPr>
                  <w:rFonts w:ascii="Arial" w:cs="Arial" w:eastAsia="Arial" w:hAnsi="Arial"/>
                  <w:sz w:val="15"/>
                  <w:szCs w:val="15"/>
                  <w:color w:val="0000EE"/>
                </w:rPr>
                <w:t>LEGAL MATTERS</w:t>
              </w:r>
            </w:hyperlink>
          </w:p>
        </w:tc>
        <w:tc>
          <w:tcPr>
            <w:tcW w:w="2580" w:type="dxa"/>
            <w:vAlign w:val="bottom"/>
            <w:gridSpan w:val="8"/>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91">
              <w:r>
                <w:rPr>
                  <w:rFonts w:ascii="Arial" w:cs="Arial" w:eastAsia="Arial" w:hAnsi="Arial"/>
                  <w:sz w:val="15"/>
                  <w:szCs w:val="15"/>
                  <w:color w:val="0000EE"/>
                </w:rPr>
                <w:t>184</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660" w:type="dxa"/>
            <w:vAlign w:val="bottom"/>
            <w:gridSpan w:val="2"/>
          </w:tcPr>
          <w:p>
            <w:pPr>
              <w:spacing w:after="0"/>
              <w:rPr>
                <w:rFonts w:ascii="Arial" w:cs="Arial" w:eastAsia="Arial" w:hAnsi="Arial"/>
                <w:sz w:val="15"/>
                <w:szCs w:val="15"/>
                <w:color w:val="0000EE"/>
                <w:w w:val="91"/>
              </w:rPr>
            </w:pPr>
            <w:hyperlink w:anchor="page192">
              <w:r>
                <w:rPr>
                  <w:rFonts w:ascii="Arial" w:cs="Arial" w:eastAsia="Arial" w:hAnsi="Arial"/>
                  <w:sz w:val="15"/>
                  <w:szCs w:val="15"/>
                  <w:color w:val="0000EE"/>
                  <w:w w:val="91"/>
                </w:rPr>
                <w:t>EXPERTS</w:t>
              </w:r>
            </w:hyperlink>
          </w:p>
        </w:tc>
        <w:tc>
          <w:tcPr>
            <w:tcW w:w="560" w:type="dxa"/>
            <w:vAlign w:val="bottom"/>
            <w:gridSpan w:val="4"/>
          </w:tcPr>
          <w:p>
            <w:pPr>
              <w:spacing w:after="0"/>
              <w:rPr>
                <w:sz w:val="16"/>
                <w:szCs w:val="16"/>
                <w:color w:val="auto"/>
              </w:rPr>
            </w:pPr>
          </w:p>
        </w:tc>
        <w:tc>
          <w:tcPr>
            <w:tcW w:w="4400" w:type="dxa"/>
            <w:vAlign w:val="bottom"/>
            <w:gridSpan w:val="16"/>
          </w:tcPr>
          <w:p>
            <w:pPr>
              <w:spacing w:after="0"/>
              <w:rPr>
                <w:sz w:val="16"/>
                <w:szCs w:val="16"/>
                <w:color w:val="auto"/>
              </w:rPr>
            </w:pPr>
          </w:p>
        </w:tc>
        <w:tc>
          <w:tcPr>
            <w:tcW w:w="1060" w:type="dxa"/>
            <w:vAlign w:val="bottom"/>
            <w:gridSpan w:val="2"/>
          </w:tcPr>
          <w:p>
            <w:pPr>
              <w:jc w:val="right"/>
              <w:spacing w:after="0"/>
              <w:rPr>
                <w:rFonts w:ascii="Arial" w:cs="Arial" w:eastAsia="Arial" w:hAnsi="Arial"/>
                <w:sz w:val="15"/>
                <w:szCs w:val="15"/>
                <w:color w:val="0000EE"/>
              </w:rPr>
            </w:pPr>
            <w:hyperlink w:anchor="page192">
              <w:r>
                <w:rPr>
                  <w:rFonts w:ascii="Arial" w:cs="Arial" w:eastAsia="Arial" w:hAnsi="Arial"/>
                  <w:sz w:val="15"/>
                  <w:szCs w:val="15"/>
                  <w:color w:val="0000EE"/>
                </w:rPr>
                <w:t>185</w:t>
              </w:r>
            </w:hyperlink>
          </w:p>
        </w:tc>
      </w:tr>
      <w:tr>
        <w:trPr>
          <w:trHeight w:val="26"/>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93"/>
        </w:trPr>
        <w:tc>
          <w:tcPr>
            <w:tcW w:w="3220" w:type="dxa"/>
            <w:vAlign w:val="bottom"/>
            <w:gridSpan w:val="15"/>
            <w:shd w:val="clear" w:color="auto" w:fill="CCEEFF"/>
          </w:tcPr>
          <w:p>
            <w:pPr>
              <w:spacing w:after="0"/>
              <w:rPr>
                <w:rFonts w:ascii="Arial" w:cs="Arial" w:eastAsia="Arial" w:hAnsi="Arial"/>
                <w:sz w:val="15"/>
                <w:szCs w:val="15"/>
                <w:color w:val="0000EE"/>
                <w:w w:val="98"/>
              </w:rPr>
            </w:pPr>
            <w:hyperlink w:anchor="page193">
              <w:r>
                <w:rPr>
                  <w:rFonts w:ascii="Arial" w:cs="Arial" w:eastAsia="Arial" w:hAnsi="Arial"/>
                  <w:sz w:val="15"/>
                  <w:szCs w:val="15"/>
                  <w:color w:val="0000EE"/>
                  <w:w w:val="98"/>
                </w:rPr>
                <w:t>WHERE YOU CAN FIND MORE INFORMATION</w:t>
              </w:r>
            </w:hyperlink>
          </w:p>
        </w:tc>
        <w:tc>
          <w:tcPr>
            <w:tcW w:w="2400" w:type="dxa"/>
            <w:vAlign w:val="bottom"/>
            <w:gridSpan w:val="7"/>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rFonts w:ascii="Arial" w:cs="Arial" w:eastAsia="Arial" w:hAnsi="Arial"/>
                <w:sz w:val="15"/>
                <w:szCs w:val="15"/>
                <w:color w:val="0000EE"/>
              </w:rPr>
            </w:pPr>
            <w:hyperlink w:anchor="page193">
              <w:r>
                <w:rPr>
                  <w:rFonts w:ascii="Arial" w:cs="Arial" w:eastAsia="Arial" w:hAnsi="Arial"/>
                  <w:sz w:val="15"/>
                  <w:szCs w:val="15"/>
                  <w:color w:val="0000EE"/>
                </w:rPr>
                <w:t>186</w:t>
              </w:r>
            </w:hyperlink>
          </w:p>
        </w:tc>
      </w:tr>
      <w:tr>
        <w:trPr>
          <w:trHeight w:val="33"/>
        </w:trPr>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r>
      <w:tr>
        <w:trPr>
          <w:trHeight w:val="187"/>
        </w:trPr>
        <w:tc>
          <w:tcPr>
            <w:tcW w:w="5620" w:type="dxa"/>
            <w:vAlign w:val="bottom"/>
            <w:gridSpan w:val="22"/>
          </w:tcPr>
          <w:p>
            <w:pPr>
              <w:spacing w:after="0"/>
              <w:rPr>
                <w:rFonts w:ascii="Arial" w:cs="Arial" w:eastAsia="Arial" w:hAnsi="Arial"/>
                <w:sz w:val="15"/>
                <w:szCs w:val="15"/>
                <w:color w:val="0000EE"/>
              </w:rPr>
            </w:pPr>
            <w:hyperlink w:anchor="page194">
              <w:r>
                <w:rPr>
                  <w:rFonts w:ascii="Arial" w:cs="Arial" w:eastAsia="Arial" w:hAnsi="Arial"/>
                  <w:sz w:val="15"/>
                  <w:szCs w:val="15"/>
                  <w:color w:val="0000EE"/>
                </w:rPr>
                <w:t>INDEX TO CONSOLIDATED FINANCIAL STATEMENTS</w:t>
              </w:r>
            </w:hyperlink>
          </w:p>
        </w:tc>
        <w:tc>
          <w:tcPr>
            <w:tcW w:w="920" w:type="dxa"/>
            <w:vAlign w:val="bottom"/>
          </w:tcPr>
          <w:p>
            <w:pPr>
              <w:spacing w:after="0"/>
              <w:rPr>
                <w:sz w:val="16"/>
                <w:szCs w:val="16"/>
                <w:color w:val="auto"/>
              </w:rPr>
            </w:pPr>
          </w:p>
        </w:tc>
        <w:tc>
          <w:tcPr>
            <w:tcW w:w="140" w:type="dxa"/>
            <w:vAlign w:val="bottom"/>
          </w:tcPr>
          <w:p>
            <w:pPr>
              <w:jc w:val="right"/>
              <w:spacing w:after="0"/>
              <w:rPr>
                <w:rFonts w:ascii="Arial" w:cs="Arial" w:eastAsia="Arial" w:hAnsi="Arial"/>
                <w:sz w:val="10"/>
                <w:szCs w:val="10"/>
                <w:color w:val="0000EE"/>
                <w:w w:val="79"/>
              </w:rPr>
            </w:pPr>
            <w:hyperlink w:anchor="page194">
              <w:r>
                <w:rPr>
                  <w:rFonts w:ascii="Arial" w:cs="Arial" w:eastAsia="Arial" w:hAnsi="Arial"/>
                  <w:sz w:val="10"/>
                  <w:szCs w:val="10"/>
                  <w:color w:val="0000EE"/>
                  <w:w w:val="79"/>
                </w:rPr>
                <w:t>F-1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r>
    </w:tbl>
    <w:p>
      <w:pPr>
        <w:spacing w:after="0" w:line="132"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None of us, the selling stockholder or the underwriters have authorized any other person to provide you with any information or to make any representations other than those contained in this prospectus or in any free writing prospectuses we have prepared. We, the selling stockholder and the underwriters take no responsibility for, and can provide no assurance as to the reliability of, any other information that others may provide you. The selling stockholder is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TRADEMARKS, TRADE NAMES, AND SERVICE MARKS</w:t>
      </w:r>
    </w:p>
    <w:p>
      <w:pPr>
        <w:spacing w:after="0" w:line="128"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INDUSTRY AND MARKET DATA</w:t>
      </w:r>
    </w:p>
    <w:p>
      <w:pPr>
        <w:spacing w:after="0" w:line="117" w:lineRule="exact"/>
        <w:rPr>
          <w:sz w:val="20"/>
          <w:szCs w:val="20"/>
          <w:color w:val="auto"/>
        </w:rPr>
      </w:pPr>
    </w:p>
    <w:p>
      <w:pPr>
        <w:ind w:left="1160" w:right="1219" w:firstLine="293"/>
        <w:spacing w:after="0" w:line="287" w:lineRule="auto"/>
        <w:rPr>
          <w:sz w:val="20"/>
          <w:szCs w:val="20"/>
          <w:color w:val="auto"/>
        </w:rPr>
      </w:pPr>
      <w:r>
        <w:rPr>
          <w:rFonts w:ascii="Arial" w:cs="Arial" w:eastAsia="Arial" w:hAnsi="Arial"/>
          <w:sz w:val="13"/>
          <w:szCs w:val="13"/>
          <w:color w:val="auto"/>
        </w:rPr>
        <w:t>We include in this prospectus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herein, our estimates involve risks and uncertainties and are subject to change based on various factors, including those discussed under the caption “</w:t>
      </w:r>
      <w:r>
        <w:rPr>
          <w:rFonts w:ascii="Arial" w:cs="Arial" w:eastAsia="Arial" w:hAnsi="Arial"/>
          <w:sz w:val="13"/>
          <w:szCs w:val="13"/>
          <w:i w:val="1"/>
          <w:iCs w:val="1"/>
          <w:color w:val="auto"/>
        </w:rPr>
        <w:t>Risk Factors</w:t>
      </w:r>
      <w:r>
        <w:rPr>
          <w:rFonts w:ascii="Arial" w:cs="Arial" w:eastAsia="Arial" w:hAnsi="Arial"/>
          <w:sz w:val="13"/>
          <w:szCs w:val="13"/>
          <w:color w:val="auto"/>
        </w:rPr>
        <w:t>” in this prospectus.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In this prospectus, unless otherwise indicated or the context otherwise requires, references to the “Company,” the “Issuer,” “Sun Country,” “we,” “us” and “our” refer, prior to our conversion to a corporation, to SCA Acquisition Holdings, LLC and its consolidated subsidiaries and, after our conversion to a corporation, to Sun Country Airlines Holdings, Inc. and its consolidated subsidiaries. See “</w:t>
      </w:r>
      <w:r>
        <w:rPr>
          <w:rFonts w:ascii="Arial" w:cs="Arial" w:eastAsia="Arial" w:hAnsi="Arial"/>
          <w:sz w:val="15"/>
          <w:szCs w:val="15"/>
          <w:i w:val="1"/>
          <w:iCs w:val="1"/>
          <w:color w:val="auto"/>
        </w:rPr>
        <w:t>Prospectus</w:t>
      </w:r>
      <w:r>
        <w:rPr>
          <w:rFonts w:ascii="Arial" w:cs="Arial" w:eastAsia="Arial" w:hAnsi="Arial"/>
          <w:sz w:val="15"/>
          <w:szCs w:val="15"/>
          <w:color w:val="auto"/>
        </w:rPr>
        <w:t xml:space="preserve"> </w:t>
      </w:r>
      <w:r>
        <w:rPr>
          <w:rFonts w:ascii="Arial" w:cs="Arial" w:eastAsia="Arial" w:hAnsi="Arial"/>
          <w:sz w:val="15"/>
          <w:szCs w:val="15"/>
          <w:i w:val="1"/>
          <w:iCs w:val="1"/>
          <w:color w:val="auto"/>
        </w:rPr>
        <w:t>Summary—The Reorganization Transactions</w:t>
      </w:r>
      <w:r>
        <w:rPr>
          <w:rFonts w:ascii="Arial" w:cs="Arial" w:eastAsia="Arial" w:hAnsi="Arial"/>
          <w:sz w:val="15"/>
          <w:szCs w:val="15"/>
          <w:color w:val="auto"/>
        </w:rPr>
        <w:t>.”</w:t>
      </w:r>
    </w:p>
    <w:p>
      <w:pPr>
        <w:spacing w:after="0" w:line="105" w:lineRule="exact"/>
        <w:rPr>
          <w:sz w:val="20"/>
          <w:szCs w:val="20"/>
          <w:color w:val="auto"/>
        </w:rPr>
      </w:pPr>
    </w:p>
    <w:p>
      <w:pPr>
        <w:ind w:left="1160" w:right="1179" w:firstLine="293"/>
        <w:spacing w:after="0" w:line="246" w:lineRule="auto"/>
        <w:rPr>
          <w:sz w:val="20"/>
          <w:szCs w:val="20"/>
          <w:color w:val="auto"/>
        </w:rPr>
      </w:pPr>
      <w:r>
        <w:rPr>
          <w:rFonts w:ascii="Arial" w:cs="Arial" w:eastAsia="Arial" w:hAnsi="Arial"/>
          <w:sz w:val="15"/>
          <w:szCs w:val="15"/>
          <w:color w:val="auto"/>
        </w:rPr>
        <w:t>On April 11, 2018, MN Airlines, LLC (d/b/a Sun Country Airlines and now known as Sun Country, Inc.) was indirectly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99" w:lineRule="exact"/>
        <w:rPr>
          <w:sz w:val="20"/>
          <w:szCs w:val="20"/>
          <w:color w:val="auto"/>
        </w:rPr>
      </w:pPr>
    </w:p>
    <w:p>
      <w:pPr>
        <w:ind w:left="1160" w:right="1219" w:firstLine="293"/>
        <w:spacing w:after="0" w:line="300" w:lineRule="auto"/>
        <w:rPr>
          <w:sz w:val="20"/>
          <w:szCs w:val="20"/>
          <w:color w:val="auto"/>
        </w:rPr>
      </w:pPr>
      <w:r>
        <w:rPr>
          <w:rFonts w:ascii="Arial" w:cs="Arial" w:eastAsia="Arial" w:hAnsi="Arial"/>
          <w:sz w:val="14"/>
          <w:szCs w:val="14"/>
          <w:color w:val="auto"/>
        </w:rPr>
        <w:t>All consolidated financial statements presented in this prospectus have been prepared in U.S. dollars in accordance with generally accepted accounting principles in the United States of America (“GAAP”).</w:t>
      </w:r>
    </w:p>
    <w:p>
      <w:pPr>
        <w:spacing w:after="0" w:line="70"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(as defined in the “</w:t>
      </w:r>
      <w:r>
        <w:rPr>
          <w:rFonts w:ascii="Arial" w:cs="Arial" w:eastAsia="Arial" w:hAnsi="Arial"/>
          <w:sz w:val="15"/>
          <w:szCs w:val="15"/>
          <w:i w:val="1"/>
          <w:iCs w:val="1"/>
          <w:color w:val="auto"/>
        </w:rPr>
        <w:t>Glossary of Terms</w:t>
      </w:r>
      <w:r>
        <w:rPr>
          <w:rFonts w:ascii="Arial" w:cs="Arial" w:eastAsia="Arial" w:hAnsi="Arial"/>
          <w:sz w:val="15"/>
          <w:szCs w:val="15"/>
          <w:color w:val="auto"/>
        </w:rPr>
        <w:t>” below) and, during the fourth quarter of 2020, we determined that we have two reportable segments: passenger and cargo. As air cargo operations commenced in May 2020, the cargo segment had no comparable operations for any other prior period presented.</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GLOSSARY OF TERMS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Set forth below is a glossary of certain terms used in this prospectus:</w:t>
      </w:r>
    </w:p>
    <w:p>
      <w:pPr>
        <w:spacing w:after="0" w:line="11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“Adjusted CASM” means CASM excluding fuel costs, costs related to our cargo operations (starting in 2020 when we launched our cargo operations), certain commissions and other costs of selling our vacations product and excluding special items, income tax receivable expenses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at long -term employee retention, rather than to motivate or reward operational performance for any particular period. Thus, stock-based compensation expense varies for reasons that are generally unrelated to operational decisions and performance in any particular period. When Adjusted CASM is referenced or presented for other airlines, it has been adjusted to our average stage length for the period presented.</w:t>
      </w:r>
    </w:p>
    <w:p>
      <w:pPr>
        <w:spacing w:after="0" w:line="9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“Aircraft miles” means miles flown by all of our aircraft, measured by summing up the miles for each completed flight segment.</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“Air traffic liability” means the value of tickets sold in advance of travel.</w:t>
      </w:r>
    </w:p>
    <w:p>
      <w:pPr>
        <w:spacing w:after="0" w:line="113" w:lineRule="exact"/>
        <w:rPr>
          <w:sz w:val="20"/>
          <w:szCs w:val="20"/>
          <w:color w:val="auto"/>
        </w:rPr>
      </w:pPr>
    </w:p>
    <w:p>
      <w:pPr>
        <w:ind w:left="1160" w:right="1439" w:firstLine="293"/>
        <w:spacing w:after="0" w:line="248" w:lineRule="auto"/>
        <w:rPr>
          <w:sz w:val="20"/>
          <w:szCs w:val="20"/>
          <w:color w:val="auto"/>
        </w:rPr>
      </w:pPr>
      <w:r>
        <w:rPr>
          <w:rFonts w:ascii="Arial" w:cs="Arial" w:eastAsia="Arial" w:hAnsi="Arial"/>
          <w:sz w:val="15"/>
          <w:szCs w:val="15"/>
          <w:color w:val="auto"/>
        </w:rPr>
        <w:t>“ALPA” means the Air Line Pilots Association, the union representing our pilots. “Amazon” means Amazon.com Services, LLC, together with its affiliates.</w:t>
      </w:r>
    </w:p>
    <w:p>
      <w:pPr>
        <w:spacing w:after="0" w:line="94" w:lineRule="exact"/>
        <w:rPr>
          <w:sz w:val="20"/>
          <w:szCs w:val="20"/>
          <w:color w:val="auto"/>
        </w:rPr>
      </w:pPr>
    </w:p>
    <w:p>
      <w:pPr>
        <w:ind w:left="1160" w:right="1439" w:firstLine="293"/>
        <w:spacing w:after="0" w:line="239" w:lineRule="auto"/>
        <w:rPr>
          <w:sz w:val="20"/>
          <w:szCs w:val="20"/>
          <w:color w:val="auto"/>
        </w:rPr>
      </w:pPr>
      <w:r>
        <w:rPr>
          <w:rFonts w:ascii="Arial" w:cs="Arial" w:eastAsia="Arial" w:hAnsi="Arial"/>
          <w:sz w:val="15"/>
          <w:szCs w:val="15"/>
          <w:color w:val="auto"/>
        </w:rPr>
        <w:t>“Ancillary revenue” consists primarily of revenue generated from air travel-related services such as baggage fees, seat selection and upgrade fees, itinerary service fees, on-board sales and sales of trip insurance.</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“Ancillary services” refers to the services that generate ancillary revenue.</w:t>
      </w:r>
    </w:p>
    <w:p>
      <w:pPr>
        <w:spacing w:after="0" w:line="113"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“ATSA”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0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“Available seat miles” or “ASMs” means the number of seats available for passengers multiplied by the number of miles the seats are flown.</w:t>
      </w:r>
    </w:p>
    <w:p>
      <w:pPr>
        <w:spacing w:after="0" w:line="94"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“Average aircraft” means the average number of aircraft used in flight operations, as calculated on a daily basis.</w:t>
      </w:r>
    </w:p>
    <w:p>
      <w:pPr>
        <w:spacing w:after="0" w:line="83"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“Average daily aircraft utilization” means block hours divided by number of days in the period divided by average aircraft.</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“Average stage length” means the average number of statute miles flown per flight segment.</w:t>
      </w:r>
    </w:p>
    <w:p>
      <w:pPr>
        <w:spacing w:after="0" w:line="124" w:lineRule="exact"/>
        <w:rPr>
          <w:sz w:val="20"/>
          <w:szCs w:val="20"/>
          <w:color w:val="auto"/>
        </w:rPr>
      </w:pPr>
    </w:p>
    <w:p>
      <w:pPr>
        <w:ind w:left="1160" w:right="1459" w:firstLine="293"/>
        <w:spacing w:after="0" w:line="300" w:lineRule="auto"/>
        <w:rPr>
          <w:sz w:val="20"/>
          <w:szCs w:val="20"/>
          <w:color w:val="auto"/>
        </w:rPr>
      </w:pPr>
      <w:r>
        <w:rPr>
          <w:rFonts w:ascii="Arial" w:cs="Arial" w:eastAsia="Arial" w:hAnsi="Arial"/>
          <w:sz w:val="14"/>
          <w:szCs w:val="14"/>
          <w:color w:val="auto"/>
        </w:rPr>
        <w:t>“Block hours” means the number of hours during which the aircraft is in revenue service, measured from the time of gate departure before take-off until the time of gate arrival at the destination.</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“Cargo service” includes our CMI service operations under the ATSA.</w:t>
      </w:r>
    </w:p>
    <w:p>
      <w:pPr>
        <w:spacing w:after="0" w:line="124" w:lineRule="exact"/>
        <w:rPr>
          <w:sz w:val="20"/>
          <w:szCs w:val="20"/>
          <w:color w:val="auto"/>
        </w:rPr>
      </w:pPr>
    </w:p>
    <w:p>
      <w:pPr>
        <w:ind w:left="1160" w:right="1279" w:firstLine="293"/>
        <w:spacing w:after="0" w:line="300" w:lineRule="auto"/>
        <w:rPr>
          <w:sz w:val="20"/>
          <w:szCs w:val="20"/>
          <w:color w:val="auto"/>
        </w:rPr>
      </w:pPr>
      <w:r>
        <w:rPr>
          <w:rFonts w:ascii="Arial" w:cs="Arial" w:eastAsia="Arial" w:hAnsi="Arial"/>
          <w:sz w:val="14"/>
          <w:szCs w:val="14"/>
          <w:color w:val="auto"/>
        </w:rPr>
        <w:t>“CASM” or “unit costs” means operating expenses divided by total ASMs. When CASM is referenced or presented for other airlines, it has been adjusted to our average stage length for the period presented.</w:t>
      </w:r>
    </w:p>
    <w:p>
      <w:pPr>
        <w:spacing w:after="0" w:line="7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“CBA” means a collective bargaining agreement.</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“CBP” means the United States Customs and Border Protection.</w:t>
      </w:r>
    </w:p>
    <w:p>
      <w:pPr>
        <w:spacing w:after="0" w:line="124"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5"/>
          <w:szCs w:val="15"/>
          <w:color w:val="auto"/>
        </w:rPr>
        <w:t>“Charter service” means flights operated for specific customers who purchase the entire flight from us and specify the origination and destination.</w:t>
      </w:r>
    </w:p>
    <w:p>
      <w:pPr>
        <w:spacing w:after="0" w:line="93" w:lineRule="exact"/>
        <w:rPr>
          <w:sz w:val="20"/>
          <w:szCs w:val="20"/>
          <w:color w:val="auto"/>
        </w:rPr>
      </w:pPr>
    </w:p>
    <w:p>
      <w:pPr>
        <w:ind w:left="1160" w:right="1559" w:firstLine="293"/>
        <w:spacing w:after="0" w:line="254" w:lineRule="auto"/>
        <w:rPr>
          <w:sz w:val="20"/>
          <w:szCs w:val="20"/>
          <w:color w:val="auto"/>
        </w:rPr>
      </w:pPr>
      <w:r>
        <w:rPr>
          <w:rFonts w:ascii="Arial" w:cs="Arial" w:eastAsia="Arial" w:hAnsi="Arial"/>
          <w:sz w:val="15"/>
          <w:szCs w:val="15"/>
          <w:color w:val="auto"/>
        </w:rPr>
        <w:t>“Citizen of the United States” means (A) an individual who is a citizen of the United States; (B) a partnership each of whose partners is an individual who is a citizen of the United States; or (C) a corporation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99"/>
        <w:spacing w:after="0" w:line="235" w:lineRule="auto"/>
        <w:rPr>
          <w:sz w:val="20"/>
          <w:szCs w:val="20"/>
          <w:color w:val="auto"/>
        </w:rPr>
      </w:pPr>
      <w:r>
        <w:rPr>
          <w:rFonts w:ascii="Arial" w:cs="Arial" w:eastAsia="Arial" w:hAnsi="Arial"/>
          <w:sz w:val="15"/>
          <w:szCs w:val="15"/>
          <w:color w:val="auto"/>
        </w:rPr>
        <w:t>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00"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“Completion factor” means the percentage of scheduled flights that are completed.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“COVID-19” means the novel coronavirus (SARS-CoV-2), which was first reported in December 2019.</w:t>
      </w:r>
    </w:p>
    <w:p>
      <w:pPr>
        <w:spacing w:after="0" w:line="13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“DOT” means the United States Department of Transportation.</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“EPA” means the United States Environmental Protection Agency.</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“FAA” means the United States Federal Aviation Administration.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“Flight cycle” means a cycle consisting of one take-off and one landing.</w:t>
      </w:r>
    </w:p>
    <w:p>
      <w:pPr>
        <w:spacing w:after="0" w:line="113" w:lineRule="exact"/>
        <w:rPr>
          <w:sz w:val="20"/>
          <w:szCs w:val="20"/>
          <w:color w:val="auto"/>
        </w:rPr>
      </w:pPr>
    </w:p>
    <w:p>
      <w:pPr>
        <w:ind w:left="1160" w:right="1519" w:firstLine="293"/>
        <w:spacing w:after="0" w:line="248" w:lineRule="auto"/>
        <w:rPr>
          <w:sz w:val="20"/>
          <w:szCs w:val="20"/>
          <w:color w:val="auto"/>
        </w:rPr>
      </w:pPr>
      <w:r>
        <w:rPr>
          <w:rFonts w:ascii="Arial" w:cs="Arial" w:eastAsia="Arial" w:hAnsi="Arial"/>
          <w:sz w:val="15"/>
          <w:szCs w:val="15"/>
          <w:color w:val="auto"/>
        </w:rPr>
        <w:t>“Freighters” include the aircraft operated under the ATSA, which are configured entirely for cargo operations.</w:t>
      </w:r>
    </w:p>
    <w:p>
      <w:pPr>
        <w:spacing w:after="0" w:line="94"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“GDS” means a Global Distribution System such as Amadeus, Sabre and Travelport, used by travel agencies and corporations to purchase tickets on participating airlines.</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“IBT” means the International Brotherhood of Teamsters, the union representing our flight attendants.</w:t>
      </w:r>
    </w:p>
    <w:p>
      <w:pPr>
        <w:spacing w:after="0" w:line="12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“LCC” means low-cost carrier and includes JetBlue Airways and Southwest Airlines.</w:t>
      </w:r>
    </w:p>
    <w:p>
      <w:pPr>
        <w:spacing w:after="0" w:line="124"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“Load factor” means the percentage of aircraft seat miles actually occupied on a flight (RPMs divided by ASMs) for scheduled service.</w:t>
      </w:r>
    </w:p>
    <w:p>
      <w:pPr>
        <w:spacing w:after="0" w:line="94"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“NMB” means the National Mediation Board.</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“OTAs” means online travel agents.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“Passengers” means the total number of passengers flown on all flight segments.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“PRASM” means scheduled service revenue divided by ASMs for scheduled service.</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“Revenue passenger miles” or “RPMs” means the number of miles flown by passengers.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“RLA” means the United States Railway Labor Act.</w:t>
      </w:r>
    </w:p>
    <w:p>
      <w:pPr>
        <w:spacing w:after="0" w:line="113" w:lineRule="exact"/>
        <w:rPr>
          <w:sz w:val="20"/>
          <w:szCs w:val="20"/>
          <w:color w:val="auto"/>
        </w:rPr>
      </w:pPr>
    </w:p>
    <w:p>
      <w:pPr>
        <w:jc w:val="both"/>
        <w:ind w:left="1160" w:right="1259" w:firstLine="293"/>
        <w:spacing w:after="0" w:line="264" w:lineRule="auto"/>
        <w:rPr>
          <w:sz w:val="20"/>
          <w:szCs w:val="20"/>
          <w:color w:val="auto"/>
        </w:rPr>
      </w:pPr>
      <w:r>
        <w:rPr>
          <w:rFonts w:ascii="Arial" w:cs="Arial" w:eastAsia="Arial" w:hAnsi="Arial"/>
          <w:sz w:val="15"/>
          <w:szCs w:val="15"/>
          <w:color w:val="auto"/>
        </w:rPr>
        <w:t>“Scheduled service” means transportation of passengers on flights we operate in and out of airports on a schedule of routes and flight times we provide for general sale.</w:t>
      </w:r>
    </w:p>
    <w:p>
      <w:pPr>
        <w:spacing w:after="0" w:line="93"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“Scheduled service revenue” consists of base fares, unused and expired passenger credits and other expired travel credits for scheduled service.</w:t>
      </w:r>
    </w:p>
    <w:p>
      <w:pPr>
        <w:spacing w:after="0" w:line="9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color w:val="auto"/>
        </w:rPr>
        <w:t>stage length and then to adjust CASM, PRASM and TRASM appropriately. Stage-length adjusted comparisons are achieved by multiplying the base metric by a quotient, the numerator of which is the square root of the carrier’s stage 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106"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“TRASM” or “unit revenue” means total revenue divided by total ASMs. Starting in 2020, we exclude cargo revenue from total revenue as the freighters we operate under the ATSA do not contribute to our ASMs. When TRASM is referenced or presented for other airlines, it has been adjusted to our average stage length for the period presented.</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“TSA” means the United States Transportation Security Administration.</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“TWU” means the Transport Workers Union, the union representing our dispatchers.</w:t>
      </w:r>
    </w:p>
    <w:p>
      <w:pPr>
        <w:spacing w:after="0" w:line="124"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“ULCC” means ultra low-cost carrier and includes Allegiant Travel Company, Frontier Airlines and Spirit Airlines.</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“VFR” means visiting friends and relatives.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PROSPECTUS SUMMARY</w:t>
      </w:r>
    </w:p>
    <w:p>
      <w:pPr>
        <w:spacing w:after="0" w:line="128" w:lineRule="exact"/>
        <w:rPr>
          <w:sz w:val="20"/>
          <w:szCs w:val="20"/>
          <w:color w:val="auto"/>
        </w:rPr>
      </w:pPr>
    </w:p>
    <w:p>
      <w:pPr>
        <w:ind w:left="1180" w:right="1179" w:firstLine="293"/>
        <w:spacing w:after="0" w:line="233" w:lineRule="auto"/>
        <w:rPr>
          <w:sz w:val="20"/>
          <w:szCs w:val="20"/>
          <w:color w:val="auto"/>
        </w:rPr>
      </w:pPr>
      <w:r>
        <w:rPr>
          <w:rFonts w:ascii="Arial" w:cs="Arial" w:eastAsia="Arial" w:hAnsi="Arial"/>
          <w:sz w:val="15"/>
          <w:szCs w:val="15"/>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terms used in this prospectus, see “Glossary of Terms” beginning on page iii.</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Overview</w:t>
      </w:r>
    </w:p>
    <w:p>
      <w:pPr>
        <w:spacing w:after="0" w:line="117" w:lineRule="exact"/>
        <w:rPr>
          <w:sz w:val="20"/>
          <w:szCs w:val="20"/>
          <w:color w:val="auto"/>
        </w:rPr>
      </w:pPr>
    </w:p>
    <w:p>
      <w:pPr>
        <w:ind w:left="1180" w:right="115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24"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101" w:lineRule="exact"/>
        <w:rPr>
          <w:sz w:val="20"/>
          <w:szCs w:val="20"/>
          <w:color w:val="auto"/>
        </w:rPr>
      </w:pPr>
    </w:p>
    <w:p>
      <w:pPr>
        <w:ind w:left="1180" w:right="1199" w:firstLine="293"/>
        <w:spacing w:after="0" w:line="287" w:lineRule="auto"/>
        <w:rPr>
          <w:sz w:val="20"/>
          <w:szCs w:val="20"/>
          <w:color w:val="auto"/>
        </w:rPr>
      </w:pPr>
      <w:r>
        <w:rPr>
          <w:rFonts w:ascii="Arial" w:cs="Arial" w:eastAsia="Arial" w:hAnsi="Arial"/>
          <w:sz w:val="13"/>
          <w:szCs w:val="13"/>
          <w:b w:val="1"/>
          <w:bCs w:val="1"/>
          <w:i w:val="1"/>
          <w:iCs w:val="1"/>
          <w:color w:val="auto"/>
        </w:rPr>
        <w:t xml:space="preserve">Charter. </w:t>
      </w:r>
      <w:r>
        <w:rPr>
          <w:rFonts w:ascii="Arial" w:cs="Arial" w:eastAsia="Arial" w:hAnsi="Arial"/>
          <w:sz w:val="13"/>
          <w:szCs w:val="13"/>
          <w:color w:val="auto"/>
        </w:rPr>
        <w:t>Our charter business, which is one of the largest narrow body charter operations in the United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0" w:lineRule="exact"/>
        <w:rPr>
          <w:sz w:val="20"/>
          <w:szCs w:val="20"/>
          <w:color w:val="auto"/>
        </w:rPr>
      </w:pPr>
    </w:p>
    <w:p>
      <w:pPr>
        <w:ind w:left="1180" w:right="1299"/>
        <w:spacing w:after="0" w:line="269" w:lineRule="auto"/>
        <w:rPr>
          <w:sz w:val="20"/>
          <w:szCs w:val="20"/>
          <w:color w:val="auto"/>
        </w:rPr>
      </w:pPr>
      <w:r>
        <w:rPr>
          <w:rFonts w:ascii="Arial" w:cs="Arial" w:eastAsia="Arial" w:hAnsi="Arial"/>
          <w:sz w:val="13"/>
          <w:szCs w:val="13"/>
          <w:color w:val="auto"/>
        </w:rPr>
        <w:t>rate escalations. Most of our business is non-cyclical because the U.S. Department of Defense and sports teams still fly during normal economic downturns, and our casino contracts are long -term in nature. Our charter business has proven to be more resilient than our scheduled service business during the COVID-19 induced downturn, with charter revenue having declined less than scheduled service revenue on</w:t>
      </w:r>
    </w:p>
    <w:p>
      <w:pPr>
        <w:spacing w:after="0" w:line="1" w:lineRule="exact"/>
        <w:rPr>
          <w:sz w:val="20"/>
          <w:szCs w:val="20"/>
          <w:color w:val="auto"/>
        </w:rPr>
      </w:pPr>
    </w:p>
    <w:p>
      <w:pPr>
        <w:ind w:left="1180" w:right="1239"/>
        <w:spacing w:after="0" w:line="230" w:lineRule="auto"/>
        <w:rPr>
          <w:sz w:val="20"/>
          <w:szCs w:val="20"/>
          <w:color w:val="auto"/>
        </w:rPr>
      </w:pPr>
      <w:r>
        <w:rPr>
          <w:rFonts w:ascii="Arial" w:cs="Arial" w:eastAsia="Arial" w:hAnsi="Arial"/>
          <w:sz w:val="15"/>
          <w:szCs w:val="15"/>
          <w:color w:val="auto"/>
        </w:rPr>
        <w:t>a percentage basis in 2020 as compared to 2019. Additionally, our charter business complements our seasonal and day-of- 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and into the first quarter of 2021. In the first quarter of 2021, our charter revenues were 32.4% lower when compared to the first quarter of 2019. In comparison, combined U.S. passenger airline revenues were 61.7% lower during the first quarter of 2021 when compared to the first quarter of 2019.</w:t>
      </w:r>
    </w:p>
    <w:p>
      <w:pPr>
        <w:spacing w:after="0" w:line="104" w:lineRule="exact"/>
        <w:rPr>
          <w:sz w:val="20"/>
          <w:szCs w:val="20"/>
          <w:color w:val="auto"/>
        </w:rPr>
      </w:pPr>
    </w:p>
    <w:p>
      <w:pPr>
        <w:ind w:left="1480"/>
        <w:spacing w:after="0"/>
        <w:tabs>
          <w:tab w:leader="none" w:pos="196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On December 13, 2019, we signed a six-year contract (with two, two-year extension options,</w:t>
      </w:r>
    </w:p>
    <w:p>
      <w:pPr>
        <w:ind w:left="1180"/>
        <w:spacing w:after="0" w:line="235" w:lineRule="auto"/>
        <w:rPr>
          <w:sz w:val="20"/>
          <w:szCs w:val="20"/>
          <w:color w:val="auto"/>
        </w:rPr>
      </w:pPr>
      <w:r>
        <w:rPr>
          <w:rFonts w:ascii="Arial" w:cs="Arial" w:eastAsia="Arial" w:hAnsi="Arial"/>
          <w:sz w:val="15"/>
          <w:szCs w:val="15"/>
          <w:color w:val="auto"/>
        </w:rPr>
        <w:t>for a total term of 10 years), which we refer to as the “ATSA,” with Amazon to provide air cargo</w:t>
      </w:r>
    </w:p>
    <w:p>
      <w:pPr>
        <w:ind w:left="1180"/>
        <w:spacing w:after="0"/>
        <w:rPr>
          <w:sz w:val="20"/>
          <w:szCs w:val="20"/>
          <w:color w:val="auto"/>
        </w:rPr>
      </w:pPr>
      <w:r>
        <w:rPr>
          <w:rFonts w:ascii="Arial" w:cs="Arial" w:eastAsia="Arial" w:hAnsi="Arial"/>
          <w:sz w:val="14"/>
          <w:szCs w:val="14"/>
          <w:color w:val="auto"/>
        </w:rPr>
        <w:t>services. Flying under the ATSA began in May 2020 and, as of the date of this prospectus, we are flying 12</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Boeing 737-800 cargo aircraft for Amazon (having been awarded two additional aircraft in October and</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carrier certificate, crew, aircraft line maintenance and insurance, all of which allow us to leverage our</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existing operational expertise from our scheduled service and charter businesses. The ATSA has generated</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growth opportunities by establishing a long-term partnership with Amazon. Our cargo business also enables</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our company. For example, we believe that by deploying pilots across each of our business lines, we</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increase the efficiency of our operations.</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24" w:lineRule="exact"/>
        <w:rPr>
          <w:sz w:val="20"/>
          <w:szCs w:val="20"/>
          <w:color w:val="auto"/>
        </w:rPr>
      </w:pPr>
    </w:p>
    <w:p>
      <w:pPr>
        <w:ind w:left="1180" w:right="1259" w:firstLine="293"/>
        <w:spacing w:after="0" w:line="239"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56" w:lineRule="exact"/>
        <w:rPr>
          <w:sz w:val="20"/>
          <w:szCs w:val="20"/>
          <w:color w:val="auto"/>
        </w:rPr>
      </w:pPr>
    </w:p>
    <w:p>
      <w:pPr>
        <w:ind w:left="1620" w:right="1299" w:hanging="148"/>
        <w:spacing w:after="0" w:line="251"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69" w:lineRule="exact"/>
        <w:rPr>
          <w:rFonts w:ascii="Arial" w:cs="Arial" w:eastAsia="Arial" w:hAnsi="Arial"/>
          <w:sz w:val="15"/>
          <w:szCs w:val="15"/>
          <w:color w:val="auto"/>
        </w:rPr>
      </w:pPr>
    </w:p>
    <w:p>
      <w:pPr>
        <w:ind w:left="1620" w:right="1259" w:hanging="148"/>
        <w:spacing w:after="0" w:line="297" w:lineRule="auto"/>
        <w:tabs>
          <w:tab w:leader="none" w:pos="1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Navitaire,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20" w:right="1199" w:hanging="148"/>
        <w:spacing w:after="0" w:line="25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67" w:lineRule="exact"/>
        <w:rPr>
          <w:rFonts w:ascii="Arial" w:cs="Arial" w:eastAsia="Arial" w:hAnsi="Arial"/>
          <w:sz w:val="15"/>
          <w:szCs w:val="15"/>
          <w:color w:val="auto"/>
        </w:rPr>
      </w:pPr>
    </w:p>
    <w:p>
      <w:pPr>
        <w:ind w:left="1620" w:right="1379" w:hanging="148"/>
        <w:spacing w:after="0" w:line="264"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49" w:lineRule="exact"/>
        <w:rPr>
          <w:rFonts w:ascii="Arial" w:cs="Arial" w:eastAsia="Arial" w:hAnsi="Arial"/>
          <w:sz w:val="15"/>
          <w:szCs w:val="15"/>
          <w:color w:val="auto"/>
        </w:rPr>
      </w:pPr>
    </w:p>
    <w:p>
      <w:pPr>
        <w:ind w:left="1620" w:right="1179" w:hanging="148"/>
        <w:spacing w:after="0" w:line="251"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02" w:lineRule="exact"/>
        <w:rPr>
          <w:sz w:val="20"/>
          <w:szCs w:val="20"/>
          <w:color w:val="auto"/>
        </w:rPr>
      </w:pPr>
    </w:p>
    <w:p>
      <w:pPr>
        <w:ind w:left="1180" w:right="1279" w:firstLine="293"/>
        <w:spacing w:after="0" w:line="283" w:lineRule="auto"/>
        <w:rPr>
          <w:sz w:val="20"/>
          <w:szCs w:val="20"/>
          <w:color w:val="auto"/>
        </w:rPr>
      </w:pPr>
      <w:r>
        <w:rPr>
          <w:rFonts w:ascii="Arial" w:cs="Arial" w:eastAsia="Arial" w:hAnsi="Arial"/>
          <w:sz w:val="14"/>
          <w:szCs w:val="14"/>
          <w:color w:val="auto"/>
        </w:rPr>
        <w:t>While the COVID-19 induced industry downturn impeded our growth in 2020, we believe that these investments have positioned us to profitably grow our business in the long term following a rebound in the</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0" w:lineRule="exact"/>
        <w:rPr>
          <w:sz w:val="20"/>
          <w:szCs w:val="20"/>
          <w:color w:val="auto"/>
        </w:rPr>
      </w:pPr>
    </w:p>
    <w:p>
      <w:pPr>
        <w:ind w:left="1180" w:right="1199"/>
        <w:spacing w:after="0" w:line="248" w:lineRule="auto"/>
        <w:rPr>
          <w:sz w:val="20"/>
          <w:szCs w:val="20"/>
          <w:color w:val="auto"/>
        </w:rPr>
      </w:pPr>
      <w:r>
        <w:rPr>
          <w:rFonts w:ascii="Arial" w:cs="Arial" w:eastAsia="Arial" w:hAnsi="Arial"/>
          <w:sz w:val="15"/>
          <w:szCs w:val="15"/>
          <w:color w:val="auto"/>
        </w:rPr>
        <w:t>U.S. airline industry and that our period of heavy investment in transformative capital spending is behind us for the foreseeable future.</w:t>
      </w:r>
    </w:p>
    <w:p>
      <w:pPr>
        <w:spacing w:after="0" w:line="14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Initial Public Offering, Private Placements and Follow-On Offering</w:t>
      </w:r>
    </w:p>
    <w:p>
      <w:pPr>
        <w:spacing w:after="0" w:line="124" w:lineRule="exact"/>
        <w:rPr>
          <w:sz w:val="20"/>
          <w:szCs w:val="20"/>
          <w:color w:val="auto"/>
        </w:rPr>
      </w:pPr>
    </w:p>
    <w:p>
      <w:pPr>
        <w:ind w:left="1180" w:right="1179" w:firstLine="293"/>
        <w:spacing w:after="0" w:line="251" w:lineRule="auto"/>
        <w:rPr>
          <w:sz w:val="20"/>
          <w:szCs w:val="20"/>
          <w:color w:val="auto"/>
        </w:rPr>
      </w:pPr>
      <w:r>
        <w:rPr>
          <w:rFonts w:ascii="Arial" w:cs="Arial" w:eastAsia="Arial" w:hAnsi="Arial"/>
          <w:sz w:val="14"/>
          <w:szCs w:val="14"/>
          <w:color w:val="auto"/>
        </w:rPr>
        <w:t>On March 19, 2021, we completed our initial public offering (the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have been and will continue to be used for general corporate purposes, including to acquire additional aircraft.</w:t>
      </w:r>
    </w:p>
    <w:p>
      <w:pPr>
        <w:spacing w:after="0" w:line="92" w:lineRule="exact"/>
        <w:rPr>
          <w:sz w:val="20"/>
          <w:szCs w:val="20"/>
          <w:color w:val="auto"/>
        </w:rPr>
      </w:pPr>
    </w:p>
    <w:p>
      <w:pPr>
        <w:ind w:left="1180" w:right="1239" w:firstLine="293"/>
        <w:spacing w:after="0" w:line="249" w:lineRule="auto"/>
        <w:rPr>
          <w:sz w:val="20"/>
          <w:szCs w:val="20"/>
          <w:color w:val="auto"/>
        </w:rPr>
      </w:pPr>
      <w:r>
        <w:rPr>
          <w:rFonts w:ascii="Arial" w:cs="Arial" w:eastAsia="Arial" w:hAnsi="Arial"/>
          <w:sz w:val="14"/>
          <w:szCs w:val="14"/>
          <w:color w:val="auto"/>
        </w:rPr>
        <w:t>Additionally, each of PAR Investment Partners, L.P. (“PAR Capital”) and certain funds or accounts managed by an investment adviser subsidiary of Blackrock, Inc. (such funds and accounts, the “Blackrock Entities”) purchased shares of our common stock from the Apollo Stockholder in private placements that closed on March 19, 2021 concurrently with our initial public offering. The number of shares of common stock purchased by each of PAR Capital and the Blackrock Entities from the Apollo Stockholder was based on an aggregate purchase price of $50.0 million and a price per share equal to 94% of the initial public offering price. Based on the initial public offering price of $24.00 per share of common stock, PAR Capital purchased 2,216,312 shares of common stock from the Apollo Stockholder at a price per share of $22.56 and the Blackrock Entities purchased an aggregate of 2,216,308 shares of common stock from the Apollo Stockholder at a price per share of $22.56.</w:t>
      </w:r>
    </w:p>
    <w:p>
      <w:pPr>
        <w:spacing w:after="0" w:line="88" w:lineRule="exact"/>
        <w:rPr>
          <w:sz w:val="20"/>
          <w:szCs w:val="20"/>
          <w:color w:val="auto"/>
        </w:rPr>
      </w:pPr>
    </w:p>
    <w:p>
      <w:pPr>
        <w:ind w:left="1180" w:right="1499" w:firstLine="293"/>
        <w:spacing w:after="0" w:line="248" w:lineRule="auto"/>
        <w:rPr>
          <w:sz w:val="20"/>
          <w:szCs w:val="20"/>
          <w:color w:val="auto"/>
        </w:rPr>
      </w:pPr>
      <w:r>
        <w:rPr>
          <w:rFonts w:ascii="Arial" w:cs="Arial" w:eastAsia="Arial" w:hAnsi="Arial"/>
          <w:sz w:val="15"/>
          <w:szCs w:val="15"/>
          <w:color w:val="auto"/>
        </w:rPr>
        <w:t>On May 24, 2021, the Apollo Stockholder completed an underwritten public offering of 8,337,500 shares of common stock at a public offering price of $34.50 per share.</w:t>
      </w:r>
    </w:p>
    <w:p>
      <w:pPr>
        <w:spacing w:after="0" w:line="14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24" w:lineRule="exact"/>
        <w:rPr>
          <w:sz w:val="20"/>
          <w:szCs w:val="20"/>
          <w:color w:val="auto"/>
        </w:rPr>
      </w:pPr>
    </w:p>
    <w:p>
      <w:pPr>
        <w:ind w:left="1180" w:right="1199" w:firstLine="293"/>
        <w:spacing w:after="0" w:line="247"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stay-at- 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allowing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105" w:lineRule="exact"/>
        <w:rPr>
          <w:sz w:val="20"/>
          <w:szCs w:val="20"/>
          <w:color w:val="auto"/>
        </w:rPr>
      </w:pPr>
    </w:p>
    <w:p>
      <w:pPr>
        <w:ind w:left="1180" w:right="1199" w:firstLine="293"/>
        <w:spacing w:after="0" w:line="250" w:lineRule="auto"/>
        <w:rPr>
          <w:sz w:val="20"/>
          <w:szCs w:val="20"/>
          <w:color w:val="auto"/>
        </w:rPr>
      </w:pPr>
      <w:r>
        <w:rPr>
          <w:rFonts w:ascii="Arial" w:cs="Arial" w:eastAsia="Arial" w:hAnsi="Arial"/>
          <w:sz w:val="14"/>
          <w:szCs w:val="14"/>
          <w:color w:val="auto"/>
        </w:rPr>
        <w:t>Actions we took during 2020 to mitigate the impact of the COVID- 19 induced downturn preserved more than $152.0 million in liquidity and included: capacity reductions; a company -wide hiring freeze; headcount reductions; voluntary leave programs; reduced advertising expenditures; reduced capital expenditures; and deferred vendor payments. In February 2021, we entered into a new credit agreement (the “Credit Agreement”), which provides for a $25.0 million revolving credit facility (the “Revolving Credit Facility”), which is currently undrawn, and a $90.0 million delayed draw term loan facility (the “Delayed Draw Term Loan Facility” and, together with the Revolving Credit Facility, the “Credit Facilities”) to be used to finance the acquisition of aircraft and engines. Further, we have received grants from the United States Department of the Treasury (“Treasury”) through the Payroll Support Program (the “Payroll Support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0" w:lineRule="exact"/>
        <w:rPr>
          <w:sz w:val="20"/>
          <w:szCs w:val="20"/>
          <w:color w:val="auto"/>
        </w:rPr>
      </w:pPr>
    </w:p>
    <w:p>
      <w:pPr>
        <w:ind w:left="1180" w:right="1239"/>
        <w:spacing w:after="0" w:line="246" w:lineRule="auto"/>
        <w:rPr>
          <w:sz w:val="20"/>
          <w:szCs w:val="20"/>
          <w:color w:val="auto"/>
        </w:rPr>
      </w:pPr>
      <w:r>
        <w:rPr>
          <w:rFonts w:ascii="Arial" w:cs="Arial" w:eastAsia="Arial" w:hAnsi="Arial"/>
          <w:sz w:val="15"/>
          <w:szCs w:val="15"/>
          <w:color w:val="auto"/>
        </w:rPr>
        <w:t>Program”) under the Coronavirus Aid, Relief, and Economic Security Act (the “CARES Act”) and the American Rescue Plan Act of 2021 (“Payroll Support Program 3”), and accepted a loan from Treasury through the CARES Act Loan Program (the “CARES Act Loan”), which has now been repaid in full, without issuing any warrants, unlike nearly all other carriers with whom we compete that received government assistance. We have also maintained our pre-COVID-19 corporate credit ratings throughout the downturn. COVID-19 vaccines have become widely available in the United States with over 330 million doses administered and nearly 50% of the U.S. population fully vacinnated according to the Centers for Disease Control and Prevention (the “CDC”). As vaccines continue to become more widely distributed in 2021, we believe the airline industry will continue to rebound into the back half of 2021 and normalize in 2022. Given our focus on low-cost domestic leisure travel, we believe we are rebounding faster than most other U.S. airlines.</w:t>
      </w:r>
    </w:p>
    <w:p>
      <w:pPr>
        <w:spacing w:after="0" w:line="110" w:lineRule="exact"/>
        <w:rPr>
          <w:sz w:val="20"/>
          <w:szCs w:val="20"/>
          <w:color w:val="auto"/>
        </w:rPr>
      </w:pPr>
    </w:p>
    <w:p>
      <w:pPr>
        <w:ind w:left="1180" w:right="1259" w:firstLine="293"/>
        <w:spacing w:after="0" w:line="248"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Competitive Strengths</w:t>
      </w:r>
    </w:p>
    <w:p>
      <w:pPr>
        <w:spacing w:after="0" w:line="117" w:lineRule="exact"/>
        <w:rPr>
          <w:sz w:val="20"/>
          <w:szCs w:val="20"/>
          <w:color w:val="auto"/>
        </w:rPr>
      </w:pPr>
    </w:p>
    <w:p>
      <w:pPr>
        <w:ind w:left="1180" w:right="1419" w:firstLine="293"/>
        <w:spacing w:after="0" w:line="264"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93" w:lineRule="exact"/>
        <w:rPr>
          <w:sz w:val="20"/>
          <w:szCs w:val="20"/>
          <w:color w:val="auto"/>
        </w:rPr>
      </w:pPr>
    </w:p>
    <w:p>
      <w:pPr>
        <w:ind w:left="1180" w:right="1199" w:firstLine="293"/>
        <w:spacing w:after="0" w:line="290" w:lineRule="auto"/>
        <w:rPr>
          <w:sz w:val="20"/>
          <w:szCs w:val="20"/>
          <w:color w:val="auto"/>
        </w:rPr>
      </w:pPr>
      <w:r>
        <w:rPr>
          <w:rFonts w:ascii="Arial" w:cs="Arial" w:eastAsia="Arial" w:hAnsi="Arial"/>
          <w:sz w:val="13"/>
          <w:szCs w:val="13"/>
          <w:b w:val="1"/>
          <w:bCs w:val="1"/>
          <w:i w:val="1"/>
          <w:iCs w:val="1"/>
          <w:color w:val="auto"/>
        </w:rPr>
        <w:t xml:space="preserve">Diversified and Resilient Business Model. </w:t>
      </w:r>
      <w:r>
        <w:rPr>
          <w:rFonts w:ascii="Arial" w:cs="Arial" w:eastAsia="Arial" w:hAnsi="Arial"/>
          <w:sz w:val="13"/>
          <w:szCs w:val="13"/>
          <w:color w:val="auto"/>
        </w:rPr>
        <w:t>Our diversified business model, which includes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long-term contracts and began flying again in June 2020. Our cargo business exhibited steady growth in 2020 and into the first half of 2021 as flying ramped up and demand remained strong, driven by underlying secular growth in e-commerce.</w:t>
      </w:r>
    </w:p>
    <w:p>
      <w:pPr>
        <w:spacing w:after="0" w:line="82"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b w:val="1"/>
          <w:bCs w:val="1"/>
          <w:i w:val="1"/>
          <w:iCs w:val="1"/>
          <w:color w:val="auto"/>
        </w:rPr>
        <w:t xml:space="preserve">Agile Peak Demand Scheduling Strategy. </w:t>
      </w:r>
      <w:r>
        <w:rPr>
          <w:rFonts w:ascii="Arial" w:cs="Arial" w:eastAsia="Arial" w:hAnsi="Arial"/>
          <w:sz w:val="14"/>
          <w:szCs w:val="14"/>
          <w:color w:val="auto"/>
        </w:rPr>
        <w:t>We flex our capacity by day of the week, month of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line of business to capture what we believe are the most profitable flying opportunities available from both our Minneapolis-St. Paul home market, or MSP,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80" w:right="1159" w:firstLine="293"/>
        <w:spacing w:after="0" w:line="266"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83" w:lineRule="exact"/>
        <w:rPr>
          <w:sz w:val="20"/>
          <w:szCs w:val="20"/>
          <w:color w:val="auto"/>
        </w:rPr>
      </w:pPr>
    </w:p>
    <w:p>
      <w:pPr>
        <w:ind w:left="1180" w:right="1219" w:firstLine="293"/>
        <w:spacing w:after="0" w:line="264" w:lineRule="auto"/>
        <w:rPr>
          <w:sz w:val="20"/>
          <w:szCs w:val="20"/>
          <w:color w:val="auto"/>
        </w:rPr>
      </w:pPr>
      <w:r>
        <w:rPr>
          <w:rFonts w:ascii="Arial" w:cs="Arial" w:eastAsia="Arial" w:hAnsi="Arial"/>
          <w:sz w:val="14"/>
          <w:szCs w:val="14"/>
          <w:b w:val="1"/>
          <w:bCs w:val="1"/>
          <w:i w:val="1"/>
          <w:iCs w:val="1"/>
          <w:color w:val="auto"/>
        </w:rPr>
        <w:t xml:space="preserve">Tactical Mid-Life Fleet with Flexible Operations. </w:t>
      </w:r>
      <w:r>
        <w:rPr>
          <w:rFonts w:ascii="Arial" w:cs="Arial" w:eastAsia="Arial" w:hAnsi="Arial"/>
          <w:sz w:val="14"/>
          <w:szCs w:val="14"/>
          <w:color w:val="auto"/>
        </w:rPr>
        <w:t>We maintain low aircraft ownership costs by acquiring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00" w:lineRule="exact"/>
        <w:rPr>
          <w:sz w:val="20"/>
          <w:szCs w:val="20"/>
          <w:color w:val="auto"/>
        </w:rPr>
      </w:pPr>
    </w:p>
    <w:p>
      <w:pPr>
        <w:jc w:val="both"/>
        <w:ind w:left="1180" w:right="1179" w:firstLine="293"/>
        <w:spacing w:after="0" w:line="311" w:lineRule="auto"/>
        <w:rPr>
          <w:sz w:val="20"/>
          <w:szCs w:val="20"/>
          <w:color w:val="auto"/>
        </w:rPr>
      </w:pPr>
      <w:r>
        <w:rPr>
          <w:rFonts w:ascii="Arial" w:cs="Arial" w:eastAsia="Arial" w:hAnsi="Arial"/>
          <w:sz w:val="13"/>
          <w:szCs w:val="13"/>
          <w:b w:val="1"/>
          <w:bCs w:val="1"/>
          <w:i w:val="1"/>
          <w:iCs w:val="1"/>
          <w:color w:val="auto"/>
        </w:rPr>
        <w:t xml:space="preserve">Superior Low-Cost Product and Brand. </w:t>
      </w:r>
      <w:r>
        <w:rPr>
          <w:rFonts w:ascii="Arial" w:cs="Arial" w:eastAsia="Arial" w:hAnsi="Arial"/>
          <w:sz w:val="13"/>
          <w:szCs w:val="13"/>
          <w:color w:val="auto"/>
        </w:rPr>
        <w:t>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577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91355" cy="6577330"/>
                    </a:xfrm>
                    <a:prstGeom prst="rect">
                      <a:avLst/>
                    </a:prstGeom>
                    <a:noFill/>
                  </pic:spPr>
                </pic:pic>
              </a:graphicData>
            </a:graphic>
          </wp:anchor>
        </w:drawing>
      </w:r>
    </w:p>
    <w:p>
      <w:pPr>
        <w:spacing w:after="0" w:line="240" w:lineRule="exact"/>
        <w:rPr>
          <w:sz w:val="20"/>
          <w:szCs w:val="20"/>
          <w:color w:val="auto"/>
        </w:rPr>
      </w:pPr>
    </w:p>
    <w:p>
      <w:pPr>
        <w:ind w:left="1620" w:right="1159" w:hanging="148"/>
        <w:spacing w:after="0" w:line="247" w:lineRule="auto"/>
        <w:tabs>
          <w:tab w:leader="none" w:pos="162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Our Cabin Experience</w:t>
      </w:r>
      <w:r>
        <w:rPr>
          <w:rFonts w:ascii="Arial" w:cs="Arial" w:eastAsia="Arial" w:hAnsi="Arial"/>
          <w:sz w:val="15"/>
          <w:szCs w:val="15"/>
          <w:color w:val="auto"/>
        </w:rPr>
        <w:t>. 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86" w:lineRule="exact"/>
        <w:rPr>
          <w:rFonts w:ascii="Arial" w:cs="Arial" w:eastAsia="Arial" w:hAnsi="Arial"/>
          <w:sz w:val="15"/>
          <w:szCs w:val="15"/>
          <w:color w:val="auto"/>
        </w:rPr>
      </w:pPr>
    </w:p>
    <w:p>
      <w:pPr>
        <w:ind w:left="1620" w:right="1159" w:hanging="148"/>
        <w:spacing w:after="0" w:line="264" w:lineRule="auto"/>
        <w:tabs>
          <w:tab w:leader="none" w:pos="16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Our Digital Experience</w:t>
      </w:r>
      <w:r>
        <w:rPr>
          <w:rFonts w:ascii="Arial" w:cs="Arial" w:eastAsia="Arial" w:hAnsi="Arial"/>
          <w:sz w:val="14"/>
          <w:szCs w:val="14"/>
          <w:color w:val="auto"/>
        </w:rPr>
        <w:t>. 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We overhauled our passenger service system in 2019 and transitioned to Navitaire, the premier passenger service system in the United States. Navitaire has decreased our overall website session length, decreased the percentage of failures to complete a transaction after accessing our website on a mobile device and increased the percentage of visits to our website that result in an airfare purchase. The transition to Navitaire has been one of the most important initiatives in improving the Sun Country customer experience, making our website booking more seamless, allowing us to create a large customer database and supporting ancillary revenue growth. Beyond Navitaire, we have improved the check-in experience for customers by providing access to web-check in across the system and access to kiosks in our main hub location of MSP. Since the Navitaire transition, 72% of our Minneapolis originating passengers have checked in either online or at a kiosk. System wide over 67% of our passengers have checked in electronically. These tools increase the chances that the passenger can skip the check in counter, which we believe improves our customers’ experience while also reducing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1199" w:firstLine="293"/>
        <w:spacing w:after="0" w:line="289" w:lineRule="auto"/>
        <w:rPr>
          <w:sz w:val="20"/>
          <w:szCs w:val="20"/>
          <w:color w:val="auto"/>
        </w:rPr>
      </w:pPr>
      <w:r>
        <w:rPr>
          <w:rFonts w:ascii="Arial" w:cs="Arial" w:eastAsia="Arial" w:hAnsi="Arial"/>
          <w:sz w:val="13"/>
          <w:szCs w:val="13"/>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0" w:lineRule="exact"/>
        <w:rPr>
          <w:sz w:val="20"/>
          <w:szCs w:val="20"/>
          <w:color w:val="auto"/>
        </w:rPr>
      </w:pPr>
    </w:p>
    <w:p>
      <w:pPr>
        <w:ind w:left="1180" w:right="1299"/>
        <w:spacing w:after="0" w:line="239" w:lineRule="auto"/>
        <w:rPr>
          <w:sz w:val="20"/>
          <w:szCs w:val="20"/>
          <w:color w:val="auto"/>
        </w:rPr>
      </w:pPr>
      <w:r>
        <w:rPr>
          <w:rFonts w:ascii="Arial" w:cs="Arial" w:eastAsia="Arial" w:hAnsi="Arial"/>
          <w:sz w:val="15"/>
          <w:szCs w:val="15"/>
          <w:color w:val="auto"/>
        </w:rPr>
        <w:t>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00" w:lineRule="exact"/>
        <w:rPr>
          <w:sz w:val="20"/>
          <w:szCs w:val="20"/>
          <w:color w:val="auto"/>
        </w:rPr>
      </w:pPr>
    </w:p>
    <w:p>
      <w:pPr>
        <w:ind w:left="1180" w:right="1179" w:firstLine="293"/>
        <w:spacing w:after="0" w:line="249" w:lineRule="auto"/>
        <w:rPr>
          <w:sz w:val="20"/>
          <w:szCs w:val="20"/>
          <w:color w:val="auto"/>
        </w:rPr>
      </w:pPr>
      <w:r>
        <w:rPr>
          <w:rFonts w:ascii="Arial" w:cs="Arial" w:eastAsia="Arial" w:hAnsi="Arial"/>
          <w:sz w:val="14"/>
          <w:szCs w:val="14"/>
          <w:b w:val="1"/>
          <w:bCs w:val="1"/>
          <w:i w:val="1"/>
          <w:iCs w:val="1"/>
          <w:color w:val="auto"/>
        </w:rPr>
        <w:t xml:space="preserve">Competitive Low Cost Structure. </w:t>
      </w:r>
      <w:r>
        <w:rPr>
          <w:rFonts w:ascii="Arial" w:cs="Arial" w:eastAsia="Arial" w:hAnsi="Arial"/>
          <w:sz w:val="14"/>
          <w:szCs w:val="14"/>
          <w:color w:val="auto"/>
        </w:rPr>
        <w:t>Our CASM declined from 10.09 cents for the year ended December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and for the three months ended March 31, 2021 of 7.46 cents and 6.15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94" w:lineRule="exact"/>
        <w:rPr>
          <w:sz w:val="20"/>
          <w:szCs w:val="20"/>
          <w:color w:val="auto"/>
        </w:rPr>
      </w:pPr>
    </w:p>
    <w:p>
      <w:pPr>
        <w:ind w:left="1180" w:right="1179" w:firstLine="293"/>
        <w:spacing w:after="0" w:line="247"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 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 -liked.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94" w:lineRule="exact"/>
        <w:rPr>
          <w:sz w:val="20"/>
          <w:szCs w:val="20"/>
          <w:color w:val="auto"/>
        </w:rPr>
      </w:pPr>
    </w:p>
    <w:p>
      <w:pPr>
        <w:ind w:left="1180" w:right="1199" w:firstLine="293"/>
        <w:spacing w:after="0" w:line="268"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17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Growth Strategy</w:t>
      </w:r>
    </w:p>
    <w:p>
      <w:pPr>
        <w:spacing w:after="0" w:line="128" w:lineRule="exact"/>
        <w:rPr>
          <w:sz w:val="20"/>
          <w:szCs w:val="20"/>
          <w:color w:val="auto"/>
        </w:rPr>
      </w:pPr>
    </w:p>
    <w:p>
      <w:pPr>
        <w:jc w:val="both"/>
        <w:ind w:left="1180" w:right="1559" w:firstLine="293"/>
        <w:spacing w:after="0" w:line="254"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68" w:lineRule="exact"/>
        <w:rPr>
          <w:sz w:val="20"/>
          <w:szCs w:val="20"/>
          <w:color w:val="auto"/>
        </w:rPr>
      </w:pPr>
    </w:p>
    <w:p>
      <w:pPr>
        <w:ind w:left="1620" w:right="1299" w:hanging="148"/>
        <w:spacing w:after="0" w:line="251"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Network. </w:t>
      </w:r>
      <w:r>
        <w:rPr>
          <w:rFonts w:ascii="Arial" w:cs="Arial" w:eastAsia="Arial" w:hAnsi="Arial"/>
          <w:sz w:val="15"/>
          <w:szCs w:val="15"/>
          <w:color w:val="auto"/>
        </w:rPr>
        <w:t>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Since the start of 2021, we have announced 35 new markets. Our network strategy is expected to support passenger fleet growth to approximately 50 aircraft by the end of 2023.</w:t>
      </w:r>
    </w:p>
    <w:p>
      <w:pPr>
        <w:spacing w:after="0" w:line="69" w:lineRule="exact"/>
        <w:rPr>
          <w:rFonts w:ascii="Arial" w:cs="Arial" w:eastAsia="Arial" w:hAnsi="Arial"/>
          <w:sz w:val="15"/>
          <w:szCs w:val="15"/>
          <w:color w:val="auto"/>
        </w:rPr>
      </w:pPr>
    </w:p>
    <w:p>
      <w:pPr>
        <w:ind w:left="1620" w:right="1339" w:hanging="148"/>
        <w:spacing w:after="0" w:line="251"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Fleet. </w:t>
      </w:r>
      <w:r>
        <w:rPr>
          <w:rFonts w:ascii="Arial" w:cs="Arial" w:eastAsia="Arial" w:hAnsi="Arial"/>
          <w:sz w:val="15"/>
          <w:szCs w:val="15"/>
          <w:color w:val="auto"/>
        </w:rPr>
        <w:t>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0" w:lineRule="exact"/>
        <w:rPr>
          <w:sz w:val="20"/>
          <w:szCs w:val="20"/>
          <w:color w:val="auto"/>
        </w:rPr>
      </w:pPr>
    </w:p>
    <w:p>
      <w:pPr>
        <w:ind w:left="1620" w:right="1239" w:hanging="148"/>
        <w:spacing w:after="0" w:line="254"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Customer. </w:t>
      </w:r>
      <w:r>
        <w:rPr>
          <w:rFonts w:ascii="Arial" w:cs="Arial" w:eastAsia="Arial" w:hAnsi="Arial"/>
          <w:sz w:val="15"/>
          <w:szCs w:val="15"/>
          <w:color w:val="auto"/>
        </w:rPr>
        <w:t>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67" w:lineRule="exact"/>
        <w:rPr>
          <w:rFonts w:ascii="Arial" w:cs="Arial" w:eastAsia="Arial" w:hAnsi="Arial"/>
          <w:sz w:val="15"/>
          <w:szCs w:val="15"/>
          <w:color w:val="auto"/>
        </w:rPr>
      </w:pPr>
    </w:p>
    <w:p>
      <w:pPr>
        <w:ind w:left="1620" w:right="1219" w:hanging="148"/>
        <w:spacing w:after="0" w:line="264"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Culture. </w:t>
      </w:r>
      <w:r>
        <w:rPr>
          <w:rFonts w:ascii="Arial" w:cs="Arial" w:eastAsia="Arial" w:hAnsi="Arial"/>
          <w:sz w:val="15"/>
          <w:szCs w:val="15"/>
          <w:color w:val="auto"/>
        </w:rPr>
        <w:t>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60" w:lineRule="exact"/>
        <w:rPr>
          <w:rFonts w:ascii="Arial" w:cs="Arial" w:eastAsia="Arial" w:hAnsi="Arial"/>
          <w:sz w:val="15"/>
          <w:szCs w:val="15"/>
          <w:color w:val="auto"/>
        </w:rPr>
      </w:pPr>
    </w:p>
    <w:p>
      <w:pPr>
        <w:ind w:left="1620" w:right="1799" w:hanging="148"/>
        <w:spacing w:after="0" w:line="264" w:lineRule="auto"/>
        <w:tabs>
          <w:tab w:leader="none" w:pos="16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Operations. </w:t>
      </w:r>
      <w:r>
        <w:rPr>
          <w:rFonts w:ascii="Arial" w:cs="Arial" w:eastAsia="Arial" w:hAnsi="Arial"/>
          <w:sz w:val="15"/>
          <w:szCs w:val="15"/>
          <w:color w:val="auto"/>
        </w:rPr>
        <w:t>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93" w:lineRule="exact"/>
        <w:rPr>
          <w:sz w:val="20"/>
          <w:szCs w:val="20"/>
          <w:color w:val="auto"/>
        </w:rPr>
      </w:pPr>
    </w:p>
    <w:p>
      <w:pPr>
        <w:ind w:left="1180" w:right="1619" w:firstLine="293"/>
        <w:spacing w:after="0" w:line="248"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83" w:lineRule="exact"/>
        <w:rPr>
          <w:sz w:val="20"/>
          <w:szCs w:val="20"/>
          <w:color w:val="auto"/>
        </w:rPr>
      </w:pPr>
    </w:p>
    <w:p>
      <w:pPr>
        <w:ind w:left="1180" w:right="1239" w:firstLine="293"/>
        <w:spacing w:after="0" w:line="251"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 -19 levels. In previous economic downturns, leisure and VFR travelers have also been the first to return to flying at normalized levels.</w:t>
      </w:r>
    </w:p>
    <w:p>
      <w:pPr>
        <w:spacing w:after="0" w:line="92" w:lineRule="exact"/>
        <w:rPr>
          <w:sz w:val="20"/>
          <w:szCs w:val="20"/>
          <w:color w:val="auto"/>
        </w:rPr>
      </w:pPr>
    </w:p>
    <w:p>
      <w:pPr>
        <w:ind w:left="1180" w:right="1219" w:firstLine="293"/>
        <w:spacing w:after="0" w:line="255" w:lineRule="auto"/>
        <w:rPr>
          <w:sz w:val="20"/>
          <w:szCs w:val="20"/>
          <w:color w:val="auto"/>
        </w:rPr>
      </w:pPr>
      <w:r>
        <w:rPr>
          <w:rFonts w:ascii="Arial" w:cs="Arial" w:eastAsia="Arial" w:hAnsi="Arial"/>
          <w:sz w:val="14"/>
          <w:szCs w:val="14"/>
          <w:b w:val="1"/>
          <w:bCs w:val="1"/>
          <w:i w:val="1"/>
          <w:iCs w:val="1"/>
          <w:color w:val="auto"/>
        </w:rPr>
        <w:t xml:space="preserve">Grow Our Cargo Business. </w:t>
      </w:r>
      <w:r>
        <w:rPr>
          <w:rFonts w:ascii="Arial" w:cs="Arial" w:eastAsia="Arial" w:hAnsi="Arial"/>
          <w:sz w:val="14"/>
          <w:szCs w:val="14"/>
          <w:color w:val="auto"/>
        </w:rPr>
        <w:t>In December 2019, we signed the ATSA with Amazon to provide air cargo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90" w:lineRule="exact"/>
        <w:rPr>
          <w:sz w:val="20"/>
          <w:szCs w:val="20"/>
          <w:color w:val="auto"/>
        </w:rPr>
      </w:pPr>
    </w:p>
    <w:p>
      <w:pPr>
        <w:ind w:left="118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 -of -the-week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 -term reduction in our unit costs has expanded the number of markets that we can profitably serve. We have a successful history of opening and closing stations quickly to meet seasonal demand, which we believe will benefit us in re-opening markets we closed during the COVID -19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90"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 friendly low fares have been well received in the upper Midwest and in large, fragmented markets elsewhere that we can profitably serve on a seasonal and/or day-of -week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96" w:lineRule="exact"/>
        <w:rPr>
          <w:sz w:val="20"/>
          <w:szCs w:val="20"/>
          <w:color w:val="auto"/>
        </w:rPr>
      </w:pPr>
    </w:p>
    <w:p>
      <w:pPr>
        <w:ind w:left="1180" w:right="1199" w:firstLine="293"/>
        <w:spacing w:after="0" w:line="274" w:lineRule="auto"/>
        <w:rPr>
          <w:sz w:val="20"/>
          <w:szCs w:val="20"/>
          <w:color w:val="auto"/>
        </w:rPr>
      </w:pPr>
      <w:r>
        <w:rPr>
          <w:rFonts w:ascii="Arial" w:cs="Arial" w:eastAsia="Arial" w:hAnsi="Arial"/>
          <w:sz w:val="13"/>
          <w:szCs w:val="13"/>
          <w:b w:val="1"/>
          <w:bCs w:val="1"/>
          <w:i w:val="1"/>
          <w:iCs w:val="1"/>
          <w:color w:val="auto"/>
        </w:rPr>
        <w:t xml:space="preserve">Continue to Increase Our Margins and Free Cash Flow. </w:t>
      </w:r>
      <w:r>
        <w:rPr>
          <w:rFonts w:ascii="Arial" w:cs="Arial" w:eastAsia="Arial" w:hAnsi="Arial"/>
          <w:sz w:val="13"/>
          <w:szCs w:val="13"/>
          <w:color w:val="auto"/>
        </w:rPr>
        <w:t>From December 31, 2017 through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we reduced our CASM from 10.09 cents to 8.82 cents and our Adjusted CASM from 7.80 cents to</w:t>
      </w:r>
    </w:p>
    <w:p>
      <w:pPr>
        <w:ind w:left="1180" w:right="1179"/>
        <w:spacing w:after="0" w:line="255" w:lineRule="auto"/>
        <w:rPr>
          <w:sz w:val="20"/>
          <w:szCs w:val="20"/>
          <w:color w:val="auto"/>
        </w:rPr>
      </w:pPr>
      <w:r>
        <w:rPr>
          <w:rFonts w:ascii="Arial" w:cs="Arial" w:eastAsia="Arial" w:hAnsi="Arial"/>
          <w:sz w:val="14"/>
          <w:szCs w:val="14"/>
          <w:color w:val="auto"/>
        </w:rPr>
        <w:t>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0" w:lineRule="exact"/>
        <w:rPr>
          <w:sz w:val="20"/>
          <w:szCs w:val="20"/>
          <w:color w:val="auto"/>
        </w:rPr>
      </w:pPr>
    </w:p>
    <w:p>
      <w:pPr>
        <w:ind w:left="1180" w:right="1179"/>
        <w:spacing w:after="0" w:line="274" w:lineRule="auto"/>
        <w:rPr>
          <w:sz w:val="20"/>
          <w:szCs w:val="20"/>
          <w:color w:val="auto"/>
        </w:rPr>
      </w:pPr>
      <w:r>
        <w:rPr>
          <w:rFonts w:ascii="Arial" w:cs="Arial" w:eastAsia="Arial" w:hAnsi="Arial"/>
          <w:sz w:val="13"/>
          <w:szCs w:val="13"/>
          <w:color w:val="auto"/>
        </w:rPr>
        <w:t>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Route Network</w:t>
      </w:r>
    </w:p>
    <w:p>
      <w:pPr>
        <w:spacing w:after="0" w:line="128" w:lineRule="exact"/>
        <w:rPr>
          <w:sz w:val="20"/>
          <w:szCs w:val="20"/>
          <w:color w:val="auto"/>
        </w:rPr>
      </w:pPr>
    </w:p>
    <w:p>
      <w:pPr>
        <w:ind w:left="1180" w:right="1199" w:firstLine="293"/>
        <w:spacing w:after="0" w:line="239" w:lineRule="auto"/>
        <w:rPr>
          <w:sz w:val="20"/>
          <w:szCs w:val="20"/>
          <w:color w:val="auto"/>
        </w:rPr>
      </w:pPr>
      <w:r>
        <w:rPr>
          <w:rFonts w:ascii="Arial" w:cs="Arial" w:eastAsia="Arial" w:hAnsi="Arial"/>
          <w:sz w:val="15"/>
          <w:szCs w:val="15"/>
          <w:color w:val="auto"/>
        </w:rPr>
        <w:t>During the twelve months ended June 30, 2021, we served 61 airports throughout the United States, Mexico, Central America and the Caribbean. In 2020 we operated 10 new routes and we have announced 35 new routes to begin in 2021. The map below represents our current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Risk Factor Summary</w:t>
      </w:r>
    </w:p>
    <w:p>
      <w:pPr>
        <w:spacing w:after="0" w:line="128" w:lineRule="exact"/>
        <w:rPr>
          <w:sz w:val="20"/>
          <w:szCs w:val="20"/>
          <w:color w:val="auto"/>
        </w:rPr>
      </w:pPr>
    </w:p>
    <w:p>
      <w:pPr>
        <w:ind w:left="1180" w:right="1199" w:firstLine="293"/>
        <w:spacing w:after="0" w:line="235" w:lineRule="auto"/>
        <w:rPr>
          <w:sz w:val="20"/>
          <w:szCs w:val="20"/>
          <w:color w:val="auto"/>
        </w:rPr>
      </w:pPr>
      <w:r>
        <w:rPr>
          <w:rFonts w:ascii="Arial" w:cs="Arial" w:eastAsia="Arial" w:hAnsi="Arial"/>
          <w:sz w:val="15"/>
          <w:szCs w:val="15"/>
          <w:color w:val="auto"/>
        </w:rPr>
        <w:t>Participating in this offering involves substantial risk. Our ability to execute our strategy also is subject to certain risks. The risks described under the heading “</w:t>
      </w:r>
      <w:r>
        <w:rPr>
          <w:rFonts w:ascii="Arial" w:cs="Arial" w:eastAsia="Arial" w:hAnsi="Arial"/>
          <w:sz w:val="15"/>
          <w:szCs w:val="15"/>
          <w:i w:val="1"/>
          <w:iCs w:val="1"/>
          <w:color w:val="auto"/>
        </w:rPr>
        <w:t>Risk Factors</w:t>
      </w:r>
      <w:r>
        <w:rPr>
          <w:rFonts w:ascii="Arial" w:cs="Arial" w:eastAsia="Arial" w:hAnsi="Arial"/>
          <w:sz w:val="15"/>
          <w:szCs w:val="15"/>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67" w:lineRule="exact"/>
        <w:rPr>
          <w:sz w:val="20"/>
          <w:szCs w:val="20"/>
          <w:color w:val="auto"/>
        </w:rPr>
      </w:pPr>
    </w:p>
    <w:p>
      <w:pPr>
        <w:ind w:left="1620" w:right="1619" w:hanging="148"/>
        <w:spacing w:after="0" w:line="264" w:lineRule="auto"/>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COVID-19 pandemic and its effects, including related travel restrictions, social distancing measures and decreased demand for air travel;</w:t>
      </w:r>
    </w:p>
    <w:p>
      <w:pPr>
        <w:spacing w:after="0" w:line="49" w:lineRule="exact"/>
        <w:rPr>
          <w:rFonts w:ascii="Arial" w:cs="Arial" w:eastAsia="Arial" w:hAnsi="Arial"/>
          <w:sz w:val="15"/>
          <w:szCs w:val="15"/>
          <w:color w:val="auto"/>
        </w:rPr>
      </w:pPr>
    </w:p>
    <w:p>
      <w:pPr>
        <w:ind w:left="1620" w:right="1239" w:hanging="148"/>
        <w:spacing w:after="0" w:line="281" w:lineRule="auto"/>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w:t>
      </w:r>
    </w:p>
    <w:p>
      <w:pPr>
        <w:spacing w:after="0" w:line="49" w:lineRule="exact"/>
        <w:rPr>
          <w:rFonts w:ascii="Arial" w:cs="Arial" w:eastAsia="Arial" w:hAnsi="Arial"/>
          <w:sz w:val="14"/>
          <w:szCs w:val="14"/>
          <w:color w:val="auto"/>
        </w:rPr>
      </w:pPr>
    </w:p>
    <w:p>
      <w:pPr>
        <w:ind w:left="1620" w:hanging="148"/>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changes in economic conditions;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price and availability of aircraft fuel and our ability to control other costs;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threatened or actual terrorist attacks or security concerns;</w:t>
      </w:r>
    </w:p>
    <w:p>
      <w:pPr>
        <w:spacing w:after="0" w:line="91" w:lineRule="exact"/>
        <w:rPr>
          <w:rFonts w:ascii="Arial" w:cs="Arial" w:eastAsia="Arial" w:hAnsi="Arial"/>
          <w:sz w:val="15"/>
          <w:szCs w:val="15"/>
          <w:color w:val="auto"/>
        </w:rPr>
      </w:pPr>
    </w:p>
    <w:p>
      <w:pPr>
        <w:ind w:left="1620" w:hanging="148"/>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ability to operate in an exceedingly competitive industry;</w:t>
      </w:r>
    </w:p>
    <w:p>
      <w:pPr>
        <w:spacing w:after="0" w:line="91" w:lineRule="exact"/>
        <w:rPr>
          <w:rFonts w:ascii="Arial" w:cs="Arial" w:eastAsia="Arial" w:hAnsi="Arial"/>
          <w:sz w:val="15"/>
          <w:szCs w:val="15"/>
          <w:color w:val="auto"/>
        </w:rPr>
      </w:pPr>
    </w:p>
    <w:p>
      <w:pPr>
        <w:ind w:left="1620" w:right="1459" w:hanging="148"/>
        <w:spacing w:after="0" w:line="300" w:lineRule="auto"/>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factors beyond our control, including air traffic congestion, adverse weather, federal government shutdowns, aircraft-type groundings, increased security measures or disease outbreaks;</w:t>
      </w:r>
    </w:p>
    <w:p>
      <w:pPr>
        <w:spacing w:after="0" w:line="36" w:lineRule="exact"/>
        <w:rPr>
          <w:rFonts w:ascii="Arial" w:cs="Arial" w:eastAsia="Arial" w:hAnsi="Arial"/>
          <w:sz w:val="14"/>
          <w:szCs w:val="14"/>
          <w:color w:val="auto"/>
        </w:rPr>
      </w:pPr>
    </w:p>
    <w:p>
      <w:pPr>
        <w:ind w:left="1620" w:hanging="148"/>
        <w:spacing w:after="0"/>
        <w:tabs>
          <w:tab w:leader="none" w:pos="1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ability to realize the anticipated strategic and financial benefits of the ATSA with Amazon;</w:t>
      </w:r>
    </w:p>
    <w:p>
      <w:pPr>
        <w:spacing w:after="0" w:line="80" w:lineRule="exact"/>
        <w:rPr>
          <w:rFonts w:ascii="Arial" w:cs="Arial" w:eastAsia="Arial" w:hAnsi="Arial"/>
          <w:sz w:val="15"/>
          <w:szCs w:val="15"/>
          <w:color w:val="auto"/>
        </w:rPr>
      </w:pPr>
    </w:p>
    <w:p>
      <w:pPr>
        <w:ind w:left="1620" w:hanging="148"/>
        <w:spacing w:after="0"/>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restrictions on or increased taxes applicable to charges for ancillary products and services; or</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507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91355" cy="6507480"/>
                    </a:xfrm>
                    <a:prstGeom prst="rect">
                      <a:avLst/>
                    </a:prstGeom>
                    <a:noFill/>
                  </pic:spPr>
                </pic:pic>
              </a:graphicData>
            </a:graphic>
          </wp:anchor>
        </w:drawing>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our concentration in the Minneapolis-St. Paul market.</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Our Sponsor</w:t>
      </w:r>
    </w:p>
    <w:p>
      <w:pPr>
        <w:spacing w:after="0" w:line="128" w:lineRule="exact"/>
        <w:rPr>
          <w:sz w:val="20"/>
          <w:szCs w:val="20"/>
          <w:color w:val="auto"/>
        </w:rPr>
      </w:pPr>
    </w:p>
    <w:p>
      <w:pPr>
        <w:ind w:left="1180" w:right="1259" w:firstLine="293"/>
        <w:spacing w:after="0" w:line="258" w:lineRule="auto"/>
        <w:rPr>
          <w:sz w:val="20"/>
          <w:szCs w:val="20"/>
          <w:color w:val="auto"/>
        </w:rPr>
      </w:pPr>
      <w:r>
        <w:rPr>
          <w:rFonts w:ascii="Arial" w:cs="Arial" w:eastAsia="Arial" w:hAnsi="Arial"/>
          <w:sz w:val="14"/>
          <w:szCs w:val="14"/>
          <w:color w:val="auto"/>
        </w:rPr>
        <w:t>Founded in 1990, Apollo is a leading global alternative investment manager with offices in New York, Los Angeles, San Diego, Houston, Bethesda, London, Frankfurt, Madrid, Luxembourg, Mumbai, Delhi, Singapore, Hong Kong, Shanghai and Tokyo, among others. Apollo had assets under management of approximately $461 billion as of March 31, 2021 in credit, private equity and real assets funds.</w:t>
      </w:r>
    </w:p>
    <w:p>
      <w:pPr>
        <w:spacing w:after="0" w:line="88" w:lineRule="exact"/>
        <w:rPr>
          <w:sz w:val="20"/>
          <w:szCs w:val="20"/>
          <w:color w:val="auto"/>
        </w:rPr>
      </w:pPr>
    </w:p>
    <w:p>
      <w:pPr>
        <w:ind w:left="1180" w:right="1339" w:firstLine="293"/>
        <w:spacing w:after="0" w:line="253" w:lineRule="auto"/>
        <w:rPr>
          <w:sz w:val="20"/>
          <w:szCs w:val="20"/>
          <w:color w:val="auto"/>
        </w:rPr>
      </w:pPr>
      <w:r>
        <w:rPr>
          <w:rFonts w:ascii="Arial" w:cs="Arial" w:eastAsia="Arial" w:hAnsi="Arial"/>
          <w:sz w:val="14"/>
          <w:szCs w:val="14"/>
          <w:color w:val="auto"/>
        </w:rPr>
        <w:t>Upon the closing of this offering, the Apollo Stockholder will no longer own a majority of the voting power of our outstanding common stock. As a result, we will no longer be a “controlled company” within the meaning of the Nasdaq corporate governance standards and we will be required to comply with additional corporate governance requirements of the Nasdaq rules, subject to the applicable phase- in periods. For further information, see “</w:t>
      </w:r>
      <w:r>
        <w:rPr>
          <w:rFonts w:ascii="Arial" w:cs="Arial" w:eastAsia="Arial" w:hAnsi="Arial"/>
          <w:sz w:val="14"/>
          <w:szCs w:val="14"/>
          <w:i w:val="1"/>
          <w:iCs w:val="1"/>
          <w:color w:val="auto"/>
        </w:rPr>
        <w:t>Risk Factors—Risks Related to this Offering and Ownership of Our</w:t>
      </w:r>
      <w:r>
        <w:rPr>
          <w:rFonts w:ascii="Arial" w:cs="Arial" w:eastAsia="Arial" w:hAnsi="Arial"/>
          <w:sz w:val="14"/>
          <w:szCs w:val="14"/>
          <w:color w:val="auto"/>
        </w:rPr>
        <w:t xml:space="preserve"> </w:t>
      </w:r>
      <w:r>
        <w:rPr>
          <w:rFonts w:ascii="Arial" w:cs="Arial" w:eastAsia="Arial" w:hAnsi="Arial"/>
          <w:sz w:val="14"/>
          <w:szCs w:val="14"/>
          <w:i w:val="1"/>
          <w:iCs w:val="1"/>
          <w:color w:val="auto"/>
        </w:rPr>
        <w:t>Common Stock</w:t>
      </w:r>
      <w:r>
        <w:rPr>
          <w:rFonts w:ascii="Arial" w:cs="Arial" w:eastAsia="Arial" w:hAnsi="Arial"/>
          <w:sz w:val="14"/>
          <w:szCs w:val="14"/>
          <w:color w:val="auto"/>
        </w:rPr>
        <w:t>” and “</w:t>
      </w:r>
      <w:r>
        <w:rPr>
          <w:rFonts w:ascii="Arial" w:cs="Arial" w:eastAsia="Arial" w:hAnsi="Arial"/>
          <w:sz w:val="14"/>
          <w:szCs w:val="14"/>
          <w:i w:val="1"/>
          <w:iCs w:val="1"/>
          <w:color w:val="auto"/>
        </w:rPr>
        <w:t>Management—Loss of Controlled Company Status</w:t>
      </w:r>
      <w:r>
        <w:rPr>
          <w:rFonts w:ascii="Arial" w:cs="Arial" w:eastAsia="Arial" w:hAnsi="Arial"/>
          <w:sz w:val="14"/>
          <w:szCs w:val="14"/>
          <w:color w:val="auto"/>
        </w:rPr>
        <w:t>.”</w:t>
      </w:r>
    </w:p>
    <w:p>
      <w:pPr>
        <w:spacing w:after="0" w:line="80" w:lineRule="exact"/>
        <w:rPr>
          <w:sz w:val="20"/>
          <w:szCs w:val="20"/>
          <w:color w:val="auto"/>
        </w:rPr>
      </w:pPr>
    </w:p>
    <w:p>
      <w:pPr>
        <w:ind w:left="1180" w:right="1239" w:firstLine="293"/>
        <w:spacing w:after="0" w:line="266" w:lineRule="auto"/>
        <w:rPr>
          <w:sz w:val="20"/>
          <w:szCs w:val="20"/>
          <w:color w:val="auto"/>
        </w:rPr>
      </w:pPr>
      <w:r>
        <w:rPr>
          <w:rFonts w:ascii="Arial" w:cs="Arial" w:eastAsia="Arial" w:hAnsi="Arial"/>
          <w:sz w:val="14"/>
          <w:szCs w:val="14"/>
          <w:color w:val="auto"/>
        </w:rPr>
        <w:t>The Apollo Stockholder has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w:t>
      </w:r>
    </w:p>
    <w:p>
      <w:pPr>
        <w:ind w:left="1180" w:right="1599"/>
        <w:spacing w:after="0" w:line="246" w:lineRule="auto"/>
        <w:rPr>
          <w:sz w:val="20"/>
          <w:szCs w:val="20"/>
          <w:color w:val="auto"/>
        </w:rPr>
      </w:pPr>
      <w:r>
        <w:rPr>
          <w:rFonts w:ascii="Arial" w:cs="Arial" w:eastAsia="Arial" w:hAnsi="Arial"/>
          <w:sz w:val="15"/>
          <w:szCs w:val="15"/>
          <w:color w:val="auto"/>
        </w:rPr>
        <w:t>whole number). See “</w:t>
      </w:r>
      <w:r>
        <w:rPr>
          <w:rFonts w:ascii="Arial" w:cs="Arial" w:eastAsia="Arial" w:hAnsi="Arial"/>
          <w:sz w:val="15"/>
          <w:szCs w:val="15"/>
          <w:i w:val="1"/>
          <w:iCs w:val="1"/>
          <w:color w:val="auto"/>
        </w:rPr>
        <w:t>Management—Board Composition</w:t>
      </w:r>
      <w:r>
        <w:rPr>
          <w:rFonts w:ascii="Arial" w:cs="Arial" w:eastAsia="Arial" w:hAnsi="Arial"/>
          <w:sz w:val="15"/>
          <w:szCs w:val="15"/>
          <w:color w:val="auto"/>
        </w:rPr>
        <w:t>,” “</w:t>
      </w:r>
      <w:r>
        <w:rPr>
          <w:rFonts w:ascii="Arial" w:cs="Arial" w:eastAsia="Arial" w:hAnsi="Arial"/>
          <w:sz w:val="15"/>
          <w:szCs w:val="15"/>
          <w:i w:val="1"/>
          <w:iCs w:val="1"/>
          <w:color w:val="auto"/>
        </w:rPr>
        <w:t>Certain Relationships and Related Party</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Transactions—Stockholders Agreement</w:t>
      </w:r>
      <w:r>
        <w:rPr>
          <w:rFonts w:ascii="Arial" w:cs="Arial" w:eastAsia="Arial" w:hAnsi="Arial"/>
          <w:sz w:val="15"/>
          <w:szCs w:val="15"/>
          <w:color w:val="auto"/>
        </w:rPr>
        <w:t>” and “</w:t>
      </w:r>
      <w:r>
        <w:rPr>
          <w:rFonts w:ascii="Arial" w:cs="Arial" w:eastAsia="Arial" w:hAnsi="Arial"/>
          <w:sz w:val="15"/>
          <w:szCs w:val="15"/>
          <w:i w:val="1"/>
          <w:iCs w:val="1"/>
          <w:color w:val="auto"/>
        </w:rPr>
        <w:t>Description of Capital Stock—Composition of Board of Directors; Election and Removal of Directors</w:t>
      </w:r>
      <w:r>
        <w:rPr>
          <w:rFonts w:ascii="Arial" w:cs="Arial" w:eastAsia="Arial" w:hAnsi="Arial"/>
          <w:sz w:val="15"/>
          <w:szCs w:val="15"/>
          <w:color w:val="auto"/>
        </w:rPr>
        <w:t>” for more information.</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28" w:lineRule="exact"/>
        <w:rPr>
          <w:sz w:val="20"/>
          <w:szCs w:val="20"/>
          <w:color w:val="auto"/>
        </w:rPr>
      </w:pPr>
    </w:p>
    <w:p>
      <w:pPr>
        <w:ind w:left="1180" w:right="1299" w:firstLine="293"/>
        <w:spacing w:after="0" w:line="251" w:lineRule="auto"/>
        <w:rPr>
          <w:sz w:val="20"/>
          <w:szCs w:val="20"/>
          <w:color w:val="auto"/>
        </w:rPr>
      </w:pPr>
      <w:r>
        <w:rPr>
          <w:rFonts w:ascii="Arial" w:cs="Arial" w:eastAsia="Arial" w:hAnsi="Arial"/>
          <w:sz w:val="15"/>
          <w:szCs w:val="15"/>
          <w:color w:val="auto"/>
        </w:rPr>
        <w:t>We are an “emerging growth company” as defined in the Jumpstart Our Business Startups Act, or the JOBS Act, enacted in April 2012. As an “emerging growth company,” we may take advantage of specified reduced reporting and other requirements that are otherwise applicable to public companies. These provisions include, among other things:</w:t>
      </w:r>
    </w:p>
    <w:p>
      <w:pPr>
        <w:spacing w:after="0" w:line="69" w:lineRule="exact"/>
        <w:rPr>
          <w:sz w:val="20"/>
          <w:szCs w:val="20"/>
          <w:color w:val="auto"/>
        </w:rPr>
      </w:pPr>
    </w:p>
    <w:p>
      <w:pPr>
        <w:ind w:left="1620" w:right="149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 from the auditor attestation requirement in the assessment on the effectiveness of our internal control over financial reporting;</w:t>
      </w:r>
    </w:p>
    <w:p>
      <w:pPr>
        <w:spacing w:after="0" w:line="60" w:lineRule="exact"/>
        <w:rPr>
          <w:rFonts w:ascii="Arial" w:cs="Arial" w:eastAsia="Arial" w:hAnsi="Arial"/>
          <w:sz w:val="15"/>
          <w:szCs w:val="15"/>
          <w:color w:val="auto"/>
        </w:rPr>
      </w:pPr>
    </w:p>
    <w:p>
      <w:pPr>
        <w:ind w:left="1620" w:right="129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 from new or revised financial accounting standards applicable to public companies until such standards are also applicable to private companies;</w:t>
      </w:r>
    </w:p>
    <w:p>
      <w:pPr>
        <w:spacing w:after="0" w:line="59" w:lineRule="exact"/>
        <w:rPr>
          <w:rFonts w:ascii="Arial" w:cs="Arial" w:eastAsia="Arial" w:hAnsi="Arial"/>
          <w:sz w:val="15"/>
          <w:szCs w:val="15"/>
          <w:color w:val="auto"/>
        </w:rPr>
      </w:pPr>
    </w:p>
    <w:p>
      <w:pPr>
        <w:ind w:left="1620" w:right="1219" w:hanging="148"/>
        <w:spacing w:after="0" w:line="251"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69" w:lineRule="exact"/>
        <w:rPr>
          <w:rFonts w:ascii="Arial" w:cs="Arial" w:eastAsia="Arial" w:hAnsi="Arial"/>
          <w:sz w:val="15"/>
          <w:szCs w:val="15"/>
          <w:color w:val="auto"/>
        </w:rPr>
      </w:pPr>
    </w:p>
    <w:p>
      <w:pPr>
        <w:ind w:left="1620" w:right="1339" w:hanging="148"/>
        <w:spacing w:after="0" w:line="264" w:lineRule="auto"/>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 exemption from the requirement to seek non-binding advisory votes on executive compensation and golden parachute arrangements; and</w:t>
      </w:r>
    </w:p>
    <w:p>
      <w:pPr>
        <w:spacing w:after="0" w:line="59" w:lineRule="exact"/>
        <w:rPr>
          <w:rFonts w:ascii="Arial" w:cs="Arial" w:eastAsia="Arial" w:hAnsi="Arial"/>
          <w:sz w:val="15"/>
          <w:szCs w:val="15"/>
          <w:color w:val="auto"/>
        </w:rPr>
      </w:pPr>
    </w:p>
    <w:p>
      <w:pPr>
        <w:ind w:left="1620" w:hanging="148"/>
        <w:spacing w:after="0"/>
        <w:tabs>
          <w:tab w:leader="none" w:pos="1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reduced disclosure about executive compensation arrangements.</w:t>
      </w:r>
    </w:p>
    <w:p>
      <w:pPr>
        <w:spacing w:after="0" w:line="124" w:lineRule="exact"/>
        <w:rPr>
          <w:sz w:val="20"/>
          <w:szCs w:val="20"/>
          <w:color w:val="auto"/>
        </w:rPr>
      </w:pPr>
    </w:p>
    <w:p>
      <w:pPr>
        <w:ind w:left="1180" w:right="1179" w:firstLine="293"/>
        <w:spacing w:after="0" w:line="267" w:lineRule="auto"/>
        <w:rPr>
          <w:sz w:val="20"/>
          <w:szCs w:val="20"/>
          <w:color w:val="auto"/>
        </w:rPr>
      </w:pPr>
      <w:r>
        <w:rPr>
          <w:rFonts w:ascii="Arial" w:cs="Arial" w:eastAsia="Arial" w:hAnsi="Arial"/>
          <w:sz w:val="14"/>
          <w:szCs w:val="14"/>
          <w:color w:val="auto"/>
        </w:rPr>
        <w:t>We may take advantage of these provisions until the end of the fiscal year ending December 31, 2026 or such earlier time that we are no longer an “emerging growth company.” We will cease to be an “emerging growth company” if we have $1.07 billion or more in total annual gross revenues during our most recently completed fiscal year, if we become a “large accelerated filer,” which requires us to have been a public company for at least 12 months at the end of our most recently completed fiscal year and have the market value of our common stock held by non-affiliates exceeding $700 million as of the last business day of the second quarter of such fiscal year, or as of any date on which we have issued more than $1.0 billion in non-convertible debt over the three-year period to such date.</w:t>
      </w:r>
    </w:p>
    <w:p>
      <w:pPr>
        <w:spacing w:after="0" w:line="83" w:lineRule="exact"/>
        <w:rPr>
          <w:sz w:val="20"/>
          <w:szCs w:val="20"/>
          <w:color w:val="auto"/>
        </w:rPr>
      </w:pPr>
    </w:p>
    <w:p>
      <w:pPr>
        <w:ind w:left="1180" w:right="1199" w:firstLine="293"/>
        <w:spacing w:after="0" w:line="249" w:lineRule="auto"/>
        <w:rPr>
          <w:sz w:val="20"/>
          <w:szCs w:val="20"/>
          <w:color w:val="auto"/>
        </w:rPr>
      </w:pPr>
      <w:r>
        <w:rPr>
          <w:rFonts w:ascii="Arial" w:cs="Arial" w:eastAsia="Arial" w:hAnsi="Arial"/>
          <w:sz w:val="15"/>
          <w:szCs w:val="15"/>
          <w:color w:val="auto"/>
        </w:rPr>
        <w:t>We may choose to take advantage of some, but not all, of these reduced burdens. For example, we have taken advantage of the reduced reporting requirement with respect to disclosure regarding our executive compensation arrangements and expect to take advantage of the exemption from the auditor attestation requirement in the assessment on the effectiveness of our internal control over financial reporting. In addition,</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0" w:lineRule="exact"/>
        <w:rPr>
          <w:sz w:val="20"/>
          <w:szCs w:val="20"/>
          <w:color w:val="auto"/>
        </w:rPr>
      </w:pPr>
    </w:p>
    <w:p>
      <w:pPr>
        <w:ind w:left="1180" w:right="1199"/>
        <w:spacing w:after="0" w:line="269" w:lineRule="auto"/>
        <w:rPr>
          <w:sz w:val="20"/>
          <w:szCs w:val="20"/>
          <w:color w:val="auto"/>
        </w:rPr>
      </w:pPr>
      <w:r>
        <w:rPr>
          <w:rFonts w:ascii="Arial" w:cs="Arial" w:eastAsia="Arial" w:hAnsi="Arial"/>
          <w:sz w:val="14"/>
          <w:szCs w:val="14"/>
          <w:color w:val="auto"/>
        </w:rPr>
        <w:t>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2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Reorganization Transactions</w:t>
      </w:r>
    </w:p>
    <w:p>
      <w:pPr>
        <w:spacing w:after="0" w:line="128" w:lineRule="exact"/>
        <w:rPr>
          <w:sz w:val="20"/>
          <w:szCs w:val="20"/>
          <w:color w:val="auto"/>
        </w:rPr>
      </w:pPr>
    </w:p>
    <w:p>
      <w:pPr>
        <w:ind w:left="1180" w:right="1219" w:firstLine="293"/>
        <w:spacing w:after="0" w:line="268" w:lineRule="auto"/>
        <w:rPr>
          <w:sz w:val="20"/>
          <w:szCs w:val="20"/>
          <w:color w:val="auto"/>
        </w:rPr>
      </w:pPr>
      <w:r>
        <w:rPr>
          <w:rFonts w:ascii="Arial" w:cs="Arial" w:eastAsia="Arial" w:hAnsi="Arial"/>
          <w:sz w:val="14"/>
          <w:szCs w:val="14"/>
          <w:color w:val="auto"/>
        </w:rPr>
        <w:t>We were formed in December 2017 as a Delaware limited liability company under the name SCA Acquisition Holdings, LLC in connection with the acquisition by the Apollo Funds. Following the acquisition by the Apollo Funds in April 2018, one of the Apollo Funds beneficially owned 5,326,755 outstanding equity interests of SCA Acquisition Holdings, LLC, which historically were denominated as shares of common stock that we refer to as “SCA common stock,” which represented approximately 78.3% of the outstanding SCA common stock, and another Apollo Fund owned a warrant to purchase an additional 40,005,885 shares of SCA common stock at an exercise price of approximately $0.0005 per share.</w:t>
      </w:r>
    </w:p>
    <w:p>
      <w:pPr>
        <w:spacing w:after="0" w:line="93" w:lineRule="exact"/>
        <w:rPr>
          <w:sz w:val="20"/>
          <w:szCs w:val="20"/>
          <w:color w:val="auto"/>
        </w:rPr>
      </w:pPr>
    </w:p>
    <w:p>
      <w:pPr>
        <w:ind w:left="1180" w:right="1219" w:firstLine="293"/>
        <w:spacing w:after="0" w:line="248"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95" w:lineRule="exact"/>
        <w:rPr>
          <w:sz w:val="20"/>
          <w:szCs w:val="20"/>
          <w:color w:val="auto"/>
        </w:rPr>
      </w:pPr>
    </w:p>
    <w:p>
      <w:pPr>
        <w:ind w:left="1180" w:right="1159" w:firstLine="293"/>
        <w:spacing w:after="0" w:line="265"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99" w:lineRule="exact"/>
        <w:rPr>
          <w:sz w:val="20"/>
          <w:szCs w:val="20"/>
          <w:color w:val="auto"/>
        </w:rPr>
      </w:pPr>
    </w:p>
    <w:p>
      <w:pPr>
        <w:jc w:val="both"/>
        <w:ind w:left="1180" w:right="1179" w:firstLine="293"/>
        <w:spacing w:after="0" w:line="254"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101" w:lineRule="exact"/>
        <w:rPr>
          <w:sz w:val="20"/>
          <w:szCs w:val="20"/>
          <w:color w:val="auto"/>
        </w:rPr>
      </w:pPr>
    </w:p>
    <w:p>
      <w:pPr>
        <w:ind w:left="1180" w:right="1579" w:firstLine="293"/>
        <w:spacing w:after="0" w:line="254" w:lineRule="auto"/>
        <w:rPr>
          <w:sz w:val="20"/>
          <w:szCs w:val="20"/>
          <w:color w:val="auto"/>
        </w:rPr>
      </w:pPr>
      <w:r>
        <w:rPr>
          <w:rFonts w:ascii="Arial" w:cs="Arial" w:eastAsia="Arial" w:hAnsi="Arial"/>
          <w:sz w:val="15"/>
          <w:szCs w:val="15"/>
          <w:color w:val="auto"/>
        </w:rPr>
        <w:t>In this prospectus, we refer to the transactions described in this section as the “Reorganization Transactions.” The Reorganization Transactions were intended to simplify our capital structure and to facilitate our initial public offering.</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Corporate Information</w:t>
      </w:r>
    </w:p>
    <w:p>
      <w:pPr>
        <w:spacing w:after="0" w:line="117" w:lineRule="exact"/>
        <w:rPr>
          <w:sz w:val="20"/>
          <w:szCs w:val="20"/>
          <w:color w:val="auto"/>
        </w:rPr>
      </w:pPr>
    </w:p>
    <w:p>
      <w:pPr>
        <w:ind w:left="1180" w:right="1259" w:firstLine="293"/>
        <w:spacing w:after="0" w:line="292" w:lineRule="auto"/>
        <w:rPr>
          <w:sz w:val="20"/>
          <w:szCs w:val="20"/>
          <w:color w:val="auto"/>
        </w:rPr>
      </w:pPr>
      <w:r>
        <w:rPr>
          <w:rFonts w:ascii="Arial" w:cs="Arial" w:eastAsia="Arial" w:hAnsi="Arial"/>
          <w:sz w:val="13"/>
          <w:szCs w:val="13"/>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Offering</w:t>
      </w:r>
    </w:p>
    <w:p>
      <w:pPr>
        <w:spacing w:after="0" w:line="128" w:lineRule="exact"/>
        <w:rPr>
          <w:sz w:val="20"/>
          <w:szCs w:val="20"/>
          <w:color w:val="auto"/>
        </w:rPr>
      </w:pPr>
    </w:p>
    <w:p>
      <w:pPr>
        <w:ind w:left="1180" w:right="1259" w:firstLine="293"/>
        <w:spacing w:after="0" w:line="254" w:lineRule="auto"/>
        <w:rPr>
          <w:sz w:val="20"/>
          <w:szCs w:val="20"/>
          <w:color w:val="auto"/>
        </w:rPr>
      </w:pPr>
      <w:r>
        <w:rPr>
          <w:rFonts w:ascii="Arial" w:cs="Arial" w:eastAsia="Arial" w:hAnsi="Arial"/>
          <w:sz w:val="15"/>
          <w:szCs w:val="15"/>
          <w:color w:val="auto"/>
        </w:rPr>
        <w:t>By participating in this offering, you are representing that you are a citizen of the United States, as defined in 49 U.S.C. § 40102(a)(15). See “</w:t>
      </w:r>
      <w:r>
        <w:rPr>
          <w:rFonts w:ascii="Arial" w:cs="Arial" w:eastAsia="Arial" w:hAnsi="Arial"/>
          <w:sz w:val="15"/>
          <w:szCs w:val="15"/>
          <w:i w:val="1"/>
          <w:iCs w:val="1"/>
          <w:color w:val="auto"/>
        </w:rPr>
        <w:t>Description of Capital Stock—Limited Ownership and Voting by</w:t>
      </w:r>
      <w:r>
        <w:rPr>
          <w:rFonts w:ascii="Arial" w:cs="Arial" w:eastAsia="Arial" w:hAnsi="Arial"/>
          <w:sz w:val="15"/>
          <w:szCs w:val="15"/>
          <w:color w:val="auto"/>
        </w:rPr>
        <w:t xml:space="preserve"> </w:t>
      </w:r>
      <w:r>
        <w:rPr>
          <w:rFonts w:ascii="Arial" w:cs="Arial" w:eastAsia="Arial" w:hAnsi="Arial"/>
          <w:sz w:val="15"/>
          <w:szCs w:val="15"/>
          <w:i w:val="1"/>
          <w:iCs w:val="1"/>
          <w:color w:val="auto"/>
        </w:rPr>
        <w:t>Foreign Owners</w:t>
      </w:r>
      <w:r>
        <w:rPr>
          <w:rFonts w:ascii="Arial" w:cs="Arial" w:eastAsia="Arial" w:hAnsi="Arial"/>
          <w:sz w:val="15"/>
          <w:szCs w:val="15"/>
          <w:color w:val="auto"/>
        </w:rPr>
        <w:t>.”</w:t>
      </w:r>
    </w:p>
    <w:p>
      <w:pPr>
        <w:sectPr>
          <w:pgSz w:w="11900" w:h="16838" w:orient="portrait"/>
          <w:cols w:equalWidth="0" w:num="1">
            <w:col w:w="9019"/>
          </w:cols>
          <w:pgMar w:left="1440" w:top="134" w:right="1440" w:bottom="1440" w:gutter="0" w:footer="0" w:header="0"/>
        </w:sectPr>
      </w:pPr>
    </w:p>
    <w:p>
      <w:pPr>
        <w:spacing w:after="0" w:line="6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The Company</w:t>
      </w:r>
    </w:p>
    <w:p>
      <w:pPr>
        <w:spacing w:after="0" w:line="9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offered by us</w:t>
      </w:r>
    </w:p>
    <w:p>
      <w:pPr>
        <w:spacing w:after="0" w:line="91" w:lineRule="exact"/>
        <w:rPr>
          <w:sz w:val="20"/>
          <w:szCs w:val="20"/>
          <w:color w:val="auto"/>
        </w:rPr>
      </w:pPr>
    </w:p>
    <w:p>
      <w:pPr>
        <w:ind w:left="1320" w:right="180" w:hanging="145"/>
        <w:spacing w:after="0" w:line="264" w:lineRule="auto"/>
        <w:rPr>
          <w:sz w:val="20"/>
          <w:szCs w:val="20"/>
          <w:color w:val="auto"/>
        </w:rPr>
      </w:pPr>
      <w:r>
        <w:rPr>
          <w:rFonts w:ascii="Arial" w:cs="Arial" w:eastAsia="Arial" w:hAnsi="Arial"/>
          <w:sz w:val="15"/>
          <w:szCs w:val="15"/>
          <w:color w:val="auto"/>
        </w:rPr>
        <w:t>Common stock offered by the selling stockholder</w:t>
      </w:r>
    </w:p>
    <w:p>
      <w:pPr>
        <w:spacing w:after="0" w:line="236" w:lineRule="exact"/>
        <w:rPr>
          <w:sz w:val="20"/>
          <w:szCs w:val="20"/>
          <w:color w:val="auto"/>
        </w:rPr>
      </w:pPr>
    </w:p>
    <w:p>
      <w:pPr>
        <w:ind w:left="1320" w:hanging="145"/>
        <w:spacing w:after="0" w:line="264" w:lineRule="auto"/>
        <w:rPr>
          <w:sz w:val="20"/>
          <w:szCs w:val="20"/>
          <w:color w:val="auto"/>
        </w:rPr>
      </w:pPr>
      <w:r>
        <w:rPr>
          <w:rFonts w:ascii="Arial" w:cs="Arial" w:eastAsia="Arial" w:hAnsi="Arial"/>
          <w:sz w:val="15"/>
          <w:szCs w:val="15"/>
          <w:color w:val="auto"/>
        </w:rPr>
        <w:t>Common stock outstanding after this offering</w:t>
      </w:r>
    </w:p>
    <w:p>
      <w:pPr>
        <w:spacing w:after="0" w:line="60" w:lineRule="exact"/>
        <w:rPr>
          <w:sz w:val="20"/>
          <w:szCs w:val="20"/>
          <w:color w:val="auto"/>
        </w:rPr>
      </w:pPr>
    </w:p>
    <w:p>
      <w:pPr>
        <w:ind w:left="1320" w:right="180" w:hanging="145"/>
        <w:spacing w:after="0" w:line="264" w:lineRule="auto"/>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Sun Country Airlines Holdings, Inc.</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67" w:lineRule="exact"/>
        <w:rPr>
          <w:sz w:val="20"/>
          <w:szCs w:val="20"/>
          <w:color w:val="auto"/>
        </w:rPr>
      </w:pPr>
    </w:p>
    <w:p>
      <w:pPr>
        <w:ind w:right="1239"/>
        <w:spacing w:after="0" w:line="264" w:lineRule="auto"/>
        <w:rPr>
          <w:sz w:val="20"/>
          <w:szCs w:val="20"/>
          <w:color w:val="auto"/>
        </w:rPr>
      </w:pPr>
      <w:r>
        <w:rPr>
          <w:rFonts w:ascii="Arial" w:cs="Arial" w:eastAsia="Arial" w:hAnsi="Arial"/>
          <w:sz w:val="15"/>
          <w:szCs w:val="15"/>
          <w:color w:val="auto"/>
        </w:rPr>
        <w:t>shares (or shares if the underwriters exercise their option to purchase additional shares in full as described below).</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57,158,467</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The selling stockholder has granted the underwriters an option to</w:t>
      </w:r>
    </w:p>
    <w:p>
      <w:pPr>
        <w:spacing w:after="0" w:line="25" w:lineRule="exact"/>
        <w:rPr>
          <w:sz w:val="20"/>
          <w:szCs w:val="20"/>
          <w:color w:val="auto"/>
        </w:rPr>
      </w:pPr>
    </w:p>
    <w:p>
      <w:pPr>
        <w:ind w:right="1179"/>
        <w:spacing w:after="0" w:line="246" w:lineRule="auto"/>
        <w:rPr>
          <w:sz w:val="20"/>
          <w:szCs w:val="20"/>
          <w:color w:val="auto"/>
        </w:rPr>
      </w:pPr>
      <w:r>
        <w:rPr>
          <w:rFonts w:ascii="Arial" w:cs="Arial" w:eastAsia="Arial" w:hAnsi="Arial"/>
          <w:sz w:val="15"/>
          <w:szCs w:val="15"/>
          <w:color w:val="auto"/>
        </w:rPr>
        <w:t>purchase up to an additional shares. The underwriters may exercise this option at any time within 30 days from the date of this prospectus. See “</w:t>
      </w:r>
      <w:r>
        <w:rPr>
          <w:rFonts w:ascii="Arial" w:cs="Arial" w:eastAsia="Arial" w:hAnsi="Arial"/>
          <w:sz w:val="15"/>
          <w:szCs w:val="15"/>
          <w:i w:val="1"/>
          <w:iCs w:val="1"/>
          <w:color w:val="auto"/>
        </w:rPr>
        <w:t>Underwriting (Conflict of Interest)</w:t>
      </w:r>
      <w:r>
        <w:rPr>
          <w:rFonts w:ascii="Arial" w:cs="Arial" w:eastAsia="Arial" w:hAnsi="Arial"/>
          <w:sz w:val="15"/>
          <w:szCs w:val="15"/>
          <w:color w:val="auto"/>
        </w:rPr>
        <w:t>.”</w:t>
      </w:r>
    </w:p>
    <w:p>
      <w:pPr>
        <w:spacing w:after="0" w:line="74" w:lineRule="exact"/>
        <w:rPr>
          <w:sz w:val="20"/>
          <w:szCs w:val="20"/>
          <w:color w:val="auto"/>
        </w:rPr>
      </w:pPr>
    </w:p>
    <w:p>
      <w:pPr>
        <w:sectPr>
          <w:pgSz w:w="11900" w:h="16838" w:orient="portrait"/>
          <w:cols w:equalWidth="0" w:num="2">
            <w:col w:w="3180" w:space="360"/>
            <w:col w:w="5479"/>
          </w:cols>
          <w:pgMar w:left="1440" w:top="134" w:right="1440" w:bottom="1440" w:gutter="0" w:footer="0" w:header="0"/>
          <w:type w:val="continuous"/>
        </w:sectPr>
      </w:pPr>
    </w:p>
    <w:p>
      <w:pPr>
        <w:ind w:left="1180"/>
        <w:spacing w:after="0"/>
        <w:tabs>
          <w:tab w:leader="none" w:pos="3520" w:val="left"/>
        </w:tabs>
        <w:rPr>
          <w:sz w:val="20"/>
          <w:szCs w:val="20"/>
          <w:color w:val="auto"/>
        </w:rPr>
      </w:pPr>
      <w:r>
        <w:rPr>
          <w:rFonts w:ascii="Arial" w:cs="Arial" w:eastAsia="Arial" w:hAnsi="Arial"/>
          <w:sz w:val="15"/>
          <w:szCs w:val="15"/>
          <w:color w:val="auto"/>
        </w:rPr>
        <w:t>Use of proceeds</w:t>
      </w:r>
      <w:r>
        <w:rPr>
          <w:sz w:val="20"/>
          <w:szCs w:val="20"/>
          <w:color w:val="auto"/>
        </w:rPr>
        <w:tab/>
      </w:r>
      <w:r>
        <w:rPr>
          <w:rFonts w:ascii="Arial" w:cs="Arial" w:eastAsia="Arial" w:hAnsi="Arial"/>
          <w:sz w:val="14"/>
          <w:szCs w:val="14"/>
          <w:color w:val="auto"/>
        </w:rPr>
        <w:t>The selling stockholder will receive all of the proceeds from the sale</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of shares of our common stock in this offering. We will not receive</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any proceeds from the sale of shares of our common stock in this</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offering. The selling stockholder will bear any underwriting discounts</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and commissions attributable to their sale of our common stock and</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we will bear the remaining fees, costs and expenses of this offering,</w:t>
      </w:r>
    </w:p>
    <w:p>
      <w:pPr>
        <w:spacing w:after="0" w:line="15" w:lineRule="exact"/>
        <w:rPr>
          <w:sz w:val="20"/>
          <w:szCs w:val="20"/>
          <w:color w:val="auto"/>
        </w:rPr>
      </w:pPr>
    </w:p>
    <w:p>
      <w:pPr>
        <w:ind w:left="3540"/>
        <w:spacing w:after="0"/>
        <w:tabs>
          <w:tab w:leader="none" w:pos="6500" w:val="left"/>
        </w:tabs>
        <w:rPr>
          <w:sz w:val="20"/>
          <w:szCs w:val="20"/>
          <w:color w:val="auto"/>
        </w:rPr>
      </w:pPr>
      <w:r>
        <w:rPr>
          <w:rFonts w:ascii="Arial" w:cs="Arial" w:eastAsia="Arial" w:hAnsi="Arial"/>
          <w:sz w:val="15"/>
          <w:szCs w:val="15"/>
          <w:color w:val="auto"/>
        </w:rPr>
        <w:t>which we estimate to be approximately $</w:t>
      </w:r>
      <w:r>
        <w:rPr>
          <w:sz w:val="20"/>
          <w:szCs w:val="20"/>
          <w:color w:val="auto"/>
        </w:rPr>
        <w:tab/>
      </w:r>
      <w:r>
        <w:rPr>
          <w:rFonts w:ascii="Arial" w:cs="Arial" w:eastAsia="Arial" w:hAnsi="Arial"/>
          <w:sz w:val="15"/>
          <w:szCs w:val="15"/>
          <w:color w:val="auto"/>
        </w:rPr>
        <w:t>million.</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Loss of controlled company</w:t>
      </w:r>
    </w:p>
    <w:p>
      <w:pPr>
        <w:spacing w:after="0" w:line="14" w:lineRule="exact"/>
        <w:rPr>
          <w:sz w:val="20"/>
          <w:szCs w:val="20"/>
          <w:color w:val="auto"/>
        </w:rPr>
      </w:pPr>
    </w:p>
    <w:p>
      <w:pPr>
        <w:ind w:left="1320"/>
        <w:spacing w:after="0"/>
        <w:tabs>
          <w:tab w:leader="none" w:pos="3520" w:val="left"/>
        </w:tabs>
        <w:rPr>
          <w:sz w:val="20"/>
          <w:szCs w:val="20"/>
          <w:color w:val="auto"/>
        </w:rPr>
      </w:pPr>
      <w:r>
        <w:rPr>
          <w:rFonts w:ascii="Arial" w:cs="Arial" w:eastAsia="Arial" w:hAnsi="Arial"/>
          <w:sz w:val="15"/>
          <w:szCs w:val="15"/>
          <w:color w:val="auto"/>
        </w:rPr>
        <w:t>status</w:t>
      </w:r>
      <w:r>
        <w:rPr>
          <w:sz w:val="20"/>
          <w:szCs w:val="20"/>
          <w:color w:val="auto"/>
        </w:rPr>
        <w:tab/>
      </w:r>
      <w:r>
        <w:rPr>
          <w:rFonts w:ascii="Arial" w:cs="Arial" w:eastAsia="Arial" w:hAnsi="Arial"/>
          <w:sz w:val="15"/>
          <w:szCs w:val="15"/>
          <w:color w:val="auto"/>
        </w:rPr>
        <w:t>Upon completion of this offering, the Apollo Stockholder will no</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longer beneficially own more than 50% of the voting power of our</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outstanding common stock. As a result, we will no longer be a</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“controlled company” under the corporate governance rules for</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Nasdaq-listed companies and we will be required to comply with</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additional corporate governance requirements of the Nadsaq rules,</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subject to the applicable phase-in periods. See “</w:t>
      </w:r>
      <w:r>
        <w:rPr>
          <w:rFonts w:ascii="Arial" w:cs="Arial" w:eastAsia="Arial" w:hAnsi="Arial"/>
          <w:sz w:val="13"/>
          <w:szCs w:val="13"/>
          <w:i w:val="1"/>
          <w:iCs w:val="1"/>
          <w:color w:val="auto"/>
        </w:rPr>
        <w:t>Management—Loss of</w:t>
      </w:r>
    </w:p>
    <w:p>
      <w:pPr>
        <w:spacing w:after="0" w:line="26" w:lineRule="exact"/>
        <w:rPr>
          <w:sz w:val="20"/>
          <w:szCs w:val="20"/>
          <w:color w:val="auto"/>
        </w:rPr>
      </w:pPr>
    </w:p>
    <w:p>
      <w:pPr>
        <w:ind w:left="3540"/>
        <w:spacing w:after="0"/>
        <w:rPr>
          <w:sz w:val="20"/>
          <w:szCs w:val="20"/>
          <w:color w:val="auto"/>
        </w:rPr>
      </w:pPr>
      <w:r>
        <w:rPr>
          <w:rFonts w:ascii="Arial" w:cs="Arial" w:eastAsia="Arial" w:hAnsi="Arial"/>
          <w:sz w:val="15"/>
          <w:szCs w:val="15"/>
          <w:i w:val="1"/>
          <w:iCs w:val="1"/>
          <w:color w:val="auto"/>
        </w:rPr>
        <w:t>Controlled Company Status</w:t>
      </w:r>
      <w:r>
        <w:rPr>
          <w:rFonts w:ascii="Arial" w:cs="Arial" w:eastAsia="Arial" w:hAnsi="Arial"/>
          <w:sz w:val="15"/>
          <w:szCs w:val="15"/>
          <w:color w:val="auto"/>
        </w:rPr>
        <w:t>.”</w:t>
      </w:r>
    </w:p>
    <w:p>
      <w:pPr>
        <w:spacing w:after="0" w:line="80" w:lineRule="exact"/>
        <w:rPr>
          <w:sz w:val="20"/>
          <w:szCs w:val="20"/>
          <w:color w:val="auto"/>
        </w:rPr>
      </w:pPr>
    </w:p>
    <w:p>
      <w:pPr>
        <w:ind w:left="1180"/>
        <w:spacing w:after="0"/>
        <w:tabs>
          <w:tab w:leader="none" w:pos="3520" w:val="left"/>
        </w:tabs>
        <w:rPr>
          <w:sz w:val="20"/>
          <w:szCs w:val="20"/>
          <w:color w:val="auto"/>
        </w:rPr>
      </w:pPr>
      <w:r>
        <w:rPr>
          <w:rFonts w:ascii="Arial" w:cs="Arial" w:eastAsia="Arial" w:hAnsi="Arial"/>
          <w:sz w:val="15"/>
          <w:szCs w:val="15"/>
          <w:color w:val="auto"/>
        </w:rPr>
        <w:t>Dividend policy</w:t>
      </w:r>
      <w:r>
        <w:rPr>
          <w:sz w:val="20"/>
          <w:szCs w:val="20"/>
          <w:color w:val="auto"/>
        </w:rPr>
        <w:tab/>
      </w:r>
      <w:r>
        <w:rPr>
          <w:rFonts w:ascii="Arial" w:cs="Arial" w:eastAsia="Arial" w:hAnsi="Arial"/>
          <w:sz w:val="13"/>
          <w:szCs w:val="13"/>
          <w:color w:val="auto"/>
        </w:rPr>
        <w:t>We have not to date paid any cash dividends on our common stock</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and we currently do not intend to pay cash dividends on our common</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stock in the foreseeable future. However, we may, in the future,</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decide to pay dividends on our common stock. Any declaration and</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payment of cash dividends in the future, if any, will be at the</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discretion of our board of directors and will depend upon such factors</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as earnings levels, cash flows, capital requirements, levels of</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indebtedness, restrictions imposed by applicable law, our overall</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financial condition, restrictions in our debt agreements, and any other</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factors deemed relevant by our board of directors.</w:t>
      </w:r>
    </w:p>
    <w:p>
      <w:pPr>
        <w:spacing w:after="0" w:line="102"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As a holding company, our ability to pay dividends also depends on</w:t>
      </w:r>
    </w:p>
    <w:p>
      <w:pPr>
        <w:spacing w:after="0" w:line="25"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our receipt of cash dividends from our operating subsidiaries. Our</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ability to pay dividends will therefore be restricted as a result of</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restrictions on their ability to pay dividends to us under the CARES</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Act and the Credit Agreement and may be restricted under future</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indebtedness that we or they may incur.</w:t>
      </w:r>
    </w:p>
    <w:p>
      <w:pPr>
        <w:spacing w:after="0" w:line="11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Market Price of Common Stock and Dividend Policy</w:t>
      </w:r>
      <w:r>
        <w:rPr>
          <w:rFonts w:ascii="Arial" w:cs="Arial" w:eastAsia="Arial" w:hAnsi="Arial"/>
          <w:sz w:val="15"/>
          <w:szCs w:val="15"/>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0" w:name="page21"/>
    <w:bookmarkEnd w:id="2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tbl>
      <w:tblPr>
        <w:tblLayout w:type="fixed"/>
        <w:tblInd w:w="98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20" w:type="dxa"/>
            <w:vAlign w:val="bottom"/>
          </w:tcPr>
          <w:p>
            <w:pPr>
              <w:ind w:left="540"/>
              <w:spacing w:after="0"/>
              <w:rPr>
                <w:sz w:val="20"/>
                <w:szCs w:val="20"/>
                <w:color w:val="auto"/>
              </w:rPr>
            </w:pPr>
            <w:r>
              <w:rPr>
                <w:rFonts w:ascii="Arial" w:cs="Arial" w:eastAsia="Arial" w:hAnsi="Arial"/>
                <w:sz w:val="15"/>
                <w:szCs w:val="15"/>
                <w:b w:val="1"/>
                <w:bCs w:val="1"/>
                <w:color w:val="auto"/>
              </w:rPr>
              <w:t>Pursuant to 17 C.F.R. Section 200.83</w:t>
            </w:r>
          </w:p>
        </w:tc>
        <w:tc>
          <w:tcPr>
            <w:tcW w:w="1360" w:type="dxa"/>
            <w:vAlign w:val="bottom"/>
          </w:tcPr>
          <w:p>
            <w:pPr>
              <w:spacing w:after="0"/>
              <w:rPr>
                <w:sz w:val="16"/>
                <w:szCs w:val="16"/>
                <w:color w:val="auto"/>
              </w:rPr>
            </w:pPr>
          </w:p>
        </w:tc>
      </w:tr>
      <w:tr>
        <w:trPr>
          <w:trHeight w:val="94"/>
        </w:trPr>
        <w:tc>
          <w:tcPr>
            <w:tcW w:w="6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180" w:type="dxa"/>
            <w:vAlign w:val="bottom"/>
            <w:tcBorders>
              <w:bottom w:val="single" w:sz="8" w:color="auto"/>
            </w:tcBorders>
            <w:gridSpan w:val="2"/>
          </w:tcPr>
          <w:p>
            <w:pPr>
              <w:spacing w:after="0"/>
              <w:rPr>
                <w:sz w:val="8"/>
                <w:szCs w:val="8"/>
                <w:color w:val="auto"/>
              </w:rPr>
            </w:pPr>
          </w:p>
        </w:tc>
      </w:tr>
      <w:tr>
        <w:trPr>
          <w:trHeight w:val="314"/>
        </w:trPr>
        <w:tc>
          <w:tcPr>
            <w:tcW w:w="640" w:type="dxa"/>
            <w:vAlign w:val="bottom"/>
          </w:tcPr>
          <w:p>
            <w:pPr>
              <w:ind w:left="200"/>
              <w:spacing w:after="0"/>
              <w:rPr>
                <w:sz w:val="20"/>
                <w:szCs w:val="20"/>
                <w:color w:val="auto"/>
              </w:rPr>
            </w:pPr>
            <w:r>
              <w:rPr>
                <w:rFonts w:ascii="Arial" w:cs="Arial" w:eastAsia="Arial" w:hAnsi="Arial"/>
                <w:sz w:val="15"/>
                <w:szCs w:val="15"/>
                <w:color w:val="auto"/>
                <w:w w:val="96"/>
              </w:rPr>
              <w:t>Listing</w:t>
            </w:r>
          </w:p>
        </w:tc>
        <w:tc>
          <w:tcPr>
            <w:tcW w:w="1260" w:type="dxa"/>
            <w:vAlign w:val="bottom"/>
          </w:tcPr>
          <w:p>
            <w:pPr>
              <w:spacing w:after="0"/>
              <w:rPr>
                <w:sz w:val="24"/>
                <w:szCs w:val="24"/>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Our common stock is listed on Nasdaq under the symbol “SNCY.”</w:t>
            </w:r>
          </w:p>
        </w:tc>
      </w:tr>
      <w:tr>
        <w:trPr>
          <w:trHeight w:val="253"/>
        </w:trPr>
        <w:tc>
          <w:tcPr>
            <w:tcW w:w="1900" w:type="dxa"/>
            <w:vAlign w:val="bottom"/>
            <w:gridSpan w:val="2"/>
          </w:tcPr>
          <w:p>
            <w:pPr>
              <w:ind w:left="200"/>
              <w:spacing w:after="0"/>
              <w:rPr>
                <w:sz w:val="20"/>
                <w:szCs w:val="20"/>
                <w:color w:val="auto"/>
              </w:rPr>
            </w:pPr>
            <w:r>
              <w:rPr>
                <w:rFonts w:ascii="Arial" w:cs="Arial" w:eastAsia="Arial" w:hAnsi="Arial"/>
                <w:sz w:val="15"/>
                <w:szCs w:val="15"/>
                <w:color w:val="auto"/>
              </w:rPr>
              <w:t>Risk factors</w:t>
            </w: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You should read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beginning on page</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22 of this prospectus for a discussion of some of the risks and</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uncertainties you should carefully consider before deciding to invest</w:t>
            </w:r>
          </w:p>
        </w:tc>
      </w:tr>
      <w:tr>
        <w:trPr>
          <w:trHeight w:val="186"/>
        </w:trPr>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20" w:type="dxa"/>
            <w:vAlign w:val="bottom"/>
          </w:tcPr>
          <w:p>
            <w:pPr>
              <w:ind w:left="660"/>
              <w:spacing w:after="0"/>
              <w:rPr>
                <w:sz w:val="20"/>
                <w:szCs w:val="20"/>
                <w:color w:val="auto"/>
              </w:rPr>
            </w:pPr>
            <w:r>
              <w:rPr>
                <w:rFonts w:ascii="Arial" w:cs="Arial" w:eastAsia="Arial" w:hAnsi="Arial"/>
                <w:sz w:val="15"/>
                <w:szCs w:val="15"/>
                <w:color w:val="auto"/>
              </w:rPr>
              <w:t>in our common stock.</w:t>
            </w:r>
          </w:p>
        </w:tc>
        <w:tc>
          <w:tcPr>
            <w:tcW w:w="1360" w:type="dxa"/>
            <w:vAlign w:val="bottom"/>
          </w:tcPr>
          <w:p>
            <w:pPr>
              <w:spacing w:after="0"/>
              <w:rPr>
                <w:sz w:val="16"/>
                <w:szCs w:val="16"/>
                <w:color w:val="auto"/>
              </w:rPr>
            </w:pPr>
          </w:p>
        </w:tc>
      </w:tr>
      <w:tr>
        <w:trPr>
          <w:trHeight w:val="253"/>
        </w:trPr>
        <w:tc>
          <w:tcPr>
            <w:tcW w:w="1900" w:type="dxa"/>
            <w:vAlign w:val="bottom"/>
            <w:gridSpan w:val="2"/>
          </w:tcPr>
          <w:p>
            <w:pPr>
              <w:ind w:left="200"/>
              <w:spacing w:after="0"/>
              <w:rPr>
                <w:sz w:val="20"/>
                <w:szCs w:val="20"/>
                <w:color w:val="auto"/>
              </w:rPr>
            </w:pPr>
            <w:r>
              <w:rPr>
                <w:rFonts w:ascii="Arial" w:cs="Arial" w:eastAsia="Arial" w:hAnsi="Arial"/>
                <w:sz w:val="15"/>
                <w:szCs w:val="15"/>
                <w:color w:val="auto"/>
              </w:rPr>
              <w:t>Conflict of interest</w:t>
            </w: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Apollo Global Securities, LLC, an affiliate of Apollo, is an</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underwriter in this offering and will receive a portion of the</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underwriting discounts and commissions in connection with this</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offering. Affiliates of Apollo beneficially own in excess of 10% of</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w w:val="98"/>
              </w:rPr>
              <w:t>our issued and outstanding common stock. As a result, Apollo Global</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Securities, LLC is deemed to have a “conflict of interest” under</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FINRA Rule 5121, and this offering will be conducted in compliance</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with the requirements of Rule 5121. Pursuant to that rule, the</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appointment of a “qualified independent underwriter” is not required</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w w:val="99"/>
              </w:rPr>
              <w:t>in connection with this offering as the members primarily responsible</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w w:val="98"/>
              </w:rPr>
              <w:t>for managing the public offering do not have a conflict of interest and</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meet the requirements of paragraph (f)(12)(E) of Rule 5121. Apollo</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Global Securities, LLC will not confirm sales of the securities to any</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account over which it exercises discretionary authority without the</w:t>
            </w: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180" w:type="dxa"/>
            <w:vAlign w:val="bottom"/>
            <w:gridSpan w:val="2"/>
          </w:tcPr>
          <w:p>
            <w:pPr>
              <w:ind w:left="660"/>
              <w:spacing w:after="0"/>
              <w:rPr>
                <w:sz w:val="20"/>
                <w:szCs w:val="20"/>
                <w:color w:val="auto"/>
              </w:rPr>
            </w:pPr>
            <w:r>
              <w:rPr>
                <w:rFonts w:ascii="Arial" w:cs="Arial" w:eastAsia="Arial" w:hAnsi="Arial"/>
                <w:sz w:val="15"/>
                <w:szCs w:val="15"/>
                <w:color w:val="auto"/>
              </w:rPr>
              <w:t>specific written approval of the account holder. See “</w:t>
            </w:r>
            <w:r>
              <w:rPr>
                <w:rFonts w:ascii="Arial" w:cs="Arial" w:eastAsia="Arial" w:hAnsi="Arial"/>
                <w:sz w:val="15"/>
                <w:szCs w:val="15"/>
                <w:i w:val="1"/>
                <w:iCs w:val="1"/>
                <w:color w:val="auto"/>
              </w:rPr>
              <w:t>Underwriting</w:t>
            </w:r>
          </w:p>
        </w:tc>
      </w:tr>
      <w:tr>
        <w:trPr>
          <w:trHeight w:val="186"/>
        </w:trPr>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20" w:type="dxa"/>
            <w:vAlign w:val="bottom"/>
          </w:tcPr>
          <w:p>
            <w:pPr>
              <w:ind w:left="660"/>
              <w:spacing w:after="0"/>
              <w:rPr>
                <w:sz w:val="20"/>
                <w:szCs w:val="20"/>
                <w:color w:val="auto"/>
              </w:rPr>
            </w:pPr>
            <w:r>
              <w:rPr>
                <w:rFonts w:ascii="Arial" w:cs="Arial" w:eastAsia="Arial" w:hAnsi="Arial"/>
                <w:sz w:val="15"/>
                <w:szCs w:val="15"/>
                <w:i w:val="1"/>
                <w:iCs w:val="1"/>
                <w:color w:val="auto"/>
              </w:rPr>
              <w:t>(Conflict of Interest)</w:t>
            </w:r>
            <w:r>
              <w:rPr>
                <w:rFonts w:ascii="Arial" w:cs="Arial" w:eastAsia="Arial" w:hAnsi="Arial"/>
                <w:sz w:val="15"/>
                <w:szCs w:val="15"/>
                <w:color w:val="auto"/>
              </w:rPr>
              <w:t>.”</w:t>
            </w:r>
          </w:p>
        </w:tc>
        <w:tc>
          <w:tcPr>
            <w:tcW w:w="1360" w:type="dxa"/>
            <w:vAlign w:val="bottom"/>
          </w:tcPr>
          <w:p>
            <w:pPr>
              <w:spacing w:after="0"/>
              <w:rPr>
                <w:sz w:val="16"/>
                <w:szCs w:val="16"/>
                <w:color w:val="auto"/>
              </w:rPr>
            </w:pPr>
          </w:p>
        </w:tc>
      </w:tr>
      <w:tr>
        <w:trPr>
          <w:trHeight w:val="297"/>
        </w:trPr>
        <w:tc>
          <w:tcPr>
            <w:tcW w:w="5720" w:type="dxa"/>
            <w:vAlign w:val="bottom"/>
            <w:gridSpan w:val="3"/>
          </w:tcPr>
          <w:p>
            <w:pPr>
              <w:ind w:left="500"/>
              <w:spacing w:after="0"/>
              <w:rPr>
                <w:sz w:val="20"/>
                <w:szCs w:val="20"/>
                <w:color w:val="auto"/>
              </w:rPr>
            </w:pPr>
            <w:r>
              <w:rPr>
                <w:rFonts w:ascii="Arial" w:cs="Arial" w:eastAsia="Arial" w:hAnsi="Arial"/>
                <w:sz w:val="15"/>
                <w:szCs w:val="15"/>
                <w:color w:val="auto"/>
              </w:rPr>
              <w:t>Except as otherwise indicated, all of the information in this prospectus:</w:t>
            </w:r>
          </w:p>
        </w:tc>
        <w:tc>
          <w:tcPr>
            <w:tcW w:w="1360" w:type="dxa"/>
            <w:vAlign w:val="bottom"/>
          </w:tcPr>
          <w:p>
            <w:pPr>
              <w:spacing w:after="0"/>
              <w:rPr>
                <w:sz w:val="24"/>
                <w:szCs w:val="24"/>
                <w:color w:val="auto"/>
              </w:rPr>
            </w:pPr>
          </w:p>
        </w:tc>
      </w:tr>
      <w:tr>
        <w:trPr>
          <w:trHeight w:val="264"/>
        </w:trPr>
        <w:tc>
          <w:tcPr>
            <w:tcW w:w="640" w:type="dxa"/>
            <w:vAlign w:val="bottom"/>
          </w:tcPr>
          <w:p>
            <w:pPr>
              <w:ind w:left="500"/>
              <w:spacing w:after="0"/>
              <w:rPr>
                <w:sz w:val="20"/>
                <w:szCs w:val="20"/>
                <w:color w:val="auto"/>
              </w:rPr>
            </w:pPr>
            <w:r>
              <w:rPr>
                <w:rFonts w:ascii="Arial" w:cs="Arial" w:eastAsia="Arial" w:hAnsi="Arial"/>
                <w:sz w:val="15"/>
                <w:szCs w:val="15"/>
                <w:color w:val="auto"/>
              </w:rPr>
              <w:t>•</w:t>
            </w:r>
          </w:p>
        </w:tc>
        <w:tc>
          <w:tcPr>
            <w:tcW w:w="5080" w:type="dxa"/>
            <w:vAlign w:val="bottom"/>
            <w:gridSpan w:val="2"/>
          </w:tcPr>
          <w:p>
            <w:pPr>
              <w:spacing w:after="0"/>
              <w:rPr>
                <w:sz w:val="20"/>
                <w:szCs w:val="20"/>
                <w:color w:val="auto"/>
              </w:rPr>
            </w:pPr>
            <w:r>
              <w:rPr>
                <w:rFonts w:ascii="Arial" w:cs="Arial" w:eastAsia="Arial" w:hAnsi="Arial"/>
                <w:sz w:val="15"/>
                <w:szCs w:val="15"/>
                <w:color w:val="auto"/>
                <w:w w:val="92"/>
              </w:rPr>
              <w:t>is based on 57,158,467 shares of common stock outstanding as of June 30, 2021;</w:t>
            </w:r>
          </w:p>
        </w:tc>
        <w:tc>
          <w:tcPr>
            <w:tcW w:w="1360" w:type="dxa"/>
            <w:vAlign w:val="bottom"/>
          </w:tcPr>
          <w:p>
            <w:pPr>
              <w:spacing w:after="0"/>
              <w:rPr>
                <w:sz w:val="22"/>
                <w:szCs w:val="22"/>
                <w:color w:val="auto"/>
              </w:rPr>
            </w:pPr>
          </w:p>
        </w:tc>
      </w:tr>
      <w:tr>
        <w:trPr>
          <w:trHeight w:val="253"/>
        </w:trPr>
        <w:tc>
          <w:tcPr>
            <w:tcW w:w="640" w:type="dxa"/>
            <w:vAlign w:val="bottom"/>
          </w:tcPr>
          <w:p>
            <w:pPr>
              <w:ind w:left="500"/>
              <w:spacing w:after="0"/>
              <w:rPr>
                <w:sz w:val="20"/>
                <w:szCs w:val="20"/>
                <w:color w:val="auto"/>
              </w:rPr>
            </w:pPr>
            <w:r>
              <w:rPr>
                <w:rFonts w:ascii="Arial" w:cs="Arial" w:eastAsia="Arial" w:hAnsi="Arial"/>
                <w:sz w:val="15"/>
                <w:szCs w:val="15"/>
                <w:color w:val="auto"/>
              </w:rPr>
              <w:t>•</w:t>
            </w:r>
          </w:p>
        </w:tc>
        <w:tc>
          <w:tcPr>
            <w:tcW w:w="5080" w:type="dxa"/>
            <w:vAlign w:val="bottom"/>
            <w:gridSpan w:val="2"/>
          </w:tcPr>
          <w:p>
            <w:pPr>
              <w:spacing w:after="0"/>
              <w:rPr>
                <w:sz w:val="20"/>
                <w:szCs w:val="20"/>
                <w:color w:val="auto"/>
              </w:rPr>
            </w:pPr>
            <w:r>
              <w:rPr>
                <w:rFonts w:ascii="Arial" w:cs="Arial" w:eastAsia="Arial" w:hAnsi="Arial"/>
                <w:sz w:val="15"/>
                <w:szCs w:val="15"/>
                <w:color w:val="auto"/>
              </w:rPr>
              <w:t>assumes no exercise of the underwriters’ option to purchase up to</w:t>
            </w:r>
          </w:p>
        </w:tc>
        <w:tc>
          <w:tcPr>
            <w:tcW w:w="1360" w:type="dxa"/>
            <w:vAlign w:val="bottom"/>
          </w:tcPr>
          <w:p>
            <w:pPr>
              <w:ind w:left="120"/>
              <w:spacing w:after="0"/>
              <w:rPr>
                <w:sz w:val="20"/>
                <w:szCs w:val="20"/>
                <w:color w:val="auto"/>
              </w:rPr>
            </w:pPr>
            <w:r>
              <w:rPr>
                <w:rFonts w:ascii="Arial" w:cs="Arial" w:eastAsia="Arial" w:hAnsi="Arial"/>
                <w:sz w:val="15"/>
                <w:szCs w:val="15"/>
                <w:color w:val="auto"/>
              </w:rPr>
              <w:t>additional</w:t>
            </w:r>
          </w:p>
        </w:tc>
      </w:tr>
      <w:tr>
        <w:trPr>
          <w:trHeight w:val="186"/>
        </w:trPr>
        <w:tc>
          <w:tcPr>
            <w:tcW w:w="64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shares of common stock from the selling stockholder;</w:t>
            </w:r>
          </w:p>
        </w:tc>
        <w:tc>
          <w:tcPr>
            <w:tcW w:w="1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-3190240</wp:posOffset>
            </wp:positionV>
            <wp:extent cx="4491355" cy="6591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91355" cy="6591300"/>
                    </a:xfrm>
                    <a:prstGeom prst="rect">
                      <a:avLst/>
                    </a:prstGeom>
                    <a:noFill/>
                  </pic:spPr>
                </pic:pic>
              </a:graphicData>
            </a:graphic>
          </wp:anchor>
        </w:drawing>
      </w:r>
    </w:p>
    <w:p>
      <w:pPr>
        <w:spacing w:after="0" w:line="57" w:lineRule="exact"/>
        <w:rPr>
          <w:sz w:val="20"/>
          <w:szCs w:val="20"/>
          <w:color w:val="auto"/>
        </w:rPr>
      </w:pPr>
    </w:p>
    <w:p>
      <w:pPr>
        <w:ind w:left="1620" w:right="1219" w:hanging="148"/>
        <w:spacing w:after="0" w:line="269" w:lineRule="auto"/>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assumes no exercise of the warrants to purchase an aggregate of 9,482,606 shares of common stock issued to Amazon in connection with the ATSA (the “2019 Warrants”), approximately 13.3% of which have vested as of June 30, 2021. As is the case for investment in our company generally, the exercise of the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 Ownership and Voting by</w:t>
      </w:r>
      <w:r>
        <w:rPr>
          <w:rFonts w:ascii="Arial" w:cs="Arial" w:eastAsia="Arial" w:hAnsi="Arial"/>
          <w:sz w:val="14"/>
          <w:szCs w:val="14"/>
          <w:color w:val="auto"/>
        </w:rPr>
        <w:t xml:space="preserve"> </w:t>
      </w:r>
      <w:r>
        <w:rPr>
          <w:rFonts w:ascii="Arial" w:cs="Arial" w:eastAsia="Arial" w:hAnsi="Arial"/>
          <w:sz w:val="14"/>
          <w:szCs w:val="14"/>
          <w:i w:val="1"/>
          <w:iCs w:val="1"/>
          <w:color w:val="auto"/>
        </w:rPr>
        <w:t>Foreign Owners</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620" w:right="1179" w:hanging="148"/>
        <w:spacing w:after="0" w:line="271" w:lineRule="auto"/>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does not reflect 3,600,000 shares of common stock reserved for grant or issuable in respect of awards granted under under the Sun Country Airlines Holdings, Inc. 2021 Omnibus Incentive Plan (the “Omnibus Incentive Plan”), including 7,634 shares of common stock that may be issued upon the vesting of restricted stock units (“RSUs”) outstanding as of June 30, 2021. See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Compensation—Equity Compensation Plans—2021 Omnibus Incentive Plan</w:t>
      </w:r>
      <w:r>
        <w:rPr>
          <w:rFonts w:ascii="Arial" w:cs="Arial" w:eastAsia="Arial" w:hAnsi="Arial"/>
          <w:sz w:val="14"/>
          <w:szCs w:val="14"/>
          <w:color w:val="auto"/>
        </w:rPr>
        <w:t>”; and</w:t>
      </w:r>
    </w:p>
    <w:p>
      <w:pPr>
        <w:spacing w:after="0" w:line="57" w:lineRule="exact"/>
        <w:rPr>
          <w:rFonts w:ascii="Arial" w:cs="Arial" w:eastAsia="Arial" w:hAnsi="Arial"/>
          <w:sz w:val="14"/>
          <w:szCs w:val="14"/>
          <w:color w:val="auto"/>
        </w:rPr>
      </w:pPr>
    </w:p>
    <w:p>
      <w:pPr>
        <w:ind w:left="1620" w:right="1239" w:hanging="148"/>
        <w:spacing w:after="0" w:line="254" w:lineRule="auto"/>
        <w:tabs>
          <w:tab w:leader="none" w:pos="1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does not reflect 5,856,478 shares of common stock that may be issued upon the exercise of stock options outstanding as of June 30, 2021 under the SCA Acquisition Holdings, LLC Equity Incentive Plan (the “SCA Acquisition Equity Plan”).</w:t>
      </w:r>
    </w:p>
    <w:p>
      <w:pPr>
        <w:spacing w:after="0" w:line="101" w:lineRule="exact"/>
        <w:rPr>
          <w:sz w:val="20"/>
          <w:szCs w:val="20"/>
          <w:color w:val="auto"/>
        </w:rPr>
      </w:pPr>
    </w:p>
    <w:p>
      <w:pPr>
        <w:ind w:left="1180" w:right="1419" w:firstLine="293"/>
        <w:spacing w:after="0" w:line="264" w:lineRule="auto"/>
        <w:rPr>
          <w:sz w:val="20"/>
          <w:szCs w:val="20"/>
          <w:color w:val="auto"/>
        </w:rPr>
      </w:pPr>
      <w:r>
        <w:rPr>
          <w:rFonts w:ascii="Arial" w:cs="Arial" w:eastAsia="Arial" w:hAnsi="Arial"/>
          <w:sz w:val="15"/>
          <w:szCs w:val="15"/>
          <w:color w:val="auto"/>
        </w:rPr>
        <w:t>The following table sets forth the outstanding stock options and RSUs under the Omnibus Incentive Plan and the SCA Acquisition Equity Plan as of June 30, 2021:</w:t>
      </w:r>
    </w:p>
    <w:p>
      <w:pPr>
        <w:spacing w:after="0" w:line="97"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Number of</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2"/>
              </w:rPr>
              <w:t>Weighted-</w:t>
            </w:r>
          </w:p>
        </w:tc>
      </w:tr>
      <w:tr>
        <w:trPr>
          <w:trHeight w:val="147"/>
        </w:trPr>
        <w:tc>
          <w:tcPr>
            <w:tcW w:w="4260" w:type="dxa"/>
            <w:vAlign w:val="bottom"/>
          </w:tcPr>
          <w:p>
            <w:pPr>
              <w:spacing w:after="0"/>
              <w:rPr>
                <w:sz w:val="12"/>
                <w:szCs w:val="12"/>
                <w:color w:val="auto"/>
              </w:rPr>
            </w:pPr>
          </w:p>
        </w:tc>
        <w:tc>
          <w:tcPr>
            <w:tcW w:w="1080" w:type="dxa"/>
            <w:vAlign w:val="bottom"/>
            <w:gridSpan w:val="2"/>
          </w:tcPr>
          <w:p>
            <w:pPr>
              <w:jc w:val="center"/>
              <w:ind w:right="180"/>
              <w:spacing w:after="0" w:line="147" w:lineRule="exact"/>
              <w:rPr>
                <w:sz w:val="20"/>
                <w:szCs w:val="20"/>
                <w:color w:val="auto"/>
              </w:rPr>
            </w:pPr>
            <w:r>
              <w:rPr>
                <w:rFonts w:ascii="Arial" w:cs="Arial" w:eastAsia="Arial" w:hAnsi="Arial"/>
                <w:sz w:val="12"/>
                <w:szCs w:val="12"/>
                <w:b w:val="1"/>
                <w:bCs w:val="1"/>
                <w:color w:val="auto"/>
                <w:w w:val="77"/>
              </w:rPr>
              <w:t>Options</w:t>
            </w:r>
            <w:r>
              <w:rPr>
                <w:rFonts w:ascii="Arial" w:cs="Arial" w:eastAsia="Arial" w:hAnsi="Arial"/>
                <w:sz w:val="17"/>
                <w:szCs w:val="17"/>
                <w:b w:val="1"/>
                <w:bCs w:val="1"/>
                <w:color w:val="auto"/>
                <w:w w:val="77"/>
                <w:vertAlign w:val="superscript"/>
              </w:rPr>
              <w:t>(1)</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1"/>
              </w:rPr>
              <w:t>Average Exercise</w:t>
            </w:r>
          </w:p>
        </w:tc>
      </w:tr>
      <w:tr>
        <w:trPr>
          <w:trHeight w:val="150"/>
        </w:trPr>
        <w:tc>
          <w:tcPr>
            <w:tcW w:w="42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or RSUs</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5"/>
              </w:rPr>
              <w:t>Price Per Share</w:t>
            </w:r>
          </w:p>
        </w:tc>
      </w:tr>
      <w:tr>
        <w:trPr>
          <w:trHeight w:val="21"/>
        </w:trPr>
        <w:tc>
          <w:tcPr>
            <w:tcW w:w="4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0"/>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Vested stock options (time-based vesting)</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5"/>
                <w:szCs w:val="15"/>
                <w:color w:val="auto"/>
              </w:rPr>
              <w:t>1,451,717</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$5.72</w:t>
            </w:r>
          </w:p>
        </w:tc>
      </w:tr>
      <w:tr>
        <w:trPr>
          <w:trHeight w:val="209"/>
        </w:trPr>
        <w:tc>
          <w:tcPr>
            <w:tcW w:w="4260" w:type="dxa"/>
            <w:vAlign w:val="bottom"/>
          </w:tcPr>
          <w:p>
            <w:pPr>
              <w:spacing w:after="0"/>
              <w:rPr>
                <w:sz w:val="20"/>
                <w:szCs w:val="20"/>
                <w:color w:val="auto"/>
              </w:rPr>
            </w:pPr>
            <w:r>
              <w:rPr>
                <w:rFonts w:ascii="Arial" w:cs="Arial" w:eastAsia="Arial" w:hAnsi="Arial"/>
                <w:sz w:val="15"/>
                <w:szCs w:val="15"/>
                <w:color w:val="auto"/>
              </w:rPr>
              <w:t>Unvested stock options (time-based vesting)</w:t>
            </w:r>
          </w:p>
        </w:tc>
        <w:tc>
          <w:tcPr>
            <w:tcW w:w="900" w:type="dxa"/>
            <w:vAlign w:val="bottom"/>
          </w:tcPr>
          <w:p>
            <w:pPr>
              <w:jc w:val="right"/>
              <w:ind w:right="73"/>
              <w:spacing w:after="0"/>
              <w:rPr>
                <w:sz w:val="20"/>
                <w:szCs w:val="20"/>
                <w:color w:val="auto"/>
              </w:rPr>
            </w:pPr>
            <w:r>
              <w:rPr>
                <w:rFonts w:ascii="Arial" w:cs="Arial" w:eastAsia="Arial" w:hAnsi="Arial"/>
                <w:sz w:val="15"/>
                <w:szCs w:val="15"/>
                <w:color w:val="auto"/>
              </w:rPr>
              <w:t>857,237</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0"/>
              </w:rPr>
              <w:t>$7.49</w:t>
            </w: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Unvested stock options (performance-based vesting)</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5"/>
                <w:szCs w:val="15"/>
                <w:color w:val="auto"/>
              </w:rPr>
              <w:t>3,547,524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$6.39</w:t>
            </w:r>
          </w:p>
        </w:tc>
      </w:tr>
      <w:tr>
        <w:trPr>
          <w:trHeight w:val="209"/>
        </w:trPr>
        <w:tc>
          <w:tcPr>
            <w:tcW w:w="4260" w:type="dxa"/>
            <w:vAlign w:val="bottom"/>
          </w:tcPr>
          <w:p>
            <w:pPr>
              <w:spacing w:after="0"/>
              <w:rPr>
                <w:sz w:val="20"/>
                <w:szCs w:val="20"/>
                <w:color w:val="auto"/>
              </w:rPr>
            </w:pPr>
            <w:r>
              <w:rPr>
                <w:rFonts w:ascii="Arial" w:cs="Arial" w:eastAsia="Arial" w:hAnsi="Arial"/>
                <w:sz w:val="15"/>
                <w:szCs w:val="15"/>
                <w:color w:val="auto"/>
              </w:rPr>
              <w:t>Unvested RSUs (time-based vesting)</w:t>
            </w:r>
          </w:p>
        </w:tc>
        <w:tc>
          <w:tcPr>
            <w:tcW w:w="900" w:type="dxa"/>
            <w:vAlign w:val="bottom"/>
          </w:tcPr>
          <w:p>
            <w:pPr>
              <w:jc w:val="right"/>
              <w:ind w:right="73"/>
              <w:spacing w:after="0"/>
              <w:rPr>
                <w:sz w:val="20"/>
                <w:szCs w:val="20"/>
                <w:color w:val="auto"/>
              </w:rPr>
            </w:pPr>
            <w:r>
              <w:rPr>
                <w:rFonts w:ascii="Arial" w:cs="Arial" w:eastAsia="Arial" w:hAnsi="Arial"/>
                <w:sz w:val="15"/>
                <w:szCs w:val="15"/>
                <w:color w:val="auto"/>
              </w:rPr>
              <w:t>7,634</w:t>
            </w:r>
          </w:p>
        </w:tc>
        <w:tc>
          <w:tcPr>
            <w:tcW w:w="18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5"/>
                <w:szCs w:val="15"/>
                <w:color w:val="auto"/>
              </w:rPr>
              <w:t>N/A</w:t>
            </w:r>
          </w:p>
        </w:tc>
      </w:tr>
    </w:tbl>
    <w:p>
      <w:pPr>
        <w:spacing w:after="0" w:line="275" w:lineRule="exact"/>
        <w:rPr>
          <w:sz w:val="20"/>
          <w:szCs w:val="20"/>
          <w:color w:val="auto"/>
        </w:rPr>
      </w:pPr>
    </w:p>
    <w:p>
      <w:pPr>
        <w:jc w:val="center"/>
        <w:ind w:left="4400" w:right="1699" w:hanging="3221"/>
        <w:spacing w:after="0" w:line="753" w:lineRule="auto"/>
        <w:tabs>
          <w:tab w:leader="none" w:pos="1462" w:val="left"/>
        </w:tabs>
        <w:numPr>
          <w:ilvl w:val="0"/>
          <w:numId w:val="10"/>
        </w:numPr>
        <w:rPr>
          <w:rFonts w:ascii="Arial" w:cs="Arial" w:eastAsia="Arial" w:hAnsi="Arial"/>
          <w:sz w:val="15"/>
          <w:szCs w:val="15"/>
          <w:color w:val="auto"/>
        </w:rPr>
      </w:pPr>
      <w:r>
        <w:rPr>
          <w:rFonts w:ascii="Arial" w:cs="Arial" w:eastAsia="Arial" w:hAnsi="Arial"/>
          <w:sz w:val="15"/>
          <w:szCs w:val="15"/>
          <w:color w:val="auto"/>
        </w:rPr>
        <w:t>Upon a holder’s exercise of one option, we will issue to the holder one share of common stock.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-43815</wp:posOffset>
            </wp:positionV>
            <wp:extent cx="556450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Summary Consolidated Financial and Operating Information</w:t>
      </w:r>
    </w:p>
    <w:p>
      <w:pPr>
        <w:spacing w:after="0" w:line="128" w:lineRule="exact"/>
        <w:rPr>
          <w:sz w:val="20"/>
          <w:szCs w:val="20"/>
          <w:color w:val="auto"/>
        </w:rPr>
      </w:pPr>
    </w:p>
    <w:p>
      <w:pPr>
        <w:ind w:left="1180" w:right="1279" w:firstLine="293"/>
        <w:spacing w:after="0" w:line="290" w:lineRule="auto"/>
        <w:rPr>
          <w:sz w:val="20"/>
          <w:szCs w:val="20"/>
          <w:color w:val="auto"/>
        </w:rPr>
      </w:pPr>
      <w:r>
        <w:rPr>
          <w:rFonts w:ascii="Arial" w:cs="Arial" w:eastAsia="Arial" w:hAnsi="Arial"/>
          <w:sz w:val="13"/>
          <w:szCs w:val="13"/>
          <w:color w:val="auto"/>
        </w:rPr>
        <w:t>The following tables present our summary consolidated financial and operating information for the periods indicated. We have derived our summary historical consolidated statement of operations data for the years ended December 31, 2020 and 2019 and for the periods January 1, 2018 through April 10, 2018 (Predecessor) and April 11, 2018 through December 31, 2018 (Successor). We have derived our summary historical consolidated statement of operations data for the three months ended March 31, 2021 and 2020 from our unaudited condensed consolidated financial statements included elsewhere in this prospectus. We have derived our summary historical consolidated balance sheet data as of March 31, 2021 from our unaudited interim condensed consolidated financial statements included elsewhere in this prospectus.</w:t>
      </w:r>
    </w:p>
    <w:p>
      <w:pPr>
        <w:spacing w:after="0" w:line="71" w:lineRule="exact"/>
        <w:rPr>
          <w:sz w:val="20"/>
          <w:szCs w:val="20"/>
          <w:color w:val="auto"/>
        </w:rPr>
      </w:pPr>
    </w:p>
    <w:p>
      <w:pPr>
        <w:ind w:left="1180" w:right="119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80" w:right="1179" w:hanging="1"/>
        <w:spacing w:after="0" w:line="265" w:lineRule="auto"/>
        <w:tabs>
          <w:tab w:leader="none" w:pos="1399"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Our historical results are not necessarily indicative of our results that may be expected for any future period. The following summary consolidated financial and operating information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the related notes included elsewhere in this prospectus.</w:t>
      </w:r>
    </w:p>
    <w:p>
      <w:pPr>
        <w:spacing w:after="0" w:line="122" w:lineRule="exact"/>
        <w:rPr>
          <w:sz w:val="20"/>
          <w:szCs w:val="20"/>
          <w:color w:val="auto"/>
        </w:rPr>
      </w:pPr>
    </w:p>
    <w:tbl>
      <w:tblPr>
        <w:tblLayout w:type="fixed"/>
        <w:tblInd w:w="1180" w:type="dxa"/>
        <w:tblCellMar>
          <w:top w:w="0" w:type="dxa"/>
          <w:left w:w="0" w:type="dxa"/>
          <w:bottom w:w="0" w:type="dxa"/>
          <w:right w:w="0" w:type="dxa"/>
        </w:tblCellMar>
      </w:tblPr>
      <w:tr>
        <w:trPr>
          <w:trHeight w:val="155"/>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78"/>
              </w:rPr>
              <w:t>Successor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0"/>
              </w:rPr>
              <w:t>Predecessor</w:t>
            </w:r>
          </w:p>
        </w:tc>
      </w:tr>
      <w:tr>
        <w:trPr>
          <w:trHeight w:val="121"/>
        </w:trPr>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right w:val="single" w:sz="8" w:color="auto"/>
            </w:tcBorders>
            <w:gridSpan w:val="3"/>
          </w:tcPr>
          <w:p>
            <w:pPr>
              <w:jc w:val="center"/>
              <w:spacing w:after="0" w:line="121" w:lineRule="exact"/>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w w:val="84"/>
              </w:rPr>
              <w:t>For the period</w:t>
            </w:r>
          </w:p>
        </w:tc>
        <w:tc>
          <w:tcPr>
            <w:tcW w:w="60" w:type="dxa"/>
            <w:vAlign w:val="bottom"/>
          </w:tcPr>
          <w:p>
            <w:pPr>
              <w:spacing w:after="0"/>
              <w:rPr>
                <w:sz w:val="10"/>
                <w:szCs w:val="10"/>
                <w:color w:val="auto"/>
              </w:rPr>
            </w:pPr>
          </w:p>
        </w:tc>
      </w:tr>
      <w:tr>
        <w:trPr>
          <w:trHeight w:val="132"/>
        </w:trPr>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79"/>
              </w:rPr>
              <w:t>For the three</w:t>
            </w:r>
          </w:p>
        </w:tc>
        <w:tc>
          <w:tcPr>
            <w:tcW w:w="78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78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8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820" w:type="dxa"/>
            <w:vAlign w:val="bottom"/>
            <w:tcBorders>
              <w:right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January 1,</w:t>
            </w:r>
          </w:p>
        </w:tc>
      </w:tr>
      <w:tr>
        <w:trPr>
          <w:trHeight w:val="132"/>
        </w:trPr>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75"/>
              </w:rPr>
              <w:t>months ended</w:t>
            </w:r>
          </w:p>
        </w:tc>
        <w:tc>
          <w:tcPr>
            <w:tcW w:w="78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tcPr>
          <w:p>
            <w:pPr>
              <w:jc w:val="center"/>
              <w:ind w:right="158"/>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18"/>
              <w:spacing w:after="0" w:line="132" w:lineRule="exact"/>
              <w:rPr>
                <w:sz w:val="20"/>
                <w:szCs w:val="20"/>
                <w:color w:val="auto"/>
              </w:rPr>
            </w:pPr>
            <w:r>
              <w:rPr>
                <w:rFonts w:ascii="Arial" w:cs="Arial" w:eastAsia="Arial" w:hAnsi="Arial"/>
                <w:sz w:val="12"/>
                <w:szCs w:val="12"/>
                <w:b w:val="1"/>
                <w:bCs w:val="1"/>
                <w:color w:val="auto"/>
                <w:w w:val="89"/>
              </w:rPr>
              <w:t>2018</w:t>
            </w:r>
          </w:p>
        </w:tc>
        <w:tc>
          <w:tcPr>
            <w:tcW w:w="60" w:type="dxa"/>
            <w:vAlign w:val="bottom"/>
          </w:tcPr>
          <w:p>
            <w:pPr>
              <w:spacing w:after="0"/>
              <w:rPr>
                <w:sz w:val="11"/>
                <w:szCs w:val="11"/>
                <w:color w:val="auto"/>
              </w:rPr>
            </w:pPr>
          </w:p>
        </w:tc>
      </w:tr>
      <w:tr>
        <w:trPr>
          <w:trHeight w:val="132"/>
        </w:trPr>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March 31,</w:t>
            </w:r>
          </w:p>
        </w:tc>
        <w:tc>
          <w:tcPr>
            <w:tcW w:w="100" w:type="dxa"/>
            <w:vAlign w:val="bottom"/>
          </w:tcPr>
          <w:p>
            <w:pPr>
              <w:spacing w:after="0"/>
              <w:rPr>
                <w:sz w:val="11"/>
                <w:szCs w:val="11"/>
                <w:color w:val="auto"/>
              </w:rPr>
            </w:pPr>
          </w:p>
        </w:tc>
        <w:tc>
          <w:tcPr>
            <w:tcW w:w="68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20" w:type="dxa"/>
            <w:vAlign w:val="bottom"/>
            <w:tcBorders>
              <w:right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through</w:t>
            </w:r>
          </w:p>
        </w:tc>
      </w:tr>
      <w:tr>
        <w:trPr>
          <w:trHeight w:val="155"/>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18"/>
              <w:spacing w:after="0"/>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ind w:right="98"/>
              <w:spacing w:after="0"/>
              <w:rPr>
                <w:sz w:val="20"/>
                <w:szCs w:val="20"/>
                <w:color w:val="auto"/>
              </w:rPr>
            </w:pPr>
            <w:r>
              <w:rPr>
                <w:rFonts w:ascii="Arial" w:cs="Arial" w:eastAsia="Arial" w:hAnsi="Arial"/>
                <w:sz w:val="12"/>
                <w:szCs w:val="12"/>
                <w:b w:val="1"/>
                <w:bCs w:val="1"/>
                <w:color w:val="auto"/>
                <w:w w:val="97"/>
              </w:rPr>
              <w:t>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center"/>
              <w:ind w:right="18"/>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38"/>
              <w:spacing w:after="0"/>
              <w:rPr>
                <w:sz w:val="20"/>
                <w:szCs w:val="20"/>
                <w:color w:val="auto"/>
              </w:rPr>
            </w:pPr>
            <w:r>
              <w:rPr>
                <w:rFonts w:ascii="Arial" w:cs="Arial" w:eastAsia="Arial" w:hAnsi="Arial"/>
                <w:sz w:val="12"/>
                <w:szCs w:val="12"/>
                <w:b w:val="1"/>
                <w:bCs w:val="1"/>
                <w:color w:val="auto"/>
                <w:w w:val="82"/>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tcPr>
          <w:p>
            <w:pPr>
              <w:jc w:val="center"/>
              <w:ind w:right="118"/>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April 10, 2018</w:t>
            </w:r>
          </w:p>
        </w:tc>
      </w:tr>
      <w:tr>
        <w:trPr>
          <w:trHeight w:val="150"/>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12"/>
          </w:tcPr>
          <w:p>
            <w:pPr>
              <w:jc w:val="center"/>
              <w:spacing w:after="0"/>
              <w:rPr>
                <w:sz w:val="20"/>
                <w:szCs w:val="20"/>
                <w:color w:val="auto"/>
              </w:rPr>
            </w:pPr>
            <w:r>
              <w:rPr>
                <w:rFonts w:ascii="Arial" w:cs="Arial" w:eastAsia="Arial" w:hAnsi="Arial"/>
                <w:sz w:val="12"/>
                <w:szCs w:val="12"/>
                <w:b w:val="1"/>
                <w:bCs w:val="1"/>
                <w:color w:val="auto"/>
                <w:w w:val="82"/>
              </w:rPr>
              <w:t>(in thousands, except share and per share data)</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9"/>
        </w:trPr>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r>
      <w:tr>
        <w:trPr>
          <w:trHeight w:val="158"/>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Operations Data:</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r>
      <w:tr>
        <w:trPr>
          <w:trHeight w:val="165"/>
        </w:trPr>
        <w:tc>
          <w:tcPr>
            <w:tcW w:w="1920" w:type="dxa"/>
            <w:vAlign w:val="bottom"/>
          </w:tcPr>
          <w:p>
            <w:pPr>
              <w:spacing w:after="0"/>
              <w:rPr>
                <w:sz w:val="20"/>
                <w:szCs w:val="20"/>
                <w:color w:val="auto"/>
              </w:rPr>
            </w:pPr>
            <w:r>
              <w:rPr>
                <w:rFonts w:ascii="Arial" w:cs="Arial" w:eastAsia="Arial" w:hAnsi="Arial"/>
                <w:sz w:val="12"/>
                <w:szCs w:val="12"/>
                <w:b w:val="1"/>
                <w:bCs w:val="1"/>
                <w:color w:val="auto"/>
              </w:rPr>
              <w:t>Operating Revenues</w:t>
            </w: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5"/>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Passenger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104,195</w:t>
            </w:r>
          </w:p>
        </w:tc>
        <w:tc>
          <w:tcPr>
            <w:tcW w:w="24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6"/>
              </w:rPr>
              <w:t>178,486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359,232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688,833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335,824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172,897</w:t>
            </w:r>
          </w:p>
        </w:tc>
        <w:tc>
          <w:tcPr>
            <w:tcW w:w="60" w:type="dxa"/>
            <w:vAlign w:val="bottom"/>
            <w:tcBorders>
              <w:left w:val="single" w:sz="8" w:color="CCEEFF"/>
            </w:tcBorders>
          </w:tcPr>
          <w:p>
            <w:pPr>
              <w:spacing w:after="0"/>
              <w:rPr>
                <w:sz w:val="14"/>
                <w:szCs w:val="14"/>
                <w:color w:val="auto"/>
              </w:rPr>
            </w:pPr>
          </w:p>
        </w:tc>
      </w:tr>
      <w:tr>
        <w:trPr>
          <w:trHeight w:val="165"/>
        </w:trPr>
        <w:tc>
          <w:tcPr>
            <w:tcW w:w="1920" w:type="dxa"/>
            <w:vAlign w:val="bottom"/>
          </w:tcPr>
          <w:p>
            <w:pPr>
              <w:ind w:left="120"/>
              <w:spacing w:after="0"/>
              <w:rPr>
                <w:sz w:val="20"/>
                <w:szCs w:val="20"/>
                <w:color w:val="auto"/>
              </w:rPr>
            </w:pPr>
            <w:r>
              <w:rPr>
                <w:rFonts w:ascii="Arial" w:cs="Arial" w:eastAsia="Arial" w:hAnsi="Arial"/>
                <w:sz w:val="12"/>
                <w:szCs w:val="12"/>
                <w:color w:val="auto"/>
              </w:rPr>
              <w:t>Cargo</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21,585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36,809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87"/>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12,551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49,107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24,555</w:t>
            </w:r>
          </w:p>
        </w:tc>
        <w:tc>
          <w:tcPr>
            <w:tcW w:w="60" w:type="dxa"/>
            <w:vAlign w:val="bottom"/>
            <w:tcBorders>
              <w:left w:val="single" w:sz="8" w:color="CCEEFF"/>
            </w:tcBorders>
          </w:tcPr>
          <w:p>
            <w:pPr>
              <w:spacing w:after="0"/>
              <w:rPr>
                <w:sz w:val="16"/>
                <w:szCs w:val="16"/>
                <w:color w:val="auto"/>
              </w:rPr>
            </w:pPr>
          </w:p>
        </w:tc>
      </w:tr>
      <w:tr>
        <w:trPr>
          <w:trHeight w:val="20"/>
        </w:trPr>
        <w:tc>
          <w:tcPr>
            <w:tcW w:w="19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1920" w:type="dxa"/>
            <w:vAlign w:val="bottom"/>
          </w:tcPr>
          <w:p>
            <w:pPr>
              <w:ind w:left="240"/>
              <w:spacing w:after="0"/>
              <w:rPr>
                <w:sz w:val="20"/>
                <w:szCs w:val="20"/>
                <w:color w:val="auto"/>
              </w:rPr>
            </w:pPr>
            <w:r>
              <w:rPr>
                <w:rFonts w:ascii="Arial" w:cs="Arial" w:eastAsia="Arial" w:hAnsi="Arial"/>
                <w:sz w:val="12"/>
                <w:szCs w:val="12"/>
                <w:color w:val="auto"/>
              </w:rPr>
              <w:t>Total Operating Revenue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127,611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w w:val="96"/>
              </w:rPr>
              <w:t>180,330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401,486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701,384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384,931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197,452</w:t>
            </w:r>
          </w:p>
        </w:tc>
        <w:tc>
          <w:tcPr>
            <w:tcW w:w="60" w:type="dxa"/>
            <w:vAlign w:val="bottom"/>
          </w:tcPr>
          <w:p>
            <w:pPr>
              <w:spacing w:after="0"/>
              <w:rPr>
                <w:sz w:val="14"/>
                <w:szCs w:val="14"/>
                <w:color w:val="auto"/>
              </w:rPr>
            </w:pPr>
          </w:p>
        </w:tc>
      </w:tr>
      <w:tr>
        <w:trPr>
          <w:trHeight w:val="145"/>
        </w:trPr>
        <w:tc>
          <w:tcPr>
            <w:tcW w:w="1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r>
              <w:rPr>
                <w:rFonts w:ascii="Arial" w:cs="Arial" w:eastAsia="Arial" w:hAnsi="Arial"/>
                <w:sz w:val="12"/>
                <w:szCs w:val="12"/>
                <w:color w:val="auto"/>
              </w:rPr>
              <w:t>:</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left w:val="single" w:sz="8" w:color="CCEEFF"/>
            </w:tcBorders>
          </w:tcPr>
          <w:p>
            <w:pPr>
              <w:spacing w:after="0"/>
              <w:rPr>
                <w:sz w:val="12"/>
                <w:szCs w:val="12"/>
                <w:color w:val="auto"/>
              </w:rPr>
            </w:pPr>
          </w:p>
        </w:tc>
      </w:tr>
      <w:tr>
        <w:trPr>
          <w:trHeight w:val="165"/>
        </w:trPr>
        <w:tc>
          <w:tcPr>
            <w:tcW w:w="1920" w:type="dxa"/>
            <w:vAlign w:val="bottom"/>
          </w:tcPr>
          <w:p>
            <w:pPr>
              <w:ind w:left="120"/>
              <w:spacing w:after="0"/>
              <w:rPr>
                <w:sz w:val="20"/>
                <w:szCs w:val="20"/>
                <w:color w:val="auto"/>
              </w:rPr>
            </w:pPr>
            <w:r>
              <w:rPr>
                <w:rFonts w:ascii="Arial" w:cs="Arial" w:eastAsia="Arial" w:hAnsi="Arial"/>
                <w:sz w:val="12"/>
                <w:szCs w:val="12"/>
                <w:color w:val="auto"/>
              </w:rPr>
              <w:t>Aircraft Fuel</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24,274</w:t>
            </w:r>
          </w:p>
        </w:tc>
        <w:tc>
          <w:tcPr>
            <w:tcW w:w="2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55,561</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83,392</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165,666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119,553</w:t>
            </w: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45,790</w:t>
            </w:r>
          </w:p>
        </w:tc>
        <w:tc>
          <w:tcPr>
            <w:tcW w:w="60" w:type="dxa"/>
            <w:vAlign w:val="bottom"/>
          </w:tcPr>
          <w:p>
            <w:pPr>
              <w:spacing w:after="0"/>
              <w:rPr>
                <w:sz w:val="14"/>
                <w:szCs w:val="14"/>
                <w:color w:val="auto"/>
              </w:rPr>
            </w:pPr>
          </w:p>
        </w:tc>
      </w:tr>
      <w:tr>
        <w:trPr>
          <w:trHeight w:val="165"/>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Salaries, Wages, and Benefits.</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44,075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38,091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141,641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140,739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90,263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36,964</w:t>
            </w:r>
          </w:p>
        </w:tc>
        <w:tc>
          <w:tcPr>
            <w:tcW w:w="60" w:type="dxa"/>
            <w:vAlign w:val="bottom"/>
            <w:tcBorders>
              <w:left w:val="single" w:sz="8" w:color="CCEEFF"/>
            </w:tcBorders>
          </w:tcPr>
          <w:p>
            <w:pPr>
              <w:spacing w:after="0"/>
              <w:rPr>
                <w:sz w:val="14"/>
                <w:szCs w:val="14"/>
                <w:color w:val="auto"/>
              </w:rPr>
            </w:pPr>
          </w:p>
        </w:tc>
      </w:tr>
      <w:tr>
        <w:trPr>
          <w:trHeight w:val="187"/>
        </w:trPr>
        <w:tc>
          <w:tcPr>
            <w:tcW w:w="1920" w:type="dxa"/>
            <w:vAlign w:val="bottom"/>
          </w:tcPr>
          <w:p>
            <w:pPr>
              <w:ind w:left="120"/>
              <w:spacing w:after="0" w:line="187" w:lineRule="exact"/>
              <w:rPr>
                <w:sz w:val="20"/>
                <w:szCs w:val="20"/>
                <w:color w:val="auto"/>
              </w:rPr>
            </w:pPr>
            <w:r>
              <w:rPr>
                <w:rFonts w:ascii="Arial" w:cs="Arial" w:eastAsia="Arial" w:hAnsi="Arial"/>
                <w:sz w:val="12"/>
                <w:szCs w:val="12"/>
                <w:color w:val="auto"/>
              </w:rPr>
              <w:t>Aircraft Rent</w:t>
            </w:r>
            <w:r>
              <w:rPr>
                <w:rFonts w:ascii="Arial" w:cs="Arial" w:eastAsia="Arial" w:hAnsi="Arial"/>
                <w:sz w:val="19"/>
                <w:szCs w:val="19"/>
                <w:color w:val="auto"/>
                <w:vertAlign w:val="superscript"/>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5,599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11,032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30,989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49,908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36,831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28,329</w:t>
            </w:r>
          </w:p>
        </w:tc>
        <w:tc>
          <w:tcPr>
            <w:tcW w:w="60" w:type="dxa"/>
            <w:vAlign w:val="bottom"/>
          </w:tcPr>
          <w:p>
            <w:pPr>
              <w:spacing w:after="0"/>
              <w:rPr>
                <w:sz w:val="16"/>
                <w:szCs w:val="16"/>
                <w:color w:val="auto"/>
              </w:rPr>
            </w:pPr>
          </w:p>
        </w:tc>
      </w:tr>
      <w:tr>
        <w:trPr>
          <w:trHeight w:val="187"/>
        </w:trPr>
        <w:tc>
          <w:tcPr>
            <w:tcW w:w="1920" w:type="dxa"/>
            <w:vAlign w:val="bottom"/>
            <w:shd w:val="clear" w:color="auto" w:fill="CCEEFF"/>
          </w:tcPr>
          <w:p>
            <w:pPr>
              <w:ind w:left="120"/>
              <w:spacing w:after="0" w:line="187" w:lineRule="exact"/>
              <w:rPr>
                <w:sz w:val="20"/>
                <w:szCs w:val="20"/>
                <w:color w:val="auto"/>
              </w:rPr>
            </w:pPr>
            <w:r>
              <w:rPr>
                <w:rFonts w:ascii="Arial" w:cs="Arial" w:eastAsia="Arial" w:hAnsi="Arial"/>
                <w:sz w:val="12"/>
                <w:szCs w:val="12"/>
                <w:color w:val="auto"/>
              </w:rPr>
              <w:t>Maintenance</w:t>
            </w:r>
            <w:r>
              <w:rPr>
                <w:rFonts w:ascii="Arial" w:cs="Arial" w:eastAsia="Arial" w:hAnsi="Arial"/>
                <w:sz w:val="19"/>
                <w:szCs w:val="19"/>
                <w:color w:val="auto"/>
                <w:vertAlign w:val="superscript"/>
              </w:rPr>
              <w:t>(2)</w:t>
            </w: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9,210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27,416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35,286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15,491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9,508</w:t>
            </w:r>
          </w:p>
        </w:tc>
        <w:tc>
          <w:tcPr>
            <w:tcW w:w="60" w:type="dxa"/>
            <w:vAlign w:val="bottom"/>
            <w:tcBorders>
              <w:left w:val="single" w:sz="8" w:color="CCEEFF"/>
            </w:tcBorders>
          </w:tcPr>
          <w:p>
            <w:pPr>
              <w:spacing w:after="0"/>
              <w:rPr>
                <w:sz w:val="16"/>
                <w:szCs w:val="16"/>
                <w:color w:val="auto"/>
              </w:rPr>
            </w:pPr>
          </w:p>
        </w:tc>
      </w:tr>
      <w:tr>
        <w:trPr>
          <w:trHeight w:val="176"/>
        </w:trPr>
        <w:tc>
          <w:tcPr>
            <w:tcW w:w="1920" w:type="dxa"/>
            <w:vAlign w:val="bottom"/>
          </w:tcPr>
          <w:p>
            <w:pPr>
              <w:ind w:left="120"/>
              <w:spacing w:after="0"/>
              <w:rPr>
                <w:sz w:val="20"/>
                <w:szCs w:val="20"/>
                <w:color w:val="auto"/>
              </w:rPr>
            </w:pPr>
            <w:r>
              <w:rPr>
                <w:rFonts w:ascii="Arial" w:cs="Arial" w:eastAsia="Arial" w:hAnsi="Arial"/>
                <w:sz w:val="12"/>
                <w:szCs w:val="12"/>
                <w:color w:val="auto"/>
              </w:rPr>
              <w:t>Sales and Marketing.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5,110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8,572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16,570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35,388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17,180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10,854</w:t>
            </w:r>
          </w:p>
        </w:tc>
        <w:tc>
          <w:tcPr>
            <w:tcW w:w="60" w:type="dxa"/>
            <w:vAlign w:val="bottom"/>
          </w:tcPr>
          <w:p>
            <w:pPr>
              <w:spacing w:after="0"/>
              <w:rPr>
                <w:sz w:val="15"/>
                <w:szCs w:val="15"/>
                <w:color w:val="auto"/>
              </w:rPr>
            </w:pPr>
          </w:p>
        </w:tc>
      </w:tr>
      <w:tr>
        <w:trPr>
          <w:trHeight w:val="132"/>
        </w:trPr>
        <w:tc>
          <w:tcPr>
            <w:tcW w:w="192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Depreciation and</w:t>
            </w: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tcBorders>
              <w:left w:val="single" w:sz="8" w:color="CCEEFF"/>
            </w:tcBorders>
          </w:tcPr>
          <w:p>
            <w:pPr>
              <w:spacing w:after="0"/>
              <w:rPr>
                <w:sz w:val="11"/>
                <w:szCs w:val="11"/>
                <w:color w:val="auto"/>
              </w:rPr>
            </w:pPr>
          </w:p>
        </w:tc>
      </w:tr>
      <w:tr>
        <w:trPr>
          <w:trHeight w:val="187"/>
        </w:trPr>
        <w:tc>
          <w:tcPr>
            <w:tcW w:w="1920" w:type="dxa"/>
            <w:vAlign w:val="bottom"/>
            <w:shd w:val="clear" w:color="auto" w:fill="CCEEFF"/>
          </w:tcPr>
          <w:p>
            <w:pPr>
              <w:ind w:left="240"/>
              <w:spacing w:after="0" w:line="187"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(3)</w:t>
            </w: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10,527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34,877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14,405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2,526</w:t>
            </w:r>
          </w:p>
        </w:tc>
        <w:tc>
          <w:tcPr>
            <w:tcW w:w="60" w:type="dxa"/>
            <w:vAlign w:val="bottom"/>
            <w:tcBorders>
              <w:left w:val="single" w:sz="8" w:color="CCEEFF"/>
            </w:tcBorders>
          </w:tcPr>
          <w:p>
            <w:pPr>
              <w:spacing w:after="0"/>
              <w:rPr>
                <w:sz w:val="16"/>
                <w:szCs w:val="16"/>
                <w:color w:val="auto"/>
              </w:rPr>
            </w:pPr>
          </w:p>
        </w:tc>
      </w:tr>
      <w:tr>
        <w:trPr>
          <w:trHeight w:val="176"/>
        </w:trPr>
        <w:tc>
          <w:tcPr>
            <w:tcW w:w="1920" w:type="dxa"/>
            <w:vAlign w:val="bottom"/>
          </w:tcPr>
          <w:p>
            <w:pPr>
              <w:ind w:left="120"/>
              <w:spacing w:after="0"/>
              <w:rPr>
                <w:sz w:val="20"/>
                <w:szCs w:val="20"/>
                <w:color w:val="auto"/>
              </w:rPr>
            </w:pPr>
            <w:r>
              <w:rPr>
                <w:rFonts w:ascii="Arial" w:cs="Arial" w:eastAsia="Arial" w:hAnsi="Arial"/>
                <w:sz w:val="12"/>
                <w:szCs w:val="12"/>
                <w:color w:val="auto"/>
              </w:rPr>
              <w:t>Ground Handling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5,230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9,292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20,596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41,719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23,828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8,619</w:t>
            </w:r>
          </w:p>
        </w:tc>
        <w:tc>
          <w:tcPr>
            <w:tcW w:w="60" w:type="dxa"/>
            <w:vAlign w:val="bottom"/>
          </w:tcPr>
          <w:p>
            <w:pPr>
              <w:spacing w:after="0"/>
              <w:rPr>
                <w:sz w:val="15"/>
                <w:szCs w:val="15"/>
                <w:color w:val="auto"/>
              </w:rPr>
            </w:pPr>
          </w:p>
        </w:tc>
      </w:tr>
      <w:tr>
        <w:trPr>
          <w:trHeight w:val="154"/>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Landing Fees and Airport</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r>
      <w:tr>
        <w:trPr>
          <w:trHeight w:val="154"/>
        </w:trPr>
        <w:tc>
          <w:tcPr>
            <w:tcW w:w="19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Rent.</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8,785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31,256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44,400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25,977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10,481</w:t>
            </w:r>
          </w:p>
        </w:tc>
        <w:tc>
          <w:tcPr>
            <w:tcW w:w="60" w:type="dxa"/>
            <w:vAlign w:val="bottom"/>
            <w:tcBorders>
              <w:left w:val="single" w:sz="8" w:color="CCEEFF"/>
            </w:tcBorders>
          </w:tcPr>
          <w:p>
            <w:pPr>
              <w:spacing w:after="0"/>
              <w:rPr>
                <w:sz w:val="13"/>
                <w:szCs w:val="13"/>
                <w:color w:val="auto"/>
              </w:rPr>
            </w:pPr>
          </w:p>
        </w:tc>
      </w:tr>
      <w:tr>
        <w:trPr>
          <w:trHeight w:val="187"/>
        </w:trPr>
        <w:tc>
          <w:tcPr>
            <w:tcW w:w="1920" w:type="dxa"/>
            <w:vAlign w:val="bottom"/>
          </w:tcPr>
          <w:p>
            <w:pPr>
              <w:ind w:left="120"/>
              <w:spacing w:after="0" w:line="187" w:lineRule="exact"/>
              <w:rPr>
                <w:sz w:val="20"/>
                <w:szCs w:val="20"/>
                <w:color w:val="auto"/>
              </w:rPr>
            </w:pPr>
            <w:r>
              <w:rPr>
                <w:rFonts w:ascii="Arial" w:cs="Arial" w:eastAsia="Arial" w:hAnsi="Arial"/>
                <w:sz w:val="12"/>
                <w:szCs w:val="12"/>
                <w:color w:val="auto"/>
              </w:rPr>
              <w:t>Special Items, net</w:t>
            </w:r>
            <w:r>
              <w:rPr>
                <w:rFonts w:ascii="Arial" w:cs="Arial" w:eastAsia="Arial" w:hAnsi="Arial"/>
                <w:sz w:val="19"/>
                <w:szCs w:val="19"/>
                <w:color w:val="auto"/>
                <w:vertAlign w:val="superscript"/>
              </w:rPr>
              <w:t>(4)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(26,871)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(64,563)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7,092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(6,706)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271</w:t>
            </w:r>
          </w:p>
        </w:tc>
        <w:tc>
          <w:tcPr>
            <w:tcW w:w="60" w:type="dxa"/>
            <w:vAlign w:val="bottom"/>
          </w:tcPr>
          <w:p>
            <w:pPr>
              <w:spacing w:after="0"/>
              <w:rPr>
                <w:sz w:val="16"/>
                <w:szCs w:val="16"/>
                <w:color w:val="auto"/>
              </w:rPr>
            </w:pPr>
          </w:p>
        </w:tc>
      </w:tr>
      <w:tr>
        <w:trPr>
          <w:trHeight w:val="198"/>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Operating, net</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68,187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40,877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17,994</w:t>
            </w:r>
          </w:p>
        </w:tc>
        <w:tc>
          <w:tcPr>
            <w:tcW w:w="60" w:type="dxa"/>
            <w:vAlign w:val="bottom"/>
            <w:tcBorders>
              <w:left w:val="single" w:sz="8" w:color="CCEEFF"/>
            </w:tcBorders>
          </w:tcPr>
          <w:p>
            <w:pPr>
              <w:spacing w:after="0"/>
              <w:rPr>
                <w:sz w:val="17"/>
                <w:szCs w:val="17"/>
                <w:color w:val="auto"/>
              </w:rPr>
            </w:pPr>
          </w:p>
        </w:tc>
      </w:tr>
      <w:tr>
        <w:trPr>
          <w:trHeight w:val="20"/>
        </w:trPr>
        <w:tc>
          <w:tcPr>
            <w:tcW w:w="19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1920" w:type="dxa"/>
            <w:vAlign w:val="bottom"/>
          </w:tcPr>
          <w:p>
            <w:pPr>
              <w:ind w:left="120"/>
              <w:spacing w:after="0"/>
              <w:rPr>
                <w:sz w:val="20"/>
                <w:szCs w:val="20"/>
                <w:color w:val="auto"/>
              </w:rPr>
            </w:pPr>
            <w:r>
              <w:rPr>
                <w:rFonts w:ascii="Arial" w:cs="Arial" w:eastAsia="Arial" w:hAnsi="Arial"/>
                <w:sz w:val="12"/>
                <w:szCs w:val="12"/>
                <w:color w:val="auto"/>
              </w:rPr>
              <w:t>Total Operating Expenses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102,678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w w:val="96"/>
              </w:rPr>
              <w:t>165,100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384,101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623,262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jc w:val="right"/>
              <w:ind w:right="58"/>
              <w:spacing w:after="0"/>
              <w:rPr>
                <w:sz w:val="20"/>
                <w:szCs w:val="20"/>
                <w:color w:val="auto"/>
              </w:rPr>
            </w:pPr>
            <w:r>
              <w:rPr>
                <w:rFonts w:ascii="Arial" w:cs="Arial" w:eastAsia="Arial" w:hAnsi="Arial"/>
                <w:sz w:val="12"/>
                <w:szCs w:val="12"/>
                <w:color w:val="auto"/>
              </w:rPr>
              <w:t>377,699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171,336</w:t>
            </w:r>
          </w:p>
        </w:tc>
        <w:tc>
          <w:tcPr>
            <w:tcW w:w="60" w:type="dxa"/>
            <w:vAlign w:val="bottom"/>
          </w:tcPr>
          <w:p>
            <w:pPr>
              <w:spacing w:after="0"/>
              <w:rPr>
                <w:sz w:val="15"/>
                <w:szCs w:val="15"/>
                <w:color w:val="auto"/>
              </w:rPr>
            </w:pPr>
          </w:p>
        </w:tc>
      </w:tr>
      <w:tr>
        <w:trPr>
          <w:trHeight w:val="20"/>
        </w:trPr>
        <w:tc>
          <w:tcPr>
            <w:tcW w:w="19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156"/>
        </w:trPr>
        <w:tc>
          <w:tcPr>
            <w:tcW w:w="192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15,230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17,385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78,122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7,232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26,116</w:t>
            </w:r>
          </w:p>
        </w:tc>
        <w:tc>
          <w:tcPr>
            <w:tcW w:w="60" w:type="dxa"/>
            <w:vAlign w:val="bottom"/>
            <w:tcBorders>
              <w:left w:val="single" w:sz="8" w:color="CCEEFF"/>
            </w:tcBorders>
          </w:tcPr>
          <w:p>
            <w:pPr>
              <w:spacing w:after="0"/>
              <w:rPr>
                <w:sz w:val="13"/>
                <w:szCs w:val="13"/>
                <w:color w:val="auto"/>
              </w:rPr>
            </w:pPr>
          </w:p>
        </w:tc>
      </w:tr>
      <w:tr>
        <w:trPr>
          <w:trHeight w:val="176"/>
        </w:trPr>
        <w:tc>
          <w:tcPr>
            <w:tcW w:w="1920" w:type="dxa"/>
            <w:vAlign w:val="bottom"/>
          </w:tcPr>
          <w:p>
            <w:pPr>
              <w:spacing w:after="0"/>
              <w:rPr>
                <w:sz w:val="20"/>
                <w:szCs w:val="20"/>
                <w:color w:val="auto"/>
              </w:rPr>
            </w:pPr>
            <w:r>
              <w:rPr>
                <w:rFonts w:ascii="Arial" w:cs="Arial" w:eastAsia="Arial" w:hAnsi="Arial"/>
                <w:sz w:val="12"/>
                <w:szCs w:val="12"/>
                <w:b w:val="1"/>
                <w:bCs w:val="1"/>
                <w:color w:val="auto"/>
                <w:w w:val="99"/>
              </w:rPr>
              <w:t>Non-operating Income (Expense)</w:t>
            </w:r>
            <w:r>
              <w:rPr>
                <w:rFonts w:ascii="Arial" w:cs="Arial" w:eastAsia="Arial" w:hAnsi="Arial"/>
                <w:sz w:val="12"/>
                <w:szCs w:val="12"/>
                <w:color w:val="auto"/>
                <w:w w:val="99"/>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w:t>
            </w:r>
          </w:p>
        </w:tc>
        <w:tc>
          <w:tcPr>
            <w:tcW w:w="24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258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60" w:type="dxa"/>
            <w:vAlign w:val="bottom"/>
            <w:tcBorders>
              <w:left w:val="single" w:sz="8" w:color="CCEEFF"/>
            </w:tcBorders>
          </w:tcPr>
          <w:p>
            <w:pPr>
              <w:spacing w:after="0"/>
              <w:rPr>
                <w:sz w:val="15"/>
                <w:szCs w:val="15"/>
                <w:color w:val="auto"/>
              </w:rPr>
            </w:pPr>
          </w:p>
        </w:tc>
      </w:tr>
      <w:tr>
        <w:trPr>
          <w:trHeight w:val="187"/>
        </w:trPr>
        <w:tc>
          <w:tcPr>
            <w:tcW w:w="192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(7,121)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(5,616)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(22,073)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(17,170)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(6,060)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(339)</w:t>
            </w:r>
          </w:p>
        </w:tc>
      </w:tr>
    </w:tbl>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22"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78"/>
              </w:rPr>
              <w:t>Successor</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gridSpan w:val="3"/>
          </w:tcPr>
          <w:p>
            <w:pPr>
              <w:jc w:val="center"/>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20" w:type="dxa"/>
            <w:vAlign w:val="bottom"/>
          </w:tcPr>
          <w:p>
            <w:pPr>
              <w:spacing w:after="0"/>
              <w:rPr>
                <w:sz w:val="11"/>
                <w:szCs w:val="11"/>
                <w:color w:val="auto"/>
              </w:rPr>
            </w:pPr>
          </w:p>
        </w:tc>
        <w:tc>
          <w:tcPr>
            <w:tcW w:w="7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w w:val="89"/>
              </w:rPr>
              <w:t>For the period</w:t>
            </w: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For the three</w:t>
            </w:r>
          </w:p>
        </w:tc>
        <w:tc>
          <w:tcPr>
            <w:tcW w:w="880" w:type="dxa"/>
            <w:vAlign w:val="bottom"/>
            <w:gridSpan w:val="4"/>
          </w:tcPr>
          <w:p>
            <w:pPr>
              <w:jc w:val="center"/>
              <w:ind w:right="14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8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 the year</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8"/>
              </w:rPr>
              <w:t>For the year</w:t>
            </w:r>
          </w:p>
        </w:tc>
        <w:tc>
          <w:tcPr>
            <w:tcW w:w="820" w:type="dxa"/>
            <w:vAlign w:val="bottom"/>
            <w:tcBorders>
              <w:right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right="60"/>
              <w:spacing w:after="0" w:line="132" w:lineRule="exact"/>
              <w:rPr>
                <w:sz w:val="20"/>
                <w:szCs w:val="20"/>
                <w:color w:val="auto"/>
              </w:rPr>
            </w:pPr>
            <w:r>
              <w:rPr>
                <w:rFonts w:ascii="Arial" w:cs="Arial" w:eastAsia="Arial" w:hAnsi="Arial"/>
                <w:sz w:val="12"/>
                <w:szCs w:val="12"/>
                <w:b w:val="1"/>
                <w:bCs w:val="1"/>
                <w:color w:val="auto"/>
                <w:w w:val="77"/>
              </w:rPr>
              <w:t>months ended</w:t>
            </w:r>
          </w:p>
        </w:tc>
        <w:tc>
          <w:tcPr>
            <w:tcW w:w="88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80" w:type="dxa"/>
            <w:vAlign w:val="bottom"/>
          </w:tcPr>
          <w:p>
            <w:pPr>
              <w:spacing w:after="0"/>
              <w:rPr>
                <w:sz w:val="11"/>
                <w:szCs w:val="11"/>
                <w:color w:val="auto"/>
              </w:rPr>
            </w:pPr>
          </w:p>
        </w:tc>
        <w:tc>
          <w:tcPr>
            <w:tcW w:w="72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64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ended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jc w:val="center"/>
              <w:ind w:right="118"/>
              <w:spacing w:after="0" w:line="132" w:lineRule="exact"/>
              <w:rPr>
                <w:sz w:val="20"/>
                <w:szCs w:val="20"/>
                <w:color w:val="auto"/>
              </w:rPr>
            </w:pPr>
            <w:r>
              <w:rPr>
                <w:rFonts w:ascii="Arial" w:cs="Arial" w:eastAsia="Arial" w:hAnsi="Arial"/>
                <w:sz w:val="12"/>
                <w:szCs w:val="12"/>
                <w:b w:val="1"/>
                <w:bCs w:val="1"/>
                <w:color w:val="auto"/>
                <w:w w:val="88"/>
              </w:rPr>
              <w:t>through</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9"/>
              <w:spacing w:after="0" w:line="132" w:lineRule="exact"/>
              <w:rPr>
                <w:sz w:val="20"/>
                <w:szCs w:val="20"/>
                <w:color w:val="auto"/>
              </w:rPr>
            </w:pPr>
            <w:r>
              <w:rPr>
                <w:rFonts w:ascii="Arial" w:cs="Arial" w:eastAsia="Arial" w:hAnsi="Arial"/>
                <w:sz w:val="12"/>
                <w:szCs w:val="12"/>
                <w:b w:val="1"/>
                <w:bCs w:val="1"/>
                <w:color w:val="auto"/>
                <w:w w:val="82"/>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86"/>
              </w:rPr>
              <w:t>March 31,</w:t>
            </w:r>
          </w:p>
        </w:tc>
        <w:tc>
          <w:tcPr>
            <w:tcW w:w="80" w:type="dxa"/>
            <w:vAlign w:val="bottom"/>
          </w:tcPr>
          <w:p>
            <w:pPr>
              <w:spacing w:after="0"/>
              <w:rPr>
                <w:sz w:val="11"/>
                <w:szCs w:val="11"/>
                <w:color w:val="auto"/>
              </w:rPr>
            </w:pPr>
          </w:p>
        </w:tc>
        <w:tc>
          <w:tcPr>
            <w:tcW w:w="80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90"/>
              </w:rPr>
              <w:t>March 31,</w:t>
            </w:r>
          </w:p>
        </w:tc>
        <w:tc>
          <w:tcPr>
            <w:tcW w:w="80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2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20" w:type="dxa"/>
            <w:vAlign w:val="bottom"/>
            <w:tcBorders>
              <w:right w:val="single" w:sz="8" w:color="auto"/>
            </w:tcBorders>
            <w:gridSpan w:val="3"/>
          </w:tcPr>
          <w:p>
            <w:pPr>
              <w:jc w:val="center"/>
              <w:spacing w:after="0" w:line="132" w:lineRule="exact"/>
              <w:rPr>
                <w:sz w:val="20"/>
                <w:szCs w:val="20"/>
                <w:color w:val="auto"/>
              </w:rPr>
            </w:pPr>
            <w:r>
              <w:rPr>
                <w:rFonts w:ascii="Arial" w:cs="Arial" w:eastAsia="Arial" w:hAnsi="Arial"/>
                <w:sz w:val="12"/>
                <w:szCs w:val="12"/>
                <w:b w:val="1"/>
                <w:bCs w:val="1"/>
                <w:color w:val="auto"/>
                <w:w w:val="81"/>
              </w:rPr>
              <w:t>December 31,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2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138"/>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38"/>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right w:val="single" w:sz="8" w:color="auto"/>
            </w:tcBorders>
          </w:tcPr>
          <w:p>
            <w:pPr>
              <w:jc w:val="center"/>
              <w:ind w:right="98"/>
              <w:spacing w:after="0"/>
              <w:rPr>
                <w:sz w:val="20"/>
                <w:szCs w:val="20"/>
                <w:color w:val="auto"/>
              </w:rPr>
            </w:pPr>
            <w:r>
              <w:rPr>
                <w:rFonts w:ascii="Arial" w:cs="Arial" w:eastAsia="Arial" w:hAnsi="Arial"/>
                <w:sz w:val="12"/>
                <w:szCs w:val="12"/>
                <w:b w:val="1"/>
                <w:bCs w:val="1"/>
                <w:color w:val="auto"/>
                <w:w w:val="82"/>
              </w:rPr>
              <w:t>2018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9"/>
          </w:tcPr>
          <w:p>
            <w:pPr>
              <w:ind w:left="20"/>
              <w:spacing w:after="0"/>
              <w:rPr>
                <w:sz w:val="20"/>
                <w:szCs w:val="20"/>
                <w:color w:val="auto"/>
              </w:rPr>
            </w:pPr>
            <w:r>
              <w:rPr>
                <w:rFonts w:ascii="Arial" w:cs="Arial" w:eastAsia="Arial" w:hAnsi="Arial"/>
                <w:sz w:val="12"/>
                <w:szCs w:val="12"/>
                <w:b w:val="1"/>
                <w:bCs w:val="1"/>
                <w:color w:val="auto"/>
                <w:w w:val="83"/>
              </w:rPr>
              <w:t>(in thousands, except share and per share data)</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net</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(371)</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880" w:type="dxa"/>
            <w:vAlign w:val="bottom"/>
            <w:tcBorders>
              <w:top w:val="single" w:sz="8" w:color="CCEEFF"/>
            </w:tcBorders>
          </w:tcPr>
          <w:p>
            <w:pPr>
              <w:ind w:left="120"/>
              <w:spacing w:after="0"/>
              <w:rPr>
                <w:sz w:val="20"/>
                <w:szCs w:val="20"/>
                <w:color w:val="auto"/>
              </w:rPr>
            </w:pPr>
            <w:r>
              <w:rPr>
                <w:rFonts w:ascii="Arial" w:cs="Arial" w:eastAsia="Arial" w:hAnsi="Arial"/>
                <w:sz w:val="12"/>
                <w:szCs w:val="12"/>
                <w:color w:val="auto"/>
              </w:rPr>
              <w:t>Total Non-operating Expense</w:t>
            </w: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(7,111)</w:t>
            </w: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(5,534)</w:t>
            </w: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(22,067)</w:t>
            </w: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(17,962)</w:t>
            </w: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2"/>
                <w:szCs w:val="12"/>
                <w:color w:val="auto"/>
              </w:rPr>
              <w:t>(7,438)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17,822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9,696</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(4,682)</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60,160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25,910</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880" w:type="dxa"/>
            <w:vAlign w:val="bottom"/>
            <w:tcBorders>
              <w:top w:val="single" w:sz="8" w:color="CCEEFF"/>
            </w:tcBorders>
          </w:tcPr>
          <w:p>
            <w:pPr>
              <w:ind w:left="120"/>
              <w:spacing w:after="0"/>
              <w:rPr>
                <w:sz w:val="20"/>
                <w:szCs w:val="20"/>
                <w:color w:val="auto"/>
              </w:rPr>
            </w:pPr>
            <w:r>
              <w:rPr>
                <w:rFonts w:ascii="Arial" w:cs="Arial" w:eastAsia="Arial" w:hAnsi="Arial"/>
                <w:sz w:val="12"/>
                <w:szCs w:val="12"/>
                <w:color w:val="auto"/>
              </w:rPr>
              <w:t>Income Tax Expense (Benefit)</w:t>
            </w: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5,406</w:t>
            </w: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2,445</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(778)</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14,088</w:t>
            </w: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2"/>
                <w:szCs w:val="12"/>
                <w:color w:val="auto"/>
              </w:rPr>
              <w:t>161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12,416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7,251</w:t>
            </w: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(3,904)</w:t>
            </w:r>
          </w:p>
        </w:tc>
        <w:tc>
          <w:tcPr>
            <w:tcW w:w="16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46,072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right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(367)</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25,910</w:t>
            </w: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2"/>
                <w:szCs w:val="12"/>
                <w:color w:val="auto"/>
              </w:rPr>
              <w:t>Net Income (Loss) per share to</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ind w:left="120"/>
              <w:spacing w:after="0"/>
              <w:rPr>
                <w:sz w:val="20"/>
                <w:szCs w:val="20"/>
                <w:color w:val="auto"/>
              </w:rPr>
            </w:pPr>
            <w:r>
              <w:rPr>
                <w:rFonts w:ascii="Arial" w:cs="Arial" w:eastAsia="Arial" w:hAnsi="Arial"/>
                <w:sz w:val="12"/>
                <w:szCs w:val="12"/>
                <w:color w:val="auto"/>
              </w:rPr>
              <w:t>common stockholders: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0.26</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0.16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12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0.26</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80" w:type="dxa"/>
            <w:vAlign w:val="bottom"/>
          </w:tcPr>
          <w:p>
            <w:pPr>
              <w:spacing w:after="0"/>
              <w:rPr>
                <w:sz w:val="20"/>
                <w:szCs w:val="20"/>
                <w:color w:val="auto"/>
              </w:rPr>
            </w:pPr>
            <w:r>
              <w:rPr>
                <w:rFonts w:ascii="Arial" w:cs="Arial" w:eastAsia="Arial" w:hAnsi="Arial"/>
                <w:sz w:val="12"/>
                <w:szCs w:val="12"/>
                <w:color w:val="auto"/>
              </w:rPr>
              <w:t>Diluted</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0.24</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0.15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(0.08)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0.96</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(0.01)</w:t>
            </w:r>
          </w:p>
        </w:tc>
        <w:tc>
          <w:tcPr>
            <w:tcW w:w="120" w:type="dxa"/>
            <w:vAlign w:val="bottom"/>
            <w:gridSpan w:val="3"/>
          </w:tcPr>
          <w:p>
            <w:pPr>
              <w:ind w:left="4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0.26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 average shares</w:t>
            </w: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outstanding:</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20"/>
                <w:szCs w:val="20"/>
                <w:color w:val="auto"/>
              </w:rPr>
            </w:pPr>
            <w:r>
              <w:rPr>
                <w:rFonts w:ascii="Arial" w:cs="Arial" w:eastAsia="Arial" w:hAnsi="Arial"/>
                <w:sz w:val="12"/>
                <w:szCs w:val="12"/>
                <w:color w:val="auto"/>
              </w:rPr>
              <w:t>Basic</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48,496,077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46,805,951</w:t>
            </w:r>
          </w:p>
        </w:tc>
        <w:tc>
          <w:tcPr>
            <w:tcW w:w="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46,805,951</w:t>
            </w: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46,773,038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tcPr>
          <w:p>
            <w:pPr>
              <w:jc w:val="right"/>
              <w:ind w:right="38"/>
              <w:spacing w:after="0"/>
              <w:rPr>
                <w:sz w:val="20"/>
                <w:szCs w:val="20"/>
                <w:color w:val="auto"/>
              </w:rPr>
            </w:pPr>
            <w:r>
              <w:rPr>
                <w:rFonts w:ascii="Arial" w:cs="Arial" w:eastAsia="Arial" w:hAnsi="Arial"/>
                <w:sz w:val="12"/>
                <w:szCs w:val="12"/>
                <w:color w:val="auto"/>
                <w:w w:val="89"/>
              </w:rPr>
              <w:t>46,700,990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89"/>
              </w:rPr>
              <w:t>100,000,000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8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52,508,186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48,225,603</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46,805,951</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47,909,413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46,700,990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100,000,000</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480" w:right="1259" w:hanging="301"/>
        <w:spacing w:after="0" w:line="237" w:lineRule="auto"/>
        <w:tabs>
          <w:tab w:leader="none" w:pos="1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34" w:lineRule="exact"/>
        <w:rPr>
          <w:rFonts w:ascii="Arial" w:cs="Arial" w:eastAsia="Arial" w:hAnsi="Arial"/>
          <w:sz w:val="14"/>
          <w:szCs w:val="14"/>
          <w:color w:val="auto"/>
        </w:rPr>
      </w:pPr>
    </w:p>
    <w:p>
      <w:pPr>
        <w:ind w:left="1480" w:right="1219" w:hanging="301"/>
        <w:spacing w:after="0" w:line="237" w:lineRule="auto"/>
        <w:tabs>
          <w:tab w:leader="none" w:pos="1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23" w:lineRule="exact"/>
        <w:rPr>
          <w:rFonts w:ascii="Arial" w:cs="Arial" w:eastAsia="Arial" w:hAnsi="Arial"/>
          <w:sz w:val="14"/>
          <w:szCs w:val="14"/>
          <w:color w:val="auto"/>
        </w:rPr>
      </w:pPr>
    </w:p>
    <w:p>
      <w:pPr>
        <w:ind w:left="1480" w:right="1259" w:hanging="301"/>
        <w:spacing w:after="0" w:line="225" w:lineRule="auto"/>
        <w:tabs>
          <w:tab w:leader="none" w:pos="1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23" w:lineRule="exact"/>
        <w:rPr>
          <w:rFonts w:ascii="Arial" w:cs="Arial" w:eastAsia="Arial" w:hAnsi="Arial"/>
          <w:sz w:val="15"/>
          <w:szCs w:val="15"/>
          <w:color w:val="auto"/>
        </w:rPr>
      </w:pPr>
    </w:p>
    <w:p>
      <w:pPr>
        <w:jc w:val="both"/>
        <w:ind w:left="1480" w:right="1319" w:hanging="301"/>
        <w:spacing w:after="0" w:line="229" w:lineRule="auto"/>
        <w:tabs>
          <w:tab w:leader="none" w:pos="1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tbl>
      <w:tblPr>
        <w:tblLayout w:type="fixed"/>
        <w:tblInd w:w="1180" w:type="dxa"/>
        <w:tblCellMar>
          <w:top w:w="0" w:type="dxa"/>
          <w:left w:w="0" w:type="dxa"/>
          <w:bottom w:w="0" w:type="dxa"/>
          <w:right w:w="0" w:type="dxa"/>
        </w:tblCellMar>
      </w:tblPr>
      <w:tr>
        <w:trPr>
          <w:trHeight w:val="126"/>
        </w:trPr>
        <w:tc>
          <w:tcPr>
            <w:tcW w:w="592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6"/>
              </w:rPr>
              <w:t>As of</w:t>
            </w:r>
          </w:p>
        </w:tc>
        <w:tc>
          <w:tcPr>
            <w:tcW w:w="0" w:type="dxa"/>
            <w:vAlign w:val="bottom"/>
          </w:tcPr>
          <w:p>
            <w:pPr>
              <w:spacing w:after="0"/>
              <w:rPr>
                <w:sz w:val="1"/>
                <w:szCs w:val="1"/>
                <w:color w:val="auto"/>
              </w:rPr>
            </w:pPr>
          </w:p>
        </w:tc>
      </w:tr>
      <w:tr>
        <w:trPr>
          <w:trHeight w:val="132"/>
        </w:trPr>
        <w:tc>
          <w:tcPr>
            <w:tcW w:w="592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0"/>
              </w:rPr>
              <w:t>March 31,</w:t>
            </w:r>
          </w:p>
        </w:tc>
        <w:tc>
          <w:tcPr>
            <w:tcW w:w="0" w:type="dxa"/>
            <w:vAlign w:val="bottom"/>
          </w:tcPr>
          <w:p>
            <w:pPr>
              <w:spacing w:after="0"/>
              <w:rPr>
                <w:sz w:val="1"/>
                <w:szCs w:val="1"/>
                <w:color w:val="auto"/>
              </w:rPr>
            </w:pPr>
          </w:p>
        </w:tc>
      </w:tr>
      <w:tr>
        <w:trPr>
          <w:trHeight w:val="150"/>
        </w:trPr>
        <w:tc>
          <w:tcPr>
            <w:tcW w:w="59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9"/>
              </w:rPr>
              <w:t>2021</w:t>
            </w:r>
          </w:p>
        </w:tc>
        <w:tc>
          <w:tcPr>
            <w:tcW w:w="0" w:type="dxa"/>
            <w:vAlign w:val="bottom"/>
          </w:tcPr>
          <w:p>
            <w:pPr>
              <w:spacing w:after="0"/>
              <w:rPr>
                <w:sz w:val="1"/>
                <w:szCs w:val="1"/>
                <w:color w:val="auto"/>
              </w:rPr>
            </w:pPr>
          </w:p>
        </w:tc>
      </w:tr>
      <w:tr>
        <w:trPr>
          <w:trHeight w:val="21"/>
        </w:trPr>
        <w:tc>
          <w:tcPr>
            <w:tcW w:w="592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r>
              <w:rPr>
                <w:rFonts w:ascii="Arial" w:cs="Arial" w:eastAsia="Arial" w:hAnsi="Arial"/>
                <w:sz w:val="15"/>
                <w:szCs w:val="15"/>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5"/>
                <w:szCs w:val="15"/>
                <w:color w:val="auto"/>
              </w:rPr>
              <w:t>Cash and equivalents</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  269,599</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1,244,202</w:t>
            </w:r>
          </w:p>
        </w:tc>
        <w:tc>
          <w:tcPr>
            <w:tcW w:w="0" w:type="dxa"/>
            <w:vAlign w:val="bottom"/>
          </w:tcPr>
          <w:p>
            <w:pPr>
              <w:spacing w:after="0"/>
              <w:rPr>
                <w:sz w:val="1"/>
                <w:szCs w:val="1"/>
                <w:color w:val="auto"/>
              </w:rPr>
            </w:pPr>
          </w:p>
        </w:tc>
      </w:tr>
      <w:tr>
        <w:trPr>
          <w:trHeight w:val="220"/>
        </w:trPr>
        <w:tc>
          <w:tcPr>
            <w:tcW w:w="5920" w:type="dxa"/>
            <w:vAlign w:val="bottom"/>
          </w:tcPr>
          <w:p>
            <w:pPr>
              <w:spacing w:after="0"/>
              <w:rPr>
                <w:sz w:val="20"/>
                <w:szCs w:val="20"/>
                <w:color w:val="auto"/>
              </w:rPr>
            </w:pPr>
            <w:r>
              <w:rPr>
                <w:rFonts w:ascii="Arial" w:cs="Arial" w:eastAsia="Arial" w:hAnsi="Arial"/>
                <w:sz w:val="15"/>
                <w:szCs w:val="15"/>
                <w:color w:val="auto"/>
              </w:rPr>
              <w:t>Long-term debt and leases, including current portion</w:t>
            </w:r>
          </w:p>
        </w:tc>
        <w:tc>
          <w:tcPr>
            <w:tcW w:w="760" w:type="dxa"/>
            <w:vAlign w:val="bottom"/>
          </w:tcPr>
          <w:p>
            <w:pPr>
              <w:jc w:val="right"/>
              <w:spacing w:after="0"/>
              <w:rPr>
                <w:sz w:val="20"/>
                <w:szCs w:val="20"/>
                <w:color w:val="auto"/>
              </w:rPr>
            </w:pPr>
            <w:r>
              <w:rPr>
                <w:rFonts w:ascii="Arial" w:cs="Arial" w:eastAsia="Arial" w:hAnsi="Arial"/>
                <w:sz w:val="15"/>
                <w:szCs w:val="15"/>
                <w:color w:val="auto"/>
              </w:rPr>
              <w:t>505,141</w:t>
            </w:r>
          </w:p>
        </w:tc>
        <w:tc>
          <w:tcPr>
            <w:tcW w:w="0" w:type="dxa"/>
            <w:vAlign w:val="bottom"/>
          </w:tcPr>
          <w:p>
            <w:pPr>
              <w:spacing w:after="0"/>
              <w:rPr>
                <w:sz w:val="1"/>
                <w:szCs w:val="1"/>
                <w:color w:val="auto"/>
              </w:rPr>
            </w:pPr>
          </w:p>
        </w:tc>
      </w:tr>
      <w:tr>
        <w:trPr>
          <w:trHeight w:val="220"/>
        </w:trPr>
        <w:tc>
          <w:tcPr>
            <w:tcW w:w="592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409,960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22"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75"/>
              </w:rPr>
              <w:t>Successor</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For the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8"/>
              </w:rPr>
              <w:t>For the</w:t>
            </w: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8"/>
              </w:rPr>
              <w:t>For the</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3"/>
              </w:rPr>
              <w:t>For the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7"/>
              </w:rPr>
              <w:t>period</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period</w:t>
            </w: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three months</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1"/>
              </w:rPr>
              <w:t>three months</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8"/>
              </w:rPr>
              <w:t>For the</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8"/>
              </w:rPr>
              <w:t>For the</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8"/>
              </w:rPr>
              <w:t>April 11,</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79"/>
              </w:rPr>
              <w:t>ended</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ended</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year ended</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year ended</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32"/>
        </w:trPr>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86"/>
              </w:rPr>
              <w:t>March 31,</w:t>
            </w:r>
          </w:p>
        </w:tc>
        <w:tc>
          <w:tcPr>
            <w:tcW w:w="780" w:type="dxa"/>
            <w:vAlign w:val="bottom"/>
            <w:gridSpan w:val="2"/>
          </w:tcPr>
          <w:p>
            <w:pPr>
              <w:jc w:val="center"/>
              <w:ind w:right="80"/>
              <w:spacing w:after="0" w:line="132" w:lineRule="exact"/>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80" w:type="dxa"/>
            <w:vAlign w:val="bottom"/>
            <w:gridSpan w:val="2"/>
          </w:tcPr>
          <w:p>
            <w:pPr>
              <w:jc w:val="center"/>
              <w:ind w:right="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20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2"/>
              </w:rPr>
              <w:t>2021</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60" w:type="dxa"/>
            <w:vAlign w:val="bottom"/>
          </w:tcPr>
          <w:p>
            <w:pPr>
              <w:spacing w:after="0"/>
              <w:rPr>
                <w:sz w:val="13"/>
                <w:szCs w:val="13"/>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020" w:type="dxa"/>
            <w:vAlign w:val="bottom"/>
            <w:gridSpan w:val="2"/>
            <w:shd w:val="clear" w:color="auto" w:fill="CCEEFF"/>
          </w:tcPr>
          <w:p>
            <w:pPr>
              <w:spacing w:after="0" w:line="211" w:lineRule="exact"/>
              <w:rPr>
                <w:sz w:val="20"/>
                <w:szCs w:val="20"/>
                <w:color w:val="auto"/>
              </w:rPr>
            </w:pPr>
            <w:r>
              <w:rPr>
                <w:rFonts w:ascii="Arial" w:cs="Arial" w:eastAsia="Arial" w:hAnsi="Arial"/>
                <w:sz w:val="15"/>
                <w:szCs w:val="15"/>
                <w:color w:val="auto"/>
                <w:w w:val="98"/>
              </w:rPr>
              <w:t>Adjusted Net Income (Loss)</w:t>
            </w:r>
            <w:r>
              <w:rPr>
                <w:rFonts w:ascii="Arial" w:cs="Arial" w:eastAsia="Arial" w:hAnsi="Arial"/>
                <w:sz w:val="21"/>
                <w:szCs w:val="21"/>
                <w:color w:val="auto"/>
                <w:w w:val="98"/>
                <w:vertAlign w:val="superscript"/>
              </w:rPr>
              <w:t>(1)</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rPr>
              <w:t>$ (4,919)</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rPr>
              <w:t>$ 7,591</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$(47,916)</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$ 53,734</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rPr>
              <w:t>$ (5,871)</w:t>
            </w:r>
          </w:p>
        </w:tc>
        <w:tc>
          <w:tcPr>
            <w:tcW w:w="74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rPr>
              <w:t>$26,181</w:t>
            </w:r>
          </w:p>
        </w:tc>
        <w:tc>
          <w:tcPr>
            <w:tcW w:w="0" w:type="dxa"/>
            <w:vAlign w:val="bottom"/>
          </w:tcPr>
          <w:p>
            <w:pPr>
              <w:spacing w:after="0"/>
              <w:rPr>
                <w:sz w:val="1"/>
                <w:szCs w:val="1"/>
                <w:color w:val="auto"/>
              </w:rPr>
            </w:pPr>
          </w:p>
        </w:tc>
      </w:tr>
      <w:tr>
        <w:trPr>
          <w:trHeight w:val="231"/>
        </w:trPr>
        <w:tc>
          <w:tcPr>
            <w:tcW w:w="2020" w:type="dxa"/>
            <w:vAlign w:val="bottom"/>
            <w:gridSpan w:val="2"/>
          </w:tcPr>
          <w:p>
            <w:pPr>
              <w:spacing w:after="0" w:line="231"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(1)</w:t>
            </w:r>
          </w:p>
        </w:tc>
        <w:tc>
          <w:tcPr>
            <w:tcW w:w="740" w:type="dxa"/>
            <w:vAlign w:val="bottom"/>
          </w:tcPr>
          <w:p>
            <w:pPr>
              <w:jc w:val="right"/>
              <w:ind w:right="57"/>
              <w:spacing w:after="0"/>
              <w:rPr>
                <w:sz w:val="20"/>
                <w:szCs w:val="20"/>
                <w:color w:val="auto"/>
              </w:rPr>
            </w:pPr>
            <w:r>
              <w:rPr>
                <w:rFonts w:ascii="Arial" w:cs="Arial" w:eastAsia="Arial" w:hAnsi="Arial"/>
                <w:sz w:val="15"/>
                <w:szCs w:val="15"/>
                <w:color w:val="auto"/>
              </w:rPr>
              <w:t>19,405</w:t>
            </w:r>
          </w:p>
        </w:tc>
        <w:tc>
          <w:tcPr>
            <w:tcW w:w="6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5"/>
                <w:szCs w:val="15"/>
                <w:color w:val="auto"/>
              </w:rPr>
              <w:t>37,061</w:t>
            </w:r>
          </w:p>
        </w:tc>
        <w:tc>
          <w:tcPr>
            <w:tcW w:w="6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Arial" w:cs="Arial" w:eastAsia="Arial" w:hAnsi="Arial"/>
                <w:sz w:val="15"/>
                <w:szCs w:val="15"/>
                <w:color w:val="auto"/>
              </w:rPr>
              <w:t>38,930</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171,129</w:t>
            </w:r>
          </w:p>
        </w:tc>
        <w:tc>
          <w:tcPr>
            <w:tcW w:w="60" w:type="dxa"/>
            <w:vAlign w:val="bottom"/>
          </w:tcPr>
          <w:p>
            <w:pPr>
              <w:spacing w:after="0"/>
              <w:rPr>
                <w:sz w:val="20"/>
                <w:szCs w:val="20"/>
                <w:color w:val="auto"/>
              </w:rPr>
            </w:pPr>
          </w:p>
        </w:tc>
        <w:tc>
          <w:tcPr>
            <w:tcW w:w="780" w:type="dxa"/>
            <w:vAlign w:val="bottom"/>
            <w:tcBorders>
              <w:right w:val="single" w:sz="8" w:color="auto"/>
            </w:tcBorders>
          </w:tcPr>
          <w:p>
            <w:pPr>
              <w:jc w:val="right"/>
              <w:ind w:right="98"/>
              <w:spacing w:after="0"/>
              <w:rPr>
                <w:sz w:val="20"/>
                <w:szCs w:val="20"/>
                <w:color w:val="auto"/>
              </w:rPr>
            </w:pPr>
            <w:r>
              <w:rPr>
                <w:rFonts w:ascii="Arial" w:cs="Arial" w:eastAsia="Arial" w:hAnsi="Arial"/>
                <w:sz w:val="15"/>
                <w:szCs w:val="15"/>
                <w:color w:val="auto"/>
              </w:rPr>
              <w:t>49,688</w:t>
            </w:r>
          </w:p>
        </w:tc>
        <w:tc>
          <w:tcPr>
            <w:tcW w:w="740" w:type="dxa"/>
            <w:vAlign w:val="bottom"/>
          </w:tcPr>
          <w:p>
            <w:pPr>
              <w:jc w:val="right"/>
              <w:ind w:right="58"/>
              <w:spacing w:after="0"/>
              <w:rPr>
                <w:sz w:val="20"/>
                <w:szCs w:val="20"/>
                <w:color w:val="auto"/>
              </w:rPr>
            </w:pPr>
            <w:r>
              <w:rPr>
                <w:rFonts w:ascii="Arial" w:cs="Arial" w:eastAsia="Arial" w:hAnsi="Arial"/>
                <w:sz w:val="15"/>
                <w:szCs w:val="15"/>
                <w:color w:val="auto"/>
              </w:rPr>
              <w:t>57,279</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480" w:right="1179" w:hanging="301"/>
        <w:spacing w:after="0" w:line="231" w:lineRule="auto"/>
        <w:tabs>
          <w:tab w:leader="none" w:pos="1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Net Income (Loss) is a non-GAAP measure included as supplemental disclosure because we believe it is a useful indicator of our operating performance. Derivations of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32" w:lineRule="exact"/>
        <w:rPr>
          <w:rFonts w:ascii="Arial" w:cs="Arial" w:eastAsia="Arial" w:hAnsi="Arial"/>
          <w:sz w:val="14"/>
          <w:szCs w:val="14"/>
          <w:color w:val="auto"/>
        </w:rPr>
      </w:pPr>
    </w:p>
    <w:p>
      <w:pPr>
        <w:ind w:left="1480" w:right="1199"/>
        <w:spacing w:after="0" w:line="251" w:lineRule="auto"/>
        <w:rPr>
          <w:rFonts w:ascii="Arial" w:cs="Arial" w:eastAsia="Arial" w:hAnsi="Arial"/>
          <w:sz w:val="14"/>
          <w:szCs w:val="14"/>
          <w:color w:val="auto"/>
        </w:rPr>
      </w:pPr>
      <w:r>
        <w:rPr>
          <w:rFonts w:ascii="Arial" w:cs="Arial" w:eastAsia="Arial" w:hAnsi="Arial"/>
          <w:sz w:val="13"/>
          <w:szCs w:val="13"/>
          <w:color w:val="auto"/>
        </w:rPr>
        <w:t>Adjusted Net Income (Loss) and Adjusted EBITDAR have limitations as analytical tools. Some of the limitations applicable to these measures include: Adjusted Net Income (Loss)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(Loss)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(Loss) and Adjusted EBITDAR differently than we do, limiting each measure’s usefulness as a comparative measure. Because of these limitations Adjusted Net Income (Loss) and Adjusted EBITDAR should not be considered in isolation or as a substitute for performance measures calculated in accordance with GAAP.</w:t>
      </w:r>
    </w:p>
    <w:p>
      <w:pPr>
        <w:spacing w:after="0" w:line="175" w:lineRule="exact"/>
        <w:rPr>
          <w:rFonts w:ascii="Arial" w:cs="Arial" w:eastAsia="Arial" w:hAnsi="Arial"/>
          <w:sz w:val="14"/>
          <w:szCs w:val="14"/>
          <w:color w:val="auto"/>
        </w:rPr>
      </w:pPr>
    </w:p>
    <w:p>
      <w:pPr>
        <w:ind w:left="1480" w:right="1239"/>
        <w:spacing w:after="0" w:line="219" w:lineRule="auto"/>
        <w:rPr>
          <w:rFonts w:ascii="Arial" w:cs="Arial" w:eastAsia="Arial" w:hAnsi="Arial"/>
          <w:sz w:val="14"/>
          <w:szCs w:val="14"/>
          <w:color w:val="auto"/>
        </w:rPr>
      </w:pPr>
      <w:r>
        <w:rPr>
          <w:rFonts w:ascii="Arial" w:cs="Arial" w:eastAsia="Arial" w:hAnsi="Arial"/>
          <w:sz w:val="15"/>
          <w:szCs w:val="15"/>
          <w:color w:val="auto"/>
        </w:rPr>
        <w:t>As derivations of Adjusted Net Income (Loss) and Adjusted EBITDAR are not determined in accordance with GAAP, such measures are susceptible to varying calculations and not all companies calculate the measures in the same manner. As a result, derivations of net income, including Adjusted Net Income (Loss) and Adjusted EBITDAR, as presented may not be directly comparable to similarly titled measures presented by other companies. For the foregoing reasons, each of Adjusted Net Income (Loss)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0" w:lineRule="exact"/>
        <w:rPr>
          <w:sz w:val="20"/>
          <w:szCs w:val="20"/>
          <w:color w:val="auto"/>
        </w:rPr>
      </w:pPr>
    </w:p>
    <w:p>
      <w:pPr>
        <w:ind w:left="1180" w:right="1179" w:firstLine="293"/>
        <w:spacing w:after="0" w:line="264" w:lineRule="auto"/>
        <w:rPr>
          <w:sz w:val="20"/>
          <w:szCs w:val="20"/>
          <w:color w:val="auto"/>
        </w:rPr>
      </w:pPr>
      <w:r>
        <w:rPr>
          <w:rFonts w:ascii="Arial" w:cs="Arial" w:eastAsia="Arial" w:hAnsi="Arial"/>
          <w:sz w:val="15"/>
          <w:szCs w:val="15"/>
          <w:color w:val="auto"/>
        </w:rPr>
        <w:t>The following table presents the reconciliation of Net Income (Loss) to Adjusted Net Income (Loss) for the periods presented below.</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8"/>
              </w:rPr>
              <w:t>Successor</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4"/>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740" w:type="dxa"/>
            <w:vAlign w:val="bottom"/>
            <w:gridSpan w:val="3"/>
          </w:tcPr>
          <w:p>
            <w:pPr>
              <w:jc w:val="center"/>
              <w:ind w:right="2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w w:val="98"/>
              </w:rPr>
              <w:t>For the three</w:t>
            </w: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6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620" w:type="dxa"/>
            <w:vAlign w:val="bottom"/>
            <w:gridSpan w:val="2"/>
          </w:tcPr>
          <w:p>
            <w:pPr>
              <w:jc w:val="center"/>
              <w:ind w:left="56"/>
              <w:spacing w:after="0" w:line="132" w:lineRule="exact"/>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w w:val="87"/>
              </w:rPr>
              <w:t>months ended</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6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ended</w:t>
            </w:r>
          </w:p>
        </w:tc>
        <w:tc>
          <w:tcPr>
            <w:tcW w:w="14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140" w:type="dxa"/>
            <w:vAlign w:val="bottom"/>
          </w:tcPr>
          <w:p>
            <w:pPr>
              <w:spacing w:after="0"/>
              <w:rPr>
                <w:sz w:val="11"/>
                <w:szCs w:val="11"/>
                <w:color w:val="auto"/>
              </w:rPr>
            </w:pPr>
          </w:p>
        </w:tc>
        <w:tc>
          <w:tcPr>
            <w:tcW w:w="6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March 31,</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90"/>
              </w:rPr>
              <w:t>March 31,</w:t>
            </w:r>
          </w:p>
        </w:tc>
        <w:tc>
          <w:tcPr>
            <w:tcW w:w="76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60" w:type="dxa"/>
            <w:vAlign w:val="bottom"/>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tcBorders>
              <w:right w:val="single" w:sz="8" w:color="auto"/>
            </w:tcBorders>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140" w:type="dxa"/>
            <w:vAlign w:val="bottom"/>
          </w:tcPr>
          <w:p>
            <w:pPr>
              <w:spacing w:after="0"/>
              <w:rPr>
                <w:sz w:val="11"/>
                <w:szCs w:val="11"/>
                <w:color w:val="auto"/>
              </w:rPr>
            </w:pPr>
          </w:p>
        </w:tc>
        <w:tc>
          <w:tcPr>
            <w:tcW w:w="6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21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8"/>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ind w:right="7"/>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center"/>
              <w:ind w:left="71"/>
              <w:spacing w:after="0"/>
              <w:rPr>
                <w:sz w:val="20"/>
                <w:szCs w:val="20"/>
                <w:color w:val="auto"/>
              </w:rPr>
            </w:pPr>
            <w:r>
              <w:rPr>
                <w:rFonts w:ascii="Arial" w:cs="Arial" w:eastAsia="Arial" w:hAnsi="Arial"/>
                <w:sz w:val="12"/>
                <w:szCs w:val="12"/>
                <w:b w:val="1"/>
                <w:bCs w:val="1"/>
                <w:color w:val="auto"/>
                <w:w w:val="82"/>
              </w:rPr>
              <w:t>2019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620" w:type="dxa"/>
            <w:vAlign w:val="bottom"/>
            <w:gridSpan w:val="2"/>
          </w:tcPr>
          <w:p>
            <w:pPr>
              <w:jc w:val="center"/>
              <w:ind w:left="76"/>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12,416</w:t>
            </w:r>
          </w:p>
        </w:tc>
        <w:tc>
          <w:tcPr>
            <w:tcW w:w="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$7,251</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(3,904)</w:t>
            </w:r>
          </w:p>
        </w:tc>
        <w:tc>
          <w:tcPr>
            <w:tcW w:w="4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00" w:type="dxa"/>
            <w:vAlign w:val="bottom"/>
            <w:gridSpan w:val="2"/>
          </w:tcPr>
          <w:p>
            <w:pPr>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(26,871)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(64,563)</w:t>
            </w: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(6,706)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 compensation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2,870</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369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2,110</w:t>
            </w: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1,888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373</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tcPr>
          <w:p>
            <w:pPr>
              <w:spacing w:after="0"/>
              <w:rPr>
                <w:sz w:val="20"/>
                <w:szCs w:val="20"/>
                <w:color w:val="auto"/>
              </w:rPr>
            </w:pPr>
            <w:r>
              <w:rPr>
                <w:rFonts w:ascii="Arial" w:cs="Arial" w:eastAsia="Arial" w:hAnsi="Arial"/>
                <w:sz w:val="15"/>
                <w:szCs w:val="15"/>
                <w:color w:val="auto"/>
                <w:w w:val="92"/>
              </w:rPr>
              <w:t>Loss (gain) on asset transactions,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tcPr>
          <w:p>
            <w:pPr>
              <w:ind w:left="140"/>
              <w:spacing w:after="0"/>
              <w:rPr>
                <w:sz w:val="20"/>
                <w:szCs w:val="20"/>
                <w:color w:val="auto"/>
              </w:rPr>
            </w:pPr>
            <w:r>
              <w:rPr>
                <w:rFonts w:ascii="Arial" w:cs="Arial" w:eastAsia="Arial" w:hAnsi="Arial"/>
                <w:sz w:val="15"/>
                <w:szCs w:val="15"/>
                <w:color w:val="auto"/>
              </w:rPr>
              <w:t>net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5"/>
                <w:szCs w:val="15"/>
                <w:color w:val="auto"/>
              </w:rPr>
              <w:t>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413</w:t>
            </w:r>
          </w:p>
        </w:tc>
        <w:tc>
          <w:tcPr>
            <w:tcW w:w="4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(811)</w:t>
            </w: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Early repayment of CARES Act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Loan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tcPr>
          <w:p>
            <w:pPr>
              <w:spacing w:after="0"/>
              <w:rPr>
                <w:sz w:val="20"/>
                <w:szCs w:val="20"/>
                <w:color w:val="auto"/>
              </w:rPr>
            </w:pPr>
            <w:r>
              <w:rPr>
                <w:rFonts w:ascii="Arial" w:cs="Arial" w:eastAsia="Arial" w:hAnsi="Arial"/>
                <w:sz w:val="15"/>
                <w:szCs w:val="15"/>
                <w:color w:val="auto"/>
                <w:w w:val="93"/>
              </w:rPr>
              <w:t>Income tax receivable agreement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tcPr>
          <w:p>
            <w:pPr>
              <w:ind w:left="140"/>
              <w:spacing w:after="0"/>
              <w:rPr>
                <w:sz w:val="20"/>
                <w:szCs w:val="20"/>
                <w:color w:val="auto"/>
              </w:rPr>
            </w:pPr>
            <w:r>
              <w:rPr>
                <w:rFonts w:ascii="Arial" w:cs="Arial" w:eastAsia="Arial" w:hAnsi="Arial"/>
                <w:sz w:val="15"/>
                <w:szCs w:val="15"/>
                <w:color w:val="auto"/>
              </w:rPr>
              <w:t>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264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1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on refinancing credit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facility</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100" w:type="dxa"/>
            <w:vAlign w:val="bottom"/>
            <w:gridSpan w:val="2"/>
          </w:tcPr>
          <w:p>
            <w:pPr>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2100" w:type="dxa"/>
            <w:vAlign w:val="bottom"/>
            <w:gridSpan w:val="2"/>
            <w:shd w:val="clear" w:color="auto" w:fill="CCEEFF"/>
          </w:tcPr>
          <w:p>
            <w:pPr>
              <w:spacing w:after="0" w:line="158" w:lineRule="exact"/>
              <w:rPr>
                <w:sz w:val="20"/>
                <w:szCs w:val="20"/>
                <w:color w:val="auto"/>
              </w:rPr>
            </w:pPr>
            <w:r>
              <w:rPr>
                <w:rFonts w:ascii="Arial" w:cs="Arial" w:eastAsia="Arial" w:hAnsi="Arial"/>
                <w:sz w:val="15"/>
                <w:szCs w:val="15"/>
                <w:color w:val="auto"/>
              </w:rPr>
              <w:t>Income tax effect of adjusting</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100" w:type="dxa"/>
            <w:vAlign w:val="bottom"/>
            <w:gridSpan w:val="2"/>
            <w:shd w:val="clear" w:color="auto" w:fill="CCEEFF"/>
          </w:tcPr>
          <w:p>
            <w:pPr>
              <w:ind w:left="140"/>
              <w:spacing w:after="0" w:line="238" w:lineRule="exact"/>
              <w:rPr>
                <w:sz w:val="20"/>
                <w:szCs w:val="20"/>
                <w:color w:val="auto"/>
              </w:rPr>
            </w:pPr>
            <w:r>
              <w:rPr>
                <w:rFonts w:ascii="Arial" w:cs="Arial" w:eastAsia="Arial" w:hAnsi="Arial"/>
                <w:sz w:val="15"/>
                <w:szCs w:val="15"/>
                <w:color w:val="auto"/>
              </w:rPr>
              <w:t>items, net</w:t>
            </w:r>
            <w:r>
              <w:rPr>
                <w:rFonts w:ascii="Arial" w:cs="Arial" w:eastAsia="Arial" w:hAnsi="Arial"/>
                <w:sz w:val="21"/>
                <w:szCs w:val="21"/>
                <w:color w:val="auto"/>
                <w:vertAlign w:val="superscript"/>
              </w:rPr>
              <w:t>(c)</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13,147</w:t>
            </w: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(2,289)</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1,640</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5"/>
                <w:szCs w:val="15"/>
                <w:color w:val="auto"/>
              </w:rPr>
              <w:t>Adjusted Net Income (Loss).</w:t>
            </w:r>
          </w:p>
        </w:tc>
        <w:tc>
          <w:tcPr>
            <w:tcW w:w="120" w:type="dxa"/>
            <w:vAlign w:val="bottom"/>
            <w:gridSpan w:val="2"/>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(4,919)</w:t>
            </w:r>
          </w:p>
        </w:tc>
        <w:tc>
          <w:tcPr>
            <w:tcW w:w="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7,591</w:t>
            </w:r>
          </w:p>
        </w:tc>
        <w:tc>
          <w:tcPr>
            <w:tcW w:w="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(47,916)</w:t>
            </w:r>
          </w:p>
        </w:tc>
        <w:tc>
          <w:tcPr>
            <w:tcW w:w="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53,734</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(5,871)</w:t>
            </w:r>
          </w:p>
        </w:tc>
        <w:tc>
          <w:tcPr>
            <w:tcW w:w="6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26,181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70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1480" w:right="1319" w:hanging="301"/>
        <w:spacing w:after="0" w:line="229"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44" w:lineRule="exact"/>
        <w:rPr>
          <w:rFonts w:ascii="Arial" w:cs="Arial" w:eastAsia="Arial" w:hAnsi="Arial"/>
          <w:sz w:val="15"/>
          <w:szCs w:val="15"/>
          <w:color w:val="auto"/>
        </w:rPr>
      </w:pPr>
    </w:p>
    <w:p>
      <w:pPr>
        <w:ind w:left="1480" w:right="1239" w:hanging="301"/>
        <w:spacing w:after="0" w:line="223"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44" w:lineRule="exact"/>
        <w:rPr>
          <w:rFonts w:ascii="Arial" w:cs="Arial" w:eastAsia="Arial" w:hAnsi="Arial"/>
          <w:sz w:val="15"/>
          <w:szCs w:val="15"/>
          <w:color w:val="auto"/>
        </w:rPr>
      </w:pPr>
    </w:p>
    <w:p>
      <w:pPr>
        <w:ind w:left="1480" w:right="1399" w:hanging="301"/>
        <w:spacing w:after="0" w:line="236"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91355" cy="6480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40" w:lineRule="exact"/>
        <w:rPr>
          <w:sz w:val="20"/>
          <w:szCs w:val="20"/>
          <w:color w:val="auto"/>
        </w:rPr>
      </w:pPr>
    </w:p>
    <w:p>
      <w:pPr>
        <w:ind w:left="1180" w:right="1439" w:firstLine="293"/>
        <w:spacing w:after="0" w:line="264" w:lineRule="auto"/>
        <w:rPr>
          <w:sz w:val="20"/>
          <w:szCs w:val="20"/>
          <w:color w:val="auto"/>
        </w:rPr>
      </w:pPr>
      <w:r>
        <w:rPr>
          <w:rFonts w:ascii="Arial" w:cs="Arial" w:eastAsia="Arial" w:hAnsi="Arial"/>
          <w:sz w:val="15"/>
          <w:szCs w:val="15"/>
          <w:color w:val="auto"/>
        </w:rPr>
        <w:t>The following table presents the reconciliation of Net Income (Loss) to Adjusted EBITDAR for the periods presented below.</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4"/>
            <w:vMerge w:val="restart"/>
          </w:tcPr>
          <w:p>
            <w:pPr>
              <w:jc w:val="center"/>
              <w:ind w:right="180"/>
              <w:spacing w:after="0"/>
              <w:rPr>
                <w:sz w:val="20"/>
                <w:szCs w:val="20"/>
                <w:color w:val="auto"/>
              </w:rPr>
            </w:pPr>
            <w:r>
              <w:rPr>
                <w:rFonts w:ascii="Arial" w:cs="Arial" w:eastAsia="Arial" w:hAnsi="Arial"/>
                <w:sz w:val="12"/>
                <w:szCs w:val="12"/>
                <w:b w:val="1"/>
                <w:bCs w:val="1"/>
                <w:color w:val="auto"/>
                <w:w w:val="78"/>
              </w:rPr>
              <w:t>Successor</w:t>
            </w: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40" w:type="dxa"/>
            <w:vAlign w:val="bottom"/>
            <w:gridSpan w:val="3"/>
          </w:tcPr>
          <w:p>
            <w:pPr>
              <w:jc w:val="center"/>
              <w:ind w:right="20"/>
              <w:spacing w:after="0" w:line="133" w:lineRule="exact"/>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4"/>
              </w:rPr>
              <w:t>For the period</w:t>
            </w:r>
          </w:p>
        </w:tc>
        <w:tc>
          <w:tcPr>
            <w:tcW w:w="7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780" w:type="dxa"/>
            <w:vAlign w:val="bottom"/>
            <w:gridSpan w:val="5"/>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82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68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80" w:type="dxa"/>
            <w:vAlign w:val="bottom"/>
            <w:tcBorders>
              <w:right w:val="single" w:sz="8" w:color="auto"/>
            </w:tcBorders>
            <w:gridSpan w:val="4"/>
          </w:tcPr>
          <w:p>
            <w:pPr>
              <w:jc w:val="center"/>
              <w:ind w:right="6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620" w:type="dxa"/>
            <w:vAlign w:val="bottom"/>
            <w:gridSpan w:val="2"/>
          </w:tcPr>
          <w:p>
            <w:pPr>
              <w:jc w:val="center"/>
              <w:ind w:left="53"/>
              <w:spacing w:after="0" w:line="132" w:lineRule="exact"/>
              <w:rPr>
                <w:sz w:val="20"/>
                <w:szCs w:val="20"/>
                <w:color w:val="auto"/>
              </w:rPr>
            </w:pPr>
            <w:r>
              <w:rPr>
                <w:rFonts w:ascii="Arial" w:cs="Arial" w:eastAsia="Arial" w:hAnsi="Arial"/>
                <w:sz w:val="12"/>
                <w:szCs w:val="12"/>
                <w:b w:val="1"/>
                <w:bCs w:val="1"/>
                <w:color w:val="auto"/>
                <w:w w:val="82"/>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300"/>
              <w:spacing w:after="0" w:line="132" w:lineRule="exact"/>
              <w:rPr>
                <w:sz w:val="20"/>
                <w:szCs w:val="20"/>
                <w:color w:val="auto"/>
              </w:rPr>
            </w:pPr>
            <w:r>
              <w:rPr>
                <w:rFonts w:ascii="Arial" w:cs="Arial" w:eastAsia="Arial" w:hAnsi="Arial"/>
                <w:sz w:val="12"/>
                <w:szCs w:val="12"/>
                <w:b w:val="1"/>
                <w:bCs w:val="1"/>
                <w:color w:val="auto"/>
                <w:w w:val="79"/>
              </w:rPr>
              <w:t>ended</w:t>
            </w:r>
          </w:p>
        </w:tc>
        <w:tc>
          <w:tcPr>
            <w:tcW w:w="100" w:type="dxa"/>
            <w:vAlign w:val="bottom"/>
          </w:tcPr>
          <w:p>
            <w:pPr>
              <w:spacing w:after="0"/>
              <w:rPr>
                <w:sz w:val="11"/>
                <w:szCs w:val="11"/>
                <w:color w:val="auto"/>
              </w:rPr>
            </w:pPr>
          </w:p>
        </w:tc>
        <w:tc>
          <w:tcPr>
            <w:tcW w:w="58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79"/>
              </w:rPr>
              <w:t>ended</w:t>
            </w:r>
          </w:p>
        </w:tc>
        <w:tc>
          <w:tcPr>
            <w:tcW w:w="140" w:type="dxa"/>
            <w:vAlign w:val="bottom"/>
          </w:tcPr>
          <w:p>
            <w:pPr>
              <w:spacing w:after="0"/>
              <w:rPr>
                <w:sz w:val="11"/>
                <w:szCs w:val="11"/>
                <w:color w:val="auto"/>
              </w:rPr>
            </w:pPr>
          </w:p>
        </w:tc>
        <w:tc>
          <w:tcPr>
            <w:tcW w:w="64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3"/>
              </w:rPr>
              <w:t>through</w:t>
            </w:r>
          </w:p>
        </w:tc>
        <w:tc>
          <w:tcPr>
            <w:tcW w:w="140" w:type="dxa"/>
            <w:vAlign w:val="bottom"/>
          </w:tcPr>
          <w:p>
            <w:pPr>
              <w:spacing w:after="0"/>
              <w:rPr>
                <w:sz w:val="11"/>
                <w:szCs w:val="11"/>
                <w:color w:val="auto"/>
              </w:rPr>
            </w:pPr>
          </w:p>
        </w:tc>
        <w:tc>
          <w:tcPr>
            <w:tcW w:w="6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3"/>
              </w:rPr>
              <w:t>through</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90"/>
              </w:rPr>
              <w:t>March 31,</w:t>
            </w:r>
          </w:p>
        </w:tc>
        <w:tc>
          <w:tcPr>
            <w:tcW w:w="780" w:type="dxa"/>
            <w:vAlign w:val="bottom"/>
            <w:gridSpan w:val="5"/>
          </w:tcPr>
          <w:p>
            <w:pPr>
              <w:jc w:val="center"/>
              <w:ind w:right="60"/>
              <w:spacing w:after="0" w:line="132" w:lineRule="exact"/>
              <w:rPr>
                <w:sz w:val="20"/>
                <w:szCs w:val="20"/>
                <w:color w:val="auto"/>
              </w:rPr>
            </w:pPr>
            <w:r>
              <w:rPr>
                <w:rFonts w:ascii="Arial" w:cs="Arial" w:eastAsia="Arial" w:hAnsi="Arial"/>
                <w:sz w:val="12"/>
                <w:szCs w:val="12"/>
                <w:b w:val="1"/>
                <w:bCs w:val="1"/>
                <w:color w:val="auto"/>
                <w:w w:val="86"/>
              </w:rPr>
              <w:t>March 31,</w:t>
            </w:r>
          </w:p>
        </w:tc>
        <w:tc>
          <w:tcPr>
            <w:tcW w:w="820" w:type="dxa"/>
            <w:vAlign w:val="bottom"/>
            <w:gridSpan w:val="5"/>
          </w:tcPr>
          <w:p>
            <w:pPr>
              <w:jc w:val="center"/>
              <w:ind w:right="14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680" w:type="dxa"/>
            <w:vAlign w:val="bottom"/>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780" w:type="dxa"/>
            <w:vAlign w:val="bottom"/>
            <w:tcBorders>
              <w:right w:val="single" w:sz="8" w:color="auto"/>
            </w:tcBorders>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140" w:type="dxa"/>
            <w:vAlign w:val="bottom"/>
          </w:tcPr>
          <w:p>
            <w:pPr>
              <w:spacing w:after="0"/>
              <w:rPr>
                <w:sz w:val="11"/>
                <w:szCs w:val="11"/>
                <w:color w:val="auto"/>
              </w:rPr>
            </w:pPr>
          </w:p>
        </w:tc>
        <w:tc>
          <w:tcPr>
            <w:tcW w:w="600" w:type="dxa"/>
            <w:vAlign w:val="bottom"/>
            <w:gridSpan w:val="2"/>
          </w:tcPr>
          <w:p>
            <w:pPr>
              <w:jc w:val="center"/>
              <w:ind w:right="140"/>
              <w:spacing w:after="0" w:line="132" w:lineRule="exact"/>
              <w:rPr>
                <w:sz w:val="20"/>
                <w:szCs w:val="20"/>
                <w:color w:val="auto"/>
              </w:rPr>
            </w:pPr>
            <w:r>
              <w:rPr>
                <w:rFonts w:ascii="Arial" w:cs="Arial" w:eastAsia="Arial" w:hAnsi="Arial"/>
                <w:sz w:val="12"/>
                <w:szCs w:val="12"/>
                <w:b w:val="1"/>
                <w:bCs w:val="1"/>
                <w:color w:val="auto"/>
                <w:w w:val="88"/>
              </w:rPr>
              <w:t>April 10,</w:t>
            </w:r>
          </w:p>
        </w:tc>
        <w:tc>
          <w:tcPr>
            <w:tcW w:w="0" w:type="dxa"/>
            <w:vAlign w:val="bottom"/>
          </w:tcPr>
          <w:p>
            <w:pPr>
              <w:spacing w:after="0"/>
              <w:rPr>
                <w:sz w:val="1"/>
                <w:szCs w:val="1"/>
                <w:color w:val="auto"/>
              </w:rPr>
            </w:pPr>
          </w:p>
        </w:tc>
      </w:tr>
      <w:tr>
        <w:trPr>
          <w:trHeight w:val="150"/>
        </w:trPr>
        <w:tc>
          <w:tcPr>
            <w:tcW w:w="20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80" w:type="dxa"/>
            <w:vAlign w:val="bottom"/>
            <w:gridSpan w:val="3"/>
          </w:tcPr>
          <w:p>
            <w:pPr>
              <w:jc w:val="right"/>
              <w:ind w:right="9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48"/>
              <w:spacing w:after="0"/>
              <w:rPr>
                <w:sz w:val="20"/>
                <w:szCs w:val="20"/>
                <w:color w:val="auto"/>
              </w:rPr>
            </w:pPr>
            <w:r>
              <w:rPr>
                <w:rFonts w:ascii="Arial" w:cs="Arial" w:eastAsia="Arial" w:hAnsi="Arial"/>
                <w:sz w:val="12"/>
                <w:szCs w:val="12"/>
                <w:b w:val="1"/>
                <w:bCs w:val="1"/>
                <w:color w:val="auto"/>
                <w:w w:val="97"/>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Borders>
              <w:right w:val="single" w:sz="8" w:color="auto"/>
            </w:tcBorders>
          </w:tcPr>
          <w:p>
            <w:pPr>
              <w:spacing w:after="0"/>
              <w:rPr>
                <w:sz w:val="13"/>
                <w:szCs w:val="13"/>
                <w:color w:val="auto"/>
              </w:rPr>
            </w:pPr>
          </w:p>
        </w:tc>
        <w:tc>
          <w:tcPr>
            <w:tcW w:w="620" w:type="dxa"/>
            <w:vAlign w:val="bottom"/>
            <w:gridSpan w:val="2"/>
          </w:tcPr>
          <w:p>
            <w:pPr>
              <w:jc w:val="center"/>
              <w:ind w:left="73"/>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$ 12,416</w:t>
            </w:r>
          </w:p>
        </w:tc>
        <w:tc>
          <w:tcPr>
            <w:tcW w:w="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7,251</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(3,904)</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46,072</w:t>
            </w:r>
          </w:p>
        </w:tc>
        <w:tc>
          <w:tcPr>
            <w:tcW w:w="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760" w:type="dxa"/>
            <w:vAlign w:val="bottom"/>
            <w:gridSpan w:val="4"/>
          </w:tcPr>
          <w:p>
            <w:pPr>
              <w:jc w:val="right"/>
              <w:ind w:right="40"/>
              <w:spacing w:after="0"/>
              <w:rPr>
                <w:sz w:val="20"/>
                <w:szCs w:val="20"/>
                <w:color w:val="auto"/>
              </w:rPr>
            </w:pPr>
            <w:r>
              <w:rPr>
                <w:rFonts w:ascii="Arial" w:cs="Arial" w:eastAsia="Arial" w:hAnsi="Arial"/>
                <w:sz w:val="15"/>
                <w:szCs w:val="15"/>
                <w:color w:val="auto"/>
              </w:rPr>
              <w:t>(26,871)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(64,563)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7,092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88"/>
              </w:rPr>
              <w:t>(6,706)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7,121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5,616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22,073</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17,170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6,060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80" w:type="dxa"/>
            <w:vAlign w:val="bottom"/>
            <w:gridSpan w:val="2"/>
          </w:tcPr>
          <w:p>
            <w:pPr>
              <w:ind w:left="140"/>
              <w:spacing w:after="0"/>
              <w:rPr>
                <w:sz w:val="20"/>
                <w:szCs w:val="20"/>
                <w:color w:val="auto"/>
              </w:rPr>
            </w:pPr>
            <w:r>
              <w:rPr>
                <w:rFonts w:ascii="Arial" w:cs="Arial" w:eastAsia="Arial" w:hAnsi="Arial"/>
                <w:sz w:val="15"/>
                <w:szCs w:val="15"/>
                <w:color w:val="auto"/>
                <w:w w:val="97"/>
              </w:rPr>
              <w:t>Stock compensation expense</w:t>
            </w:r>
          </w:p>
        </w:tc>
        <w:tc>
          <w:tcPr>
            <w:tcW w:w="760" w:type="dxa"/>
            <w:vAlign w:val="bottom"/>
            <w:gridSpan w:val="4"/>
          </w:tcPr>
          <w:p>
            <w:pPr>
              <w:jc w:val="right"/>
              <w:ind w:right="80"/>
              <w:spacing w:after="0"/>
              <w:rPr>
                <w:sz w:val="20"/>
                <w:szCs w:val="20"/>
                <w:color w:val="auto"/>
              </w:rPr>
            </w:pPr>
            <w:r>
              <w:rPr>
                <w:rFonts w:ascii="Arial" w:cs="Arial" w:eastAsia="Arial" w:hAnsi="Arial"/>
                <w:sz w:val="15"/>
                <w:szCs w:val="15"/>
                <w:color w:val="auto"/>
              </w:rPr>
              <w:t>2,870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369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2,110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1,888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373</w:t>
            </w: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Loss (gain) on asset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transactions, net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413</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(811)</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080" w:type="dxa"/>
            <w:vAlign w:val="bottom"/>
            <w:gridSpan w:val="2"/>
          </w:tcPr>
          <w:p>
            <w:pPr>
              <w:ind w:left="140"/>
              <w:spacing w:after="0" w:line="209"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226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(377)</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(258)</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98"/>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Provision for income taxes</w:t>
            </w:r>
          </w:p>
        </w:tc>
        <w:tc>
          <w:tcPr>
            <w:tcW w:w="760" w:type="dxa"/>
            <w:vAlign w:val="bottom"/>
            <w:gridSpan w:val="4"/>
          </w:tcPr>
          <w:p>
            <w:pPr>
              <w:jc w:val="right"/>
              <w:ind w:right="80"/>
              <w:spacing w:after="0"/>
              <w:rPr>
                <w:sz w:val="20"/>
                <w:szCs w:val="20"/>
                <w:color w:val="auto"/>
              </w:rPr>
            </w:pPr>
            <w:r>
              <w:rPr>
                <w:rFonts w:ascii="Arial" w:cs="Arial" w:eastAsia="Arial" w:hAnsi="Arial"/>
                <w:sz w:val="15"/>
                <w:szCs w:val="15"/>
                <w:color w:val="auto"/>
              </w:rPr>
              <w:t>5,406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2,445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14,088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161</w:t>
            </w:r>
          </w:p>
        </w:tc>
        <w:tc>
          <w:tcPr>
            <w:tcW w:w="14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6"/>
              </w:rPr>
              <w:t>Depreciation and amortization</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12,615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10,527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48,086</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34,877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14,405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Aircraft rent</w:t>
            </w:r>
          </w:p>
        </w:tc>
        <w:tc>
          <w:tcPr>
            <w:tcW w:w="760" w:type="dxa"/>
            <w:vAlign w:val="bottom"/>
            <w:gridSpan w:val="4"/>
          </w:tcPr>
          <w:p>
            <w:pPr>
              <w:jc w:val="right"/>
              <w:ind w:right="80"/>
              <w:spacing w:after="0"/>
              <w:rPr>
                <w:sz w:val="20"/>
                <w:szCs w:val="20"/>
                <w:color w:val="auto"/>
              </w:rPr>
            </w:pPr>
            <w:r>
              <w:rPr>
                <w:rFonts w:ascii="Arial" w:cs="Arial" w:eastAsia="Arial" w:hAnsi="Arial"/>
                <w:sz w:val="15"/>
                <w:szCs w:val="15"/>
                <w:color w:val="auto"/>
              </w:rPr>
              <w:t>5,599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11,032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30,989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49,908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36,831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28,329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Income tax receivable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agreement expense</w:t>
            </w:r>
          </w:p>
        </w:tc>
        <w:tc>
          <w:tcPr>
            <w:tcW w:w="140" w:type="dxa"/>
            <w:vAlign w:val="bottom"/>
            <w:gridSpan w:val="2"/>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80" w:type="dxa"/>
            <w:vAlign w:val="bottom"/>
            <w:gridSpan w:val="2"/>
          </w:tcPr>
          <w:p>
            <w:pPr>
              <w:spacing w:after="0"/>
              <w:rPr>
                <w:sz w:val="20"/>
                <w:szCs w:val="20"/>
                <w:color w:val="auto"/>
              </w:rPr>
            </w:pPr>
            <w:r>
              <w:rPr>
                <w:rFonts w:ascii="Arial" w:cs="Arial" w:eastAsia="Arial" w:hAnsi="Arial"/>
                <w:sz w:val="15"/>
                <w:szCs w:val="15"/>
                <w:color w:val="auto"/>
              </w:rPr>
              <w:t>Adjusted EBITDAR</w:t>
            </w:r>
          </w:p>
        </w:tc>
        <w:tc>
          <w:tcPr>
            <w:tcW w:w="14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8"/>
              </w:rPr>
              <w:t>$ 19,405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37,061</w:t>
            </w:r>
          </w:p>
        </w:tc>
        <w:tc>
          <w:tcPr>
            <w:tcW w:w="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38,930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171,129</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82"/>
              </w:rPr>
              <w:t>49,688</w:t>
            </w:r>
          </w:p>
        </w:tc>
        <w:tc>
          <w:tcPr>
            <w:tcW w:w="6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57,279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1480" w:right="1319" w:hanging="301"/>
        <w:spacing w:after="0" w:line="229" w:lineRule="auto"/>
        <w:tabs>
          <w:tab w:leader="none" w:pos="1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2" w:lineRule="exact"/>
        <w:rPr>
          <w:rFonts w:ascii="Arial" w:cs="Arial" w:eastAsia="Arial" w:hAnsi="Arial"/>
          <w:sz w:val="15"/>
          <w:szCs w:val="15"/>
          <w:color w:val="auto"/>
        </w:rPr>
      </w:pPr>
    </w:p>
    <w:p>
      <w:pPr>
        <w:ind w:left="1480" w:right="1239" w:hanging="301"/>
        <w:spacing w:after="0" w:line="223" w:lineRule="auto"/>
        <w:tabs>
          <w:tab w:leader="none" w:pos="1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84" w:lineRule="exact"/>
        <w:rPr>
          <w:sz w:val="20"/>
          <w:szCs w:val="20"/>
          <w:color w:val="auto"/>
        </w:rPr>
      </w:pPr>
    </w:p>
    <w:p>
      <w:pPr>
        <w:jc w:val="center"/>
        <w:ind w:right="-67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18" w:lineRule="exact"/>
        <w:rPr>
          <w:sz w:val="20"/>
          <w:szCs w:val="20"/>
          <w:color w:val="auto"/>
        </w:rPr>
      </w:pPr>
    </w:p>
    <w:p>
      <w:pPr>
        <w:jc w:val="center"/>
        <w:ind w:right="-679"/>
        <w:spacing w:after="0"/>
        <w:rPr>
          <w:sz w:val="20"/>
          <w:szCs w:val="20"/>
          <w:color w:val="auto"/>
        </w:rPr>
      </w:pPr>
      <w:r>
        <w:rPr>
          <w:rFonts w:ascii="Arial" w:cs="Arial" w:eastAsia="Arial" w:hAnsi="Arial"/>
          <w:sz w:val="15"/>
          <w:szCs w:val="15"/>
          <w:b w:val="1"/>
          <w:bCs w:val="1"/>
          <w:color w:val="auto"/>
        </w:rPr>
        <w:t>Pursuant to 17 C.F.R. Section 200.83</w:t>
      </w:r>
    </w:p>
    <w:p>
      <w:pPr>
        <w:spacing w:after="0" w:line="200" w:lineRule="exact"/>
        <w:rPr>
          <w:sz w:val="20"/>
          <w:szCs w:val="20"/>
          <w:color w:val="auto"/>
        </w:rPr>
      </w:pPr>
    </w:p>
    <w:p>
      <w:pPr>
        <w:spacing w:after="0" w:line="228" w:lineRule="exact"/>
        <w:rPr>
          <w:sz w:val="20"/>
          <w:szCs w:val="20"/>
          <w:color w:val="auto"/>
        </w:rPr>
      </w:pPr>
    </w:p>
    <w:p>
      <w:pPr>
        <w:ind w:left="4560"/>
        <w:spacing w:after="0"/>
        <w:rPr>
          <w:sz w:val="20"/>
          <w:szCs w:val="20"/>
          <w:color w:val="auto"/>
        </w:rPr>
      </w:pPr>
      <w:r>
        <w:rPr>
          <w:rFonts w:ascii="Arial" w:cs="Arial" w:eastAsia="Arial" w:hAnsi="Arial"/>
          <w:sz w:val="15"/>
          <w:szCs w:val="15"/>
          <w:b w:val="1"/>
          <w:bCs w:val="1"/>
          <w:color w:val="auto"/>
        </w:rPr>
        <w:t>Key Operating Statistics and Metrics</w:t>
      </w:r>
    </w:p>
    <w:p>
      <w:pPr>
        <w:spacing w:after="0" w:line="132"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00" w:type="dxa"/>
            <w:vAlign w:val="bottom"/>
            <w:gridSpan w:val="7"/>
          </w:tcPr>
          <w:p>
            <w:pPr>
              <w:jc w:val="right"/>
              <w:ind w:right="60"/>
              <w:spacing w:after="0"/>
              <w:rPr>
                <w:sz w:val="20"/>
                <w:szCs w:val="20"/>
                <w:color w:val="auto"/>
              </w:rPr>
            </w:pPr>
            <w:r>
              <w:rPr>
                <w:rFonts w:ascii="Arial" w:cs="Arial" w:eastAsia="Arial" w:hAnsi="Arial"/>
                <w:sz w:val="12"/>
                <w:szCs w:val="12"/>
                <w:b w:val="1"/>
                <w:bCs w:val="1"/>
                <w:color w:val="auto"/>
                <w:w w:val="87"/>
              </w:rPr>
              <w:t>Three Months Ended March 31, 2021</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7"/>
          </w:tcPr>
          <w:p>
            <w:pPr>
              <w:jc w:val="center"/>
              <w:ind w:right="7"/>
              <w:spacing w:after="0"/>
              <w:rPr>
                <w:sz w:val="20"/>
                <w:szCs w:val="20"/>
                <w:color w:val="auto"/>
              </w:rPr>
            </w:pPr>
            <w:r>
              <w:rPr>
                <w:rFonts w:ascii="Arial" w:cs="Arial" w:eastAsia="Arial" w:hAnsi="Arial"/>
                <w:sz w:val="12"/>
                <w:szCs w:val="12"/>
                <w:b w:val="1"/>
                <w:bCs w:val="1"/>
                <w:color w:val="auto"/>
                <w:w w:val="86"/>
              </w:rPr>
              <w:t>Three Months Ended March 31, 2020</w:t>
            </w:r>
          </w:p>
        </w:tc>
      </w:tr>
      <w:tr>
        <w:trPr>
          <w:trHeight w:val="21"/>
        </w:trPr>
        <w:tc>
          <w:tcPr>
            <w:tcW w:w="416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38"/>
        </w:trPr>
        <w:tc>
          <w:tcPr>
            <w:tcW w:w="4160" w:type="dxa"/>
            <w:vAlign w:val="bottom"/>
          </w:tcPr>
          <w:p>
            <w:pPr>
              <w:spacing w:after="0"/>
              <w:rPr>
                <w:sz w:val="12"/>
                <w:szCs w:val="12"/>
                <w:color w:val="auto"/>
              </w:rPr>
            </w:pPr>
          </w:p>
        </w:tc>
        <w:tc>
          <w:tcPr>
            <w:tcW w:w="860" w:type="dxa"/>
            <w:vAlign w:val="bottom"/>
            <w:gridSpan w:val="3"/>
          </w:tcPr>
          <w:p>
            <w:pPr>
              <w:jc w:val="right"/>
              <w:ind w:right="221"/>
              <w:spacing w:after="0"/>
              <w:rPr>
                <w:sz w:val="20"/>
                <w:szCs w:val="20"/>
                <w:color w:val="auto"/>
              </w:rPr>
            </w:pPr>
            <w:r>
              <w:rPr>
                <w:rFonts w:ascii="Arial" w:cs="Arial" w:eastAsia="Arial" w:hAnsi="Arial"/>
                <w:sz w:val="12"/>
                <w:szCs w:val="12"/>
                <w:b w:val="1"/>
                <w:bCs w:val="1"/>
                <w:color w:val="auto"/>
                <w:w w:val="92"/>
              </w:rPr>
              <w:t>Scheduled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2"/>
              </w:rPr>
              <w:t>Scheduled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0"/>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81"/>
              <w:spacing w:after="0"/>
              <w:rPr>
                <w:sz w:val="20"/>
                <w:szCs w:val="20"/>
                <w:color w:val="auto"/>
              </w:rPr>
            </w:pPr>
            <w:r>
              <w:rPr>
                <w:rFonts w:ascii="Arial" w:cs="Arial" w:eastAsia="Arial" w:hAnsi="Arial"/>
                <w:sz w:val="12"/>
                <w:szCs w:val="12"/>
                <w:b w:val="1"/>
                <w:bCs w:val="1"/>
                <w:color w:val="auto"/>
                <w:w w:val="93"/>
              </w:rPr>
              <w:t>Service</w:t>
            </w:r>
          </w:p>
        </w:tc>
        <w:tc>
          <w:tcPr>
            <w:tcW w:w="10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8"/>
              </w:rPr>
              <w:t>Charter</w:t>
            </w:r>
          </w:p>
        </w:tc>
        <w:tc>
          <w:tcPr>
            <w:tcW w:w="8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Cargo</w:t>
            </w:r>
          </w:p>
        </w:tc>
        <w:tc>
          <w:tcPr>
            <w:tcW w:w="8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3"/>
              </w:rPr>
              <w:t>Service</w:t>
            </w:r>
          </w:p>
        </w:tc>
        <w:tc>
          <w:tcPr>
            <w:tcW w:w="80" w:type="dxa"/>
            <w:vAlign w:val="bottom"/>
          </w:tcPr>
          <w:p>
            <w:pPr>
              <w:spacing w:after="0"/>
              <w:rPr>
                <w:sz w:val="13"/>
                <w:szCs w:val="13"/>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3"/>
              </w:rPr>
              <w:t>Charter</w:t>
            </w:r>
          </w:p>
        </w:tc>
        <w:tc>
          <w:tcPr>
            <w:tcW w:w="580" w:type="dxa"/>
            <w:vAlign w:val="bottom"/>
          </w:tcPr>
          <w:p>
            <w:pPr>
              <w:jc w:val="right"/>
              <w:ind w:right="127"/>
              <w:spacing w:after="0"/>
              <w:rPr>
                <w:sz w:val="20"/>
                <w:szCs w:val="20"/>
                <w:color w:val="auto"/>
              </w:rPr>
            </w:pPr>
            <w:r>
              <w:rPr>
                <w:rFonts w:ascii="Arial" w:cs="Arial" w:eastAsia="Arial" w:hAnsi="Arial"/>
                <w:sz w:val="12"/>
                <w:szCs w:val="12"/>
                <w:b w:val="1"/>
                <w:bCs w:val="1"/>
                <w:color w:val="auto"/>
              </w:rPr>
              <w:t>Total</w:t>
            </w:r>
          </w:p>
        </w:tc>
      </w:tr>
      <w:tr>
        <w:trPr>
          <w:trHeight w:val="21"/>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1"/>
        </w:trPr>
        <w:tc>
          <w:tcPr>
            <w:tcW w:w="4160" w:type="dxa"/>
            <w:vAlign w:val="bottom"/>
            <w:shd w:val="clear" w:color="auto" w:fill="CCEEFF"/>
          </w:tcPr>
          <w:p>
            <w:pPr>
              <w:ind w:left="20"/>
              <w:spacing w:after="0" w:line="211" w:lineRule="exact"/>
              <w:rPr>
                <w:sz w:val="20"/>
                <w:szCs w:val="20"/>
                <w:color w:val="auto"/>
              </w:rPr>
            </w:pPr>
            <w:r>
              <w:rPr>
                <w:rFonts w:ascii="Arial" w:cs="Arial" w:eastAsia="Arial" w:hAnsi="Arial"/>
                <w:sz w:val="15"/>
                <w:szCs w:val="15"/>
                <w:color w:val="auto"/>
              </w:rPr>
              <w:t>Departures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4,323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1,511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2,565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5,806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7,523</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Block hours</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15,207</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3,331</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8,242</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26,932</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20,242</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3,612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24,087</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Aircraft miles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w w:val="83"/>
              </w:rPr>
              <w:t>6,233,184</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1,222,451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3,285,525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10,784,543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3"/>
              </w:rPr>
              <w:t>8,157,586</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1,311,533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9,534,560</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ASMs (in thousands)</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w w:val="83"/>
              </w:rPr>
              <w:t>1,158,012</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211,721</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1,376,796</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83"/>
              </w:rPr>
              <w:t>1,508,196</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236,863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1,757,067</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TRASM (in cents)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7.70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Average passenger aircraft available for service</w:t>
            </w:r>
            <w:r>
              <w:rPr>
                <w:rFonts w:ascii="Arial" w:cs="Arial" w:eastAsia="Arial" w:hAnsi="Arial"/>
                <w:sz w:val="21"/>
                <w:szCs w:val="21"/>
                <w:color w:val="auto"/>
                <w:vertAlign w:val="superscript"/>
              </w:rPr>
              <w:t>(2)</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Passenger aircraft at end of period</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Cargo aircraft at end of period</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Average daily aircraft utilization (in hours)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Average stage length</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1,278</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1,272</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Passengers</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553,032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813,938</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RPMs (in thousands)</w:t>
            </w:r>
            <w:r>
              <w:rPr>
                <w:rFonts w:ascii="Arial" w:cs="Arial" w:eastAsia="Arial" w:hAnsi="Arial"/>
                <w:sz w:val="21"/>
                <w:szCs w:val="21"/>
                <w:color w:val="auto"/>
                <w:vertAlign w:val="superscript"/>
              </w:rPr>
              <w:t>(3)</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774,999</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w w:val="83"/>
              </w:rPr>
              <w:t>1,149,906</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PRASM (in cents)</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4.72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7.57</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Load factor</w:t>
            </w:r>
            <w:r>
              <w:rPr>
                <w:rFonts w:ascii="Arial" w:cs="Arial" w:eastAsia="Arial" w:hAnsi="Arial"/>
                <w:sz w:val="21"/>
                <w:szCs w:val="21"/>
                <w:color w:val="auto"/>
                <w:vertAlign w:val="superscript"/>
              </w:rPr>
              <w:t>(3)</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66.9%</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76.2%</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Average fare</w:t>
            </w:r>
            <w:r>
              <w:rPr>
                <w:rFonts w:ascii="Arial" w:cs="Arial" w:eastAsia="Arial" w:hAnsi="Arial"/>
                <w:sz w:val="21"/>
                <w:szCs w:val="21"/>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98.77</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140.34</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tcPr>
          <w:p>
            <w:pPr>
              <w:ind w:left="20"/>
              <w:spacing w:after="0" w:line="220" w:lineRule="exact"/>
              <w:rPr>
                <w:sz w:val="20"/>
                <w:szCs w:val="20"/>
                <w:color w:val="auto"/>
              </w:rPr>
            </w:pPr>
            <w:r>
              <w:rPr>
                <w:rFonts w:ascii="Arial" w:cs="Arial" w:eastAsia="Arial" w:hAnsi="Arial"/>
                <w:sz w:val="15"/>
                <w:szCs w:val="15"/>
                <w:color w:val="auto"/>
              </w:rPr>
              <w:t>Ancillary revenue per passenger</w:t>
            </w:r>
            <w:r>
              <w:rPr>
                <w:rFonts w:ascii="Arial" w:cs="Arial" w:eastAsia="Arial" w:hAnsi="Arial"/>
                <w:sz w:val="21"/>
                <w:szCs w:val="21"/>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42.98</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43.04</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Charter revenue per block hour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7,747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8,092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Fuel gallons consumed (in thousands)</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11,557</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2,357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13,993</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15,751</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2,700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18,571</w:t>
            </w: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Fuel cost per gallon, excl. derivatives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r>
      <w:tr>
        <w:trPr>
          <w:trHeight w:val="220"/>
        </w:trPr>
        <w:tc>
          <w:tcPr>
            <w:tcW w:w="4160" w:type="dxa"/>
            <w:vAlign w:val="bottom"/>
          </w:tcPr>
          <w:p>
            <w:pPr>
              <w:ind w:left="20"/>
              <w:spacing w:after="0"/>
              <w:rPr>
                <w:sz w:val="20"/>
                <w:szCs w:val="20"/>
                <w:color w:val="auto"/>
              </w:rPr>
            </w:pPr>
            <w:r>
              <w:rPr>
                <w:rFonts w:ascii="Arial" w:cs="Arial" w:eastAsia="Arial" w:hAnsi="Arial"/>
                <w:sz w:val="15"/>
                <w:szCs w:val="15"/>
                <w:color w:val="auto"/>
              </w:rPr>
              <w:t>Employees at end of period</w:t>
            </w:r>
          </w:p>
        </w:tc>
        <w:tc>
          <w:tcPr>
            <w:tcW w:w="10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1,768</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1,640</w:t>
            </w:r>
          </w:p>
        </w:tc>
      </w:tr>
      <w:tr>
        <w:trPr>
          <w:trHeight w:val="231"/>
        </w:trPr>
        <w:tc>
          <w:tcPr>
            <w:tcW w:w="4160" w:type="dxa"/>
            <w:vAlign w:val="bottom"/>
            <w:shd w:val="clear" w:color="auto" w:fill="CCEEFF"/>
          </w:tcPr>
          <w:p>
            <w:pPr>
              <w:ind w:left="20"/>
              <w:spacing w:after="0" w:line="231" w:lineRule="exact"/>
              <w:rPr>
                <w:sz w:val="20"/>
                <w:szCs w:val="20"/>
                <w:color w:val="auto"/>
              </w:rPr>
            </w:pPr>
            <w:r>
              <w:rPr>
                <w:rFonts w:ascii="Arial" w:cs="Arial" w:eastAsia="Arial" w:hAnsi="Arial"/>
                <w:sz w:val="15"/>
                <w:szCs w:val="15"/>
                <w:color w:val="auto"/>
              </w:rPr>
              <w:t>CASM (in cents)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7.46</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w:t>
            </w:r>
          </w:p>
        </w:tc>
      </w:tr>
      <w:tr>
        <w:trPr>
          <w:trHeight w:val="220"/>
        </w:trPr>
        <w:tc>
          <w:tcPr>
            <w:tcW w:w="4160" w:type="dxa"/>
            <w:vAlign w:val="bottom"/>
          </w:tcPr>
          <w:p>
            <w:pPr>
              <w:ind w:left="20"/>
              <w:spacing w:after="0"/>
              <w:rPr>
                <w:sz w:val="20"/>
                <w:szCs w:val="20"/>
                <w:color w:val="auto"/>
              </w:rPr>
            </w:pPr>
            <w:r>
              <w:rPr>
                <w:rFonts w:ascii="Arial" w:cs="Arial" w:eastAsia="Arial" w:hAnsi="Arial"/>
                <w:sz w:val="15"/>
                <w:szCs w:val="15"/>
                <w:color w:val="auto"/>
              </w:rPr>
              <w:t>Non-GAAP Operating Metric:</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1"/>
        </w:trPr>
        <w:tc>
          <w:tcPr>
            <w:tcW w:w="4160" w:type="dxa"/>
            <w:vAlign w:val="bottom"/>
            <w:shd w:val="clear" w:color="auto" w:fill="CCEEFF"/>
          </w:tcPr>
          <w:p>
            <w:pPr>
              <w:ind w:left="20"/>
              <w:spacing w:after="0" w:line="231" w:lineRule="exact"/>
              <w:rPr>
                <w:sz w:val="20"/>
                <w:szCs w:val="20"/>
                <w:color w:val="auto"/>
              </w:rPr>
            </w:pPr>
            <w:r>
              <w:rPr>
                <w:rFonts w:ascii="Arial" w:cs="Arial" w:eastAsia="Arial" w:hAnsi="Arial"/>
                <w:sz w:val="15"/>
                <w:szCs w:val="15"/>
                <w:color w:val="auto"/>
              </w:rPr>
              <w:t>Adjusted CASM (in cents)</w:t>
            </w:r>
            <w:r>
              <w:rPr>
                <w:rFonts w:ascii="Arial" w:cs="Arial" w:eastAsia="Arial" w:hAnsi="Arial"/>
                <w:sz w:val="21"/>
                <w:szCs w:val="21"/>
                <w:color w:val="auto"/>
                <w:vertAlign w:val="superscript"/>
              </w:rPr>
              <w:t>(4)(5)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-3194685</wp:posOffset>
            </wp:positionV>
            <wp:extent cx="1117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5676900</wp:posOffset>
            </wp:positionH>
            <wp:positionV relativeFrom="paragraph">
              <wp:posOffset>-3194685</wp:posOffset>
            </wp:positionV>
            <wp:extent cx="11176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-3194685</wp:posOffset>
            </wp:positionV>
            <wp:extent cx="11176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-3194685</wp:posOffset>
            </wp:positionV>
            <wp:extent cx="1117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-3194685</wp:posOffset>
            </wp:positionV>
            <wp:extent cx="11176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-3194685</wp:posOffset>
            </wp:positionV>
            <wp:extent cx="318135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81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7" w:name="page28"/>
    <w:bookmarkEnd w:id="27"/>
    <w:p>
      <w:pPr>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gridSpan w:val="23"/>
          </w:tcPr>
          <w:p>
            <w:pPr>
              <w:jc w:val="center"/>
              <w:ind w:right="260"/>
              <w:spacing w:after="0"/>
              <w:rPr>
                <w:sz w:val="20"/>
                <w:szCs w:val="20"/>
                <w:color w:val="auto"/>
              </w:rPr>
            </w:pPr>
            <w:r>
              <w:rPr>
                <w:rFonts w:ascii="Arial" w:cs="Arial" w:eastAsia="Arial" w:hAnsi="Arial"/>
                <w:sz w:val="15"/>
                <w:szCs w:val="15"/>
                <w:b w:val="1"/>
                <w:bCs w:val="1"/>
                <w:color w:val="auto"/>
                <w:w w:val="85"/>
              </w:rPr>
              <w:t>Confidential Treatment Requested by Sun Country Airlines Holdings, Inc.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restart"/>
          </w:tcPr>
          <w:p>
            <w:pPr>
              <w:jc w:val="right"/>
              <w:ind w:right="220"/>
              <w:spacing w:after="0"/>
              <w:rPr>
                <w:sz w:val="20"/>
                <w:szCs w:val="20"/>
                <w:color w:val="auto"/>
              </w:rPr>
            </w:pPr>
            <w:r>
              <w:rPr>
                <w:rFonts w:ascii="Arial" w:cs="Arial" w:eastAsia="Arial" w:hAnsi="Arial"/>
                <w:sz w:val="10"/>
                <w:szCs w:val="10"/>
                <w:b w:val="1"/>
                <w:bCs w:val="1"/>
                <w:color w:val="auto"/>
              </w:rPr>
              <w:t>Fiscal Year 2020</w:t>
            </w:r>
          </w:p>
        </w:tc>
        <w:tc>
          <w:tcPr>
            <w:tcW w:w="100" w:type="dxa"/>
            <w:vAlign w:val="bottom"/>
          </w:tcPr>
          <w:p>
            <w:pPr>
              <w:spacing w:after="0"/>
              <w:rPr>
                <w:sz w:val="12"/>
                <w:szCs w:val="12"/>
                <w:color w:val="auto"/>
              </w:rPr>
            </w:pPr>
          </w:p>
        </w:tc>
        <w:tc>
          <w:tcPr>
            <w:tcW w:w="2440" w:type="dxa"/>
            <w:vAlign w:val="bottom"/>
            <w:gridSpan w:val="11"/>
          </w:tcPr>
          <w:p>
            <w:pPr>
              <w:jc w:val="center"/>
              <w:ind w:right="40"/>
              <w:spacing w:after="0" w:line="146" w:lineRule="exact"/>
              <w:rPr>
                <w:sz w:val="20"/>
                <w:szCs w:val="20"/>
                <w:color w:val="auto"/>
              </w:rPr>
            </w:pPr>
            <w:r>
              <w:rPr>
                <w:rFonts w:ascii="Arial" w:cs="Arial" w:eastAsia="Arial" w:hAnsi="Arial"/>
                <w:sz w:val="15"/>
                <w:szCs w:val="15"/>
                <w:b w:val="1"/>
                <w:bCs w:val="1"/>
                <w:color w:val="auto"/>
                <w:w w:val="84"/>
              </w:rPr>
              <w:t>Pursuant to 17 C.F.R. Section 200.83</w:t>
            </w:r>
          </w:p>
        </w:tc>
        <w:tc>
          <w:tcPr>
            <w:tcW w:w="80" w:type="dxa"/>
            <w:vAlign w:val="bottom"/>
          </w:tcPr>
          <w:p>
            <w:pPr>
              <w:spacing w:after="0"/>
              <w:rPr>
                <w:sz w:val="12"/>
                <w:szCs w:val="12"/>
                <w:color w:val="auto"/>
              </w:rPr>
            </w:pPr>
          </w:p>
        </w:tc>
        <w:tc>
          <w:tcPr>
            <w:tcW w:w="1260" w:type="dxa"/>
            <w:vAlign w:val="bottom"/>
            <w:gridSpan w:val="6"/>
            <w:vMerge w:val="restart"/>
          </w:tcPr>
          <w:p>
            <w:pPr>
              <w:jc w:val="center"/>
              <w:ind w:left="402"/>
              <w:spacing w:after="0"/>
              <w:rPr>
                <w:sz w:val="20"/>
                <w:szCs w:val="20"/>
                <w:color w:val="auto"/>
              </w:rPr>
            </w:pPr>
            <w:r>
              <w:rPr>
                <w:rFonts w:ascii="Arial" w:cs="Arial" w:eastAsia="Arial" w:hAnsi="Arial"/>
                <w:sz w:val="10"/>
                <w:szCs w:val="10"/>
                <w:b w:val="1"/>
                <w:bCs w:val="1"/>
                <w:color w:val="auto"/>
                <w:w w:val="87"/>
              </w:rPr>
              <w:t>Fiscal Year 2018</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vMerge w:val="restart"/>
          </w:tcPr>
          <w:p>
            <w:pPr>
              <w:jc w:val="right"/>
              <w:ind w:right="60"/>
              <w:spacing w:after="0"/>
              <w:rPr>
                <w:sz w:val="20"/>
                <w:szCs w:val="20"/>
                <w:color w:val="auto"/>
              </w:rPr>
            </w:pPr>
            <w:r>
              <w:rPr>
                <w:rFonts w:ascii="Arial" w:cs="Arial" w:eastAsia="Arial" w:hAnsi="Arial"/>
                <w:sz w:val="10"/>
                <w:szCs w:val="10"/>
                <w:b w:val="1"/>
                <w:bCs w:val="1"/>
                <w:color w:val="auto"/>
              </w:rPr>
              <w:t>Fiscal Year 2017</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6"/>
          </w:tcPr>
          <w:p>
            <w:pPr>
              <w:jc w:val="center"/>
              <w:ind w:left="402"/>
              <w:spacing w:after="0"/>
              <w:rPr>
                <w:sz w:val="20"/>
                <w:szCs w:val="20"/>
                <w:color w:val="auto"/>
              </w:rPr>
            </w:pPr>
            <w:r>
              <w:rPr>
                <w:rFonts w:ascii="Arial" w:cs="Arial" w:eastAsia="Arial" w:hAnsi="Arial"/>
                <w:sz w:val="10"/>
                <w:szCs w:val="10"/>
                <w:b w:val="1"/>
                <w:bCs w:val="1"/>
                <w:color w:val="auto"/>
                <w:w w:val="89"/>
              </w:rPr>
              <w:t>Fiscal Year 2019</w:t>
            </w: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6"/>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6"/>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740" w:type="dxa"/>
            <w:vAlign w:val="bottom"/>
            <w:gridSpan w:val="4"/>
          </w:tcPr>
          <w:p>
            <w:pPr>
              <w:jc w:val="center"/>
              <w:ind w:right="140"/>
              <w:spacing w:after="0" w:line="110"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tcPr>
          <w:p>
            <w:pPr>
              <w:jc w:val="center"/>
              <w:ind w:right="140"/>
              <w:spacing w:after="0" w:line="110" w:lineRule="exact"/>
              <w:rPr>
                <w:sz w:val="20"/>
                <w:szCs w:val="20"/>
                <w:color w:val="auto"/>
              </w:rPr>
            </w:pPr>
            <w:r>
              <w:rPr>
                <w:rFonts w:ascii="Arial" w:cs="Arial" w:eastAsia="Arial" w:hAnsi="Arial"/>
                <w:sz w:val="10"/>
                <w:szCs w:val="10"/>
                <w:b w:val="1"/>
                <w:bCs w:val="1"/>
                <w:color w:val="auto"/>
                <w:w w:val="86"/>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tcPr>
          <w:p>
            <w:pPr>
              <w:jc w:val="right"/>
              <w:ind w:right="220"/>
              <w:spacing w:after="0" w:line="110" w:lineRule="exact"/>
              <w:rPr>
                <w:sz w:val="20"/>
                <w:szCs w:val="20"/>
                <w:color w:val="auto"/>
              </w:rPr>
            </w:pPr>
            <w:r>
              <w:rPr>
                <w:rFonts w:ascii="Arial" w:cs="Arial" w:eastAsia="Arial" w:hAnsi="Arial"/>
                <w:sz w:val="10"/>
                <w:szCs w:val="10"/>
                <w:b w:val="1"/>
                <w:bCs w:val="1"/>
                <w:color w:val="auto"/>
                <w:w w:val="98"/>
              </w:rPr>
              <w:t>Scheduled</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4"/>
          </w:tcPr>
          <w:p>
            <w:pPr>
              <w:jc w:val="center"/>
              <w:ind w:right="140"/>
              <w:spacing w:after="0" w:line="110" w:lineRule="exact"/>
              <w:rPr>
                <w:sz w:val="20"/>
                <w:szCs w:val="20"/>
                <w:color w:val="auto"/>
              </w:rPr>
            </w:pPr>
            <w:r>
              <w:rPr>
                <w:rFonts w:ascii="Arial" w:cs="Arial" w:eastAsia="Arial" w:hAnsi="Arial"/>
                <w:sz w:val="10"/>
                <w:szCs w:val="10"/>
                <w:b w:val="1"/>
                <w:bCs w:val="1"/>
                <w:color w:val="auto"/>
                <w:w w:val="82"/>
              </w:rPr>
              <w:t>Scheduled</w:t>
            </w: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9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Charter</w:t>
            </w:r>
          </w:p>
        </w:tc>
        <w:tc>
          <w:tcPr>
            <w:tcW w:w="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Cargo</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Charter</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Service</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Charter</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Total</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84"/>
              </w:rPr>
              <w:t>Service</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Charter</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4"/>
        </w:trPr>
        <w:tc>
          <w:tcPr>
            <w:tcW w:w="1920" w:type="dxa"/>
            <w:vAlign w:val="bottom"/>
            <w:shd w:val="clear" w:color="auto" w:fill="CCEEFF"/>
          </w:tcPr>
          <w:p>
            <w:pPr>
              <w:ind w:left="20"/>
              <w:spacing w:after="0" w:line="134" w:lineRule="exact"/>
              <w:rPr>
                <w:sz w:val="20"/>
                <w:szCs w:val="20"/>
                <w:color w:val="auto"/>
              </w:rPr>
            </w:pPr>
            <w:r>
              <w:rPr>
                <w:rFonts w:ascii="Arial" w:cs="Arial" w:eastAsia="Arial" w:hAnsi="Arial"/>
                <w:sz w:val="11"/>
                <w:szCs w:val="11"/>
                <w:color w:val="auto"/>
              </w:rPr>
              <w:t>Departures</w:t>
            </w:r>
            <w:r>
              <w:rPr>
                <w:rFonts w:ascii="Arial" w:cs="Arial" w:eastAsia="Arial" w:hAnsi="Arial"/>
                <w:sz w:val="15"/>
                <w:szCs w:val="15"/>
                <w:color w:val="auto"/>
                <w:vertAlign w:val="superscript"/>
              </w:rPr>
              <w:t>(1)</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14,117</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5,581</w:t>
            </w:r>
          </w:p>
        </w:tc>
        <w:tc>
          <w:tcPr>
            <w:tcW w:w="5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4,642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24,518</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24,311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9,035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33,586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19,772</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8,254</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28,194</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20,357</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7,981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28,469</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Block hours</w:t>
            </w:r>
            <w:r>
              <w:rPr>
                <w:rFonts w:ascii="Arial" w:cs="Arial" w:eastAsia="Arial" w:hAnsi="Arial"/>
                <w:sz w:val="17"/>
                <w:szCs w:val="17"/>
                <w:color w:val="auto"/>
                <w:vertAlign w:val="superscript"/>
              </w:rPr>
              <w:t>(1)</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45,988</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12,113</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13,847</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72,424</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80,719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19,852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101,137</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68,143</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17,335</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85,883</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68,060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16,941</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85,298</w:t>
            </w:r>
          </w:p>
        </w:tc>
        <w:tc>
          <w:tcPr>
            <w:tcW w:w="0" w:type="dxa"/>
            <w:vAlign w:val="bottom"/>
          </w:tcPr>
          <w:p>
            <w:pPr>
              <w:spacing w:after="0"/>
              <w:rPr>
                <w:sz w:val="1"/>
                <w:szCs w:val="1"/>
                <w:color w:val="auto"/>
              </w:rPr>
            </w:pP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Aircraft miles</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6"/>
              </w:rPr>
              <w:t>18,685,265</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4,539,429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5,666,642</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29,030,711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32,217,934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7,356,628</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39,738,483</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27,584,857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6"/>
              </w:rPr>
              <w:t>6,369,866</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34,095,663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3"/>
              </w:rPr>
              <w:t>27,723,331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6,358,418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3"/>
              </w:rPr>
              <w:t>34,181,885</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ASMs (in thousands)</w:t>
            </w:r>
            <w:r>
              <w:rPr>
                <w:rFonts w:ascii="Arial" w:cs="Arial" w:eastAsia="Arial" w:hAnsi="Arial"/>
                <w:sz w:val="17"/>
                <w:szCs w:val="17"/>
                <w:color w:val="auto"/>
                <w:vertAlign w:val="superscript"/>
              </w:rPr>
              <w:t>(1)</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3,466,240</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819,855</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4,311,142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5,747,391</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82"/>
              </w:rPr>
              <w:t>1,288,725</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7,064,563</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4,433,110</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1,007,391</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5,463,229</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4,255,233</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979,756</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5,250,474</w:t>
            </w:r>
          </w:p>
        </w:tc>
        <w:tc>
          <w:tcPr>
            <w:tcW w:w="0" w:type="dxa"/>
            <w:vAlign w:val="bottom"/>
          </w:tcPr>
          <w:p>
            <w:pPr>
              <w:spacing w:after="0"/>
              <w:rPr>
                <w:sz w:val="1"/>
                <w:szCs w:val="1"/>
                <w:color w:val="auto"/>
              </w:rPr>
            </w:pP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TRASM (in cents)</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8.46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9.93</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w:t>
            </w:r>
          </w:p>
        </w:tc>
        <w:tc>
          <w:tcPr>
            <w:tcW w:w="0" w:type="dxa"/>
            <w:vAlign w:val="bottom"/>
          </w:tcPr>
          <w:p>
            <w:pPr>
              <w:spacing w:after="0"/>
              <w:rPr>
                <w:sz w:val="1"/>
                <w:szCs w:val="1"/>
                <w:color w:val="auto"/>
              </w:rPr>
            </w:pPr>
          </w:p>
        </w:tc>
      </w:tr>
      <w:tr>
        <w:trPr>
          <w:trHeight w:val="113"/>
        </w:trPr>
        <w:tc>
          <w:tcPr>
            <w:tcW w:w="1920" w:type="dxa"/>
            <w:vAlign w:val="bottom"/>
          </w:tcPr>
          <w:p>
            <w:pPr>
              <w:ind w:left="20"/>
              <w:spacing w:after="0" w:line="114" w:lineRule="exact"/>
              <w:rPr>
                <w:sz w:val="20"/>
                <w:szCs w:val="20"/>
                <w:color w:val="auto"/>
              </w:rPr>
            </w:pPr>
            <w:r>
              <w:rPr>
                <w:rFonts w:ascii="Arial" w:cs="Arial" w:eastAsia="Arial" w:hAnsi="Arial"/>
                <w:sz w:val="12"/>
                <w:szCs w:val="12"/>
                <w:color w:val="auto"/>
                <w:w w:val="96"/>
              </w:rPr>
              <w:t>Average passenger aircraft available</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40"/>
              <w:spacing w:after="0" w:line="172" w:lineRule="exact"/>
              <w:rPr>
                <w:sz w:val="20"/>
                <w:szCs w:val="20"/>
                <w:color w:val="auto"/>
              </w:rPr>
            </w:pPr>
            <w:r>
              <w:rPr>
                <w:rFonts w:ascii="Arial" w:cs="Arial" w:eastAsia="Arial" w:hAnsi="Arial"/>
                <w:sz w:val="12"/>
                <w:szCs w:val="12"/>
                <w:color w:val="auto"/>
              </w:rPr>
              <w:t>for service</w:t>
            </w:r>
            <w:r>
              <w:rPr>
                <w:rFonts w:ascii="Arial" w:cs="Arial" w:eastAsia="Arial" w:hAnsi="Arial"/>
                <w:sz w:val="17"/>
                <w:szCs w:val="17"/>
                <w:color w:val="auto"/>
                <w:vertAlign w:val="superscript"/>
              </w:rPr>
              <w:t>(2)</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27.4</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25.4</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21.2</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13"/>
        </w:trPr>
        <w:tc>
          <w:tcPr>
            <w:tcW w:w="1920" w:type="dxa"/>
            <w:vAlign w:val="bottom"/>
            <w:shd w:val="clear" w:color="auto" w:fill="CCEEFF"/>
          </w:tcPr>
          <w:p>
            <w:pPr>
              <w:ind w:left="20"/>
              <w:spacing w:after="0" w:line="114" w:lineRule="exact"/>
              <w:rPr>
                <w:sz w:val="20"/>
                <w:szCs w:val="20"/>
                <w:color w:val="auto"/>
              </w:rPr>
            </w:pPr>
            <w:r>
              <w:rPr>
                <w:rFonts w:ascii="Arial" w:cs="Arial" w:eastAsia="Arial" w:hAnsi="Arial"/>
                <w:sz w:val="12"/>
                <w:szCs w:val="12"/>
                <w:color w:val="auto"/>
              </w:rPr>
              <w:t>Passenger aircraft at end of</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ind w:left="140"/>
              <w:spacing w:after="0" w:line="172" w:lineRule="exact"/>
              <w:rPr>
                <w:sz w:val="20"/>
                <w:szCs w:val="20"/>
                <w:color w:val="auto"/>
              </w:rPr>
            </w:pPr>
            <w:r>
              <w:rPr>
                <w:rFonts w:ascii="Arial" w:cs="Arial" w:eastAsia="Arial" w:hAnsi="Arial"/>
                <w:sz w:val="12"/>
                <w:szCs w:val="12"/>
                <w:color w:val="auto"/>
              </w:rPr>
              <w:t>period</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31.0</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r>
        <w:trPr>
          <w:trHeight w:val="113"/>
        </w:trPr>
        <w:tc>
          <w:tcPr>
            <w:tcW w:w="1920" w:type="dxa"/>
            <w:vAlign w:val="bottom"/>
          </w:tcPr>
          <w:p>
            <w:pPr>
              <w:ind w:left="20"/>
              <w:spacing w:after="0" w:line="114" w:lineRule="exact"/>
              <w:rPr>
                <w:sz w:val="20"/>
                <w:szCs w:val="20"/>
                <w:color w:val="auto"/>
              </w:rPr>
            </w:pPr>
            <w:r>
              <w:rPr>
                <w:rFonts w:ascii="Arial" w:cs="Arial" w:eastAsia="Arial" w:hAnsi="Arial"/>
                <w:sz w:val="12"/>
                <w:szCs w:val="12"/>
                <w:color w:val="auto"/>
              </w:rPr>
              <w:t>Average daily aircraft utilization (in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40"/>
              <w:spacing w:after="0" w:line="172" w:lineRule="exact"/>
              <w:rPr>
                <w:sz w:val="20"/>
                <w:szCs w:val="20"/>
                <w:color w:val="auto"/>
              </w:rPr>
            </w:pPr>
            <w:r>
              <w:rPr>
                <w:rFonts w:ascii="Arial" w:cs="Arial" w:eastAsia="Arial" w:hAnsi="Arial"/>
                <w:sz w:val="12"/>
                <w:szCs w:val="12"/>
                <w:color w:val="auto"/>
              </w:rPr>
              <w:t>hours)</w:t>
            </w:r>
            <w:r>
              <w:rPr>
                <w:rFonts w:ascii="Arial" w:cs="Arial" w:eastAsia="Arial" w:hAnsi="Arial"/>
                <w:sz w:val="17"/>
                <w:szCs w:val="17"/>
                <w:color w:val="auto"/>
                <w:vertAlign w:val="superscript"/>
              </w:rPr>
              <w:t>(2)</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9.7</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43"/>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Average stage length</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1,179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1,187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1,203</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Passengers</w:t>
            </w:r>
            <w:r>
              <w:rPr>
                <w:rFonts w:ascii="Arial" w:cs="Arial" w:eastAsia="Arial" w:hAnsi="Arial"/>
                <w:sz w:val="17"/>
                <w:szCs w:val="17"/>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1,679,242</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3,565,939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2,614,929</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2,502,082</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RPMs (in thousands)</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7"/>
              </w:rPr>
              <w:t>2,250,974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4,473,347</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3,653,007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3,419,527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PRASM (in cents)</w:t>
            </w:r>
            <w:r>
              <w:rPr>
                <w:rFonts w:ascii="Arial" w:cs="Arial" w:eastAsia="Arial" w:hAnsi="Arial"/>
                <w:sz w:val="17"/>
                <w:szCs w:val="17"/>
                <w:color w:val="auto"/>
                <w:vertAlign w:val="superscript"/>
              </w:rPr>
              <w:t>(3)</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6.89</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8.05</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8.74</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Load factor</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64.9%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82.5%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82.4%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80.4%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line="154" w:lineRule="exact"/>
              <w:rPr>
                <w:sz w:val="20"/>
                <w:szCs w:val="20"/>
                <w:color w:val="auto"/>
              </w:rPr>
            </w:pPr>
            <w:r>
              <w:rPr>
                <w:rFonts w:ascii="Arial" w:cs="Arial" w:eastAsia="Arial" w:hAnsi="Arial"/>
                <w:sz w:val="12"/>
                <w:szCs w:val="12"/>
                <w:color w:val="auto"/>
              </w:rPr>
              <w:t>Average fare</w:t>
            </w:r>
            <w:r>
              <w:rPr>
                <w:rFonts w:ascii="Arial" w:cs="Arial" w:eastAsia="Arial" w:hAnsi="Arial"/>
                <w:sz w:val="17"/>
                <w:szCs w:val="17"/>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114.96</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111.08</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136.42</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148.60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2"/>
                <w:szCs w:val="12"/>
                <w:color w:val="auto"/>
              </w:rPr>
              <w:t>Ancillary revenue per passenger</w:t>
            </w:r>
            <w:r>
              <w:rPr>
                <w:rFonts w:ascii="Arial" w:cs="Arial" w:eastAsia="Arial" w:hAnsi="Arial"/>
                <w:sz w:val="17"/>
                <w:szCs w:val="17"/>
                <w:color w:val="auto"/>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40.53</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33.14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21.70</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1920" w:type="dxa"/>
            <w:vAlign w:val="bottom"/>
          </w:tcPr>
          <w:p>
            <w:pPr>
              <w:ind w:left="20"/>
              <w:spacing w:after="0"/>
              <w:rPr>
                <w:sz w:val="20"/>
                <w:szCs w:val="20"/>
                <w:color w:val="auto"/>
              </w:rPr>
            </w:pPr>
            <w:r>
              <w:rPr>
                <w:rFonts w:ascii="Arial" w:cs="Arial" w:eastAsia="Arial" w:hAnsi="Arial"/>
                <w:sz w:val="12"/>
                <w:szCs w:val="12"/>
                <w:color w:val="auto"/>
              </w:rPr>
              <w:t>Charter revenue per block hour</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8,101</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jc w:val="center"/>
              <w:ind w:left="382"/>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8,793</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8,767</w:t>
            </w:r>
          </w:p>
        </w:tc>
        <w:tc>
          <w:tcPr>
            <w:tcW w:w="1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7,818</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Fuel gallons consumed (in thousands)</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34,769</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9,075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43,844</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63,240</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14,802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78,042</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52,303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12,678</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64,981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52,104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12,551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64,656</w:t>
            </w:r>
          </w:p>
        </w:tc>
        <w:tc>
          <w:tcPr>
            <w:tcW w:w="0" w:type="dxa"/>
            <w:vAlign w:val="bottom"/>
          </w:tcPr>
          <w:p>
            <w:pPr>
              <w:spacing w:after="0"/>
              <w:rPr>
                <w:sz w:val="1"/>
                <w:szCs w:val="1"/>
                <w:color w:val="auto"/>
              </w:rPr>
            </w:pPr>
          </w:p>
        </w:tc>
      </w:tr>
      <w:tr>
        <w:trPr>
          <w:trHeight w:val="138"/>
        </w:trPr>
        <w:tc>
          <w:tcPr>
            <w:tcW w:w="1920" w:type="dxa"/>
            <w:vAlign w:val="bottom"/>
          </w:tcPr>
          <w:p>
            <w:pPr>
              <w:ind w:left="20"/>
              <w:spacing w:after="0"/>
              <w:rPr>
                <w:sz w:val="20"/>
                <w:szCs w:val="20"/>
                <w:color w:val="auto"/>
              </w:rPr>
            </w:pPr>
            <w:r>
              <w:rPr>
                <w:rFonts w:ascii="Arial" w:cs="Arial" w:eastAsia="Arial" w:hAnsi="Arial"/>
                <w:sz w:val="12"/>
                <w:szCs w:val="12"/>
                <w:color w:val="auto"/>
              </w:rPr>
              <w:t>Fuel cost per gallon, excl.</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20" w:type="dxa"/>
            <w:vAlign w:val="bottom"/>
          </w:tcPr>
          <w:p>
            <w:pPr>
              <w:ind w:left="140"/>
              <w:spacing w:after="0"/>
              <w:rPr>
                <w:sz w:val="20"/>
                <w:szCs w:val="20"/>
                <w:color w:val="auto"/>
              </w:rPr>
            </w:pPr>
            <w:r>
              <w:rPr>
                <w:rFonts w:ascii="Arial" w:cs="Arial" w:eastAsia="Arial" w:hAnsi="Arial"/>
                <w:sz w:val="12"/>
                <w:szCs w:val="12"/>
                <w:color w:val="auto"/>
              </w:rPr>
              <w:t>derivatives</w:t>
            </w: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1.60</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2.26</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2.34</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 $</w:t>
            </w:r>
          </w:p>
        </w:tc>
        <w:tc>
          <w:tcPr>
            <w:tcW w:w="520" w:type="dxa"/>
            <w:vAlign w:val="bottom"/>
          </w:tcPr>
          <w:p>
            <w:pPr>
              <w:jc w:val="right"/>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Employees at end of period</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1,699</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1,532</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1,549</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1,889</w:t>
            </w:r>
          </w:p>
        </w:tc>
        <w:tc>
          <w:tcPr>
            <w:tcW w:w="0" w:type="dxa"/>
            <w:vAlign w:val="bottom"/>
          </w:tcPr>
          <w:p>
            <w:pPr>
              <w:spacing w:after="0"/>
              <w:rPr>
                <w:sz w:val="1"/>
                <w:szCs w:val="1"/>
                <w:color w:val="auto"/>
              </w:rPr>
            </w:pPr>
          </w:p>
        </w:tc>
      </w:tr>
      <w:tr>
        <w:trPr>
          <w:trHeight w:val="165"/>
        </w:trPr>
        <w:tc>
          <w:tcPr>
            <w:tcW w:w="1920" w:type="dxa"/>
            <w:vAlign w:val="bottom"/>
          </w:tcPr>
          <w:p>
            <w:pPr>
              <w:ind w:left="20"/>
              <w:spacing w:after="0" w:line="165" w:lineRule="exact"/>
              <w:rPr>
                <w:sz w:val="20"/>
                <w:szCs w:val="20"/>
                <w:color w:val="auto"/>
              </w:rPr>
            </w:pPr>
            <w:r>
              <w:rPr>
                <w:rFonts w:ascii="Arial" w:cs="Arial" w:eastAsia="Arial" w:hAnsi="Arial"/>
                <w:sz w:val="12"/>
                <w:szCs w:val="12"/>
                <w:color w:val="auto"/>
              </w:rPr>
              <w:t>CASM (in cents)</w:t>
            </w:r>
            <w:r>
              <w:rPr>
                <w:rFonts w:ascii="Arial" w:cs="Arial" w:eastAsia="Arial" w:hAnsi="Arial"/>
                <w:sz w:val="17"/>
                <w:szCs w:val="17"/>
                <w:color w:val="auto"/>
                <w:vertAlign w:val="superscript"/>
              </w:rPr>
              <w:t>(4)</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8.91</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8.82</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10.05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154"/>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Non-GAAP Operating Metric:</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920" w:type="dxa"/>
            <w:vAlign w:val="bottom"/>
          </w:tcPr>
          <w:p>
            <w:pPr>
              <w:ind w:left="20"/>
              <w:spacing w:after="0"/>
              <w:rPr>
                <w:sz w:val="20"/>
                <w:szCs w:val="20"/>
                <w:color w:val="auto"/>
              </w:rPr>
            </w:pPr>
            <w:r>
              <w:rPr>
                <w:rFonts w:ascii="Arial" w:cs="Arial" w:eastAsia="Arial" w:hAnsi="Arial"/>
                <w:sz w:val="12"/>
                <w:szCs w:val="12"/>
                <w:color w:val="auto"/>
              </w:rPr>
              <w:t>Adjusted CASM (in cents)</w:t>
            </w:r>
            <w:r>
              <w:rPr>
                <w:rFonts w:ascii="Arial" w:cs="Arial" w:eastAsia="Arial" w:hAnsi="Arial"/>
                <w:sz w:val="17"/>
                <w:szCs w:val="17"/>
                <w:color w:val="auto"/>
                <w:vertAlign w:val="superscript"/>
              </w:rPr>
              <w:t>(4)(5)</w:t>
            </w:r>
          </w:p>
        </w:tc>
        <w:tc>
          <w:tcPr>
            <w:tcW w:w="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7.05</w:t>
            </w: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-2525395</wp:posOffset>
            </wp:positionV>
            <wp:extent cx="279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-2525395</wp:posOffset>
            </wp:positionV>
            <wp:extent cx="2794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-2525395</wp:posOffset>
            </wp:positionV>
            <wp:extent cx="2794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-2525395</wp:posOffset>
            </wp:positionV>
            <wp:extent cx="2794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-2525395</wp:posOffset>
            </wp:positionV>
            <wp:extent cx="279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4358640</wp:posOffset>
            </wp:positionH>
            <wp:positionV relativeFrom="paragraph">
              <wp:posOffset>-2525395</wp:posOffset>
            </wp:positionV>
            <wp:extent cx="2794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-2525395</wp:posOffset>
            </wp:positionV>
            <wp:extent cx="279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-2525395</wp:posOffset>
            </wp:positionV>
            <wp:extent cx="2794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-2525395</wp:posOffset>
            </wp:positionV>
            <wp:extent cx="2794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-2525395</wp:posOffset>
            </wp:positionV>
            <wp:extent cx="2794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-2525395</wp:posOffset>
            </wp:positionV>
            <wp:extent cx="2794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-2525395</wp:posOffset>
            </wp:positionV>
            <wp:extent cx="16256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2560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62230</wp:posOffset>
            </wp:positionV>
            <wp:extent cx="44640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See “Glossary of Terms” for definitions of terms used in this table.</w:t>
      </w:r>
    </w:p>
    <w:p>
      <w:pPr>
        <w:spacing w:after="0" w:line="25" w:lineRule="exact"/>
        <w:rPr>
          <w:sz w:val="20"/>
          <w:szCs w:val="20"/>
          <w:color w:val="auto"/>
        </w:rPr>
      </w:pPr>
    </w:p>
    <w:p>
      <w:pPr>
        <w:ind w:left="980" w:hanging="286"/>
        <w:spacing w:after="0"/>
        <w:tabs>
          <w:tab w:leader="none" w:pos="9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Certain operating statistics and metrics are not presented as they are not calculable or are not utilized by management.</w:t>
      </w:r>
    </w:p>
    <w:p>
      <w:pPr>
        <w:spacing w:after="0" w:line="36" w:lineRule="exact"/>
        <w:rPr>
          <w:sz w:val="20"/>
          <w:szCs w:val="20"/>
          <w:color w:val="auto"/>
        </w:rPr>
      </w:pPr>
    </w:p>
    <w:p>
      <w:pPr>
        <w:ind w:left="980" w:right="540" w:hanging="286"/>
        <w:spacing w:after="0" w:line="236" w:lineRule="auto"/>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Total System operating statistics for Departures, Block hours, Aircraft miles and ASMs include amounts related to flights operated for maintenance; therefore the Total System amounts are higher than the sum of Scheduled Service, Charter Service and Cargo amounts.</w:t>
      </w:r>
    </w:p>
    <w:p>
      <w:pPr>
        <w:spacing w:after="0" w:line="12" w:lineRule="exact"/>
        <w:rPr>
          <w:rFonts w:ascii="Arial" w:cs="Arial" w:eastAsia="Arial" w:hAnsi="Arial"/>
          <w:sz w:val="15"/>
          <w:szCs w:val="15"/>
          <w:color w:val="auto"/>
        </w:rPr>
      </w:pPr>
    </w:p>
    <w:p>
      <w:pPr>
        <w:ind w:left="980" w:hanging="286"/>
        <w:spacing w:after="0"/>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Scheduled service and charter service utilize the same fleet of aircraft. Aircraft counts and utilization metrics are shown on a system basis only.</w:t>
      </w:r>
    </w:p>
    <w:p>
      <w:pPr>
        <w:spacing w:after="0" w:line="25" w:lineRule="exact"/>
        <w:rPr>
          <w:rFonts w:ascii="Arial" w:cs="Arial" w:eastAsia="Arial" w:hAnsi="Arial"/>
          <w:sz w:val="15"/>
          <w:szCs w:val="15"/>
          <w:color w:val="auto"/>
        </w:rPr>
      </w:pPr>
    </w:p>
    <w:p>
      <w:pPr>
        <w:ind w:left="980" w:hanging="286"/>
        <w:spacing w:after="0"/>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Passenger-related statistics and metrics are shown only for scheduled service. Charter service revenue is driven by flight statistics.</w:t>
      </w:r>
    </w:p>
    <w:p>
      <w:pPr>
        <w:spacing w:after="0" w:line="25" w:lineRule="exact"/>
        <w:rPr>
          <w:rFonts w:ascii="Arial" w:cs="Arial" w:eastAsia="Arial" w:hAnsi="Arial"/>
          <w:sz w:val="15"/>
          <w:szCs w:val="15"/>
          <w:color w:val="auto"/>
        </w:rPr>
      </w:pPr>
    </w:p>
    <w:p>
      <w:pPr>
        <w:ind w:left="980" w:hanging="286"/>
        <w:spacing w:after="0"/>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CASM is a key airline cost metric. CASM is defined as operating expenses divided by total available seat miles.</w:t>
      </w:r>
    </w:p>
    <w:p>
      <w:pPr>
        <w:spacing w:after="0" w:line="25" w:lineRule="exact"/>
        <w:rPr>
          <w:rFonts w:ascii="Arial" w:cs="Arial" w:eastAsia="Arial" w:hAnsi="Arial"/>
          <w:sz w:val="15"/>
          <w:szCs w:val="15"/>
          <w:color w:val="auto"/>
        </w:rPr>
      </w:pPr>
    </w:p>
    <w:p>
      <w:pPr>
        <w:ind w:left="980" w:right="220" w:hanging="286"/>
        <w:spacing w:after="0" w:line="306" w:lineRule="auto"/>
        <w:tabs>
          <w:tab w:leader="none" w:pos="9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22122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40"/>
          </w:cols>
          <w:pgMar w:left="300" w:top="134" w:right="959" w:bottom="1440" w:gutter="0" w:footer="0" w:header="0"/>
        </w:sectPr>
      </w:pPr>
    </w:p>
    <w:bookmarkStart w:id="28" w:name="page29"/>
    <w:bookmarkEnd w:id="28"/>
    <w:p>
      <w:pPr>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84" w:lineRule="exact"/>
        <w:rPr>
          <w:sz w:val="20"/>
          <w:szCs w:val="20"/>
          <w:color w:val="auto"/>
        </w:rPr>
      </w:pPr>
    </w:p>
    <w:p>
      <w:pPr>
        <w:jc w:val="center"/>
        <w:ind w:right="-65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18" w:lineRule="exact"/>
        <w:rPr>
          <w:sz w:val="20"/>
          <w:szCs w:val="20"/>
          <w:color w:val="auto"/>
        </w:rPr>
      </w:pPr>
    </w:p>
    <w:p>
      <w:pPr>
        <w:jc w:val="center"/>
        <w:ind w:right="-659"/>
        <w:spacing w:after="0"/>
        <w:rPr>
          <w:sz w:val="20"/>
          <w:szCs w:val="20"/>
          <w:color w:val="auto"/>
        </w:rPr>
      </w:pPr>
      <w:r>
        <w:rPr>
          <w:rFonts w:ascii="Arial" w:cs="Arial" w:eastAsia="Arial" w:hAnsi="Arial"/>
          <w:sz w:val="15"/>
          <w:szCs w:val="15"/>
          <w:b w:val="1"/>
          <w:bCs w:val="1"/>
          <w:color w:val="auto"/>
        </w:rPr>
        <w:t>Pursuant to 17 C.F.R. Section 200.83</w:t>
      </w:r>
    </w:p>
    <w:p>
      <w:pPr>
        <w:spacing w:after="0" w:line="200" w:lineRule="exact"/>
        <w:rPr>
          <w:sz w:val="20"/>
          <w:szCs w:val="20"/>
          <w:color w:val="auto"/>
        </w:rPr>
      </w:pPr>
    </w:p>
    <w:p>
      <w:pPr>
        <w:spacing w:after="0" w:line="221" w:lineRule="exact"/>
        <w:rPr>
          <w:sz w:val="20"/>
          <w:szCs w:val="20"/>
          <w:color w:val="auto"/>
        </w:rPr>
      </w:pPr>
    </w:p>
    <w:p>
      <w:pPr>
        <w:ind w:left="980" w:right="20"/>
        <w:spacing w:after="0" w:line="250" w:lineRule="auto"/>
        <w:rPr>
          <w:sz w:val="20"/>
          <w:szCs w:val="20"/>
          <w:color w:val="auto"/>
        </w:rPr>
      </w:pPr>
      <w:r>
        <w:rPr>
          <w:rFonts w:ascii="Arial" w:cs="Arial" w:eastAsia="Arial" w:hAnsi="Arial"/>
          <w:sz w:val="13"/>
          <w:szCs w:val="13"/>
          <w:color w:val="auto"/>
        </w:rPr>
        <w:t>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 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 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25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28" w:lineRule="exact"/>
        <w:rPr>
          <w:sz w:val="20"/>
          <w:szCs w:val="20"/>
          <w:color w:val="auto"/>
        </w:rPr>
      </w:pPr>
    </w:p>
    <w:tbl>
      <w:tblPr>
        <w:tblLayout w:type="fixed"/>
        <w:tblInd w:w="980" w:type="dxa"/>
        <w:tblCellMar>
          <w:top w:w="0" w:type="dxa"/>
          <w:left w:w="0" w:type="dxa"/>
          <w:bottom w:w="0" w:type="dxa"/>
          <w:right w:w="0" w:type="dxa"/>
        </w:tblCellMar>
      </w:tblPr>
      <w:tr>
        <w:trPr>
          <w:trHeight w:val="150"/>
        </w:trPr>
        <w:tc>
          <w:tcPr>
            <w:tcW w:w="2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15"/>
          </w:tcPr>
          <w:p>
            <w:pPr>
              <w:ind w:left="140"/>
              <w:spacing w:after="0"/>
              <w:rPr>
                <w:sz w:val="20"/>
                <w:szCs w:val="20"/>
                <w:color w:val="auto"/>
              </w:rPr>
            </w:pPr>
            <w:r>
              <w:rPr>
                <w:rFonts w:ascii="Arial" w:cs="Arial" w:eastAsia="Arial" w:hAnsi="Arial"/>
                <w:sz w:val="12"/>
                <w:szCs w:val="12"/>
                <w:b w:val="1"/>
                <w:bCs w:val="1"/>
                <w:color w:val="auto"/>
              </w:rPr>
              <w:t>For the three months ended March 31</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40" w:type="dxa"/>
            <w:vAlign w:val="bottom"/>
            <w:gridSpan w:val="15"/>
          </w:tcPr>
          <w:p>
            <w:pPr>
              <w:ind w:left="360"/>
              <w:spacing w:after="0"/>
              <w:rPr>
                <w:sz w:val="20"/>
                <w:szCs w:val="20"/>
                <w:color w:val="auto"/>
              </w:rPr>
            </w:pPr>
            <w:r>
              <w:rPr>
                <w:rFonts w:ascii="Arial" w:cs="Arial" w:eastAsia="Arial" w:hAnsi="Arial"/>
                <w:sz w:val="12"/>
                <w:szCs w:val="12"/>
                <w:b w:val="1"/>
                <w:bCs w:val="1"/>
                <w:color w:val="auto"/>
              </w:rPr>
              <w:t>For the year ended December 31,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2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57"/>
        </w:trPr>
        <w:tc>
          <w:tcPr>
            <w:tcW w:w="2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1"/>
              <w:spacing w:after="0"/>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5"/>
          </w:tcPr>
          <w:p>
            <w:pPr>
              <w:jc w:val="right"/>
              <w:ind w:right="41"/>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5"/>
          </w:tcPr>
          <w:p>
            <w:pPr>
              <w:jc w:val="right"/>
              <w:ind w:right="21"/>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5"/>
          </w:tcPr>
          <w:p>
            <w:pPr>
              <w:jc w:val="right"/>
              <w:ind w:right="41"/>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5"/>
          </w:tcPr>
          <w:p>
            <w:pPr>
              <w:jc w:val="right"/>
              <w:ind w:right="21"/>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5"/>
          </w:tcPr>
          <w:p>
            <w:pPr>
              <w:jc w:val="right"/>
              <w:ind w:right="21"/>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
        </w:trPr>
        <w:tc>
          <w:tcPr>
            <w:tcW w:w="2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r>
      <w:tr>
        <w:trPr>
          <w:trHeight w:val="149"/>
        </w:trPr>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5"/>
              </w:rPr>
              <w:t>(in</w:t>
            </w:r>
          </w:p>
        </w:tc>
        <w:tc>
          <w:tcPr>
            <w:tcW w:w="5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1"/>
              </w:rPr>
              <w:t>(in</w:t>
            </w:r>
          </w:p>
        </w:tc>
        <w:tc>
          <w:tcPr>
            <w:tcW w:w="5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9"/>
              </w:rPr>
              <w:t>Per ASM</w:t>
            </w:r>
          </w:p>
        </w:tc>
        <w:tc>
          <w:tcPr>
            <w:tcW w:w="60" w:type="dxa"/>
            <w:vAlign w:val="bottom"/>
          </w:tcPr>
          <w:p>
            <w:pPr>
              <w:spacing w:after="0"/>
              <w:rPr>
                <w:sz w:val="12"/>
                <w:szCs w:val="12"/>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5"/>
              </w:rPr>
              <w:t>(in</w:t>
            </w:r>
          </w:p>
        </w:tc>
        <w:tc>
          <w:tcPr>
            <w:tcW w:w="6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3"/>
              </w:rPr>
              <w:t>Per ASM</w:t>
            </w:r>
          </w:p>
        </w:tc>
        <w:tc>
          <w:tcPr>
            <w:tcW w:w="40" w:type="dxa"/>
            <w:vAlign w:val="bottom"/>
          </w:tcPr>
          <w:p>
            <w:pPr>
              <w:spacing w:after="0"/>
              <w:rPr>
                <w:sz w:val="12"/>
                <w:szCs w:val="12"/>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1"/>
              </w:rPr>
              <w:t>(in</w:t>
            </w:r>
          </w:p>
        </w:tc>
        <w:tc>
          <w:tcPr>
            <w:tcW w:w="6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1"/>
              </w:rPr>
              <w:t>(in</w:t>
            </w:r>
          </w:p>
        </w:tc>
        <w:tc>
          <w:tcPr>
            <w:tcW w:w="6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9"/>
              </w:rPr>
              <w:t>Per ASM</w:t>
            </w:r>
          </w:p>
        </w:tc>
        <w:tc>
          <w:tcPr>
            <w:tcW w:w="40" w:type="dxa"/>
            <w:vAlign w:val="bottom"/>
          </w:tcPr>
          <w:p>
            <w:pPr>
              <w:spacing w:after="0"/>
              <w:rPr>
                <w:sz w:val="12"/>
                <w:szCs w:val="12"/>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1"/>
              </w:rPr>
              <w:t>(in</w:t>
            </w:r>
          </w:p>
        </w:tc>
        <w:tc>
          <w:tcPr>
            <w:tcW w:w="4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85"/>
              </w:rPr>
              <w:t>Per ASM</w:t>
            </w:r>
          </w:p>
        </w:tc>
      </w:tr>
      <w:tr>
        <w:trPr>
          <w:trHeight w:val="150"/>
        </w:trPr>
        <w:tc>
          <w:tcPr>
            <w:tcW w:w="2360" w:type="dxa"/>
            <w:vAlign w:val="bottom"/>
          </w:tcPr>
          <w:p>
            <w:pPr>
              <w:spacing w:after="0"/>
              <w:rPr>
                <w:sz w:val="13"/>
                <w:szCs w:val="13"/>
                <w:color w:val="auto"/>
              </w:rPr>
            </w:pPr>
          </w:p>
        </w:tc>
        <w:tc>
          <w:tcPr>
            <w:tcW w:w="6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3"/>
              </w:rPr>
              <w:t>thousands)</w:t>
            </w:r>
          </w:p>
        </w:tc>
        <w:tc>
          <w:tcPr>
            <w:tcW w:w="5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82"/>
              </w:rPr>
              <w:t>(in cents)</w:t>
            </w:r>
          </w:p>
        </w:tc>
        <w:tc>
          <w:tcPr>
            <w:tcW w:w="6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0"/>
              </w:rPr>
              <w:t>thousands)</w:t>
            </w:r>
          </w:p>
        </w:tc>
        <w:tc>
          <w:tcPr>
            <w:tcW w:w="5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2"/>
              </w:rPr>
              <w:t>(in cents)</w:t>
            </w:r>
          </w:p>
        </w:tc>
        <w:tc>
          <w:tcPr>
            <w:tcW w:w="6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0"/>
              </w:rPr>
              <w:t>thousands)</w:t>
            </w:r>
          </w:p>
        </w:tc>
        <w:tc>
          <w:tcPr>
            <w:tcW w:w="6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2"/>
              </w:rPr>
              <w:t>(in cents)</w:t>
            </w:r>
          </w:p>
        </w:tc>
        <w:tc>
          <w:tcPr>
            <w:tcW w:w="6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3"/>
              </w:rPr>
              <w:t>thousands)</w:t>
            </w:r>
          </w:p>
        </w:tc>
        <w:tc>
          <w:tcPr>
            <w:tcW w:w="6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2"/>
              </w:rPr>
              <w:t>(in cents)</w:t>
            </w:r>
          </w:p>
        </w:tc>
        <w:tc>
          <w:tcPr>
            <w:tcW w:w="64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3"/>
              </w:rPr>
              <w:t>thousands)</w:t>
            </w:r>
          </w:p>
        </w:tc>
        <w:tc>
          <w:tcPr>
            <w:tcW w:w="6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2"/>
              </w:rPr>
              <w:t>(in cents)</w:t>
            </w:r>
          </w:p>
        </w:tc>
        <w:tc>
          <w:tcPr>
            <w:tcW w:w="6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0"/>
              </w:rPr>
              <w:t>thousands)</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2"/>
              </w:rPr>
              <w:t>(in cents)</w:t>
            </w: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8"/>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CASM</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2"/>
              </w:rPr>
              <w:t>102,678</w:t>
            </w:r>
          </w:p>
        </w:tc>
        <w:tc>
          <w:tcPr>
            <w:tcW w:w="8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7.46</w:t>
            </w: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$165,100</w:t>
            </w: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9.40</w:t>
            </w:r>
          </w:p>
        </w:tc>
        <w:tc>
          <w:tcPr>
            <w:tcW w:w="10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$384,101</w:t>
            </w: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8.91</w:t>
            </w:r>
          </w:p>
        </w:tc>
        <w:tc>
          <w:tcPr>
            <w:tcW w:w="1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$623,262</w:t>
            </w:r>
          </w:p>
        </w:tc>
        <w:tc>
          <w:tcPr>
            <w:tcW w:w="1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8.82</w:t>
            </w:r>
          </w:p>
        </w:tc>
        <w:tc>
          <w:tcPr>
            <w:tcW w:w="10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$549,035</w:t>
            </w:r>
          </w:p>
        </w:tc>
        <w:tc>
          <w:tcPr>
            <w:tcW w:w="1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10.05</w:t>
            </w:r>
          </w:p>
        </w:tc>
        <w:tc>
          <w:tcPr>
            <w:tcW w:w="10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$530,008</w:t>
            </w:r>
          </w:p>
        </w:tc>
        <w:tc>
          <w:tcPr>
            <w:tcW w:w="12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10.09</w:t>
            </w:r>
          </w:p>
        </w:tc>
      </w:tr>
      <w:tr>
        <w:trPr>
          <w:trHeight w:val="182"/>
        </w:trPr>
        <w:tc>
          <w:tcPr>
            <w:tcW w:w="2360" w:type="dxa"/>
            <w:vAlign w:val="bottom"/>
          </w:tcPr>
          <w:p>
            <w:pPr>
              <w:spacing w:after="0"/>
              <w:rPr>
                <w:sz w:val="20"/>
                <w:szCs w:val="20"/>
                <w:color w:val="auto"/>
              </w:rPr>
            </w:pPr>
            <w:r>
              <w:rPr>
                <w:rFonts w:ascii="Arial" w:cs="Arial" w:eastAsia="Arial" w:hAnsi="Arial"/>
                <w:sz w:val="12"/>
                <w:szCs w:val="12"/>
                <w:color w:val="auto"/>
              </w:rPr>
              <w:t>Aircraft fuel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24,274</w:t>
            </w:r>
          </w:p>
        </w:tc>
        <w:tc>
          <w:tcPr>
            <w:tcW w:w="8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1.76</w:t>
            </w:r>
          </w:p>
        </w:tc>
        <w:tc>
          <w:tcPr>
            <w:tcW w:w="8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55,561</w:t>
            </w:r>
          </w:p>
        </w:tc>
        <w:tc>
          <w:tcPr>
            <w:tcW w:w="12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3.17</w:t>
            </w:r>
          </w:p>
        </w:tc>
        <w:tc>
          <w:tcPr>
            <w:tcW w:w="10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83,392</w:t>
            </w:r>
          </w:p>
        </w:tc>
        <w:tc>
          <w:tcPr>
            <w:tcW w:w="12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1.93</w:t>
            </w:r>
          </w:p>
        </w:tc>
        <w:tc>
          <w:tcPr>
            <w:tcW w:w="12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165,666</w:t>
            </w:r>
          </w:p>
        </w:tc>
        <w:tc>
          <w:tcPr>
            <w:tcW w:w="100" w:type="dxa"/>
            <w:vAlign w:val="bottom"/>
          </w:tcPr>
          <w:p>
            <w:pPr>
              <w:spacing w:after="0"/>
              <w:rPr>
                <w:sz w:val="15"/>
                <w:szCs w:val="15"/>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165,343</w:t>
            </w:r>
          </w:p>
        </w:tc>
        <w:tc>
          <w:tcPr>
            <w:tcW w:w="10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3.03</w:t>
            </w:r>
          </w:p>
        </w:tc>
        <w:tc>
          <w:tcPr>
            <w:tcW w:w="10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118,382</w:t>
            </w:r>
          </w:p>
        </w:tc>
        <w:tc>
          <w:tcPr>
            <w:tcW w:w="12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2.25</w:t>
            </w:r>
          </w:p>
        </w:tc>
      </w:tr>
      <w:tr>
        <w:trPr>
          <w:trHeight w:val="192"/>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Cargo expenses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17,195</w:t>
            </w:r>
          </w:p>
        </w:tc>
        <w:tc>
          <w:tcPr>
            <w:tcW w:w="8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1.25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31,429</w:t>
            </w: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0.73</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82"/>
        </w:trPr>
        <w:tc>
          <w:tcPr>
            <w:tcW w:w="2360" w:type="dxa"/>
            <w:vAlign w:val="bottom"/>
          </w:tcPr>
          <w:p>
            <w:pPr>
              <w:spacing w:after="0"/>
              <w:rPr>
                <w:sz w:val="20"/>
                <w:szCs w:val="20"/>
                <w:color w:val="auto"/>
              </w:rPr>
            </w:pPr>
            <w:r>
              <w:rPr>
                <w:rFonts w:ascii="Arial" w:cs="Arial" w:eastAsia="Arial" w:hAnsi="Arial"/>
                <w:sz w:val="12"/>
                <w:szCs w:val="12"/>
                <w:color w:val="auto"/>
              </w:rPr>
              <w:t>Sun Country Vacations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214</w:t>
            </w:r>
          </w:p>
        </w:tc>
        <w:tc>
          <w:tcPr>
            <w:tcW w:w="8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0.02</w:t>
            </w:r>
          </w:p>
        </w:tc>
        <w:tc>
          <w:tcPr>
            <w:tcW w:w="8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w:t>
            </w:r>
          </w:p>
        </w:tc>
        <w:tc>
          <w:tcPr>
            <w:tcW w:w="12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0.01</w:t>
            </w:r>
          </w:p>
        </w:tc>
        <w:tc>
          <w:tcPr>
            <w:tcW w:w="10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589</w:t>
            </w:r>
          </w:p>
        </w:tc>
        <w:tc>
          <w:tcPr>
            <w:tcW w:w="12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0.01</w:t>
            </w:r>
          </w:p>
        </w:tc>
        <w:tc>
          <w:tcPr>
            <w:tcW w:w="12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2,448</w:t>
            </w:r>
          </w:p>
        </w:tc>
        <w:tc>
          <w:tcPr>
            <w:tcW w:w="100" w:type="dxa"/>
            <w:vAlign w:val="bottom"/>
          </w:tcPr>
          <w:p>
            <w:pPr>
              <w:spacing w:after="0"/>
              <w:rPr>
                <w:sz w:val="15"/>
                <w:szCs w:val="15"/>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4,543</w:t>
            </w:r>
          </w:p>
        </w:tc>
        <w:tc>
          <w:tcPr>
            <w:tcW w:w="10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0.08</w:t>
            </w:r>
          </w:p>
        </w:tc>
        <w:tc>
          <w:tcPr>
            <w:tcW w:w="10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2,083</w:t>
            </w:r>
          </w:p>
        </w:tc>
        <w:tc>
          <w:tcPr>
            <w:tcW w:w="120" w:type="dxa"/>
            <w:vAlign w:val="bottom"/>
          </w:tcPr>
          <w:p>
            <w:pPr>
              <w:spacing w:after="0"/>
              <w:rPr>
                <w:sz w:val="15"/>
                <w:szCs w:val="15"/>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2"/>
                <w:szCs w:val="12"/>
                <w:color w:val="auto"/>
              </w:rPr>
              <w:t>0.04</w:t>
            </w:r>
          </w:p>
        </w:tc>
      </w:tr>
      <w:tr>
        <w:trPr>
          <w:trHeight w:val="192"/>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Special items, net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(26,871)</w:t>
            </w:r>
          </w:p>
        </w:tc>
        <w:tc>
          <w:tcPr>
            <w:tcW w:w="8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(1.95)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(64,563)</w:t>
            </w: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7,092</w:t>
            </w:r>
          </w:p>
        </w:tc>
        <w:tc>
          <w:tcPr>
            <w:tcW w:w="10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0.10</w:t>
            </w: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(6,435)</w:t>
            </w:r>
          </w:p>
        </w:tc>
        <w:tc>
          <w:tcPr>
            <w:tcW w:w="10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(0.12)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82"/>
        </w:trPr>
        <w:tc>
          <w:tcPr>
            <w:tcW w:w="236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2,870</w:t>
            </w:r>
          </w:p>
        </w:tc>
        <w:tc>
          <w:tcPr>
            <w:tcW w:w="8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0.21</w:t>
            </w:r>
          </w:p>
        </w:tc>
        <w:tc>
          <w:tcPr>
            <w:tcW w:w="8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369</w:t>
            </w:r>
          </w:p>
        </w:tc>
        <w:tc>
          <w:tcPr>
            <w:tcW w:w="12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2,110</w:t>
            </w:r>
          </w:p>
        </w:tc>
        <w:tc>
          <w:tcPr>
            <w:tcW w:w="12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0.05</w:t>
            </w:r>
          </w:p>
        </w:tc>
        <w:tc>
          <w:tcPr>
            <w:tcW w:w="12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1,888</w:t>
            </w:r>
          </w:p>
        </w:tc>
        <w:tc>
          <w:tcPr>
            <w:tcW w:w="100" w:type="dxa"/>
            <w:vAlign w:val="bottom"/>
          </w:tcPr>
          <w:p>
            <w:pPr>
              <w:spacing w:after="0"/>
              <w:rPr>
                <w:sz w:val="15"/>
                <w:szCs w:val="15"/>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373</w:t>
            </w:r>
          </w:p>
        </w:tc>
        <w:tc>
          <w:tcPr>
            <w:tcW w:w="10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0.01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92"/>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Income tax receivable agreement expense</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264</w:t>
            </w:r>
          </w:p>
        </w:tc>
        <w:tc>
          <w:tcPr>
            <w:tcW w:w="8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7"/>
        </w:trPr>
        <w:tc>
          <w:tcPr>
            <w:tcW w:w="2360" w:type="dxa"/>
            <w:vAlign w:val="bottom"/>
          </w:tcPr>
          <w:p>
            <w:pPr>
              <w:spacing w:after="0"/>
              <w:rPr>
                <w:sz w:val="20"/>
                <w:szCs w:val="20"/>
                <w:color w:val="auto"/>
              </w:rPr>
            </w:pPr>
            <w:r>
              <w:rPr>
                <w:rFonts w:ascii="Arial" w:cs="Arial" w:eastAsia="Arial" w:hAnsi="Arial"/>
                <w:sz w:val="12"/>
                <w:szCs w:val="12"/>
                <w:color w:val="auto"/>
              </w:rPr>
              <w:t>Other adjustments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4,881</w:t>
            </w:r>
          </w:p>
        </w:tc>
        <w:tc>
          <w:tcPr>
            <w:tcW w:w="120" w:type="dxa"/>
            <w:vAlign w:val="bottom"/>
          </w:tcPr>
          <w:p>
            <w:pPr>
              <w:spacing w:after="0"/>
              <w:rPr>
                <w:sz w:val="15"/>
                <w:szCs w:val="15"/>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0.12</w:t>
            </w:r>
          </w:p>
        </w:tc>
        <w:tc>
          <w:tcPr>
            <w:tcW w:w="12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226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4"/>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Adjusted CASM</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84,732</w:t>
            </w: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6.15</w:t>
            </w:r>
          </w:p>
        </w:tc>
        <w:tc>
          <w:tcPr>
            <w:tcW w:w="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$108,982</w:t>
            </w: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6.20</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$326,263</w:t>
            </w: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7.57</w:t>
            </w: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$445,942</w:t>
            </w: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6.31</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$385,211</w:t>
            </w: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7.05</w:t>
            </w: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5"/>
              </w:rPr>
              <w:t>$409,543</w:t>
            </w: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7.80</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6695440</wp:posOffset>
            </wp:positionH>
            <wp:positionV relativeFrom="paragraph">
              <wp:posOffset>-160020</wp:posOffset>
            </wp:positionV>
            <wp:extent cx="6985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-160020</wp:posOffset>
            </wp:positionV>
            <wp:extent cx="16764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-160020</wp:posOffset>
            </wp:positionV>
            <wp:extent cx="16764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-160020</wp:posOffset>
            </wp:positionV>
            <wp:extent cx="16764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-160020</wp:posOffset>
            </wp:positionV>
            <wp:extent cx="1885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-160020</wp:posOffset>
            </wp:positionV>
            <wp:extent cx="18161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1610" cy="698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-160020</wp:posOffset>
            </wp:positionV>
            <wp:extent cx="1746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-160020</wp:posOffset>
            </wp:positionV>
            <wp:extent cx="1746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-160020</wp:posOffset>
            </wp:positionV>
            <wp:extent cx="18859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-160020</wp:posOffset>
            </wp:positionV>
            <wp:extent cx="18161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610" cy="698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-160020</wp:posOffset>
            </wp:positionV>
            <wp:extent cx="16065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-160020</wp:posOffset>
            </wp:positionV>
            <wp:extent cx="19672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67230" cy="6985"/>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-1122680</wp:posOffset>
            </wp:positionV>
            <wp:extent cx="698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5976620</wp:posOffset>
            </wp:positionH>
            <wp:positionV relativeFrom="paragraph">
              <wp:posOffset>-1122680</wp:posOffset>
            </wp:positionV>
            <wp:extent cx="698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-1122680</wp:posOffset>
            </wp:positionV>
            <wp:extent cx="698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-1122680</wp:posOffset>
            </wp:positionV>
            <wp:extent cx="6985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-1122680</wp:posOffset>
            </wp:positionV>
            <wp:extent cx="6985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-1122680</wp:posOffset>
            </wp:positionV>
            <wp:extent cx="6985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-1122680</wp:posOffset>
            </wp:positionV>
            <wp:extent cx="6985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-1122680</wp:posOffset>
            </wp:positionV>
            <wp:extent cx="6985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-1122680</wp:posOffset>
            </wp:positionV>
            <wp:extent cx="6985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-1122680</wp:posOffset>
            </wp:positionV>
            <wp:extent cx="5588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-1122680</wp:posOffset>
            </wp:positionV>
            <wp:extent cx="189039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2122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660"/>
          </w:cols>
          <w:pgMar w:left="300" w:top="134" w:right="939" w:bottom="1440" w:gutter="0" w:footer="0" w:header="0"/>
        </w:sectPr>
      </w:pPr>
    </w:p>
    <w:bookmarkStart w:id="29" w:name="page30"/>
    <w:bookmarkEnd w:id="2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28"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Industry</w:t>
      </w:r>
    </w:p>
    <w:p>
      <w:pPr>
        <w:spacing w:after="0" w:line="183" w:lineRule="exact"/>
        <w:rPr>
          <w:sz w:val="20"/>
          <w:szCs w:val="20"/>
          <w:color w:val="auto"/>
        </w:rPr>
      </w:pPr>
    </w:p>
    <w:p>
      <w:pPr>
        <w:ind w:left="1160" w:right="1239"/>
        <w:spacing w:after="0" w:line="314" w:lineRule="auto"/>
        <w:rPr>
          <w:sz w:val="20"/>
          <w:szCs w:val="20"/>
          <w:color w:val="auto"/>
        </w:rPr>
      </w:pPr>
      <w:r>
        <w:rPr>
          <w:rFonts w:ascii="Arial" w:cs="Arial" w:eastAsia="Arial" w:hAnsi="Arial"/>
          <w:sz w:val="12"/>
          <w:szCs w:val="12"/>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A worsening of the outbreak of another disease or similar public health threat in the future could also have an adverse effect on our business, operating results, financial condition and liquidity.</w:t>
      </w:r>
    </w:p>
    <w:p>
      <w:pPr>
        <w:spacing w:after="0" w:line="47"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COVID- 19, which was first reported in December 2019, was declared a “Public Health Emergency of International Concern” by the World Health Organization (the “WHO”) . On March 13, 2020, the U.S. government declared a national emergency and the U.S. Department of State subsequently issued a global Level 4 “do not travel” advisory advising U.S. citizens to avoid all international travel due to the global impact of COVID-19. The U.S. government, states, cities and other authorities have also implemented enhanced screenings, mandatory quarantine and testing requirements and other travel restrictions in connection with the COVID -19 pandemic, including restrictions on travel from certain international locations, and many foreign governments and jurisdictions instituted similar measures and declared states of emergency.</w:t>
      </w:r>
    </w:p>
    <w:p>
      <w:pPr>
        <w:spacing w:after="0" w:line="103"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While most restrictions have been removed in the United States, leading to a recovery in the domestic airline industry, additional governmental and other restrictions and regulations that may be implemented in the future in response to further outbreaks of COVID-19 include additional travel restrictions (including expanded restrictions on domestic air travel within the United States), quarantines of additional populations (including our personnel), limitations on aircraft capacity, testing requirements and restrictions on our ability to access our facilities or aircraft or requirements to collect additional passenger data. In addition, governments, non-governmental organizations and entities in the private sector may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99"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We began experiencing a significant decline in demand related to COVID-19 during the first quarter of 2020, and this reduction in demand has continued through July 2021. The decline in demand caused a material deterioration in our revenues. Our results of operations for fiscal year 2020 were materially and adversely impacted and future results of operations may also be materially and adversely impacted. In response to decreased demand, we reduced scheduled service capacity relative to 2019 by approximately 40% in 2020.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 correlated to case counts in Minnesota and the destinations of our scheduled flights. For example, we experienced a decrease in demand in the fourth quarter of 2020 compared to the third quarter due to spikes in reported COVID-19 cases. Furthermore, historically, unfavorable U.S. economic conditions have driven changes in travel patterns,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Any significant increases in unemployment in the United States would likely continue to have a negative impact on passenger bookings,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spacing w:after="0" w:line="271" w:lineRule="auto"/>
        <w:rPr>
          <w:sz w:val="20"/>
          <w:szCs w:val="20"/>
          <w:color w:val="auto"/>
        </w:rPr>
      </w:pPr>
      <w:r>
        <w:rPr>
          <w:rFonts w:ascii="Arial" w:cs="Arial" w:eastAsia="Arial" w:hAnsi="Arial"/>
          <w:sz w:val="13"/>
          <w:szCs w:val="13"/>
          <w:color w:val="auto"/>
        </w:rPr>
        <w:t>especially when the customers we serve are paying with their own money, and these effects could exist for an extensive period of time. Even once the pandemic and fears of travel subside, demand for air travel may remain weak for a significant period of time. In addition to scheduled service demand, the U.S. Department of Defense has reduced normal personnel movements while most of our other passenger service customers suspended their operations and demand for commercial passenger charters significantly declined. In addition, some college conferences have canceled or reduced sports and related travel. The continued decline in demand, which is expected to continue for the foreseeable future, is expected to have a material adverse impact on our business, operating results, financial condition and liquidity. Apart from the decrease in demand, passenger bookings have been on average much closer to the date of service during pandemic than in prior periods, which has reduced our visibility into future revenue.</w:t>
      </w:r>
    </w:p>
    <w:p>
      <w:pPr>
        <w:spacing w:after="0" w:line="81"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In addition to the schedule reductions discussed above, we have reduced our planned capital expenditures and reduced operating expenditures (including by postponing projects deemed non-critical to our operations), entered into the Credit Agreement and temporarily grounded certain of our fleet. We continue to focus on reducing expenses and managing our liquidity and we expect to continue to modify our cost management structure, liquidity-raising efforts and capacity as the timing of demand recovery becomes more certain.</w:t>
      </w:r>
    </w:p>
    <w:p>
      <w:pPr>
        <w:spacing w:after="0" w:line="90"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$ 16.1 million in grants on February 2, 2021, an additional $16.1 million in grants on March 26, 2021 and an additional $4.8 million in grants on April 22, 2021 (collectively, the “Payroll Support Payments”) . Further, we were notified on April 15, 2021 that we would receive a grant of approximately $34.5 million under Payroll Support Program 3. Of this grant amount, $17.3 million was received on April 29, 2021 and the remaining $17.2 million was received on May 27, 2021. In addition, on October 26, 2020, we entered into a loan and guarantee agreement (the “CARES Act Loan Agreement”) with Treasury under the aviation direct loan program of the CARES Act, pursuant to which Treasury agreed to extend loans to us in an aggregate principal amount of $ 45.0 million, subject to specified terms, which was due to be repaid on the earlier of (i) October 24, 2025 or (ii) six months prior to the expiration date of any material loyalty program securing the loan. We used a portion of the proceeds from our initial public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w:t>
      </w:r>
      <w:r>
        <w:rPr>
          <w:rFonts w:ascii="Arial" w:cs="Arial" w:eastAsia="Arial" w:hAnsi="Arial"/>
          <w:sz w:val="14"/>
          <w:szCs w:val="14"/>
          <w:i w:val="1"/>
          <w:iCs w:val="1"/>
          <w:color w:val="auto"/>
        </w:rPr>
        <w:t>Risks Related to Our Business—We are subject to</w:t>
      </w:r>
      <w:r>
        <w:rPr>
          <w:rFonts w:ascii="Arial" w:cs="Arial" w:eastAsia="Arial" w:hAnsi="Arial"/>
          <w:sz w:val="14"/>
          <w:szCs w:val="14"/>
          <w:color w:val="auto"/>
        </w:rPr>
        <w:t xml:space="preserve"> </w:t>
      </w:r>
      <w:r>
        <w:rPr>
          <w:rFonts w:ascii="Arial" w:cs="Arial" w:eastAsia="Arial" w:hAnsi="Arial"/>
          <w:sz w:val="14"/>
          <w:szCs w:val="14"/>
          <w:i w:val="1"/>
          <w:iCs w:val="1"/>
          <w:color w:val="auto"/>
        </w:rPr>
        <w:t>certain restrictions on our business as a result of our participation in governmental programs under the CARES Act and we may be subject to similar or other restrictions pursuant to future governmental programs</w:t>
      </w:r>
      <w:r>
        <w:rPr>
          <w:rFonts w:ascii="Arial" w:cs="Arial" w:eastAsia="Arial" w:hAnsi="Arial"/>
          <w:sz w:val="14"/>
          <w:szCs w:val="14"/>
          <w:color w:val="auto"/>
        </w:rPr>
        <w:t>.”</w:t>
      </w:r>
    </w:p>
    <w:p>
      <w:pPr>
        <w:spacing w:after="0" w:line="99"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Further, certain airport and air traffic personnel and ground handlers have tested positive for or been suspected of having COVID-19, which has resulted in facility closures, reduction in available staffing, including for our cargo business, and disruptions to our overall operations. 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103" w:lineRule="exact"/>
        <w:rPr>
          <w:sz w:val="20"/>
          <w:szCs w:val="20"/>
          <w:color w:val="auto"/>
        </w:rPr>
      </w:pPr>
    </w:p>
    <w:p>
      <w:pPr>
        <w:ind w:left="1160" w:right="1499" w:firstLine="293"/>
        <w:spacing w:after="0" w:line="239" w:lineRule="auto"/>
        <w:rPr>
          <w:sz w:val="20"/>
          <w:szCs w:val="20"/>
          <w:color w:val="auto"/>
        </w:rPr>
      </w:pPr>
      <w:r>
        <w:rPr>
          <w:rFonts w:ascii="Arial" w:cs="Arial" w:eastAsia="Arial" w:hAnsi="Arial"/>
          <w:sz w:val="15"/>
          <w:szCs w:val="15"/>
          <w:color w:val="auto"/>
        </w:rPr>
        <w:t>The industry may also be subject to enhanced health and hygiene requirements in attempts to counteract future outbreaks, which requirements may be costly and take a significant amount of time to implement.</w:t>
      </w:r>
    </w:p>
    <w:p>
      <w:pPr>
        <w:spacing w:after="0" w:line="89"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33" w:lineRule="auto"/>
        <w:rPr>
          <w:sz w:val="20"/>
          <w:szCs w:val="20"/>
          <w:color w:val="auto"/>
        </w:rPr>
      </w:pPr>
      <w:r>
        <w:rPr>
          <w:rFonts w:ascii="Arial" w:cs="Arial" w:eastAsia="Arial" w:hAnsi="Arial"/>
          <w:sz w:val="15"/>
          <w:szCs w:val="15"/>
          <w:color w:val="auto"/>
        </w:rPr>
        <w:t>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102"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81"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91" w:lineRule="exact"/>
        <w:rPr>
          <w:sz w:val="20"/>
          <w:szCs w:val="20"/>
          <w:color w:val="auto"/>
        </w:rPr>
      </w:pPr>
    </w:p>
    <w:p>
      <w:pPr>
        <w:ind w:left="1160" w:right="1299" w:firstLine="293"/>
        <w:spacing w:after="0" w:line="252" w:lineRule="auto"/>
        <w:rPr>
          <w:sz w:val="20"/>
          <w:szCs w:val="20"/>
          <w:color w:val="auto"/>
        </w:rPr>
      </w:pPr>
      <w:r>
        <w:rPr>
          <w:rFonts w:ascii="Arial" w:cs="Arial" w:eastAsia="Arial" w:hAnsi="Arial"/>
          <w:sz w:val="14"/>
          <w:szCs w:val="14"/>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 -19 pandemic levels on a timely basis or at all. The impact that the COVID-19 pandemic will have on our businesses, operating results, financial condition and liquidity could exacerbate the other risks identified in this prospectus.</w:t>
      </w:r>
    </w:p>
    <w:p>
      <w:pPr>
        <w:spacing w:after="0" w:line="146" w:lineRule="exact"/>
        <w:rPr>
          <w:sz w:val="20"/>
          <w:szCs w:val="20"/>
          <w:color w:val="auto"/>
        </w:rPr>
      </w:pPr>
    </w:p>
    <w:p>
      <w:pPr>
        <w:ind w:left="1160" w:right="1239"/>
        <w:spacing w:after="0" w:line="307" w:lineRule="auto"/>
        <w:rPr>
          <w:sz w:val="20"/>
          <w:szCs w:val="20"/>
          <w:color w:val="auto"/>
        </w:rPr>
      </w:pPr>
      <w:r>
        <w:rPr>
          <w:rFonts w:ascii="Arial" w:cs="Arial" w:eastAsia="Arial" w:hAnsi="Arial"/>
          <w:sz w:val="12"/>
          <w:szCs w:val="12"/>
          <w:b w:val="1"/>
          <w:bCs w:val="1"/>
          <w:i w:val="1"/>
          <w:iCs w:val="1"/>
          <w:color w:val="auto"/>
        </w:rPr>
        <w:t>We are depending upon a successful COVID-19 vaccine and significant uptake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6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 -19 pandemic. We are depending upon a successful COVID-19 vaccine, including an efficient distribution and sufficient supply, and significant uptake by the general public in order to normalize economic conditions, the airline industry and our business operations and to realize our financial and growth plans and business strategy. To date, COVID-19 vaccinations have been widespread, but many remain unvaccinated, as the long-term efficacy of the vaccines, including against variants, remains uncertain. The failure of a vaccine, including to the extent it is not effective against any COVID -19 variants, significant unplanned adverse reactions to the vaccine, politicization of the vaccine or general public distrust of the vaccine could have an adverse effect on our business, results of operations, financial condition and prospects.</w:t>
      </w:r>
    </w:p>
    <w:p>
      <w:pPr>
        <w:spacing w:after="0" w:line="151" w:lineRule="exact"/>
        <w:rPr>
          <w:sz w:val="20"/>
          <w:szCs w:val="20"/>
          <w:color w:val="auto"/>
        </w:rPr>
      </w:pPr>
    </w:p>
    <w:p>
      <w:pPr>
        <w:ind w:left="1160" w:right="1479"/>
        <w:spacing w:after="0" w:line="328" w:lineRule="auto"/>
        <w:rPr>
          <w:sz w:val="20"/>
          <w:szCs w:val="20"/>
          <w:color w:val="auto"/>
        </w:rPr>
      </w:pPr>
      <w:r>
        <w:rPr>
          <w:rFonts w:ascii="Arial" w:cs="Arial" w:eastAsia="Arial" w:hAnsi="Arial"/>
          <w:sz w:val="12"/>
          <w:szCs w:val="12"/>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3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as a result of such carriers’ low base fares travelers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spacing w:after="0" w:line="248" w:lineRule="auto"/>
        <w:rPr>
          <w:sz w:val="20"/>
          <w:szCs w:val="20"/>
          <w:color w:val="auto"/>
        </w:rPr>
      </w:pPr>
      <w:r>
        <w:rPr>
          <w:rFonts w:ascii="Arial" w:cs="Arial" w:eastAsia="Arial" w:hAnsi="Arial"/>
          <w:sz w:val="14"/>
          <w:szCs w:val="14"/>
          <w:color w:val="auto"/>
        </w:rPr>
        <w:t>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COVID- 19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49" w:lineRule="exact"/>
        <w:rPr>
          <w:sz w:val="20"/>
          <w:szCs w:val="20"/>
          <w:color w:val="auto"/>
        </w:rPr>
      </w:pPr>
    </w:p>
    <w:p>
      <w:pPr>
        <w:jc w:val="both"/>
        <w:ind w:left="1160" w:right="1199"/>
        <w:spacing w:after="0" w:line="328" w:lineRule="auto"/>
        <w:rPr>
          <w:sz w:val="20"/>
          <w:szCs w:val="20"/>
          <w:color w:val="auto"/>
        </w:rPr>
      </w:pPr>
      <w:r>
        <w:rPr>
          <w:rFonts w:ascii="Arial" w:cs="Arial" w:eastAsia="Arial" w:hAnsi="Arial"/>
          <w:sz w:val="12"/>
          <w:szCs w:val="12"/>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49"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could increase significantly at any time.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85"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97"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93"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4"/>
          <w:szCs w:val="14"/>
          <w:color w:val="auto"/>
        </w:rPr>
        <w:t>From time to time, we may enter into fuel derivative contracts in order to mitigate the risk to our business from future volatility in fuel prices but such contracts may not fully protect us from all related risks. We expect all of our existing options to be exercised or expire by the end of 2021. Generally speaking, our charter and cargo operations have pass-through provisions for fuel costs, and as such we do not hedge our fuel requirements for that portion of our business. Our hedges in place at the end of 2020 consisted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39"/>
        <w:spacing w:after="0" w:line="248" w:lineRule="auto"/>
        <w:rPr>
          <w:sz w:val="20"/>
          <w:szCs w:val="20"/>
          <w:color w:val="auto"/>
        </w:rPr>
      </w:pPr>
      <w:r>
        <w:rPr>
          <w:rFonts w:ascii="Arial" w:cs="Arial" w:eastAsia="Arial" w:hAnsi="Arial"/>
          <w:sz w:val="15"/>
          <w:szCs w:val="15"/>
          <w:color w:val="auto"/>
        </w:rPr>
        <w:t>collars and call options and the underlying commodities consisted of both Gulf Coast Jet Fuel contracts as well as West Texas Intermediate Crude Oil contracts.</w:t>
      </w:r>
    </w:p>
    <w:p>
      <w:pPr>
        <w:spacing w:after="0" w:line="9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55"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83"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4"/>
          <w:szCs w:val="14"/>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55" w:lineRule="exact"/>
        <w:rPr>
          <w:sz w:val="20"/>
          <w:szCs w:val="20"/>
          <w:color w:val="auto"/>
        </w:rPr>
      </w:pPr>
    </w:p>
    <w:p>
      <w:pPr>
        <w:ind w:left="1160" w:right="1299"/>
        <w:spacing w:after="0" w:line="239" w:lineRule="auto"/>
        <w:rPr>
          <w:sz w:val="20"/>
          <w:szCs w:val="20"/>
          <w:color w:val="auto"/>
        </w:rPr>
      </w:pPr>
      <w:r>
        <w:rPr>
          <w:rFonts w:ascii="Arial" w:cs="Arial" w:eastAsia="Arial" w:hAnsi="Arial"/>
          <w:sz w:val="15"/>
          <w:szCs w:val="15"/>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00"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91"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99" w:firstLine="293"/>
        <w:spacing w:after="0" w:line="236" w:lineRule="auto"/>
        <w:rPr>
          <w:sz w:val="20"/>
          <w:szCs w:val="20"/>
          <w:color w:val="auto"/>
        </w:rPr>
      </w:pPr>
      <w:r>
        <w:rPr>
          <w:rFonts w:ascii="Arial" w:cs="Arial" w:eastAsia="Arial" w:hAnsi="Arial"/>
          <w:sz w:val="15"/>
          <w:szCs w:val="15"/>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102"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 Delta Air Lines and United Airlines has begun to offer a so-called “basic economy” offering with reduced amenities designed specifically to compete against LCCs and ULCCs, which presents a significant form of competition for us.</w:t>
      </w:r>
    </w:p>
    <w:p>
      <w:pPr>
        <w:spacing w:after="0" w:line="83"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10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00"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61"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106"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61" w:lineRule="exact"/>
        <w:rPr>
          <w:sz w:val="20"/>
          <w:szCs w:val="20"/>
          <w:color w:val="auto"/>
        </w:rPr>
      </w:pPr>
    </w:p>
    <w:p>
      <w:pPr>
        <w:ind w:left="1160" w:right="1279"/>
        <w:spacing w:after="0" w:line="297" w:lineRule="auto"/>
        <w:rPr>
          <w:sz w:val="20"/>
          <w:szCs w:val="20"/>
          <w:color w:val="auto"/>
        </w:rPr>
      </w:pPr>
      <w:r>
        <w:rPr>
          <w:rFonts w:ascii="Arial" w:cs="Arial" w:eastAsia="Arial" w:hAnsi="Arial"/>
          <w:sz w:val="13"/>
          <w:szCs w:val="13"/>
          <w:b w:val="1"/>
          <w:bCs w:val="1"/>
          <w:i w:val="1"/>
          <w:iCs w:val="1"/>
          <w:color w:val="auto"/>
        </w:rPr>
        <w:t>Airlines are often affected by factors beyond their control including: air traffic congestion at airports; air traffic control inefficiencies; government shutdowns;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75" w:lineRule="exact"/>
        <w:rPr>
          <w:sz w:val="20"/>
          <w:szCs w:val="20"/>
          <w:color w:val="auto"/>
        </w:rPr>
      </w:pPr>
    </w:p>
    <w:p>
      <w:pPr>
        <w:ind w:left="1160" w:right="1399" w:firstLine="293"/>
        <w:spacing w:after="0" w:line="251" w:lineRule="auto"/>
        <w:rPr>
          <w:sz w:val="20"/>
          <w:szCs w:val="20"/>
          <w:color w:val="auto"/>
        </w:rPr>
      </w:pPr>
      <w:r>
        <w:rPr>
          <w:rFonts w:ascii="Arial" w:cs="Arial" w:eastAsia="Arial" w:hAnsi="Arial"/>
          <w:sz w:val="15"/>
          <w:szCs w:val="15"/>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48" w:lineRule="auto"/>
        <w:rPr>
          <w:sz w:val="20"/>
          <w:szCs w:val="20"/>
          <w:color w:val="auto"/>
        </w:rPr>
      </w:pPr>
      <w:r>
        <w:rPr>
          <w:rFonts w:ascii="Arial" w:cs="Arial" w:eastAsia="Arial" w:hAnsi="Arial"/>
          <w:sz w:val="14"/>
          <w:szCs w:val="14"/>
          <w:color w:val="auto"/>
        </w:rPr>
        <w:t>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w:t>
      </w:r>
    </w:p>
    <w:p>
      <w:pPr>
        <w:spacing w:after="0" w:line="99"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3"/>
          <w:szCs w:val="13"/>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 -to-point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 - 19,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307" w:lineRule="exact"/>
        <w:rPr>
          <w:sz w:val="20"/>
          <w:szCs w:val="20"/>
          <w:color w:val="auto"/>
        </w:rPr>
      </w:pPr>
    </w:p>
    <w:p>
      <w:pPr>
        <w:ind w:left="1160" w:right="1279"/>
        <w:spacing w:after="0" w:line="370" w:lineRule="auto"/>
        <w:rPr>
          <w:sz w:val="20"/>
          <w:szCs w:val="20"/>
          <w:color w:val="auto"/>
        </w:rPr>
      </w:pPr>
      <w:r>
        <w:rPr>
          <w:rFonts w:ascii="Arial" w:cs="Arial" w:eastAsia="Arial" w:hAnsi="Arial"/>
          <w:sz w:val="12"/>
          <w:szCs w:val="12"/>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14"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3"/>
          <w:szCs w:val="13"/>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80"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 -party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59"/>
        <w:spacing w:after="0" w:line="236" w:lineRule="auto"/>
        <w:rPr>
          <w:sz w:val="20"/>
          <w:szCs w:val="20"/>
          <w:color w:val="auto"/>
        </w:rPr>
      </w:pPr>
      <w:r>
        <w:rPr>
          <w:rFonts w:ascii="Arial" w:cs="Arial" w:eastAsia="Arial" w:hAnsi="Arial"/>
          <w:sz w:val="15"/>
          <w:szCs w:val="15"/>
          <w:color w:val="auto"/>
        </w:rPr>
        <w:t>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57" w:lineRule="exact"/>
        <w:rPr>
          <w:sz w:val="20"/>
          <w:szCs w:val="20"/>
          <w:color w:val="auto"/>
        </w:rPr>
      </w:pPr>
    </w:p>
    <w:p>
      <w:pPr>
        <w:ind w:left="1160" w:right="1699"/>
        <w:spacing w:after="0" w:line="248" w:lineRule="auto"/>
        <w:rPr>
          <w:sz w:val="20"/>
          <w:szCs w:val="20"/>
          <w:color w:val="auto"/>
        </w:rPr>
      </w:pPr>
      <w:r>
        <w:rPr>
          <w:rFonts w:ascii="Arial" w:cs="Arial" w:eastAsia="Arial" w:hAnsi="Arial"/>
          <w:sz w:val="15"/>
          <w:szCs w:val="15"/>
          <w:b w:val="1"/>
          <w:bCs w:val="1"/>
          <w:i w:val="1"/>
          <w:iCs w:val="1"/>
          <w:color w:val="auto"/>
        </w:rPr>
        <w:t>Increases in insurance costs or reductions in insurance coverage may have a material adverse effect on our business, results of operations and financial condition.</w:t>
      </w:r>
    </w:p>
    <w:p>
      <w:pPr>
        <w:spacing w:after="0" w:line="94"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90"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4"/>
          <w:szCs w:val="14"/>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 -party war risk (terrorism) insurance or if an event not covered by the insurance we maintain were to take place, our business could be materially adversely affected.</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airline industry is heavily taxed.</w:t>
      </w:r>
    </w:p>
    <w:p>
      <w:pPr>
        <w:spacing w:after="0" w:line="124"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3"/>
          <w:szCs w:val="13"/>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254"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55" w:lineRule="exact"/>
        <w:rPr>
          <w:sz w:val="20"/>
          <w:szCs w:val="20"/>
          <w:color w:val="auto"/>
        </w:rPr>
      </w:pPr>
    </w:p>
    <w:p>
      <w:pPr>
        <w:ind w:left="1160" w:right="1179"/>
        <w:spacing w:after="0" w:line="239" w:lineRule="auto"/>
        <w:rPr>
          <w:sz w:val="20"/>
          <w:szCs w:val="20"/>
          <w:color w:val="auto"/>
        </w:rPr>
      </w:pPr>
      <w:r>
        <w:rPr>
          <w:rFonts w:ascii="Arial" w:cs="Arial" w:eastAsia="Arial" w:hAnsi="Arial"/>
          <w:sz w:val="15"/>
          <w:szCs w:val="15"/>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89"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For the years ended December 31, 2020, 2019 and 2018, we generated ancillary revenues of approximately $68.1 million, $ 118.2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64" w:lineRule="auto"/>
        <w:rPr>
          <w:sz w:val="20"/>
          <w:szCs w:val="20"/>
          <w:color w:val="auto"/>
        </w:rPr>
      </w:pPr>
      <w:r>
        <w:rPr>
          <w:rFonts w:ascii="Arial" w:cs="Arial" w:eastAsia="Arial" w:hAnsi="Arial"/>
          <w:sz w:val="14"/>
          <w:szCs w:val="14"/>
          <w:color w:val="auto"/>
        </w:rPr>
        <w:t>of consumer complaints, price advertising, lengthy tarmac delays, oversales and denied boarding process/ 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w:t>
      </w:r>
      <w:r>
        <w:rPr>
          <w:rFonts w:ascii="Arial" w:cs="Arial" w:eastAsia="Arial" w:hAnsi="Arial"/>
          <w:sz w:val="14"/>
          <w:szCs w:val="14"/>
          <w:i w:val="1"/>
          <w:iCs w:val="1"/>
          <w:color w:val="auto"/>
        </w:rPr>
        <w:t>Risks Related to Our</w:t>
      </w:r>
      <w:r>
        <w:rPr>
          <w:rFonts w:ascii="Arial" w:cs="Arial" w:eastAsia="Arial" w:hAnsi="Arial"/>
          <w:sz w:val="14"/>
          <w:szCs w:val="14"/>
          <w:color w:val="auto"/>
        </w:rPr>
        <w:t xml:space="preserve"> </w:t>
      </w:r>
      <w:r>
        <w:rPr>
          <w:rFonts w:ascii="Arial" w:cs="Arial" w:eastAsia="Arial" w:hAnsi="Arial"/>
          <w:sz w:val="14"/>
          <w:szCs w:val="14"/>
          <w:i w:val="1"/>
          <w:iCs w:val="1"/>
          <w:color w:val="auto"/>
        </w:rPr>
        <w:t>Business—We are subject to extensive regulation by the FAA, the DOT, the TSA, CBP and other U.S. and foreign governmental agencies, compliance with which could cause us to incur increased costs and adversely affect our business, results of operations and financial condition</w:t>
      </w:r>
      <w:r>
        <w:rPr>
          <w:rFonts w:ascii="Arial" w:cs="Arial" w:eastAsia="Arial" w:hAnsi="Arial"/>
          <w:sz w:val="14"/>
          <w:szCs w:val="14"/>
          <w:color w:val="auto"/>
        </w:rPr>
        <w:t>.”</w:t>
      </w:r>
    </w:p>
    <w:p>
      <w:pPr>
        <w:spacing w:after="0" w:line="152" w:lineRule="exact"/>
        <w:rPr>
          <w:sz w:val="20"/>
          <w:szCs w:val="20"/>
          <w:color w:val="auto"/>
        </w:rPr>
      </w:pPr>
    </w:p>
    <w:p>
      <w:pPr>
        <w:ind w:left="1160" w:right="1619"/>
        <w:spacing w:after="0" w:line="264" w:lineRule="auto"/>
        <w:rPr>
          <w:sz w:val="20"/>
          <w:szCs w:val="20"/>
          <w:color w:val="auto"/>
        </w:rPr>
      </w:pPr>
      <w:r>
        <w:rPr>
          <w:rFonts w:ascii="Arial" w:cs="Arial" w:eastAsia="Arial" w:hAnsi="Arial"/>
          <w:sz w:val="15"/>
          <w:szCs w:val="15"/>
          <w:b w:val="1"/>
          <w:bCs w:val="1"/>
          <w:i w:val="1"/>
          <w:iCs w:val="1"/>
          <w:color w:val="auto"/>
        </w:rPr>
        <w:t>We are subject to risks associated with climate change, including increased regulation to reduce emissions of greenhouse gases.</w:t>
      </w:r>
    </w:p>
    <w:p>
      <w:pPr>
        <w:spacing w:after="0" w:line="93"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or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w:t>
      </w:r>
    </w:p>
    <w:p>
      <w:pPr>
        <w:spacing w:after="0" w:line="98"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In-production aircraft that do not meet the standard by 2028 will no longer be able to be produced unless their designs are modified to meet the new standards. In August 2016, the Environmental Protection Agency, or the 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On January 11, 2021, the EPA issued a rule regulating GHG emissions from aircraft that largely conforms to the March 2017 ICAO standards. However, on January 20, 2021, President Biden, who is expected to promote more aggressive policies with respect to climate change and carbon emissions, including in the aviation there may be future rulemaking that sector, issued an executive order calling for a review of regulatory actions of the prior administration for their consistency with the Biden administration’s policies, including with respect to climate change. Accordingly, may result in stricter GHG emissions standards than those contained in the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100" w:lineRule="exact"/>
        <w:rPr>
          <w:sz w:val="20"/>
          <w:szCs w:val="20"/>
          <w:color w:val="auto"/>
        </w:rPr>
      </w:pPr>
    </w:p>
    <w:p>
      <w:pPr>
        <w:ind w:left="1160" w:right="1199" w:firstLine="293"/>
        <w:spacing w:after="0" w:line="246" w:lineRule="auto"/>
        <w:rPr>
          <w:sz w:val="20"/>
          <w:szCs w:val="20"/>
          <w:color w:val="auto"/>
        </w:rPr>
      </w:pPr>
      <w:r>
        <w:rPr>
          <w:rFonts w:ascii="Arial" w:cs="Arial" w:eastAsia="Arial" w:hAnsi="Arial"/>
          <w:sz w:val="15"/>
          <w:szCs w:val="15"/>
          <w:color w:val="auto"/>
        </w:rPr>
        <w:t>In addition, in October 2016, the ICAO adopted the Carbon Offsetting and Reduction Scheme for International Aviation, or CORSIA, which is a global, market-based emissions offset program designed to 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48" w:lineRule="auto"/>
        <w:rPr>
          <w:sz w:val="20"/>
          <w:szCs w:val="20"/>
          <w:color w:val="auto"/>
        </w:rPr>
      </w:pPr>
      <w:r>
        <w:rPr>
          <w:rFonts w:ascii="Arial" w:cs="Arial" w:eastAsia="Arial" w:hAnsi="Arial"/>
          <w:sz w:val="15"/>
          <w:szCs w:val="15"/>
          <w:color w:val="auto"/>
        </w:rPr>
        <w:t>acquire, the efficiency of our fleet and the number of flights subject to these requirements. These costs have not been completely defined and could fluctuate.</w:t>
      </w:r>
    </w:p>
    <w:p>
      <w:pPr>
        <w:spacing w:after="0" w:line="94"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face competition from air travel substitutes.</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 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Business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If we fail to implement our business strategy successfully, our business will be materially adversely affected.</w:t>
      </w:r>
    </w:p>
    <w:p>
      <w:pPr>
        <w:spacing w:after="0" w:line="159"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Our business strategy includes growth in our aircraft fleet, expansion of markets we serve by building out our MSP hub, growing our seat share at MSP and growing non -MSP point-to-point markets, increasing the seats 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COVID- 19 pandemic adversely affected our growth plans and business strategy. We face numerous challenges in implementing our growth strategy, including our ability to:</w:t>
      </w:r>
    </w:p>
    <w:p>
      <w:pPr>
        <w:spacing w:after="0" w:line="59" w:lineRule="exact"/>
        <w:rPr>
          <w:sz w:val="20"/>
          <w:szCs w:val="20"/>
          <w:color w:val="auto"/>
        </w:rPr>
      </w:pPr>
    </w:p>
    <w:p>
      <w:pPr>
        <w:ind w:left="1600" w:right="1239" w:hanging="143"/>
        <w:spacing w:after="0" w:line="264"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sustain our relatively low unit costs, continue to realize attractive revenue performance and maintain profitability; stimulate traffic with low fares;</w:t>
      </w:r>
    </w:p>
    <w:p>
      <w:pPr>
        <w:spacing w:after="0" w:line="59" w:lineRule="exact"/>
        <w:rPr>
          <w:rFonts w:ascii="Arial" w:cs="Arial" w:eastAsia="Arial" w:hAnsi="Arial"/>
          <w:sz w:val="15"/>
          <w:szCs w:val="15"/>
          <w:color w:val="auto"/>
        </w:rPr>
      </w:pPr>
    </w:p>
    <w:p>
      <w:pPr>
        <w:ind w:left="1600" w:right="1539" w:hanging="143"/>
        <w:spacing w:after="0" w:line="264" w:lineRule="auto"/>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maintain an optimal level of aircraft utilization, balanced with a low aircraft acquisition cost, to execute our scheduled, cargo and charter operations;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access airports located in our targeted geographic markets;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maintain operational performance necessary to complete all flights.</w:t>
      </w:r>
    </w:p>
    <w:p>
      <w:pPr>
        <w:spacing w:after="0" w:line="124"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79"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160" w:right="1199"/>
        <w:spacing w:after="0" w:line="235" w:lineRule="auto"/>
        <w:rPr>
          <w:sz w:val="20"/>
          <w:szCs w:val="20"/>
          <w:color w:val="auto"/>
        </w:rPr>
      </w:pPr>
      <w:r>
        <w:rPr>
          <w:rFonts w:ascii="Arial" w:cs="Arial" w:eastAsia="Arial" w:hAnsi="Arial"/>
          <w:sz w:val="14"/>
          <w:szCs w:val="14"/>
          <w:color w:val="auto"/>
        </w:rPr>
        <w:t>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45" w:lineRule="exact"/>
        <w:rPr>
          <w:sz w:val="20"/>
          <w:szCs w:val="20"/>
          <w:color w:val="auto"/>
        </w:rPr>
      </w:pPr>
    </w:p>
    <w:p>
      <w:pPr>
        <w:ind w:left="1160" w:right="1299"/>
        <w:spacing w:after="0" w:line="248" w:lineRule="auto"/>
        <w:rPr>
          <w:sz w:val="20"/>
          <w:szCs w:val="20"/>
          <w:color w:val="auto"/>
        </w:rPr>
      </w:pPr>
      <w:r>
        <w:rPr>
          <w:rFonts w:ascii="Arial" w:cs="Arial" w:eastAsia="Arial" w:hAnsi="Arial"/>
          <w:sz w:val="14"/>
          <w:szCs w:val="14"/>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83"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4"/>
          <w:szCs w:val="14"/>
          <w:color w:val="auto"/>
        </w:rPr>
        <w:t>The COVID-19 pandemic has materially disrupted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market consolidation, the availability of aircraft and the global economy. Actual economic, market and other conditions have been and may continue to be different from our assumptions. In 2020, demand was, and is expected to continue to be, significantly impacted by the COVID-19 pandemic, which has materially disrupted the timely execution of our strategic operating and growth plans, including plans to add capacity in 2020 and expand our routes, markets and number of aircraft.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anticipated strategic and financial benefits of the ATSA may not be realized.</w:t>
      </w:r>
    </w:p>
    <w:p>
      <w:pPr>
        <w:spacing w:after="0" w:line="102" w:lineRule="exact"/>
        <w:rPr>
          <w:sz w:val="20"/>
          <w:szCs w:val="20"/>
          <w:color w:val="auto"/>
        </w:rPr>
      </w:pPr>
    </w:p>
    <w:p>
      <w:pPr>
        <w:ind w:left="1160" w:right="1179" w:firstLine="293"/>
        <w:spacing w:after="0" w:line="231" w:lineRule="auto"/>
        <w:rPr>
          <w:sz w:val="20"/>
          <w:szCs w:val="20"/>
          <w:color w:val="auto"/>
        </w:rPr>
      </w:pPr>
      <w:r>
        <w:rPr>
          <w:rFonts w:ascii="Arial" w:cs="Arial" w:eastAsia="Arial" w:hAnsi="Arial"/>
          <w:sz w:val="14"/>
          <w:szCs w:val="14"/>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We have not historically had any significant cargo operations, nor have we had main deck cargo operations. Applying our existing business strategies to cargo operations may be costly, complex and time-consuming, and our management will have to devote substantial time and resources to such effort and it may not be successful. We may also experience difficulties or delays in securing ramp access and other airport services necessary to operate in the air cargo and express shipping sector. If we are unable to successfully implement our CMI services and achieve our objectives, the expected benefits may be only partially realized or not at all, or may take longer to realize than expected. There can be no assurances that the ATSA or our relationship with Amazon will benefit our financial condition or results of operations, and we will incur costs related to the relationship, including related to the 2019 Warrants, which could have a negative impact on our results of operations if not offset by benefits from the ATSA. In addition, if we fail to perform under the terms and conditions of the contract, we may be required to pay fees or penalties under the ATSA and, in certain cases, Amazon may have the right to terminate the agreement. Amazon may also terminate the ATSA for convenience, subject to certain notice requirements and payment of a termination fee. The ATSA is also subject to two, two-year extension options, which Amazon may choose not to exercise. Importantly, Amazon has not agreed to any minimum flying requirements under the ATSA and could choose not to fly significant volumes with us. If we do not achieve the benefits we expect from the ATSA, we could suffer from a material adverse effect on our financial condition and results of operations.</w:t>
      </w:r>
    </w:p>
    <w:p>
      <w:pPr>
        <w:spacing w:after="0" w:line="147" w:lineRule="exact"/>
        <w:rPr>
          <w:sz w:val="20"/>
          <w:szCs w:val="20"/>
          <w:color w:val="auto"/>
        </w:rPr>
      </w:pPr>
    </w:p>
    <w:p>
      <w:pPr>
        <w:ind w:left="1160" w:right="1419"/>
        <w:spacing w:after="0" w:line="306" w:lineRule="auto"/>
        <w:rPr>
          <w:sz w:val="20"/>
          <w:szCs w:val="20"/>
          <w:color w:val="auto"/>
        </w:rPr>
      </w:pPr>
      <w:r>
        <w:rPr>
          <w:rFonts w:ascii="Arial" w:cs="Arial" w:eastAsia="Arial" w:hAnsi="Arial"/>
          <w:sz w:val="13"/>
          <w:szCs w:val="13"/>
          <w:b w:val="1"/>
          <w:bCs w:val="1"/>
          <w:i w:val="1"/>
          <w:iCs w:val="1"/>
          <w:color w:val="auto"/>
        </w:rPr>
        <w:t>Our cargo business is concentrated with Amazon, and any decrease in volumes or increase in costs could have a material adverse effect on our business, operations, financial condition and brand.</w:t>
      </w:r>
    </w:p>
    <w:p>
      <w:pPr>
        <w:spacing w:after="0" w:line="58" w:lineRule="exact"/>
        <w:rPr>
          <w:sz w:val="20"/>
          <w:szCs w:val="20"/>
          <w:color w:val="auto"/>
        </w:rPr>
      </w:pPr>
    </w:p>
    <w:p>
      <w:pPr>
        <w:ind w:left="1160" w:right="1199" w:firstLine="293"/>
        <w:spacing w:after="0" w:line="283" w:lineRule="auto"/>
        <w:rPr>
          <w:sz w:val="20"/>
          <w:szCs w:val="20"/>
          <w:color w:val="auto"/>
        </w:rPr>
      </w:pPr>
      <w:r>
        <w:rPr>
          <w:rFonts w:ascii="Arial" w:cs="Arial" w:eastAsia="Arial" w:hAnsi="Arial"/>
          <w:sz w:val="14"/>
          <w:szCs w:val="14"/>
          <w:color w:val="auto"/>
        </w:rPr>
        <w:t>Our cargo service is concentrated with Amazon and our business is impacted by economic and business preferences of Amazon and its customers. The ATSA does not require a minimum amount of</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39"/>
        <w:spacing w:after="0" w:line="300" w:lineRule="auto"/>
        <w:rPr>
          <w:sz w:val="20"/>
          <w:szCs w:val="20"/>
          <w:color w:val="auto"/>
        </w:rPr>
      </w:pPr>
      <w:r>
        <w:rPr>
          <w:rFonts w:ascii="Arial" w:cs="Arial" w:eastAsia="Arial" w:hAnsi="Arial"/>
          <w:sz w:val="14"/>
          <w:szCs w:val="14"/>
          <w:color w:val="auto"/>
        </w:rPr>
        <w:t>flying and therefore our cargo business would decrease if Amazon’s use of our cargo services decreases, which would materially adversely affect our business, results of operations, and prospects.</w:t>
      </w:r>
    </w:p>
    <w:p>
      <w:pPr>
        <w:spacing w:after="0" w:line="70"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In addition, the profitability of the ATSA is dependent on our ability to manage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83" w:lineRule="exact"/>
        <w:rPr>
          <w:sz w:val="20"/>
          <w:szCs w:val="20"/>
          <w:color w:val="auto"/>
        </w:rPr>
      </w:pPr>
    </w:p>
    <w:p>
      <w:pPr>
        <w:ind w:left="1160" w:right="1279" w:firstLine="293"/>
        <w:spacing w:after="0" w:line="267" w:lineRule="auto"/>
        <w:rPr>
          <w:sz w:val="20"/>
          <w:szCs w:val="20"/>
          <w:color w:val="auto"/>
        </w:rPr>
      </w:pPr>
      <w:r>
        <w:rPr>
          <w:rFonts w:ascii="Arial" w:cs="Arial" w:eastAsia="Arial" w:hAnsi="Arial"/>
          <w:sz w:val="14"/>
          <w:szCs w:val="14"/>
          <w:color w:val="auto"/>
        </w:rPr>
        <w:t>The ATSA contains monthly incentive payments for reaching specific on-time arrival performance thresholds. Additionally, there are monetary penalties for on-time arrival performance below certain thresholds. As a result, our operating revenues may vary from period to period depending on the achievement of monthly incentives or the imposition of penalties. Further, we could be found in default of an agreement if it does not maintain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w:t>
      </w:r>
    </w:p>
    <w:p>
      <w:pPr>
        <w:spacing w:after="0" w:line="149" w:lineRule="exact"/>
        <w:rPr>
          <w:sz w:val="20"/>
          <w:szCs w:val="20"/>
          <w:color w:val="auto"/>
        </w:rPr>
      </w:pPr>
    </w:p>
    <w:p>
      <w:pPr>
        <w:ind w:left="1160" w:right="1399"/>
        <w:spacing w:after="0" w:line="264" w:lineRule="auto"/>
        <w:rPr>
          <w:sz w:val="20"/>
          <w:szCs w:val="20"/>
          <w:color w:val="auto"/>
        </w:rPr>
      </w:pPr>
      <w:r>
        <w:rPr>
          <w:rFonts w:ascii="Arial" w:cs="Arial" w:eastAsia="Arial" w:hAnsi="Arial"/>
          <w:sz w:val="15"/>
          <w:szCs w:val="15"/>
          <w:b w:val="1"/>
          <w:bCs w:val="1"/>
          <w:i w:val="1"/>
          <w:iCs w:val="1"/>
          <w:color w:val="auto"/>
        </w:rPr>
        <w:t>Our low-cost structure is one of our primary competitive advantages, and many factors could affect our ability to control our costs.</w:t>
      </w:r>
    </w:p>
    <w:p>
      <w:pPr>
        <w:spacing w:after="0" w:line="93"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Our low-cost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w:t>
      </w:r>
      <w:r>
        <w:rPr>
          <w:rFonts w:ascii="Arial" w:cs="Arial" w:eastAsia="Arial" w:hAnsi="Arial"/>
          <w:sz w:val="14"/>
          <w:szCs w:val="14"/>
          <w:i w:val="1"/>
          <w:iCs w:val="1"/>
          <w:color w:val="auto"/>
        </w:rPr>
        <w:t>Increased labor costs, union disputes,</w:t>
      </w:r>
      <w:r>
        <w:rPr>
          <w:rFonts w:ascii="Arial" w:cs="Arial" w:eastAsia="Arial" w:hAnsi="Arial"/>
          <w:sz w:val="14"/>
          <w:szCs w:val="14"/>
          <w:color w:val="auto"/>
        </w:rPr>
        <w:t xml:space="preserve"> </w:t>
      </w:r>
      <w:r>
        <w:rPr>
          <w:rFonts w:ascii="Arial" w:cs="Arial" w:eastAsia="Arial" w:hAnsi="Arial"/>
          <w:sz w:val="14"/>
          <w:szCs w:val="14"/>
          <w:i w:val="1"/>
          <w:iCs w:val="1"/>
          <w:color w:val="auto"/>
        </w:rPr>
        <w:t>employee strikes and other labor-related disruption may adversely affect our business, results of operations and financial condition</w:t>
      </w:r>
      <w:r>
        <w:rPr>
          <w:rFonts w:ascii="Arial" w:cs="Arial" w:eastAsia="Arial" w:hAnsi="Arial"/>
          <w:sz w:val="14"/>
          <w:szCs w:val="14"/>
          <w:color w:val="auto"/>
        </w:rPr>
        <w:t>.” We cannot guarantee we will be able to maintain our relatively low costs. If our</w:t>
      </w:r>
      <w:r>
        <w:rPr>
          <w:rFonts w:ascii="Arial" w:cs="Arial" w:eastAsia="Arial" w:hAnsi="Arial"/>
          <w:sz w:val="14"/>
          <w:szCs w:val="14"/>
          <w:i w:val="1"/>
          <w:iCs w:val="1"/>
          <w:color w:val="auto"/>
        </w:rPr>
        <w:t xml:space="preserve"> </w:t>
      </w:r>
      <w:r>
        <w:rPr>
          <w:rFonts w:ascii="Arial" w:cs="Arial" w:eastAsia="Arial" w:hAnsi="Arial"/>
          <w:sz w:val="14"/>
          <w:szCs w:val="14"/>
          <w:color w:val="auto"/>
        </w:rPr>
        <w:t>cost structure increases and we are no longer able to maintain a competitive cost structure, it could have a material adverse effect on our business, results of operations and financial condition.</w:t>
      </w:r>
    </w:p>
    <w:p>
      <w:pPr>
        <w:spacing w:after="0" w:line="154" w:lineRule="exact"/>
        <w:rPr>
          <w:sz w:val="20"/>
          <w:szCs w:val="20"/>
          <w:color w:val="auto"/>
        </w:rPr>
      </w:pPr>
    </w:p>
    <w:p>
      <w:pPr>
        <w:ind w:left="1160" w:right="1239"/>
        <w:spacing w:after="0" w:line="390" w:lineRule="auto"/>
        <w:rPr>
          <w:sz w:val="20"/>
          <w:szCs w:val="20"/>
          <w:color w:val="auto"/>
        </w:rPr>
      </w:pPr>
      <w:r>
        <w:rPr>
          <w:rFonts w:ascii="Arial" w:cs="Arial" w:eastAsia="Arial" w:hAnsi="Arial"/>
          <w:sz w:val="12"/>
          <w:szCs w:val="12"/>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24"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Our service is concentrated around our hub in MSP and our business is impacted by economic and geophysical factors of this region. We maintain a large presence in MSP with approximately 90.5% of 2020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 airline were to successfully develop low-cost or low-fare products or if we were to experience increased competition from LCCs or ULCCs in the Minneapolis market, our business, results of operations and prospects could be materially adversely affected.</w:t>
      </w:r>
    </w:p>
    <w:p>
      <w:pPr>
        <w:spacing w:after="0" w:line="88"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riots, social unrest, terrorist attacks or significant price or tax increases linked to increases in airport access costs and fees imposed on passengers.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44" w:lineRule="exact"/>
        <w:rPr>
          <w:sz w:val="20"/>
          <w:szCs w:val="20"/>
          <w:color w:val="auto"/>
        </w:rPr>
      </w:pPr>
    </w:p>
    <w:p>
      <w:pPr>
        <w:ind w:left="1160" w:right="1599"/>
        <w:spacing w:after="0" w:line="248" w:lineRule="auto"/>
        <w:rPr>
          <w:sz w:val="20"/>
          <w:szCs w:val="20"/>
          <w:color w:val="auto"/>
        </w:rPr>
      </w:pPr>
      <w:r>
        <w:rPr>
          <w:rFonts w:ascii="Arial" w:cs="Arial" w:eastAsia="Arial" w:hAnsi="Arial"/>
          <w:sz w:val="15"/>
          <w:szCs w:val="15"/>
          <w:b w:val="1"/>
          <w:bCs w:val="1"/>
          <w:i w:val="1"/>
          <w:iCs w:val="1"/>
          <w:color w:val="auto"/>
        </w:rPr>
        <w:t>Our reputation and business could be adversely affected in the event of an accident or similar public incident involving our aircraft or personnel.</w:t>
      </w:r>
    </w:p>
    <w:p>
      <w:pPr>
        <w:spacing w:after="0" w:line="9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90"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any accident involving the Boeing 737-NG or an aircraft similar to the Boeing 737 -NG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 consuming and costly. The resolution of this matter or similar matters in the future could have an impact on our results of operations, financial condition, business and prospects.</w:t>
      </w:r>
    </w:p>
    <w:p>
      <w:pPr>
        <w:spacing w:after="0" w:line="149" w:lineRule="exact"/>
        <w:rPr>
          <w:sz w:val="20"/>
          <w:szCs w:val="20"/>
          <w:color w:val="auto"/>
        </w:rPr>
      </w:pPr>
    </w:p>
    <w:p>
      <w:pPr>
        <w:ind w:left="1160" w:right="1359"/>
        <w:spacing w:after="0" w:line="274" w:lineRule="auto"/>
        <w:rPr>
          <w:sz w:val="20"/>
          <w:szCs w:val="20"/>
          <w:color w:val="auto"/>
        </w:rPr>
      </w:pPr>
      <w:r>
        <w:rPr>
          <w:rFonts w:ascii="Arial" w:cs="Arial" w:eastAsia="Arial" w:hAnsi="Arial"/>
          <w:sz w:val="14"/>
          <w:szCs w:val="14"/>
          <w:b w:val="1"/>
          <w:bCs w:val="1"/>
          <w:i w:val="1"/>
          <w:iCs w:val="1"/>
          <w:color w:val="auto"/>
        </w:rPr>
        <w:t>Unauthorized use, incursion or breach of our information technology infrastructure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8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denial-of-service attacks, employee theft or misuse, natural or man-made disasters, telecommunications failures, power loss and other disruptive sources and events.</w:t>
      </w:r>
    </w:p>
    <w:p>
      <w:pPr>
        <w:spacing w:after="0" w:line="97" w:lineRule="exact"/>
        <w:rPr>
          <w:sz w:val="20"/>
          <w:szCs w:val="20"/>
          <w:color w:val="auto"/>
        </w:rPr>
      </w:pPr>
    </w:p>
    <w:p>
      <w:pPr>
        <w:ind w:left="1160" w:right="1239" w:firstLine="293"/>
        <w:spacing w:after="0" w:line="311" w:lineRule="auto"/>
        <w:rPr>
          <w:sz w:val="20"/>
          <w:szCs w:val="20"/>
          <w:color w:val="auto"/>
        </w:rPr>
      </w:pPr>
      <w:r>
        <w:rPr>
          <w:rFonts w:ascii="Arial" w:cs="Arial" w:eastAsia="Arial" w:hAnsi="Arial"/>
          <w:sz w:val="13"/>
          <w:szCs w:val="13"/>
          <w:color w:val="auto"/>
        </w:rPr>
        <w:t>As the cyber-threat landscape evolves, attacks are growing in frequency, sophistication and intensity, and are becoming increasingly difficult to detect. We may not have the resources or technical sophistication to anticipate or prevent rapidly evolving types of cyber attacks. Attacks may be targeted at us, our</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59"/>
        <w:spacing w:after="0" w:line="250" w:lineRule="auto"/>
        <w:rPr>
          <w:sz w:val="20"/>
          <w:szCs w:val="20"/>
          <w:color w:val="auto"/>
        </w:rPr>
      </w:pPr>
      <w:r>
        <w:rPr>
          <w:rFonts w:ascii="Arial" w:cs="Arial" w:eastAsia="Arial" w:hAnsi="Arial"/>
          <w:sz w:val="14"/>
          <w:szCs w:val="14"/>
          <w:color w:val="auto"/>
        </w:rPr>
        <w:t>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w:t>
      </w:r>
    </w:p>
    <w:p>
      <w:pPr>
        <w:spacing w:after="0" w:line="95" w:lineRule="exact"/>
        <w:rPr>
          <w:sz w:val="20"/>
          <w:szCs w:val="20"/>
          <w:color w:val="auto"/>
        </w:rPr>
      </w:pPr>
    </w:p>
    <w:p>
      <w:pPr>
        <w:ind w:left="1160" w:right="1239" w:firstLine="293"/>
        <w:spacing w:after="0" w:line="270" w:lineRule="auto"/>
        <w:rPr>
          <w:sz w:val="20"/>
          <w:szCs w:val="20"/>
          <w:color w:val="auto"/>
        </w:rPr>
      </w:pPr>
      <w:r>
        <w:rPr>
          <w:rFonts w:ascii="Arial" w:cs="Arial" w:eastAsia="Arial" w:hAnsi="Arial"/>
          <w:sz w:val="13"/>
          <w:szCs w:val="13"/>
          <w:color w:val="auto"/>
        </w:rPr>
        <w:t>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injunctive relief requiring costly compliance measures. A cybersecurity incident could also impact our brand, harm our reputation and adversely impact our relationship with our customers, employees and stockholders.</w:t>
      </w:r>
    </w:p>
    <w:p>
      <w:pPr>
        <w:spacing w:after="0" w:line="241"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 -party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 -technical issues, including breaches by us or by persons with whom we have commercial relationships that result in the unauthorized release of personal or confidential information.</w:t>
      </w:r>
    </w:p>
    <w:p>
      <w:pPr>
        <w:spacing w:after="0" w:line="101"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We rely on third-party providers and other commercial partners to perform functions integral to our operations.</w:t>
      </w:r>
    </w:p>
    <w:p>
      <w:pPr>
        <w:spacing w:after="0" w:line="159"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w:t>
      </w:r>
    </w:p>
    <w:p>
      <w:pPr>
        <w:spacing w:after="0" w:line="79"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rely on third-party distribution channels to distribute a portion of our airline tickets.</w:t>
      </w:r>
    </w:p>
    <w:p>
      <w:pPr>
        <w:spacing w:after="0" w:line="124"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60" w:lineRule="exact"/>
        <w:rPr>
          <w:sz w:val="20"/>
          <w:szCs w:val="20"/>
          <w:color w:val="auto"/>
        </w:rPr>
      </w:pPr>
    </w:p>
    <w:p>
      <w:pPr>
        <w:ind w:left="1160" w:right="1479"/>
        <w:spacing w:after="0" w:line="264" w:lineRule="auto"/>
        <w:rPr>
          <w:sz w:val="20"/>
          <w:szCs w:val="20"/>
          <w:color w:val="auto"/>
        </w:rPr>
      </w:pPr>
      <w:r>
        <w:rPr>
          <w:rFonts w:ascii="Arial" w:cs="Arial" w:eastAsia="Arial" w:hAnsi="Arial"/>
          <w:sz w:val="14"/>
          <w:szCs w:val="14"/>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73"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3"/>
          <w:szCs w:val="13"/>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3"/>
          <w:szCs w:val="13"/>
          <w:i w:val="1"/>
          <w:iCs w:val="1"/>
          <w:color w:val="auto"/>
        </w:rPr>
        <w:t>Navitaire</w:t>
      </w:r>
      <w:r>
        <w:rPr>
          <w:rFonts w:ascii="Arial" w:cs="Arial" w:eastAsia="Arial" w:hAnsi="Arial"/>
          <w:sz w:val="13"/>
          <w:szCs w:val="13"/>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 -party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 -party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256"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or telecommunications failures. We recently experienced a software outage that resulted in delayed flights for several hours, which could impact our on-time performance and completion factor.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not be able to grow or maintain our unit revenues or maintain our ancillary revenues.</w:t>
      </w:r>
    </w:p>
    <w:p>
      <w:pPr>
        <w:spacing w:after="0" w:line="124" w:lineRule="exact"/>
        <w:rPr>
          <w:sz w:val="20"/>
          <w:szCs w:val="20"/>
          <w:color w:val="auto"/>
        </w:rPr>
      </w:pPr>
    </w:p>
    <w:p>
      <w:pPr>
        <w:ind w:left="1160" w:right="1219" w:firstLine="297"/>
        <w:spacing w:after="0" w:line="249" w:lineRule="auto"/>
        <w:tabs>
          <w:tab w:leader="none" w:pos="1601" w:val="left"/>
        </w:tabs>
        <w:numPr>
          <w:ilvl w:val="0"/>
          <w:numId w:val="19"/>
        </w:numPr>
        <w:rPr>
          <w:rFonts w:ascii="Arial" w:cs="Arial" w:eastAsia="Arial" w:hAnsi="Arial"/>
          <w:sz w:val="14"/>
          <w:szCs w:val="14"/>
          <w:color w:val="auto"/>
        </w:rPr>
      </w:pPr>
      <w:r>
        <w:rPr>
          <w:rFonts w:ascii="Arial" w:cs="Arial" w:eastAsia="Arial" w:hAnsi="Arial"/>
          <w:sz w:val="14"/>
          <w:szCs w:val="14"/>
          <w:color w:val="auto"/>
        </w:rPr>
        <w:t>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83"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operate a single aircraft type.</w:t>
      </w:r>
    </w:p>
    <w:p>
      <w:pPr>
        <w:spacing w:after="0" w:line="124" w:lineRule="exact"/>
        <w:rPr>
          <w:sz w:val="20"/>
          <w:szCs w:val="20"/>
          <w:color w:val="auto"/>
        </w:rPr>
      </w:pPr>
    </w:p>
    <w:p>
      <w:pPr>
        <w:ind w:left="1600" w:hanging="143"/>
        <w:spacing w:after="0"/>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critical cost-saving element of our business strategy is to operate a single-family aircraft fleet;</w:t>
      </w:r>
    </w:p>
    <w:p>
      <w:pPr>
        <w:spacing w:after="0" w:line="14" w:lineRule="exact"/>
        <w:rPr>
          <w:rFonts w:ascii="Arial" w:cs="Arial" w:eastAsia="Arial" w:hAnsi="Arial"/>
          <w:sz w:val="15"/>
          <w:szCs w:val="15"/>
          <w:color w:val="auto"/>
        </w:rPr>
      </w:pPr>
    </w:p>
    <w:p>
      <w:pPr>
        <w:ind w:left="1160" w:right="1179"/>
        <w:spacing w:after="0" w:line="264" w:lineRule="auto"/>
        <w:rPr>
          <w:rFonts w:ascii="Arial" w:cs="Arial" w:eastAsia="Arial" w:hAnsi="Arial"/>
          <w:sz w:val="15"/>
          <w:szCs w:val="15"/>
          <w:color w:val="auto"/>
        </w:rPr>
      </w:pPr>
      <w:r>
        <w:rPr>
          <w:rFonts w:ascii="Arial" w:cs="Arial" w:eastAsia="Arial" w:hAnsi="Arial"/>
          <w:sz w:val="14"/>
          <w:szCs w:val="14"/>
          <w:color w:val="auto"/>
        </w:rPr>
        <w:t>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been grounded in the past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52" w:lineRule="exact"/>
        <w:rPr>
          <w:sz w:val="20"/>
          <w:szCs w:val="20"/>
          <w:color w:val="auto"/>
        </w:rPr>
      </w:pPr>
    </w:p>
    <w:p>
      <w:pPr>
        <w:ind w:left="1160" w:right="1299"/>
        <w:spacing w:after="0" w:line="264" w:lineRule="auto"/>
        <w:rPr>
          <w:sz w:val="20"/>
          <w:szCs w:val="20"/>
          <w:color w:val="auto"/>
        </w:rPr>
      </w:pPr>
      <w:r>
        <w:rPr>
          <w:rFonts w:ascii="Arial" w:cs="Arial" w:eastAsia="Arial" w:hAnsi="Arial"/>
          <w:sz w:val="15"/>
          <w:szCs w:val="15"/>
          <w:b w:val="1"/>
          <w:bCs w:val="1"/>
          <w:i w:val="1"/>
          <w:iCs w:val="1"/>
          <w:color w:val="auto"/>
        </w:rPr>
        <w:t>Increased labor costs, union disputes, employee strikes and other labor-related disruption may adversely affect our business, results of operations and financial condition.</w:t>
      </w:r>
    </w:p>
    <w:p>
      <w:pPr>
        <w:spacing w:after="0" w:line="93"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spacing w:after="0" w:line="254" w:lineRule="auto"/>
        <w:rPr>
          <w:sz w:val="20"/>
          <w:szCs w:val="20"/>
          <w:color w:val="auto"/>
        </w:rPr>
      </w:pPr>
      <w:r>
        <w:rPr>
          <w:rFonts w:ascii="Arial" w:cs="Arial" w:eastAsia="Arial" w:hAnsi="Arial"/>
          <w:sz w:val="15"/>
          <w:szCs w:val="15"/>
          <w:color w:val="auto"/>
        </w:rPr>
        <w:t>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101" w:lineRule="exact"/>
        <w:rPr>
          <w:sz w:val="20"/>
          <w:szCs w:val="20"/>
          <w:color w:val="auto"/>
        </w:rPr>
      </w:pPr>
    </w:p>
    <w:p>
      <w:pPr>
        <w:ind w:left="1160" w:right="1219" w:firstLine="293"/>
        <w:spacing w:after="0" w:line="290" w:lineRule="auto"/>
        <w:rPr>
          <w:sz w:val="20"/>
          <w:szCs w:val="20"/>
          <w:color w:val="auto"/>
        </w:rPr>
      </w:pPr>
      <w:r>
        <w:rPr>
          <w:rFonts w:ascii="Arial" w:cs="Arial" w:eastAsia="Arial" w:hAnsi="Arial"/>
          <w:sz w:val="13"/>
          <w:szCs w:val="13"/>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71"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We have scheduled dates to restart negotiations in the third quarter of 2021.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 to the Company and we have begun preliminary discussions with our pilots; however, the contract remains in status quo until there is a newly ratified contract. See also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—Employees</w:t>
      </w:r>
      <w:r>
        <w:rPr>
          <w:rFonts w:ascii="Arial" w:cs="Arial" w:eastAsia="Arial" w:hAnsi="Arial"/>
          <w:sz w:val="14"/>
          <w:szCs w:val="14"/>
          <w:color w:val="auto"/>
        </w:rPr>
        <w:t>.” The outcome of our collective bargaining negotiations cannot presently be determined and</w:t>
      </w:r>
      <w:r>
        <w:rPr>
          <w:rFonts w:ascii="Arial" w:cs="Arial" w:eastAsia="Arial" w:hAnsi="Arial"/>
          <w:sz w:val="14"/>
          <w:szCs w:val="14"/>
          <w:i w:val="1"/>
          <w:iCs w:val="1"/>
          <w:color w:val="auto"/>
        </w:rPr>
        <w:t xml:space="preserve"> </w:t>
      </w:r>
      <w:r>
        <w:rPr>
          <w:rFonts w:ascii="Arial" w:cs="Arial" w:eastAsia="Arial" w:hAnsi="Arial"/>
          <w:sz w:val="14"/>
          <w:szCs w:val="14"/>
          <w:color w:val="auto"/>
        </w:rPr>
        <w:t>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50" w:lineRule="exact"/>
        <w:rPr>
          <w:sz w:val="20"/>
          <w:szCs w:val="20"/>
          <w:color w:val="auto"/>
        </w:rPr>
      </w:pPr>
    </w:p>
    <w:p>
      <w:pPr>
        <w:ind w:left="1160" w:right="1439"/>
        <w:spacing w:after="0" w:line="264" w:lineRule="auto"/>
        <w:rPr>
          <w:sz w:val="20"/>
          <w:szCs w:val="20"/>
          <w:color w:val="auto"/>
        </w:rPr>
      </w:pPr>
      <w:r>
        <w:rPr>
          <w:rFonts w:ascii="Arial" w:cs="Arial" w:eastAsia="Arial" w:hAnsi="Arial"/>
          <w:sz w:val="15"/>
          <w:szCs w:val="15"/>
          <w:b w:val="1"/>
          <w:bCs w:val="1"/>
          <w:i w:val="1"/>
          <w:iCs w:val="1"/>
          <w:color w:val="auto"/>
        </w:rPr>
        <w:t>Changes in law, regulation and government policy have affected, and may in the future have a material adverse effect on our business.</w:t>
      </w:r>
    </w:p>
    <w:p>
      <w:pPr>
        <w:spacing w:after="0" w:line="9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103"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390" w:lineRule="auto"/>
        <w:rPr>
          <w:sz w:val="20"/>
          <w:szCs w:val="20"/>
          <w:color w:val="auto"/>
        </w:rPr>
      </w:pPr>
      <w:r>
        <w:rPr>
          <w:rFonts w:ascii="Arial" w:cs="Arial" w:eastAsia="Arial" w:hAnsi="Arial"/>
          <w:sz w:val="12"/>
          <w:szCs w:val="12"/>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24" w:lineRule="exact"/>
        <w:rPr>
          <w:sz w:val="20"/>
          <w:szCs w:val="20"/>
          <w:color w:val="auto"/>
        </w:rPr>
      </w:pPr>
    </w:p>
    <w:p>
      <w:pPr>
        <w:ind w:left="1160" w:right="1179" w:firstLine="293"/>
        <w:spacing w:after="0" w:line="263" w:lineRule="auto"/>
        <w:rPr>
          <w:sz w:val="20"/>
          <w:szCs w:val="20"/>
          <w:color w:val="auto"/>
        </w:rPr>
      </w:pPr>
      <w:r>
        <w:rPr>
          <w:rFonts w:ascii="Arial" w:cs="Arial" w:eastAsia="Arial" w:hAnsi="Arial"/>
          <w:sz w:val="14"/>
          <w:szCs w:val="14"/>
          <w:color w:val="auto"/>
        </w:rPr>
        <w:t>We aim to optimize our daily aircraft utilization rate by tailoring service to customer demand patterns, which are seasonal and vary by day of the week. Our average daily aircraft utilization was 5.1 hours, 9.6 hours and 9.7 hours for the years ended December 31, 2020, 2019 and 2018,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reaccomodation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75" w:lineRule="exact"/>
        <w:rPr>
          <w:sz w:val="20"/>
          <w:szCs w:val="20"/>
          <w:color w:val="auto"/>
        </w:rPr>
      </w:pPr>
    </w:p>
    <w:p>
      <w:pPr>
        <w:ind w:left="1160" w:right="1519"/>
        <w:spacing w:after="0" w:line="264" w:lineRule="auto"/>
        <w:rPr>
          <w:sz w:val="20"/>
          <w:szCs w:val="20"/>
          <w:color w:val="auto"/>
        </w:rPr>
      </w:pPr>
      <w:r>
        <w:rPr>
          <w:rFonts w:ascii="Arial" w:cs="Arial" w:eastAsia="Arial" w:hAnsi="Arial"/>
          <w:sz w:val="15"/>
          <w:szCs w:val="15"/>
          <w:b w:val="1"/>
          <w:bCs w:val="1"/>
          <w:i w:val="1"/>
          <w:iCs w:val="1"/>
          <w:color w:val="auto"/>
        </w:rPr>
        <w:t>The cost of aircraft repairs and unexpected delays in the time required to complete aircraft maintenance could negatively affect our operating results.</w:t>
      </w:r>
    </w:p>
    <w:p>
      <w:pPr>
        <w:spacing w:after="0" w:line="38"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60" w:lineRule="exact"/>
        <w:rPr>
          <w:sz w:val="20"/>
          <w:szCs w:val="20"/>
          <w:color w:val="auto"/>
        </w:rPr>
      </w:pPr>
    </w:p>
    <w:p>
      <w:pPr>
        <w:ind w:left="1160" w:right="1599"/>
        <w:spacing w:after="0" w:line="264" w:lineRule="auto"/>
        <w:rPr>
          <w:sz w:val="20"/>
          <w:szCs w:val="20"/>
          <w:color w:val="auto"/>
        </w:rPr>
      </w:pPr>
      <w:r>
        <w:rPr>
          <w:rFonts w:ascii="Arial" w:cs="Arial" w:eastAsia="Arial" w:hAnsi="Arial"/>
          <w:sz w:val="15"/>
          <w:szCs w:val="15"/>
          <w:b w:val="1"/>
          <w:bCs w:val="1"/>
          <w:i w:val="1"/>
          <w:iCs w:val="1"/>
          <w:color w:val="auto"/>
        </w:rPr>
        <w:t>If we are unable to attract and retain qualified personnel at reasonable costs or fail to maintain our company culture, our business could be harmed.</w:t>
      </w:r>
    </w:p>
    <w:p>
      <w:pPr>
        <w:spacing w:after="0" w:line="49"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 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If we are unable to hire, train and retain qualified employees, our business could be harmed and we may be unable to implement our growth plans.</w:t>
      </w:r>
    </w:p>
    <w:p>
      <w:pPr>
        <w:spacing w:after="0" w:line="97"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spacing w:after="0" w:line="248" w:lineRule="auto"/>
        <w:rPr>
          <w:sz w:val="20"/>
          <w:szCs w:val="20"/>
          <w:color w:val="auto"/>
        </w:rPr>
      </w:pPr>
      <w:r>
        <w:rPr>
          <w:rFonts w:ascii="Arial" w:cs="Arial" w:eastAsia="Arial" w:hAnsi="Arial"/>
          <w:sz w:val="15"/>
          <w:szCs w:val="15"/>
          <w:color w:val="auto"/>
        </w:rPr>
        <w:t>geographic diversity. If we fail to maintain the strength of our company culture, our competitive ability and our business, results of operations and financial condition could be harmed.</w:t>
      </w:r>
    </w:p>
    <w:p>
      <w:pPr>
        <w:spacing w:after="0" w:line="149" w:lineRule="exact"/>
        <w:rPr>
          <w:sz w:val="20"/>
          <w:szCs w:val="20"/>
          <w:color w:val="auto"/>
        </w:rPr>
      </w:pPr>
    </w:p>
    <w:p>
      <w:pPr>
        <w:ind w:left="1160" w:right="1499"/>
        <w:spacing w:after="0" w:line="323" w:lineRule="auto"/>
        <w:rPr>
          <w:sz w:val="20"/>
          <w:szCs w:val="20"/>
          <w:color w:val="auto"/>
        </w:rPr>
      </w:pPr>
      <w:r>
        <w:rPr>
          <w:rFonts w:ascii="Arial" w:cs="Arial" w:eastAsia="Arial" w:hAnsi="Arial"/>
          <w:sz w:val="13"/>
          <w:szCs w:val="13"/>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48" w:lineRule="exact"/>
        <w:rPr>
          <w:sz w:val="20"/>
          <w:szCs w:val="20"/>
          <w:color w:val="auto"/>
        </w:rPr>
      </w:pPr>
    </w:p>
    <w:p>
      <w:pPr>
        <w:ind w:left="1160" w:right="1659" w:firstLine="293"/>
        <w:spacing w:after="0" w:line="283" w:lineRule="auto"/>
        <w:rPr>
          <w:sz w:val="20"/>
          <w:szCs w:val="20"/>
          <w:color w:val="auto"/>
        </w:rPr>
      </w:pPr>
      <w:r>
        <w:rPr>
          <w:rFonts w:ascii="Arial" w:cs="Arial" w:eastAsia="Arial" w:hAnsi="Arial"/>
          <w:sz w:val="14"/>
          <w:szCs w:val="14"/>
          <w:color w:val="auto"/>
        </w:rPr>
        <w:t>Our results of operations may be affected by actions taken by governmental or other agencies or authorities having jurisdiction over our operations at these airports, including, but not limited to:</w:t>
      </w:r>
    </w:p>
    <w:p>
      <w:pPr>
        <w:spacing w:after="0" w:line="38" w:lineRule="exact"/>
        <w:rPr>
          <w:sz w:val="20"/>
          <w:szCs w:val="20"/>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increases in airport rates and charges;</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limitations on take-off and landing slots, airport gate capacity or other use of airport facilities;</w:t>
      </w:r>
    </w:p>
    <w:p>
      <w:pPr>
        <w:spacing w:after="0" w:line="80"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termination of our airport use agreements, some of which can be terminated by airport authorities with little notice to us;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increases in airport capacity that could facilitate increased competition;</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international travel regulations such as customs and immigration;</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increases in taxes;</w:t>
      </w:r>
    </w:p>
    <w:p>
      <w:pPr>
        <w:spacing w:after="0" w:line="69"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law, regulations and government policies that affect the services that can be offered by airlines, in general, and in particular markets and at particular airports;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restrictions on competitive practices;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law or ordinances that increase minimum wages beyond regional norms;</w:t>
      </w:r>
    </w:p>
    <w:p>
      <w:pPr>
        <w:spacing w:after="0" w:line="80" w:lineRule="exact"/>
        <w:rPr>
          <w:rFonts w:ascii="Arial" w:cs="Arial" w:eastAsia="Arial" w:hAnsi="Arial"/>
          <w:sz w:val="15"/>
          <w:szCs w:val="15"/>
          <w:color w:val="auto"/>
        </w:rPr>
      </w:pPr>
    </w:p>
    <w:p>
      <w:pPr>
        <w:ind w:left="1600" w:right="1379" w:hanging="143"/>
        <w:spacing w:after="0" w:line="300"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adoption of statutes or regulations that impact or impose additional customer service standards and requirements, including operating and security standards and requirements; and</w:t>
      </w:r>
    </w:p>
    <w:p>
      <w:pPr>
        <w:spacing w:after="0" w:line="15" w:lineRule="exact"/>
        <w:rPr>
          <w:rFonts w:ascii="Arial" w:cs="Arial" w:eastAsia="Arial" w:hAnsi="Arial"/>
          <w:sz w:val="14"/>
          <w:szCs w:val="14"/>
          <w:color w:val="auto"/>
        </w:rPr>
      </w:pPr>
    </w:p>
    <w:p>
      <w:pPr>
        <w:ind w:left="1600" w:hanging="143"/>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adoption of more restrictive locally imposed noise regulations or curfews.</w:t>
      </w:r>
    </w:p>
    <w:p>
      <w:pPr>
        <w:spacing w:after="0" w:line="124" w:lineRule="exact"/>
        <w:rPr>
          <w:sz w:val="20"/>
          <w:szCs w:val="20"/>
          <w:color w:val="auto"/>
        </w:rPr>
      </w:pPr>
    </w:p>
    <w:p>
      <w:pPr>
        <w:jc w:val="both"/>
        <w:ind w:left="1160" w:right="1299" w:firstLine="293"/>
        <w:spacing w:after="0" w:line="239" w:lineRule="auto"/>
        <w:rPr>
          <w:sz w:val="20"/>
          <w:szCs w:val="20"/>
          <w:color w:val="auto"/>
        </w:rPr>
      </w:pPr>
      <w:r>
        <w:rPr>
          <w:rFonts w:ascii="Arial" w:cs="Arial" w:eastAsia="Arial" w:hAnsi="Arial"/>
          <w:sz w:val="15"/>
          <w:szCs w:val="15"/>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3"/>
          <w:szCs w:val="13"/>
          <w:b w:val="1"/>
          <w:bCs w:val="1"/>
          <w:i w:val="1"/>
          <w:iCs w:val="1"/>
          <w:color w:val="auto"/>
        </w:rPr>
        <w:t>It has only been a limited period since our current business and operating strategy has been implemented.</w:t>
      </w:r>
    </w:p>
    <w:p>
      <w:pPr>
        <w:spacing w:after="0" w:line="147"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Following the implementation of our current business and operating strategy in late 2017 and our acquisition by the Apollo Funds in 2018, we recorded a net loss of approximately $ 3.9 million, net income of approximately $46.1 million, a net loss of approximately $367 thousand and net income of approximately $25.9 million for the years ended December 31, 2020 and 2019, the Successor 2018 period and the Predecessor 2018 period, respectively. We cannot assure you that we will be able to achieve or sustain profitability on a quarterly or an annual basis. If we generate losses in the future or are cash flow negative, the market price of our common stock may decline.</w:t>
      </w:r>
    </w:p>
    <w:p>
      <w:pPr>
        <w:spacing w:after="0" w:line="157" w:lineRule="exact"/>
        <w:rPr>
          <w:sz w:val="20"/>
          <w:szCs w:val="20"/>
          <w:color w:val="auto"/>
        </w:rPr>
      </w:pPr>
    </w:p>
    <w:p>
      <w:pPr>
        <w:ind w:left="1160" w:right="1219"/>
        <w:spacing w:after="0" w:line="248" w:lineRule="auto"/>
        <w:rPr>
          <w:sz w:val="20"/>
          <w:szCs w:val="20"/>
          <w:color w:val="auto"/>
        </w:rPr>
      </w:pPr>
      <w:r>
        <w:rPr>
          <w:rFonts w:ascii="Arial" w:cs="Arial" w:eastAsia="Arial" w:hAnsi="Arial"/>
          <w:sz w:val="15"/>
          <w:szCs w:val="15"/>
          <w:b w:val="1"/>
          <w:bCs w:val="1"/>
          <w:i w:val="1"/>
          <w:iCs w:val="1"/>
          <w:color w:val="auto"/>
        </w:rPr>
        <w:t>We are subject to various environmental and noise laws and regulations, which could have a material adverse effect on our business, results of operations and financial condition.</w:t>
      </w:r>
    </w:p>
    <w:p>
      <w:pPr>
        <w:spacing w:after="0" w:line="8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99" w:lineRule="exact"/>
        <w:rPr>
          <w:sz w:val="20"/>
          <w:szCs w:val="20"/>
          <w:color w:val="auto"/>
        </w:rPr>
      </w:pPr>
    </w:p>
    <w:p>
      <w:pPr>
        <w:ind w:left="1160" w:right="1619" w:firstLine="293"/>
        <w:spacing w:after="0" w:line="323" w:lineRule="auto"/>
        <w:rPr>
          <w:sz w:val="20"/>
          <w:szCs w:val="20"/>
          <w:color w:val="auto"/>
        </w:rPr>
      </w:pPr>
      <w:r>
        <w:rPr>
          <w:rFonts w:ascii="Arial" w:cs="Arial" w:eastAsia="Arial" w:hAnsi="Arial"/>
          <w:sz w:val="13"/>
          <w:szCs w:val="13"/>
          <w:color w:val="auto"/>
        </w:rPr>
        <w:t>Similarly, we are subject to environmental laws and regulations that require us to investigate and remediate soil or groundwater to meet certain remediation standards. Under certain laws current and</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spacing w:after="0" w:line="234" w:lineRule="auto"/>
        <w:rPr>
          <w:sz w:val="20"/>
          <w:szCs w:val="20"/>
          <w:color w:val="auto"/>
        </w:rPr>
      </w:pPr>
      <w:r>
        <w:rPr>
          <w:rFonts w:ascii="Arial" w:cs="Arial" w:eastAsia="Arial" w:hAnsi="Arial"/>
          <w:sz w:val="15"/>
          <w:szCs w:val="15"/>
          <w:color w:val="auto"/>
        </w:rPr>
        <w:t>former owners or operators of facilities, as well as generators of waste materials disposed of at such facilities, can be subject to liability for investigation and remediation costs at facilities that have been identified as 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101"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81"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55" w:lineRule="exact"/>
        <w:rPr>
          <w:sz w:val="20"/>
          <w:szCs w:val="20"/>
          <w:color w:val="auto"/>
        </w:rPr>
      </w:pPr>
    </w:p>
    <w:p>
      <w:pPr>
        <w:ind w:left="1160" w:right="1179"/>
        <w:spacing w:after="0" w:line="248" w:lineRule="auto"/>
        <w:rPr>
          <w:sz w:val="20"/>
          <w:szCs w:val="20"/>
          <w:color w:val="auto"/>
        </w:rPr>
      </w:pPr>
      <w:r>
        <w:rPr>
          <w:rFonts w:ascii="Arial" w:cs="Arial" w:eastAsia="Arial" w:hAnsi="Arial"/>
          <w:sz w:val="15"/>
          <w:szCs w:val="15"/>
          <w:b w:val="1"/>
          <w:bCs w:val="1"/>
          <w:i w:val="1"/>
          <w:iCs w:val="1"/>
          <w:color w:val="auto"/>
        </w:rPr>
        <w:t>Our intellectual property rights, particularly our branding rights, are valuable, and any inability to protect them may adversely affect our business and financial results.</w:t>
      </w:r>
    </w:p>
    <w:p>
      <w:pPr>
        <w:spacing w:after="0" w:line="9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53" w:lineRule="exact"/>
        <w:rPr>
          <w:sz w:val="20"/>
          <w:szCs w:val="20"/>
          <w:color w:val="auto"/>
        </w:rPr>
      </w:pPr>
    </w:p>
    <w:p>
      <w:pPr>
        <w:ind w:left="1160" w:right="1359"/>
        <w:spacing w:after="0" w:line="248" w:lineRule="auto"/>
        <w:rPr>
          <w:sz w:val="20"/>
          <w:szCs w:val="20"/>
          <w:color w:val="auto"/>
        </w:rPr>
      </w:pPr>
      <w:r>
        <w:rPr>
          <w:rFonts w:ascii="Arial" w:cs="Arial" w:eastAsia="Arial" w:hAnsi="Arial"/>
          <w:sz w:val="15"/>
          <w:szCs w:val="15"/>
          <w:b w:val="1"/>
          <w:bCs w:val="1"/>
          <w:i w:val="1"/>
          <w:iCs w:val="1"/>
          <w:color w:val="auto"/>
        </w:rPr>
        <w:t>Negative publicity regarding our customer service could have a material adverse effect on our business, results of operations and financial condition.</w:t>
      </w:r>
    </w:p>
    <w:p>
      <w:pPr>
        <w:spacing w:after="0" w:line="9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 refundable tickets during the COVID -19 pandemic. If we do not meet our customers’ expectations with respect to reliability and service, our brand and product could be negatively 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52" w:lineRule="exact"/>
        <w:rPr>
          <w:sz w:val="20"/>
          <w:szCs w:val="20"/>
          <w:color w:val="auto"/>
        </w:rPr>
      </w:pPr>
    </w:p>
    <w:p>
      <w:pPr>
        <w:ind w:left="1160" w:right="1639"/>
        <w:spacing w:after="0" w:line="248" w:lineRule="auto"/>
        <w:rPr>
          <w:sz w:val="20"/>
          <w:szCs w:val="20"/>
          <w:color w:val="auto"/>
        </w:rPr>
      </w:pPr>
      <w:r>
        <w:rPr>
          <w:rFonts w:ascii="Arial" w:cs="Arial" w:eastAsia="Arial" w:hAnsi="Arial"/>
          <w:sz w:val="15"/>
          <w:szCs w:val="15"/>
          <w:b w:val="1"/>
          <w:bCs w:val="1"/>
          <w:i w:val="1"/>
          <w:iCs w:val="1"/>
          <w:color w:val="auto"/>
        </w:rPr>
        <w:t>Our reputation and brand could be harmed if we were to experience significant negative publicity, including through social media.</w:t>
      </w:r>
    </w:p>
    <w:p>
      <w:pPr>
        <w:spacing w:after="0" w:line="83" w:lineRule="exact"/>
        <w:rPr>
          <w:sz w:val="20"/>
          <w:szCs w:val="20"/>
          <w:color w:val="auto"/>
        </w:rPr>
      </w:pPr>
    </w:p>
    <w:p>
      <w:pPr>
        <w:ind w:left="1160" w:right="1399" w:firstLine="293"/>
        <w:spacing w:after="0" w:line="239" w:lineRule="auto"/>
        <w:rPr>
          <w:sz w:val="20"/>
          <w:szCs w:val="20"/>
          <w:color w:val="auto"/>
        </w:rPr>
      </w:pPr>
      <w:r>
        <w:rPr>
          <w:rFonts w:ascii="Arial" w:cs="Arial" w:eastAsia="Arial" w:hAnsi="Arial"/>
          <w:sz w:val="15"/>
          <w:szCs w:val="15"/>
          <w:color w:val="auto"/>
        </w:rPr>
        <w:t>We operate in a public-facing industry with significant exposure to social media. Negative publicity, whether or not justified, can spread rapidly through social media. To the extent that we are unable to respond</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39"/>
        <w:spacing w:after="0" w:line="283" w:lineRule="auto"/>
        <w:rPr>
          <w:sz w:val="20"/>
          <w:szCs w:val="20"/>
          <w:color w:val="auto"/>
        </w:rPr>
      </w:pPr>
      <w:r>
        <w:rPr>
          <w:rFonts w:ascii="Arial" w:cs="Arial" w:eastAsia="Arial" w:hAnsi="Arial"/>
          <w:sz w:val="14"/>
          <w:szCs w:val="14"/>
          <w:color w:val="auto"/>
        </w:rPr>
        <w:t>timely and appropriately to negative publicity, our reputation and brand can be harmed. Damage to our overall reputation and brand could have a negative impact on our financial results.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i w:val="1"/>
          <w:iCs w:val="1"/>
          <w:color w:val="auto"/>
        </w:rPr>
        <w:t>We are highly dependent upon our cash balances, operating cash flows and availability under our Credit Facilities.</w:t>
      </w:r>
    </w:p>
    <w:p>
      <w:pPr>
        <w:spacing w:after="0" w:line="148" w:lineRule="exact"/>
        <w:rPr>
          <w:sz w:val="20"/>
          <w:szCs w:val="20"/>
          <w:color w:val="auto"/>
        </w:rPr>
      </w:pPr>
    </w:p>
    <w:p>
      <w:pPr>
        <w:ind w:left="1160" w:right="1419" w:firstLine="293"/>
        <w:spacing w:after="0" w:line="250" w:lineRule="auto"/>
        <w:rPr>
          <w:sz w:val="20"/>
          <w:szCs w:val="20"/>
          <w:color w:val="auto"/>
        </w:rPr>
      </w:pPr>
      <w:r>
        <w:rPr>
          <w:rFonts w:ascii="Arial" w:cs="Arial" w:eastAsia="Arial" w:hAnsi="Arial"/>
          <w:sz w:val="14"/>
          <w:szCs w:val="14"/>
          <w:color w:val="auto"/>
        </w:rPr>
        <w:t>Our principal sources of liquidity are cash and equivalents and availability under our $25.0 million Revolving Credit Facility and $90.0 million Delayed Draw Term Loan Facility. Our Delayed Draw Term Loan Facility is available only to finance the acquisition of aircraft and engines and is not available for working capital or other general corporate purposes. In March 2021 and April 2021, we borrowed</w:t>
      </w:r>
    </w:p>
    <w:p>
      <w:pPr>
        <w:ind w:left="1160" w:right="1219"/>
        <w:spacing w:after="0" w:line="247" w:lineRule="auto"/>
        <w:rPr>
          <w:sz w:val="20"/>
          <w:szCs w:val="20"/>
          <w:color w:val="auto"/>
        </w:rPr>
      </w:pPr>
      <w:r>
        <w:rPr>
          <w:rFonts w:ascii="Arial" w:cs="Arial" w:eastAsia="Arial" w:hAnsi="Arial"/>
          <w:sz w:val="14"/>
          <w:szCs w:val="14"/>
          <w:color w:val="auto"/>
        </w:rPr>
        <w:t>$68.0 million and $12.5 million, respectively, under the Delayed Draw Term Loan Facility for the purpose of financing the acquisition of six additional aircraft that we previously leased, all of which have been acquired.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55" w:lineRule="exact"/>
        <w:rPr>
          <w:sz w:val="20"/>
          <w:szCs w:val="20"/>
          <w:color w:val="auto"/>
        </w:rPr>
      </w:pPr>
    </w:p>
    <w:p>
      <w:pPr>
        <w:ind w:left="1160" w:right="1659"/>
        <w:spacing w:after="0" w:line="370" w:lineRule="auto"/>
        <w:rPr>
          <w:sz w:val="20"/>
          <w:szCs w:val="20"/>
          <w:color w:val="auto"/>
        </w:rPr>
      </w:pPr>
      <w:r>
        <w:rPr>
          <w:rFonts w:ascii="Arial" w:cs="Arial" w:eastAsia="Arial" w:hAnsi="Arial"/>
          <w:sz w:val="12"/>
          <w:szCs w:val="12"/>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4" w:lineRule="exact"/>
        <w:rPr>
          <w:sz w:val="20"/>
          <w:szCs w:val="20"/>
          <w:color w:val="auto"/>
        </w:rPr>
      </w:pPr>
    </w:p>
    <w:p>
      <w:pPr>
        <w:ind w:left="1160" w:right="1259" w:firstLine="293"/>
        <w:spacing w:after="0" w:line="232" w:lineRule="auto"/>
        <w:rPr>
          <w:sz w:val="20"/>
          <w:szCs w:val="20"/>
          <w:color w:val="auto"/>
        </w:rPr>
      </w:pPr>
      <w:r>
        <w:rPr>
          <w:rFonts w:ascii="Arial" w:cs="Arial" w:eastAsia="Arial" w:hAnsi="Arial"/>
          <w:sz w:val="15"/>
          <w:szCs w:val="15"/>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2020,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ability to obtain financing or access capital markets may be limited.</w:t>
      </w:r>
    </w:p>
    <w:p>
      <w:pPr>
        <w:spacing w:after="0" w:line="124" w:lineRule="exact"/>
        <w:rPr>
          <w:sz w:val="20"/>
          <w:szCs w:val="20"/>
          <w:color w:val="auto"/>
        </w:rPr>
      </w:pPr>
    </w:p>
    <w:p>
      <w:pPr>
        <w:ind w:left="1160" w:right="1239" w:firstLine="293"/>
        <w:spacing w:after="0" w:line="265" w:lineRule="auto"/>
        <w:rPr>
          <w:sz w:val="20"/>
          <w:szCs w:val="20"/>
          <w:color w:val="auto"/>
        </w:rPr>
      </w:pPr>
      <w:r>
        <w:rPr>
          <w:rFonts w:ascii="Arial" w:cs="Arial" w:eastAsia="Arial" w:hAnsi="Arial"/>
          <w:sz w:val="14"/>
          <w:szCs w:val="14"/>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52" w:lineRule="exact"/>
        <w:rPr>
          <w:sz w:val="20"/>
          <w:szCs w:val="20"/>
          <w:color w:val="auto"/>
        </w:rPr>
      </w:pPr>
    </w:p>
    <w:p>
      <w:pPr>
        <w:ind w:left="1160" w:right="1299"/>
        <w:spacing w:after="0" w:line="311" w:lineRule="auto"/>
        <w:rPr>
          <w:sz w:val="20"/>
          <w:szCs w:val="20"/>
          <w:color w:val="auto"/>
        </w:rPr>
      </w:pPr>
      <w:r>
        <w:rPr>
          <w:rFonts w:ascii="Arial" w:cs="Arial" w:eastAsia="Arial" w:hAnsi="Arial"/>
          <w:sz w:val="13"/>
          <w:szCs w:val="13"/>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67"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54" w:lineRule="auto"/>
        <w:rPr>
          <w:sz w:val="20"/>
          <w:szCs w:val="20"/>
          <w:color w:val="auto"/>
        </w:rPr>
      </w:pPr>
      <w:r>
        <w:rPr>
          <w:rFonts w:ascii="Arial" w:cs="Arial" w:eastAsia="Arial" w:hAnsi="Arial"/>
          <w:sz w:val="15"/>
          <w:szCs w:val="15"/>
          <w:color w:val="auto"/>
        </w:rPr>
        <w:t>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01"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94"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4"/>
          <w:szCs w:val="14"/>
          <w:i w:val="1"/>
          <w:iCs w:val="1"/>
          <w:color w:val="auto"/>
        </w:rPr>
        <w:t>Management’s Discussion and Analysis of Financial Condition and Results of</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Operations—Critical Accounting Policies and Estimates—Aircraft Maintenance.</w:t>
      </w:r>
      <w:r>
        <w:rPr>
          <w:rFonts w:ascii="Arial" w:cs="Arial" w:eastAsia="Arial" w:hAnsi="Arial"/>
          <w:sz w:val="14"/>
          <w:szCs w:val="14"/>
          <w:color w:val="auto"/>
        </w:rPr>
        <w:t>”</w:t>
      </w:r>
    </w:p>
    <w:p>
      <w:pPr>
        <w:spacing w:after="0" w:line="149" w:lineRule="exact"/>
        <w:rPr>
          <w:sz w:val="20"/>
          <w:szCs w:val="20"/>
          <w:color w:val="auto"/>
        </w:rPr>
      </w:pPr>
    </w:p>
    <w:p>
      <w:pPr>
        <w:ind w:left="1160" w:right="1459"/>
        <w:spacing w:after="0" w:line="264" w:lineRule="auto"/>
        <w:rPr>
          <w:sz w:val="20"/>
          <w:szCs w:val="20"/>
          <w:color w:val="auto"/>
        </w:rPr>
      </w:pPr>
      <w:r>
        <w:rPr>
          <w:rFonts w:ascii="Arial" w:cs="Arial" w:eastAsia="Arial" w:hAnsi="Arial"/>
          <w:sz w:val="15"/>
          <w:szCs w:val="15"/>
          <w:b w:val="1"/>
          <w:bCs w:val="1"/>
          <w:i w:val="1"/>
          <w:iCs w:val="1"/>
          <w:color w:val="auto"/>
        </w:rPr>
        <w:t>We have a significant amount of aircraft and other fixed obligations that could impair our liquidity and thereby harm our business, results of operations and financial condition.</w:t>
      </w:r>
    </w:p>
    <w:p>
      <w:pPr>
        <w:spacing w:after="0" w:line="93" w:lineRule="exact"/>
        <w:rPr>
          <w:sz w:val="20"/>
          <w:szCs w:val="20"/>
          <w:color w:val="auto"/>
        </w:rPr>
      </w:pPr>
    </w:p>
    <w:p>
      <w:pPr>
        <w:ind w:left="1160" w:right="1519" w:firstLine="293"/>
        <w:spacing w:after="0" w:line="266" w:lineRule="auto"/>
        <w:rPr>
          <w:sz w:val="20"/>
          <w:szCs w:val="20"/>
          <w:color w:val="auto"/>
        </w:rPr>
      </w:pPr>
      <w:r>
        <w:rPr>
          <w:rFonts w:ascii="Arial" w:cs="Arial" w:eastAsia="Arial" w:hAnsi="Arial"/>
          <w:sz w:val="14"/>
          <w:szCs w:val="14"/>
          <w:color w:val="auto"/>
        </w:rPr>
        <w:t>The airline business is capital intensive. As of December 31, 2020, our 31 passenger aircraft fleet consisted of 12 aircraft financed under operating leases, 5 aircraft financed under finance leases and 14 aircraft financed under secured debt arrangements. As of December 31, 2020, we had future aircraft operating lease obligations of approximately $163.4 million, future debt principal obligations of</w:t>
      </w:r>
    </w:p>
    <w:p>
      <w:pPr>
        <w:ind w:left="1160" w:right="1219"/>
        <w:spacing w:after="0" w:line="262" w:lineRule="auto"/>
        <w:rPr>
          <w:sz w:val="20"/>
          <w:szCs w:val="20"/>
          <w:color w:val="auto"/>
        </w:rPr>
      </w:pPr>
      <w:r>
        <w:rPr>
          <w:rFonts w:ascii="Arial" w:cs="Arial" w:eastAsia="Arial" w:hAnsi="Arial"/>
          <w:sz w:val="14"/>
          <w:szCs w:val="14"/>
          <w:color w:val="auto"/>
        </w:rPr>
        <w:t>$285.8 million and future finance lease obligations of approximately $139.1 million. During 2021, based on our aircraft leases and debt structure as of December 31, 2020, we expect to incur obligations of $42.0 million related to operating leases, $26.9 million related to debt principal obligations and</w:t>
      </w:r>
    </w:p>
    <w:p>
      <w:pPr>
        <w:ind w:left="1160" w:right="1179"/>
        <w:spacing w:after="0" w:line="264" w:lineRule="auto"/>
        <w:rPr>
          <w:sz w:val="20"/>
          <w:szCs w:val="20"/>
          <w:color w:val="auto"/>
        </w:rPr>
      </w:pPr>
      <w:r>
        <w:rPr>
          <w:rFonts w:ascii="Arial" w:cs="Arial" w:eastAsia="Arial" w:hAnsi="Arial"/>
          <w:sz w:val="14"/>
          <w:szCs w:val="14"/>
          <w:color w:val="auto"/>
        </w:rPr>
        <w:t>$17.6 million related to finance lease obligations. Additionally, we made payments for maintenance reserves of $20.7 million for 2020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64" w:lineRule="exact"/>
        <w:rPr>
          <w:sz w:val="20"/>
          <w:szCs w:val="20"/>
          <w:color w:val="auto"/>
        </w:rPr>
      </w:pPr>
    </w:p>
    <w:p>
      <w:pPr>
        <w:ind w:left="1600" w:right="1459" w:hanging="143"/>
        <w:spacing w:after="0" w:line="281" w:lineRule="auto"/>
        <w:tabs>
          <w:tab w:leader="none" w:pos="1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60" w:lineRule="exact"/>
        <w:rPr>
          <w:rFonts w:ascii="Arial" w:cs="Arial" w:eastAsia="Arial" w:hAnsi="Arial"/>
          <w:sz w:val="14"/>
          <w:szCs w:val="14"/>
          <w:color w:val="auto"/>
        </w:rPr>
      </w:pPr>
    </w:p>
    <w:p>
      <w:pPr>
        <w:ind w:left="1600" w:right="1199" w:hanging="143"/>
        <w:spacing w:after="0" w:line="26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limit our ability to obtain additional financing to support our expansion plans and for working capital and other purposes on acceptable terms or at all;</w:t>
      </w:r>
    </w:p>
    <w:p>
      <w:pPr>
        <w:spacing w:after="0" w:line="59" w:lineRule="exact"/>
        <w:rPr>
          <w:rFonts w:ascii="Arial" w:cs="Arial" w:eastAsia="Arial" w:hAnsi="Arial"/>
          <w:sz w:val="15"/>
          <w:szCs w:val="15"/>
          <w:color w:val="auto"/>
        </w:rPr>
      </w:pPr>
    </w:p>
    <w:p>
      <w:pPr>
        <w:jc w:val="both"/>
        <w:ind w:left="1600" w:right="1239" w:hanging="143"/>
        <w:spacing w:after="0" w:line="281" w:lineRule="auto"/>
        <w:tabs>
          <w:tab w:leader="none" w:pos="1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49" w:lineRule="exact"/>
        <w:rPr>
          <w:rFonts w:ascii="Arial" w:cs="Arial" w:eastAsia="Arial" w:hAnsi="Arial"/>
          <w:sz w:val="14"/>
          <w:szCs w:val="14"/>
          <w:color w:val="auto"/>
        </w:rPr>
      </w:pPr>
    </w:p>
    <w:p>
      <w:pPr>
        <w:ind w:left="1600" w:right="1279" w:hanging="143"/>
        <w:spacing w:after="0" w:line="254" w:lineRule="auto"/>
        <w:tabs>
          <w:tab w:leader="none" w:pos="1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67" w:lineRule="exact"/>
        <w:rPr>
          <w:rFonts w:ascii="Arial" w:cs="Arial" w:eastAsia="Arial" w:hAnsi="Arial"/>
          <w:sz w:val="15"/>
          <w:szCs w:val="15"/>
          <w:color w:val="auto"/>
        </w:rPr>
      </w:pPr>
    </w:p>
    <w:p>
      <w:pPr>
        <w:ind w:left="1600" w:right="1199" w:hanging="143"/>
        <w:spacing w:after="0" w:line="281" w:lineRule="auto"/>
        <w:tabs>
          <w:tab w:leader="none" w:pos="1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47" w:lineRule="exact"/>
        <w:rPr>
          <w:sz w:val="20"/>
          <w:szCs w:val="20"/>
          <w:color w:val="auto"/>
        </w:rPr>
      </w:pPr>
    </w:p>
    <w:p>
      <w:pPr>
        <w:ind w:left="1160" w:right="1359"/>
        <w:spacing w:after="0" w:line="248" w:lineRule="auto"/>
        <w:rPr>
          <w:sz w:val="20"/>
          <w:szCs w:val="20"/>
          <w:color w:val="auto"/>
        </w:rPr>
      </w:pPr>
      <w:r>
        <w:rPr>
          <w:rFonts w:ascii="Arial" w:cs="Arial" w:eastAsia="Arial" w:hAnsi="Arial"/>
          <w:sz w:val="15"/>
          <w:szCs w:val="15"/>
          <w:b w:val="1"/>
          <w:bCs w:val="1"/>
          <w:i w:val="1"/>
          <w:iCs w:val="1"/>
          <w:color w:val="auto"/>
        </w:rPr>
        <w:t>We depend on a sole-source supplier for the majority of our aircraft parts and any supply disruption could have a material adverse effect on our business.</w:t>
      </w:r>
    </w:p>
    <w:p>
      <w:pPr>
        <w:spacing w:after="0" w:line="9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53" w:lineRule="exact"/>
        <w:rPr>
          <w:sz w:val="20"/>
          <w:szCs w:val="20"/>
          <w:color w:val="auto"/>
        </w:rPr>
      </w:pPr>
    </w:p>
    <w:p>
      <w:pPr>
        <w:ind w:left="1160" w:right="1379"/>
        <w:spacing w:after="0" w:line="294" w:lineRule="auto"/>
        <w:rPr>
          <w:sz w:val="20"/>
          <w:szCs w:val="20"/>
          <w:color w:val="auto"/>
        </w:rPr>
      </w:pPr>
      <w:r>
        <w:rPr>
          <w:rFonts w:ascii="Arial" w:cs="Arial" w:eastAsia="Arial" w:hAnsi="Arial"/>
          <w:sz w:val="13"/>
          <w:szCs w:val="13"/>
          <w:b w:val="1"/>
          <w:bCs w:val="1"/>
          <w:i w:val="1"/>
          <w:iCs w:val="1"/>
          <w:color w:val="auto"/>
        </w:rPr>
        <w:t>Reduction in demand for air transportation, or governmental reduction or limitation of operating capacity, in the domestic United States, Mexico or Caribbean markets, or a reduction in demand for our charter or cargo operations, could harm our business, results of operations and financial condition.</w:t>
      </w:r>
    </w:p>
    <w:p>
      <w:pPr>
        <w:spacing w:after="0" w:line="55"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 significant portion of our operations are conducted to and from the domestic United States,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associated with COVID-19,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52" w:lineRule="exact"/>
        <w:rPr>
          <w:sz w:val="20"/>
          <w:szCs w:val="20"/>
          <w:color w:val="auto"/>
        </w:rPr>
      </w:pPr>
    </w:p>
    <w:p>
      <w:pPr>
        <w:ind w:left="1160" w:right="1459"/>
        <w:spacing w:after="0" w:line="281" w:lineRule="auto"/>
        <w:rPr>
          <w:sz w:val="20"/>
          <w:szCs w:val="20"/>
          <w:color w:val="auto"/>
        </w:rPr>
      </w:pPr>
      <w:r>
        <w:rPr>
          <w:rFonts w:ascii="Arial" w:cs="Arial" w:eastAsia="Arial" w:hAnsi="Arial"/>
          <w:sz w:val="14"/>
          <w:szCs w:val="14"/>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83" w:lineRule="exact"/>
        <w:rPr>
          <w:sz w:val="20"/>
          <w:szCs w:val="20"/>
          <w:color w:val="auto"/>
        </w:rPr>
      </w:pPr>
    </w:p>
    <w:p>
      <w:pPr>
        <w:ind w:left="1160" w:right="1279" w:firstLine="293"/>
        <w:spacing w:after="0" w:line="265" w:lineRule="auto"/>
        <w:rPr>
          <w:sz w:val="20"/>
          <w:szCs w:val="20"/>
          <w:color w:val="auto"/>
        </w:rPr>
      </w:pPr>
      <w:r>
        <w:rPr>
          <w:rFonts w:ascii="Arial" w:cs="Arial" w:eastAsia="Arial" w:hAnsi="Arial"/>
          <w:sz w:val="14"/>
          <w:szCs w:val="14"/>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99" w:lineRule="exact"/>
        <w:rPr>
          <w:sz w:val="20"/>
          <w:szCs w:val="20"/>
          <w:color w:val="auto"/>
        </w:rPr>
      </w:pPr>
    </w:p>
    <w:p>
      <w:pPr>
        <w:ind w:left="1160" w:right="1279" w:firstLine="293"/>
        <w:spacing w:after="0" w:line="341" w:lineRule="auto"/>
        <w:rPr>
          <w:sz w:val="20"/>
          <w:szCs w:val="20"/>
          <w:color w:val="auto"/>
        </w:rPr>
      </w:pPr>
      <w:r>
        <w:rPr>
          <w:rFonts w:ascii="Arial" w:cs="Arial" w:eastAsia="Arial" w:hAnsi="Arial"/>
          <w:sz w:val="13"/>
          <w:szCs w:val="13"/>
          <w:color w:val="auto"/>
        </w:rPr>
        <w:t>For example, the DOT has broad authority over airlines and their consumer and competitive practices, and has used this authority to issue numerous regulations and pursue enforcement actions, including rules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6" w:lineRule="auto"/>
        <w:rPr>
          <w:sz w:val="20"/>
          <w:szCs w:val="20"/>
          <w:color w:val="auto"/>
        </w:rPr>
      </w:pPr>
      <w:r>
        <w:rPr>
          <w:rFonts w:ascii="Arial" w:cs="Arial" w:eastAsia="Arial" w:hAnsi="Arial"/>
          <w:sz w:val="14"/>
          <w:szCs w:val="14"/>
          <w:color w:val="auto"/>
        </w:rPr>
        <w:t>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w:t>
      </w:r>
    </w:p>
    <w:p>
      <w:pPr>
        <w:spacing w:after="0" w:line="7" w:lineRule="exact"/>
        <w:rPr>
          <w:sz w:val="20"/>
          <w:szCs w:val="20"/>
          <w:color w:val="auto"/>
        </w:rPr>
      </w:pPr>
    </w:p>
    <w:p>
      <w:pPr>
        <w:ind w:left="1160" w:right="1179" w:firstLine="4"/>
        <w:spacing w:after="0" w:line="246" w:lineRule="auto"/>
        <w:tabs>
          <w:tab w:leader="none" w:pos="1423"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protection of pets on airplanes and service animal standards, (vii) requirements to refund promptly to passengers any ancillary fees paid for services not received, (viii) consumer complaint process improvements, (ix) pregnant passenger assistance, (x) restrictions on the ability to deny a revenue passenger permission to board or involuntarily remove such passenger from the aircraft, (xi) minimum customer service standards for large ticket agents, (xii) 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 (xv) 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 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58" w:lineRule="exact"/>
        <w:rPr>
          <w:sz w:val="20"/>
          <w:szCs w:val="20"/>
          <w:color w:val="auto"/>
        </w:rPr>
      </w:pPr>
    </w:p>
    <w:p>
      <w:pPr>
        <w:ind w:left="1160" w:right="1239"/>
        <w:spacing w:after="0" w:line="370" w:lineRule="auto"/>
        <w:rPr>
          <w:sz w:val="20"/>
          <w:szCs w:val="20"/>
          <w:color w:val="auto"/>
        </w:rPr>
      </w:pPr>
      <w:r>
        <w:rPr>
          <w:rFonts w:ascii="Arial" w:cs="Arial" w:eastAsia="Arial" w:hAnsi="Arial"/>
          <w:sz w:val="12"/>
          <w:szCs w:val="12"/>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25" w:lineRule="exact"/>
        <w:rPr>
          <w:sz w:val="20"/>
          <w:szCs w:val="20"/>
          <w:color w:val="auto"/>
        </w:rPr>
      </w:pPr>
    </w:p>
    <w:p>
      <w:pPr>
        <w:ind w:left="1160" w:right="1359" w:firstLine="293"/>
        <w:spacing w:after="0" w:line="283" w:lineRule="auto"/>
        <w:rPr>
          <w:sz w:val="20"/>
          <w:szCs w:val="20"/>
          <w:color w:val="auto"/>
        </w:rPr>
      </w:pPr>
      <w:r>
        <w:rPr>
          <w:rFonts w:ascii="Arial" w:cs="Arial" w:eastAsia="Arial" w:hAnsi="Arial"/>
          <w:sz w:val="14"/>
          <w:szCs w:val="14"/>
          <w:color w:val="auto"/>
        </w:rPr>
        <w:t>Compliance with the laws, regulations, orders, rulings and guidance applicable to the airline industry may increase our costs, which could have a material adverse effect on our business. For example, if our</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99"/>
        <w:spacing w:after="0" w:line="283" w:lineRule="auto"/>
        <w:rPr>
          <w:sz w:val="20"/>
          <w:szCs w:val="20"/>
          <w:color w:val="auto"/>
        </w:rPr>
      </w:pPr>
      <w:r>
        <w:rPr>
          <w:rFonts w:ascii="Arial" w:cs="Arial" w:eastAsia="Arial" w:hAnsi="Arial"/>
          <w:sz w:val="14"/>
          <w:szCs w:val="14"/>
          <w:color w:val="auto"/>
        </w:rPr>
        <w:t>current standards do not meet the FAA’s rules regarding minimum dimensions for passenger seats, the number of seats on our aircraft would be reduced and our operating costs would increase.</w:t>
      </w:r>
    </w:p>
    <w:p>
      <w:pPr>
        <w:spacing w:after="0" w:line="71"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8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 Please see “</w:t>
      </w:r>
      <w:r>
        <w:rPr>
          <w:rFonts w:ascii="Arial" w:cs="Arial" w:eastAsia="Arial" w:hAnsi="Arial"/>
          <w:sz w:val="14"/>
          <w:szCs w:val="14"/>
          <w:i w:val="1"/>
          <w:iCs w:val="1"/>
          <w:color w:val="auto"/>
        </w:rPr>
        <w:t>Business—Foreign Ownership</w:t>
      </w:r>
      <w:r>
        <w:rPr>
          <w:rFonts w:ascii="Arial" w:cs="Arial" w:eastAsia="Arial" w:hAnsi="Arial"/>
          <w:sz w:val="14"/>
          <w:szCs w:val="14"/>
          <w:color w:val="auto"/>
        </w:rPr>
        <w:t>.”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101"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4"/>
          <w:szCs w:val="14"/>
          <w:i w:val="1"/>
          <w:iCs w:val="1"/>
          <w:color w:val="auto"/>
        </w:rPr>
        <w:t>Business—Government Regulation</w:t>
      </w:r>
      <w:r>
        <w:rPr>
          <w:rFonts w:ascii="Arial" w:cs="Arial" w:eastAsia="Arial" w:hAnsi="Arial"/>
          <w:sz w:val="14"/>
          <w:szCs w:val="14"/>
          <w:color w:val="auto"/>
        </w:rPr>
        <w:t>.”</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business could be materially adversely affected if we lose the services of our key personnel.</w:t>
      </w:r>
    </w:p>
    <w:p>
      <w:pPr>
        <w:spacing w:after="0" w:line="136"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4"/>
          <w:szCs w:val="14"/>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47" w:lineRule="exact"/>
        <w:rPr>
          <w:sz w:val="20"/>
          <w:szCs w:val="20"/>
          <w:color w:val="auto"/>
        </w:rPr>
      </w:pPr>
    </w:p>
    <w:p>
      <w:pPr>
        <w:ind w:left="1160" w:right="1399"/>
        <w:spacing w:after="0" w:line="323" w:lineRule="auto"/>
        <w:rPr>
          <w:sz w:val="20"/>
          <w:szCs w:val="20"/>
          <w:color w:val="auto"/>
        </w:rPr>
      </w:pPr>
      <w:r>
        <w:rPr>
          <w:rFonts w:ascii="Arial" w:cs="Arial" w:eastAsia="Arial" w:hAnsi="Arial"/>
          <w:sz w:val="13"/>
          <w:szCs w:val="13"/>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37"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 -Frank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32" w:lineRule="auto"/>
        <w:rPr>
          <w:sz w:val="20"/>
          <w:szCs w:val="20"/>
          <w:color w:val="auto"/>
        </w:rPr>
      </w:pPr>
      <w:r>
        <w:rPr>
          <w:rFonts w:ascii="Arial" w:cs="Arial" w:eastAsia="Arial" w:hAnsi="Arial"/>
          <w:sz w:val="15"/>
          <w:szCs w:val="15"/>
          <w:color w:val="auto"/>
        </w:rPr>
        <w:t>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Our quarterly results of operations fluctuate due to a number of factors, including seasonality.</w:t>
      </w:r>
    </w:p>
    <w:p>
      <w:pPr>
        <w:spacing w:after="0" w:line="125"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3"/>
          <w:szCs w:val="13"/>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 -peak season. Lower demand for air travel during the fall and other off-peak months could have a material adverse effect on our business, results of operations and financial condition.</w:t>
      </w:r>
    </w:p>
    <w:p>
      <w:pPr>
        <w:spacing w:after="0" w:line="118" w:lineRule="exact"/>
        <w:rPr>
          <w:sz w:val="20"/>
          <w:szCs w:val="20"/>
          <w:color w:val="auto"/>
        </w:rPr>
      </w:pPr>
    </w:p>
    <w:p>
      <w:pPr>
        <w:ind w:left="1160" w:right="1439"/>
        <w:spacing w:after="0" w:line="248" w:lineRule="auto"/>
        <w:rPr>
          <w:sz w:val="20"/>
          <w:szCs w:val="20"/>
          <w:color w:val="auto"/>
        </w:rPr>
      </w:pPr>
      <w:r>
        <w:rPr>
          <w:rFonts w:ascii="Arial" w:cs="Arial" w:eastAsia="Arial" w:hAnsi="Arial"/>
          <w:sz w:val="15"/>
          <w:szCs w:val="15"/>
          <w:b w:val="1"/>
          <w:bCs w:val="1"/>
          <w:i w:val="1"/>
          <w:iCs w:val="1"/>
          <w:color w:val="auto"/>
        </w:rPr>
        <w:t>We may not realize any or all of our estimated cost savings, which would have a negative effect on our results of operations.</w:t>
      </w:r>
    </w:p>
    <w:p>
      <w:pPr>
        <w:spacing w:after="0" w:line="72"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As part of our business strategy, we expect to implement certain operational improvements and cost savings initiatives. Any cost savings that we realize from such efforts may differ materially from our estimates. The estimates contained herein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 set forth herein.</w:t>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may become involved in litigation that may materially adversely affect us.</w:t>
      </w:r>
    </w:p>
    <w:p>
      <w:pPr>
        <w:spacing w:after="0" w:line="102" w:lineRule="exact"/>
        <w:rPr>
          <w:sz w:val="20"/>
          <w:szCs w:val="20"/>
          <w:color w:val="auto"/>
        </w:rPr>
      </w:pPr>
    </w:p>
    <w:p>
      <w:pPr>
        <w:ind w:left="1160" w:right="1179" w:firstLine="293"/>
        <w:spacing w:after="0" w:line="231" w:lineRule="auto"/>
        <w:rPr>
          <w:sz w:val="20"/>
          <w:szCs w:val="20"/>
          <w:color w:val="auto"/>
        </w:rPr>
      </w:pPr>
      <w:r>
        <w:rPr>
          <w:rFonts w:ascii="Arial" w:cs="Arial" w:eastAsia="Arial" w:hAnsi="Arial"/>
          <w:sz w:val="15"/>
          <w:szCs w:val="15"/>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Our Indebtedness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The Credit Agreement contains restrictions that limit our flexibility.</w:t>
      </w:r>
    </w:p>
    <w:p>
      <w:pPr>
        <w:spacing w:after="0" w:line="113" w:lineRule="exact"/>
        <w:rPr>
          <w:sz w:val="20"/>
          <w:szCs w:val="20"/>
          <w:color w:val="auto"/>
        </w:rPr>
      </w:pPr>
    </w:p>
    <w:p>
      <w:pPr>
        <w:jc w:val="both"/>
        <w:ind w:left="1160" w:right="1399" w:firstLine="293"/>
        <w:spacing w:after="0" w:line="239" w:lineRule="auto"/>
        <w:rPr>
          <w:sz w:val="20"/>
          <w:szCs w:val="20"/>
          <w:color w:val="auto"/>
        </w:rPr>
      </w:pPr>
      <w:r>
        <w:rPr>
          <w:rFonts w:ascii="Arial" w:cs="Arial" w:eastAsia="Arial" w:hAnsi="Arial"/>
          <w:sz w:val="15"/>
          <w:szCs w:val="15"/>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incur additional debt, guarantee indebtedness, or issue certain preferred equity interests;</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pay dividends on or make distributions in respect of, or repurchase or redeem, our capital stock, or make other restricted payments;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prepay, redeem, or repurchase certain debt;</w:t>
      </w:r>
    </w:p>
    <w:p>
      <w:pPr>
        <w:spacing w:after="0" w:line="102"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make loans or certain investments;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sell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create liens on certain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consolidate, merge, sell, or otherwise dispose of all or substantially all of our assets;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enter into certain transactions with our affiliates;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alter the businesses we conduct;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enter into agreements restricting our subsidiaries’ ability to pay dividends;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designate our subsidiaries as unrestricted subsidiaries.</w:t>
      </w:r>
    </w:p>
    <w:p>
      <w:pPr>
        <w:spacing w:after="0" w:line="124"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4"/>
          <w:szCs w:val="14"/>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91" w:lineRule="exact"/>
        <w:rPr>
          <w:sz w:val="20"/>
          <w:szCs w:val="20"/>
          <w:color w:val="auto"/>
        </w:rPr>
      </w:pPr>
    </w:p>
    <w:p>
      <w:pPr>
        <w:ind w:left="1160" w:right="1399" w:firstLine="293"/>
        <w:spacing w:after="0" w:line="251" w:lineRule="auto"/>
        <w:rPr>
          <w:sz w:val="20"/>
          <w:szCs w:val="20"/>
          <w:color w:val="auto"/>
        </w:rPr>
      </w:pPr>
      <w:r>
        <w:rPr>
          <w:rFonts w:ascii="Arial" w:cs="Arial" w:eastAsia="Arial" w:hAnsi="Arial"/>
          <w:sz w:val="15"/>
          <w:szCs w:val="15"/>
          <w:color w:val="auto"/>
        </w:rPr>
        <w:t>Our Delayed Draw Term Loan Facility is available solely to finance the acquisition of aircraft and engines and is not available for working capital or other general corporate purposes. As a result, only the $25.0 million Revolving Credit Facility portion of the Credit Facilities may be available for general corporate purposes and as a general source of liquidity.</w:t>
      </w:r>
    </w:p>
    <w:p>
      <w:pPr>
        <w:spacing w:after="0" w:line="157" w:lineRule="exact"/>
        <w:rPr>
          <w:sz w:val="20"/>
          <w:szCs w:val="20"/>
          <w:color w:val="auto"/>
        </w:rPr>
      </w:pPr>
    </w:p>
    <w:p>
      <w:pPr>
        <w:ind w:left="1160" w:right="1479"/>
        <w:spacing w:after="0" w:line="254" w:lineRule="auto"/>
        <w:rPr>
          <w:sz w:val="20"/>
          <w:szCs w:val="20"/>
          <w:color w:val="auto"/>
        </w:rPr>
      </w:pPr>
      <w:r>
        <w:rPr>
          <w:rFonts w:ascii="Arial" w:cs="Arial" w:eastAsia="Arial" w:hAnsi="Arial"/>
          <w:sz w:val="15"/>
          <w:szCs w:val="15"/>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90"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Under the Payroll Support Program, Treasury provided us an aggregate of $62.3 million in Payroll Support Payments from April 21, 2020 to October 1, 2020, a $16.1 million Payroll Support Payment on February 2, 2021, $16.1 million in grants on March 26, 2021, $4.8 million in grants on April 22, 2021 and an additional $17.3 million grant on April 29, 2021 and $17.2 million grant on May 27, 2021 under Payroll Support Program 3. Additionally, on October 26, 2020, we entered into the CARES Act Loan Agreement with Treasury under the aviation direct loan program of the CARES Act. Pursuant to the CARES Act Loan Agreement, Treasury agreed to extend loans to us in an aggregate principal amount of $45.0 million, subject to specified terms, which was due to be repaid on the earlier of (i) October 24, 2025 or (ii) six months prior to the expiration date of any material loyalty program securing the loan. See Notes 3 and 8 to our audited consolidated financial statements included herein for more information.</w:t>
      </w:r>
    </w:p>
    <w:p>
      <w:pPr>
        <w:spacing w:after="0" w:line="94"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on March 24, 2021.</w:t>
      </w:r>
    </w:p>
    <w:p>
      <w:pPr>
        <w:spacing w:after="0" w:line="97"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399"/>
        <w:spacing w:after="0" w:line="239" w:lineRule="auto"/>
        <w:rPr>
          <w:sz w:val="20"/>
          <w:szCs w:val="20"/>
          <w:color w:val="auto"/>
        </w:rPr>
      </w:pPr>
      <w:r>
        <w:rPr>
          <w:rFonts w:ascii="Arial" w:cs="Arial" w:eastAsia="Arial" w:hAnsi="Arial"/>
          <w:sz w:val="15"/>
          <w:szCs w:val="15"/>
          <w:color w:val="auto"/>
        </w:rPr>
        <w:t>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10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Related to this Offering and Ownership of Our Common Stock</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stock price may fluctuate significantly and purchasers of our common stock could incur substantial losses.</w:t>
      </w:r>
    </w:p>
    <w:p>
      <w:pPr>
        <w:spacing w:after="0" w:line="148" w:lineRule="exact"/>
        <w:rPr>
          <w:sz w:val="20"/>
          <w:szCs w:val="20"/>
          <w:color w:val="auto"/>
        </w:rPr>
      </w:pPr>
    </w:p>
    <w:p>
      <w:pPr>
        <w:jc w:val="both"/>
        <w:ind w:left="1160" w:right="1219" w:firstLine="293"/>
        <w:spacing w:after="0" w:line="236" w:lineRule="auto"/>
        <w:rPr>
          <w:sz w:val="20"/>
          <w:szCs w:val="20"/>
          <w:color w:val="auto"/>
        </w:rPr>
      </w:pPr>
      <w:r>
        <w:rPr>
          <w:rFonts w:ascii="Arial" w:cs="Arial" w:eastAsia="Arial" w:hAnsi="Arial"/>
          <w:sz w:val="15"/>
          <w:szCs w:val="15"/>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69" w:lineRule="exact"/>
        <w:rPr>
          <w:sz w:val="20"/>
          <w:szCs w:val="20"/>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operating and financial performance and prospects;</w:t>
      </w:r>
    </w:p>
    <w:p>
      <w:pPr>
        <w:spacing w:after="0" w:line="91" w:lineRule="exact"/>
        <w:rPr>
          <w:rFonts w:ascii="Arial" w:cs="Arial" w:eastAsia="Arial" w:hAnsi="Arial"/>
          <w:sz w:val="15"/>
          <w:szCs w:val="15"/>
          <w:color w:val="auto"/>
        </w:rPr>
      </w:pPr>
    </w:p>
    <w:p>
      <w:pPr>
        <w:ind w:left="1600" w:right="1359" w:hanging="143"/>
        <w:spacing w:after="0" w:line="25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quarterly variations in the rate of growth (if any) of our financial or operational indicators, such as earnings per share, net income, revenues, Adjusted Net Income (Loss), Adjusted EBITDAR and Adjusted CASM;</w:t>
      </w:r>
    </w:p>
    <w:p>
      <w:pPr>
        <w:spacing w:after="0" w:line="67"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public reaction to our press releases, our other public announcements and our filings with the SEC;</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strategic actions by our competitors;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operating performance and the stock market valuations of other companies;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announcements related to litigation;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failure to meet revenue or earnings estimates made by research analysts or other investors;</w:t>
      </w:r>
    </w:p>
    <w:p>
      <w:pPr>
        <w:spacing w:after="0" w:line="91" w:lineRule="exact"/>
        <w:rPr>
          <w:rFonts w:ascii="Arial" w:cs="Arial" w:eastAsia="Arial" w:hAnsi="Arial"/>
          <w:sz w:val="14"/>
          <w:szCs w:val="14"/>
          <w:color w:val="auto"/>
        </w:rPr>
      </w:pPr>
    </w:p>
    <w:p>
      <w:pPr>
        <w:ind w:left="1600" w:right="127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revenue or earnings estimates, or changes in recommendations or withdrawal of research coverage, by equity research analysts;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speculation in the press or investment community;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sales of our common stock by us or our stockholders, or the perception that such sales may occur;</w:t>
      </w:r>
    </w:p>
    <w:p>
      <w:pPr>
        <w:spacing w:after="0" w:line="91" w:lineRule="exact"/>
        <w:rPr>
          <w:rFonts w:ascii="Arial" w:cs="Arial" w:eastAsia="Arial" w:hAnsi="Arial"/>
          <w:sz w:val="14"/>
          <w:szCs w:val="14"/>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accounting principles, policies, guidance, interpretations, or standards;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additions or departures of key management personnel;</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actions by our stockholders;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general economic and market conditions;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COVID-19 pandemic and its effects;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domestic and international economic, legal and regulatory factors unrelated to our performance;</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material weakness in our internal control over financial reporting; and</w:t>
      </w:r>
    </w:p>
    <w:p>
      <w:pPr>
        <w:spacing w:after="0" w:line="80" w:lineRule="exact"/>
        <w:rPr>
          <w:rFonts w:ascii="Arial" w:cs="Arial" w:eastAsia="Arial" w:hAnsi="Arial"/>
          <w:sz w:val="15"/>
          <w:szCs w:val="15"/>
          <w:color w:val="auto"/>
        </w:rPr>
      </w:pPr>
    </w:p>
    <w:p>
      <w:pPr>
        <w:ind w:left="1600" w:right="1619" w:hanging="143"/>
        <w:spacing w:after="0" w:line="264" w:lineRule="auto"/>
        <w:tabs>
          <w:tab w:leader="none" w:pos="1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realization of any risks described under this “Risk Factors” section, or other risks that may materialize in the future.</w:t>
      </w:r>
    </w:p>
    <w:p>
      <w:pPr>
        <w:spacing w:after="0" w:line="93"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59"/>
        <w:spacing w:after="0" w:line="470" w:lineRule="auto"/>
        <w:rPr>
          <w:sz w:val="20"/>
          <w:szCs w:val="20"/>
          <w:color w:val="auto"/>
        </w:rPr>
      </w:pPr>
      <w:r>
        <w:rPr>
          <w:rFonts w:ascii="Arial" w:cs="Arial" w:eastAsia="Arial" w:hAnsi="Arial"/>
          <w:sz w:val="10"/>
          <w:szCs w:val="10"/>
          <w:b w:val="1"/>
          <w:bCs w:val="1"/>
          <w:i w:val="1"/>
          <w:iCs w:val="1"/>
          <w:color w:val="auto"/>
        </w:rPr>
        <w:t>We are an “emerging growth company,” and will be able take advantage of reduced disclosure requirements applicable to “emerging growth companies,” which could make our common stock less attractive to investors.</w:t>
      </w:r>
    </w:p>
    <w:p>
      <w:pPr>
        <w:ind w:left="1460"/>
        <w:spacing w:after="0"/>
        <w:rPr>
          <w:sz w:val="20"/>
          <w:szCs w:val="20"/>
          <w:color w:val="auto"/>
        </w:rPr>
      </w:pPr>
      <w:r>
        <w:rPr>
          <w:rFonts w:ascii="Arial" w:cs="Arial" w:eastAsia="Arial" w:hAnsi="Arial"/>
          <w:sz w:val="14"/>
          <w:szCs w:val="14"/>
          <w:color w:val="auto"/>
        </w:rPr>
        <w:t>We are an “emerging growth company,” as defined in the JOBS Act, and, for as long as we continue to</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be an “emerging growth company,” we intend to take advantage of certain exemptions from various</w:t>
      </w:r>
    </w:p>
    <w:p>
      <w:pPr>
        <w:ind w:left="1160"/>
        <w:spacing w:after="0"/>
        <w:rPr>
          <w:sz w:val="20"/>
          <w:szCs w:val="20"/>
          <w:color w:val="auto"/>
        </w:rPr>
      </w:pPr>
      <w:r>
        <w:rPr>
          <w:rFonts w:ascii="Arial" w:cs="Arial" w:eastAsia="Arial" w:hAnsi="Arial"/>
          <w:sz w:val="14"/>
          <w:szCs w:val="14"/>
          <w:color w:val="auto"/>
        </w:rPr>
        <w:t>reporting requirements applicable to other public companies but not to “emerging growth companies.”</w:t>
      </w:r>
    </w:p>
    <w:p>
      <w:pPr>
        <w:ind w:left="1160"/>
        <w:spacing w:after="0" w:line="234" w:lineRule="auto"/>
        <w:rPr>
          <w:sz w:val="20"/>
          <w:szCs w:val="20"/>
          <w:color w:val="auto"/>
        </w:rPr>
      </w:pPr>
      <w:r>
        <w:rPr>
          <w:rFonts w:ascii="Arial" w:cs="Arial" w:eastAsia="Arial" w:hAnsi="Arial"/>
          <w:sz w:val="15"/>
          <w:szCs w:val="15"/>
          <w:color w:val="auto"/>
        </w:rPr>
        <w:t>These exemptions include not being required to comply with the auditor attestation requirements of</w:t>
      </w:r>
    </w:p>
    <w:p>
      <w:pPr>
        <w:ind w:left="1160"/>
        <w:spacing w:after="0"/>
        <w:rPr>
          <w:sz w:val="20"/>
          <w:szCs w:val="20"/>
          <w:color w:val="auto"/>
        </w:rPr>
      </w:pPr>
      <w:r>
        <w:rPr>
          <w:rFonts w:ascii="Arial" w:cs="Arial" w:eastAsia="Arial" w:hAnsi="Arial"/>
          <w:sz w:val="13"/>
          <w:szCs w:val="13"/>
          <w:color w:val="auto"/>
        </w:rPr>
        <w:t>Section 404(b) of the Sarbanes-Oxley Act, reduced disclosure obligations regarding executive compensation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 our periodic reports and proxy statements, and exemptions from the requirements of holding a non-</w:t>
      </w:r>
    </w:p>
    <w:p>
      <w:pPr>
        <w:ind w:left="1160"/>
        <w:spacing w:after="0" w:line="234" w:lineRule="auto"/>
        <w:rPr>
          <w:sz w:val="20"/>
          <w:szCs w:val="20"/>
          <w:color w:val="auto"/>
        </w:rPr>
      </w:pPr>
      <w:r>
        <w:rPr>
          <w:rFonts w:ascii="Arial" w:cs="Arial" w:eastAsia="Arial" w:hAnsi="Arial"/>
          <w:sz w:val="15"/>
          <w:szCs w:val="15"/>
          <w:color w:val="auto"/>
        </w:rPr>
        <w:t>binding advisory vote on executive compensation and stockholder approval of any golden parachute</w:t>
      </w:r>
    </w:p>
    <w:p>
      <w:pPr>
        <w:ind w:left="1160"/>
        <w:spacing w:after="0"/>
        <w:rPr>
          <w:sz w:val="20"/>
          <w:szCs w:val="20"/>
          <w:color w:val="auto"/>
        </w:rPr>
      </w:pPr>
      <w:r>
        <w:rPr>
          <w:rFonts w:ascii="Arial" w:cs="Arial" w:eastAsia="Arial" w:hAnsi="Arial"/>
          <w:sz w:val="14"/>
          <w:szCs w:val="14"/>
          <w:color w:val="auto"/>
        </w:rPr>
        <w:t>payments not previously approved. We could be an “emerging growth company” until the earliest of (i)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last day of the first fiscal year in which our annual gross revenues exceed $1.07 billion, (ii) the date that we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become a “large accelerated filer” as defined in Rule 12b-2 under the Exchange Act, which would occur at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the end of our most recently completed fiscal year if the market value of our common stock that is held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non-affiliates exceeds $700 million as of the last business day of our most recently completed second fiscal</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quarter, we have been required to file annual and quarterly report under the Exchange Act for a period of at</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least 12 months and we have filed at least one annual report pursuant to the Exchange Act, (iii) the last day</w:t>
      </w:r>
    </w:p>
    <w:p>
      <w:pPr>
        <w:ind w:left="1160"/>
        <w:spacing w:after="0" w:line="234" w:lineRule="auto"/>
        <w:rPr>
          <w:sz w:val="20"/>
          <w:szCs w:val="20"/>
          <w:color w:val="auto"/>
        </w:rPr>
      </w:pPr>
      <w:r>
        <w:rPr>
          <w:rFonts w:ascii="Arial" w:cs="Arial" w:eastAsia="Arial" w:hAnsi="Arial"/>
          <w:sz w:val="15"/>
          <w:szCs w:val="15"/>
          <w:color w:val="auto"/>
        </w:rPr>
        <w:t>of our fiscal year ending December 31, 2026, and (iv) the date on which we have issued more than</w:t>
      </w:r>
    </w:p>
    <w:p>
      <w:pPr>
        <w:ind w:left="1160" w:right="1179"/>
        <w:spacing w:after="0" w:line="250" w:lineRule="auto"/>
        <w:rPr>
          <w:sz w:val="20"/>
          <w:szCs w:val="20"/>
          <w:color w:val="auto"/>
        </w:rPr>
      </w:pPr>
      <w:r>
        <w:rPr>
          <w:rFonts w:ascii="Arial" w:cs="Arial" w:eastAsia="Arial" w:hAnsi="Arial"/>
          <w:sz w:val="14"/>
          <w:szCs w:val="14"/>
          <w:color w:val="auto"/>
        </w:rPr>
        <w:t>$1 billion in non- convertible debt during the preceding three- 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49" w:lineRule="exact"/>
        <w:rPr>
          <w:sz w:val="20"/>
          <w:szCs w:val="20"/>
          <w:color w:val="auto"/>
        </w:rPr>
      </w:pPr>
    </w:p>
    <w:p>
      <w:pPr>
        <w:ind w:left="1160" w:right="1739"/>
        <w:spacing w:after="0" w:line="323" w:lineRule="auto"/>
        <w:rPr>
          <w:sz w:val="20"/>
          <w:szCs w:val="20"/>
          <w:color w:val="auto"/>
        </w:rPr>
      </w:pPr>
      <w:r>
        <w:rPr>
          <w:rFonts w:ascii="Arial" w:cs="Arial" w:eastAsia="Arial" w:hAnsi="Arial"/>
          <w:sz w:val="13"/>
          <w:szCs w:val="13"/>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3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3"/>
          <w:szCs w:val="13"/>
          <w:color w:val="auto"/>
        </w:rPr>
        <w:t>As a public company, we have and will continue to incur significant legal, accounting and other expenses. For example, we are required to comply with the requirements of Section 404(a) of the Sarbanes-Oxley Act and the Dodd -Frank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257" w:lineRule="exact"/>
        <w:rPr>
          <w:sz w:val="20"/>
          <w:szCs w:val="20"/>
          <w:color w:val="auto"/>
        </w:rPr>
      </w:pPr>
    </w:p>
    <w:p>
      <w:pPr>
        <w:ind w:left="1160" w:right="1339" w:firstLine="293"/>
        <w:spacing w:after="0" w:line="252" w:lineRule="auto"/>
        <w:rPr>
          <w:sz w:val="20"/>
          <w:szCs w:val="20"/>
          <w:color w:val="auto"/>
        </w:rPr>
      </w:pPr>
      <w:r>
        <w:rPr>
          <w:rFonts w:ascii="Arial" w:cs="Arial" w:eastAsia="Arial" w:hAnsi="Arial"/>
          <w:sz w:val="14"/>
          <w:szCs w:val="14"/>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91" w:lineRule="exact"/>
        <w:rPr>
          <w:sz w:val="20"/>
          <w:szCs w:val="20"/>
          <w:color w:val="auto"/>
        </w:rPr>
      </w:pPr>
    </w:p>
    <w:p>
      <w:pPr>
        <w:ind w:left="1160" w:right="1499" w:firstLine="293"/>
        <w:spacing w:after="0" w:line="248" w:lineRule="auto"/>
        <w:rPr>
          <w:sz w:val="20"/>
          <w:szCs w:val="20"/>
          <w:color w:val="auto"/>
        </w:rPr>
      </w:pPr>
      <w:r>
        <w:rPr>
          <w:rFonts w:ascii="Arial" w:cs="Arial" w:eastAsia="Arial" w:hAnsi="Arial"/>
          <w:sz w:val="15"/>
          <w:szCs w:val="15"/>
          <w:color w:val="auto"/>
        </w:rPr>
        <w:t>Under the JOBS Act, “emerging growth companies” can delay adopting new or revised accounting standards until such time as those standards apply to private companies.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02"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We cannot predict or estimate the amount of additional costs we may incur as a result of becoming a public company or the timing and materiality of such costs.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are continuing to improve our internal control over financial reporting.</w:t>
      </w:r>
    </w:p>
    <w:p>
      <w:pPr>
        <w:spacing w:after="0" w:line="113"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2"/>
          <w:szCs w:val="12"/>
          <w:b w:val="1"/>
          <w:bCs w:val="1"/>
          <w:i w:val="1"/>
          <w:iCs w:val="1"/>
          <w:color w:val="auto"/>
        </w:rPr>
        <w:t>Our certificate of incorporation and bylaws include provisions limiting ownership and voting by non-U.S. citizens.</w:t>
      </w:r>
    </w:p>
    <w:p>
      <w:pPr>
        <w:spacing w:after="0" w:line="14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04" w:lineRule="exact"/>
        <w:rPr>
          <w:sz w:val="20"/>
          <w:szCs w:val="20"/>
          <w:color w:val="auto"/>
        </w:rPr>
      </w:pPr>
    </w:p>
    <w:p>
      <w:pPr>
        <w:ind w:left="1160" w:right="1399" w:firstLine="293"/>
        <w:spacing w:after="0" w:line="254" w:lineRule="auto"/>
        <w:rPr>
          <w:sz w:val="20"/>
          <w:szCs w:val="20"/>
          <w:color w:val="auto"/>
        </w:rPr>
      </w:pPr>
      <w:r>
        <w:rPr>
          <w:rFonts w:ascii="Arial" w:cs="Arial" w:eastAsia="Arial" w:hAnsi="Arial"/>
          <w:sz w:val="14"/>
          <w:szCs w:val="14"/>
          <w:color w:val="auto"/>
        </w:rPr>
        <w:t>In addition, only U.S. citizens may purchase shares in this offering. By participating in this offering, you will be deemed to represent that you are a citizen of the United States, as defined in 49 U.S.C.</w:t>
      </w:r>
    </w:p>
    <w:p>
      <w:pPr>
        <w:spacing w:after="0" w:line="1" w:lineRule="exact"/>
        <w:rPr>
          <w:sz w:val="20"/>
          <w:szCs w:val="20"/>
          <w:color w:val="auto"/>
        </w:rPr>
      </w:pPr>
    </w:p>
    <w:p>
      <w:pPr>
        <w:ind w:left="1160" w:right="1219" w:firstLine="4"/>
        <w:spacing w:after="0" w:line="233" w:lineRule="auto"/>
        <w:tabs>
          <w:tab w:leader="none" w:pos="1276" w:val="left"/>
        </w:tabs>
        <w:numPr>
          <w:ilvl w:val="0"/>
          <w:numId w:val="26"/>
        </w:numPr>
        <w:rPr>
          <w:rFonts w:ascii="Arial" w:cs="Arial" w:eastAsia="Arial" w:hAnsi="Arial"/>
          <w:sz w:val="15"/>
          <w:szCs w:val="15"/>
          <w:color w:val="auto"/>
        </w:rPr>
      </w:pPr>
      <w:r>
        <w:rPr>
          <w:rFonts w:ascii="Arial" w:cs="Arial" w:eastAsia="Arial" w:hAnsi="Arial"/>
          <w:sz w:val="15"/>
          <w:szCs w:val="15"/>
          <w:color w:val="auto"/>
        </w:rPr>
        <w:t>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156" w:lineRule="exact"/>
        <w:rPr>
          <w:sz w:val="20"/>
          <w:szCs w:val="20"/>
          <w:color w:val="auto"/>
        </w:rPr>
      </w:pPr>
    </w:p>
    <w:p>
      <w:pPr>
        <w:ind w:left="1160" w:right="1259"/>
        <w:spacing w:after="0" w:line="248" w:lineRule="auto"/>
        <w:rPr>
          <w:sz w:val="20"/>
          <w:szCs w:val="20"/>
          <w:color w:val="auto"/>
        </w:rPr>
      </w:pPr>
      <w:r>
        <w:rPr>
          <w:rFonts w:ascii="Arial" w:cs="Arial" w:eastAsia="Arial" w:hAnsi="Arial"/>
          <w:sz w:val="15"/>
          <w:szCs w:val="15"/>
          <w:b w:val="1"/>
          <w:bCs w:val="1"/>
          <w:i w:val="1"/>
          <w:iCs w:val="1"/>
          <w:color w:val="auto"/>
        </w:rPr>
        <w:t>The Apollo Stockholder has significant influence over us, and Apollo’s interests may conflict with our interests and the interests of other stockholders.</w:t>
      </w:r>
    </w:p>
    <w:p>
      <w:pPr>
        <w:spacing w:after="0" w:line="83" w:lineRule="exact"/>
        <w:rPr>
          <w:sz w:val="20"/>
          <w:szCs w:val="20"/>
          <w:color w:val="auto"/>
        </w:rPr>
      </w:pPr>
    </w:p>
    <w:p>
      <w:pPr>
        <w:ind w:left="1160" w:right="1239" w:firstLine="293"/>
        <w:spacing w:after="0" w:line="237" w:lineRule="auto"/>
        <w:rPr>
          <w:sz w:val="20"/>
          <w:szCs w:val="20"/>
          <w:color w:val="auto"/>
        </w:rPr>
      </w:pPr>
      <w:r>
        <w:rPr>
          <w:rFonts w:ascii="Arial" w:cs="Arial" w:eastAsia="Arial" w:hAnsi="Arial"/>
          <w:sz w:val="15"/>
          <w:szCs w:val="15"/>
          <w:color w:val="auto"/>
        </w:rPr>
        <w:t>Following this offering, the Apollo Stockholder will beneficially own approximately % of the voting power of our outstanding common equity (or approximately % if the underwriters</w:t>
      </w:r>
    </w:p>
    <w:p>
      <w:pPr>
        <w:spacing w:after="0" w:line="1" w:lineRule="exact"/>
        <w:rPr>
          <w:sz w:val="20"/>
          <w:szCs w:val="20"/>
          <w:color w:val="auto"/>
        </w:rPr>
      </w:pPr>
    </w:p>
    <w:p>
      <w:pPr>
        <w:ind w:left="1160" w:right="1219"/>
        <w:spacing w:after="0" w:line="249" w:lineRule="auto"/>
        <w:rPr>
          <w:sz w:val="20"/>
          <w:szCs w:val="20"/>
          <w:color w:val="auto"/>
        </w:rPr>
      </w:pPr>
      <w:r>
        <w:rPr>
          <w:rFonts w:ascii="Arial" w:cs="Arial" w:eastAsia="Arial" w:hAnsi="Arial"/>
          <w:sz w:val="14"/>
          <w:szCs w:val="14"/>
          <w:color w:val="auto"/>
        </w:rPr>
        <w:t>exercise their option to purchase additional shares in full). As a result, although the Apollo Stockholder will beneficially own less than 50% of our outstanding common equity, individuals affiliated with Apollo will continue to have significant influence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69" w:lineRule="auto"/>
        <w:rPr>
          <w:sz w:val="20"/>
          <w:szCs w:val="20"/>
          <w:color w:val="auto"/>
        </w:rPr>
      </w:pPr>
      <w:r>
        <w:rPr>
          <w:rFonts w:ascii="Arial" w:cs="Arial" w:eastAsia="Arial" w:hAnsi="Arial"/>
          <w:sz w:val="13"/>
          <w:szCs w:val="13"/>
          <w:color w:val="auto"/>
        </w:rPr>
        <w:t>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w:t>
      </w:r>
    </w:p>
    <w:p>
      <w:pPr>
        <w:spacing w:after="0" w:line="140" w:lineRule="exact"/>
        <w:rPr>
          <w:sz w:val="20"/>
          <w:szCs w:val="20"/>
          <w:color w:val="auto"/>
        </w:rPr>
      </w:pPr>
    </w:p>
    <w:p>
      <w:pPr>
        <w:ind w:left="1160" w:right="1279"/>
        <w:spacing w:after="0" w:line="239" w:lineRule="auto"/>
        <w:rPr>
          <w:sz w:val="20"/>
          <w:szCs w:val="20"/>
          <w:color w:val="auto"/>
        </w:rPr>
      </w:pPr>
      <w:r>
        <w:rPr>
          <w:rFonts w:ascii="Arial" w:cs="Arial" w:eastAsia="Arial" w:hAnsi="Arial"/>
          <w:sz w:val="15"/>
          <w:szCs w:val="15"/>
          <w:b w:val="1"/>
          <w:bCs w:val="1"/>
          <w:i w:val="1"/>
          <w:iCs w:val="1"/>
          <w:color w:val="auto"/>
        </w:rPr>
        <w:t>Although we will not be a “controlled company” within the meaning of Nasdaq’s rules upon the completion of this offering, during a one-year transition period, we may continue to rely on exemptions from certain corporate governance requirements.</w:t>
      </w:r>
    </w:p>
    <w:p>
      <w:pPr>
        <w:spacing w:after="0" w:line="100"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The Apollo Stockholder currently controls a majority of the voting power of our outstanding voting stock and, as a result, we are a “controlled company” within the meaning of Nasdaq’s corporate governance standards. Following this offering, the Apollo Stockholder will no longer control more than 50% of the voting power of our outstanding voting stock and, consequently, we will no longer be a “controlled company.” As a result, we will be subject to additional corporate governance requirements, including the requirements that:</w:t>
      </w:r>
    </w:p>
    <w:p>
      <w:pPr>
        <w:spacing w:after="0" w:line="57" w:lineRule="exact"/>
        <w:rPr>
          <w:sz w:val="20"/>
          <w:szCs w:val="20"/>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 majority of the board of directors consist of independent directors;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nominating and corporate governance committee be composed entirely of independent directors;</w:t>
      </w:r>
    </w:p>
    <w:p>
      <w:pPr>
        <w:spacing w:after="0" w:line="114" w:lineRule="exact"/>
        <w:rPr>
          <w:rFonts w:ascii="Arial" w:cs="Arial" w:eastAsia="Arial" w:hAnsi="Arial"/>
          <w:sz w:val="13"/>
          <w:szCs w:val="13"/>
          <w:color w:val="auto"/>
        </w:rPr>
      </w:pPr>
    </w:p>
    <w:p>
      <w:pPr>
        <w:ind w:left="1600" w:hanging="143"/>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and</w:t>
      </w:r>
    </w:p>
    <w:p>
      <w:pPr>
        <w:spacing w:after="0" w:line="80"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there be an annual performance evaluation of the nominating and corporate governance and compensation committees.</w:t>
      </w:r>
    </w:p>
    <w:p>
      <w:pPr>
        <w:spacing w:after="0" w:line="9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The Nasdaq rules provide for phase-in periods for these requirements (including that each such committee consist of a majority of independent directors within 90 days of the consummation of this offering), but we must be fully compliant with the requirements within one year of the date on which we cease to be a “controlled company.” Currently, we do not have a majority of independent directors on our board of directors and only one of the three members of each of our nominating and corporate governance committee and our compensation committee are independent. During this transition period, our stockholders may not have the same protections afforded to stockholders of companies that are subject to all of the Nasdaq corporate governance requirements and the ability of our independent directors to influence our business policies and affairs may be reduced. In addition, we may not be able to attract and retain the number of independent directors needed to comply with Nasdaq rules during the transition period. To the extent this offering is not completed, we will remain a “controlled company” for Nasdaq purposes and our corporate governance practices will remain unchanged.</w:t>
      </w:r>
    </w:p>
    <w:p>
      <w:pPr>
        <w:spacing w:after="0" w:line="149" w:lineRule="exact"/>
        <w:rPr>
          <w:sz w:val="20"/>
          <w:szCs w:val="20"/>
          <w:color w:val="auto"/>
        </w:rPr>
      </w:pPr>
    </w:p>
    <w:p>
      <w:pPr>
        <w:ind w:left="1160" w:right="1559"/>
        <w:spacing w:after="0" w:line="248" w:lineRule="auto"/>
        <w:rPr>
          <w:sz w:val="20"/>
          <w:szCs w:val="20"/>
          <w:color w:val="auto"/>
        </w:rPr>
      </w:pPr>
      <w:r>
        <w:rPr>
          <w:rFonts w:ascii="Arial" w:cs="Arial" w:eastAsia="Arial" w:hAnsi="Arial"/>
          <w:sz w:val="15"/>
          <w:szCs w:val="15"/>
          <w:b w:val="1"/>
          <w:bCs w:val="1"/>
          <w:i w:val="1"/>
          <w:iCs w:val="1"/>
          <w:color w:val="auto"/>
        </w:rPr>
        <w:t>Our organizational documents may impede or discourage a takeover, which could deprive our investors of the opportunity to receive a premium on their shares.</w:t>
      </w:r>
    </w:p>
    <w:p>
      <w:pPr>
        <w:spacing w:after="0" w:line="83"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Provisions of our certificate of incorporation and bylaws may make it more difficult for, or prevent a third-party from, acquiring control of us without the approval of our board of directors. These provisions include:</w:t>
      </w:r>
    </w:p>
    <w:p>
      <w:pPr>
        <w:spacing w:after="0" w:line="67" w:lineRule="exact"/>
        <w:rPr>
          <w:sz w:val="20"/>
          <w:szCs w:val="20"/>
          <w:color w:val="auto"/>
        </w:rPr>
      </w:pPr>
    </w:p>
    <w:p>
      <w:pPr>
        <w:ind w:left="1600" w:right="1359" w:hanging="143"/>
        <w:spacing w:after="0" w:line="264"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providing that our board of directors will be divided into three classes, with each class of directors serving staggered three-year terms;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prohibiting cumulative voting in the election of directors;</w:t>
      </w:r>
    </w:p>
    <w:p>
      <w:pPr>
        <w:spacing w:after="0" w:line="91" w:lineRule="exact"/>
        <w:rPr>
          <w:rFonts w:ascii="Arial" w:cs="Arial" w:eastAsia="Arial" w:hAnsi="Arial"/>
          <w:sz w:val="15"/>
          <w:szCs w:val="15"/>
          <w:color w:val="auto"/>
        </w:rPr>
      </w:pPr>
    </w:p>
    <w:p>
      <w:pPr>
        <w:ind w:left="1600" w:right="1619" w:hanging="143"/>
        <w:spacing w:after="0" w:line="254" w:lineRule="auto"/>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providing for the removal of directors only for cause and only upon the affirmative vote of the holders of at least 66 2⁄3% in voting power of all the then-outstanding shares of stock of the Company</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359"/>
        <w:spacing w:after="0" w:line="239" w:lineRule="auto"/>
        <w:rPr>
          <w:sz w:val="20"/>
          <w:szCs w:val="20"/>
          <w:color w:val="auto"/>
        </w:rPr>
      </w:pPr>
      <w:r>
        <w:rPr>
          <w:rFonts w:ascii="Arial" w:cs="Arial" w:eastAsia="Arial" w:hAnsi="Arial"/>
          <w:sz w:val="15"/>
          <w:szCs w:val="15"/>
          <w:color w:val="auto"/>
        </w:rPr>
        <w:t>entitled to vote thereon, voting together as a single class, if less than 50.1% of the voting power of our outstanding common stock is beneficially owned by Apollo and its affiliates, including the Apollo Stockholder;</w:t>
      </w:r>
    </w:p>
    <w:p>
      <w:pPr>
        <w:spacing w:after="0" w:line="67" w:lineRule="exact"/>
        <w:rPr>
          <w:sz w:val="20"/>
          <w:szCs w:val="20"/>
          <w:color w:val="auto"/>
        </w:rPr>
      </w:pPr>
    </w:p>
    <w:p>
      <w:pPr>
        <w:ind w:left="1600" w:right="1299" w:hanging="143"/>
        <w:spacing w:after="0" w:line="281"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empowering only the board of directors to fill any vacancy on our board of directors (other than in respect of an Apollo Director or an Amazon Director, if any (each as defined below)), whether such vacancy occurs as a result of an increase in the number of directors or otherwise;</w:t>
      </w:r>
    </w:p>
    <w:p>
      <w:pPr>
        <w:spacing w:after="0" w:line="49" w:lineRule="exact"/>
        <w:rPr>
          <w:rFonts w:ascii="Arial" w:cs="Arial" w:eastAsia="Arial" w:hAnsi="Arial"/>
          <w:sz w:val="14"/>
          <w:szCs w:val="14"/>
          <w:color w:val="auto"/>
        </w:rPr>
      </w:pPr>
    </w:p>
    <w:p>
      <w:pPr>
        <w:ind w:left="1600" w:right="1959" w:hanging="143"/>
        <w:spacing w:after="0" w:line="26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authorizing the issuance of “blank check” preferred stock without any need for action by stockholders;</w:t>
      </w:r>
    </w:p>
    <w:p>
      <w:pPr>
        <w:spacing w:after="0" w:line="60" w:lineRule="exact"/>
        <w:rPr>
          <w:rFonts w:ascii="Arial" w:cs="Arial" w:eastAsia="Arial" w:hAnsi="Arial"/>
          <w:sz w:val="15"/>
          <w:szCs w:val="15"/>
          <w:color w:val="auto"/>
        </w:rPr>
      </w:pPr>
    </w:p>
    <w:p>
      <w:pPr>
        <w:ind w:left="1600" w:right="1199" w:hanging="143"/>
        <w:spacing w:after="0" w:line="25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prohibiting stockholders from acting by written consent if less than 50.1% of the voting power of our outstanding common stock is beneficially owned by Apollo and its affiliates, including the Apollo Stockholder;</w:t>
      </w:r>
    </w:p>
    <w:p>
      <w:pPr>
        <w:spacing w:after="0" w:line="67" w:lineRule="exact"/>
        <w:rPr>
          <w:rFonts w:ascii="Arial" w:cs="Arial" w:eastAsia="Arial" w:hAnsi="Arial"/>
          <w:sz w:val="15"/>
          <w:szCs w:val="15"/>
          <w:color w:val="auto"/>
        </w:rPr>
      </w:pPr>
    </w:p>
    <w:p>
      <w:pPr>
        <w:ind w:left="1600" w:right="1239" w:hanging="143"/>
        <w:spacing w:after="0" w:line="254" w:lineRule="auto"/>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56" w:lineRule="exact"/>
        <w:rPr>
          <w:rFonts w:ascii="Arial" w:cs="Arial" w:eastAsia="Arial" w:hAnsi="Arial"/>
          <w:sz w:val="15"/>
          <w:szCs w:val="15"/>
          <w:color w:val="auto"/>
        </w:rPr>
      </w:pPr>
    </w:p>
    <w:p>
      <w:pPr>
        <w:ind w:left="1600" w:right="1199" w:hanging="143"/>
        <w:spacing w:after="0" w:line="300"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establishing advance notice requirements for nominations for election to our board of directors or for proposing matters that can be acted on by stockholders at stockholder meetings.</w:t>
      </w:r>
    </w:p>
    <w:p>
      <w:pPr>
        <w:spacing w:after="0" w:line="70"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below in “</w:t>
      </w:r>
      <w:r>
        <w:rPr>
          <w:rFonts w:ascii="Arial" w:cs="Arial" w:eastAsia="Arial" w:hAnsi="Arial"/>
          <w:sz w:val="15"/>
          <w:szCs w:val="15"/>
          <w:i w:val="1"/>
          <w:iCs w:val="1"/>
          <w:color w:val="auto"/>
        </w:rPr>
        <w:t>Description of Capital Stock—Certain Corporate Anti-takeover Provisions</w:t>
      </w:r>
      <w:r>
        <w:rPr>
          <w:rFonts w:ascii="Arial" w:cs="Arial" w:eastAsia="Arial" w:hAnsi="Arial"/>
          <w:sz w:val="15"/>
          <w:szCs w:val="15"/>
          <w:color w:val="auto"/>
        </w:rPr>
        <w:t xml:space="preserve"> </w:t>
      </w:r>
      <w:r>
        <w:rPr>
          <w:rFonts w:ascii="Arial" w:cs="Arial" w:eastAsia="Arial" w:hAnsi="Arial"/>
          <w:sz w:val="15"/>
          <w:szCs w:val="15"/>
          <w:i w:val="1"/>
          <w:iCs w:val="1"/>
          <w:color w:val="auto"/>
        </w:rPr>
        <w:t>—Delaware Takeover Statute</w:t>
      </w:r>
      <w:r>
        <w:rPr>
          <w:rFonts w:ascii="Arial" w:cs="Arial" w:eastAsia="Arial" w:hAnsi="Arial"/>
          <w:sz w:val="15"/>
          <w:szCs w:val="15"/>
          <w:color w:val="auto"/>
        </w:rPr>
        <w:t>”.</w:t>
      </w:r>
    </w:p>
    <w:p>
      <w:pPr>
        <w:spacing w:after="0" w:line="103"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Any issuance by us of preferred stock could delay or prevent a change in control of us. Our board of directors will have the authority to cause us to issue, without any further vote or action by the stockholders, shares of preferred stock, par value $ 0.01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89"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In addition, our Stockholders Agreement also requires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Arial" w:cs="Arial" w:eastAsia="Arial" w:hAnsi="Arial"/>
          <w:sz w:val="15"/>
          <w:szCs w:val="15"/>
          <w:i w:val="1"/>
          <w:iCs w:val="1"/>
          <w:color w:val="auto"/>
        </w:rPr>
        <w:t>Description of Capital Stock—Certain Corporate Anti-takeover Provisions—Certain Matters that</w:t>
      </w:r>
      <w:r>
        <w:rPr>
          <w:rFonts w:ascii="Arial" w:cs="Arial" w:eastAsia="Arial" w:hAnsi="Arial"/>
          <w:sz w:val="15"/>
          <w:szCs w:val="15"/>
          <w:color w:val="auto"/>
        </w:rPr>
        <w:t xml:space="preserve"> </w:t>
      </w:r>
      <w:r>
        <w:rPr>
          <w:rFonts w:ascii="Arial" w:cs="Arial" w:eastAsia="Arial" w:hAnsi="Arial"/>
          <w:sz w:val="15"/>
          <w:szCs w:val="15"/>
          <w:i w:val="1"/>
          <w:iCs w:val="1"/>
          <w:color w:val="auto"/>
        </w:rPr>
        <w:t>Require Consent of Our Stockholders</w:t>
      </w:r>
      <w:r>
        <w:rPr>
          <w:rFonts w:ascii="Arial" w:cs="Arial" w:eastAsia="Arial" w:hAnsi="Arial"/>
          <w:sz w:val="15"/>
          <w:szCs w:val="15"/>
          <w:color w:val="auto"/>
        </w:rPr>
        <w:t>”.</w:t>
      </w:r>
    </w:p>
    <w:p>
      <w:pPr>
        <w:spacing w:after="0" w:line="102"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66"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5"/>
          <w:szCs w:val="15"/>
          <w:i w:val="1"/>
          <w:iCs w:val="1"/>
          <w:color w:val="auto"/>
        </w:rPr>
        <w:t>Description of Capital Stock—Certain Corporate Anti-takeover</w:t>
      </w:r>
      <w:r>
        <w:rPr>
          <w:rFonts w:ascii="Arial" w:cs="Arial" w:eastAsia="Arial" w:hAnsi="Arial"/>
          <w:sz w:val="15"/>
          <w:szCs w:val="15"/>
          <w:color w:val="auto"/>
        </w:rPr>
        <w:t xml:space="preserve"> </w:t>
      </w:r>
      <w:r>
        <w:rPr>
          <w:rFonts w:ascii="Arial" w:cs="Arial" w:eastAsia="Arial" w:hAnsi="Arial"/>
          <w:sz w:val="15"/>
          <w:szCs w:val="15"/>
          <w:i w:val="1"/>
          <w:iCs w:val="1"/>
          <w:color w:val="auto"/>
        </w:rPr>
        <w:t>Provisions.</w:t>
      </w:r>
      <w:r>
        <w:rPr>
          <w:rFonts w:ascii="Arial" w:cs="Arial" w:eastAsia="Arial" w:hAnsi="Arial"/>
          <w:sz w:val="15"/>
          <w:szCs w:val="15"/>
          <w:color w:val="auto"/>
        </w:rPr>
        <w:t>”</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418" w:lineRule="auto"/>
        <w:rPr>
          <w:sz w:val="20"/>
          <w:szCs w:val="20"/>
          <w:color w:val="auto"/>
        </w:rPr>
      </w:pPr>
      <w:r>
        <w:rPr>
          <w:rFonts w:ascii="Arial" w:cs="Arial" w:eastAsia="Arial" w:hAnsi="Arial"/>
          <w:sz w:val="10"/>
          <w:szCs w:val="10"/>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4"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w:t>
      </w:r>
    </w:p>
    <w:p>
      <w:pPr>
        <w:ind w:left="1160" w:right="1199" w:firstLine="4"/>
        <w:spacing w:after="0" w:line="246" w:lineRule="auto"/>
        <w:tabs>
          <w:tab w:leader="none" w:pos="1434"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9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53" w:lineRule="exact"/>
        <w:rPr>
          <w:sz w:val="20"/>
          <w:szCs w:val="20"/>
          <w:color w:val="auto"/>
        </w:rPr>
      </w:pPr>
    </w:p>
    <w:p>
      <w:pPr>
        <w:ind w:left="1160" w:right="1359"/>
        <w:spacing w:after="0" w:line="248" w:lineRule="auto"/>
        <w:rPr>
          <w:sz w:val="20"/>
          <w:szCs w:val="20"/>
          <w:color w:val="auto"/>
        </w:rPr>
      </w:pPr>
      <w:r>
        <w:rPr>
          <w:rFonts w:ascii="Arial" w:cs="Arial" w:eastAsia="Arial" w:hAnsi="Arial"/>
          <w:sz w:val="15"/>
          <w:szCs w:val="15"/>
          <w:b w:val="1"/>
          <w:bCs w:val="1"/>
          <w:i w:val="1"/>
          <w:iCs w:val="1"/>
          <w:color w:val="auto"/>
        </w:rPr>
        <w:t>Our certificate of incorporation contains a provision renouncing our interest and expectancy in certain corporate opportunities.</w:t>
      </w:r>
    </w:p>
    <w:p>
      <w:pPr>
        <w:spacing w:after="0" w:line="94" w:lineRule="exact"/>
        <w:rPr>
          <w:sz w:val="20"/>
          <w:szCs w:val="20"/>
          <w:color w:val="auto"/>
        </w:rPr>
      </w:pPr>
    </w:p>
    <w:p>
      <w:pPr>
        <w:ind w:left="1160" w:right="1179" w:firstLine="293"/>
        <w:spacing w:after="0" w:line="231" w:lineRule="auto"/>
        <w:rPr>
          <w:sz w:val="20"/>
          <w:szCs w:val="20"/>
          <w:color w:val="auto"/>
        </w:rPr>
      </w:pPr>
      <w:r>
        <w:rPr>
          <w:rFonts w:ascii="Arial" w:cs="Arial" w:eastAsia="Arial" w:hAnsi="Arial"/>
          <w:sz w:val="15"/>
          <w:szCs w:val="15"/>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160" w:right="1219"/>
        <w:spacing w:after="0" w:line="232" w:lineRule="auto"/>
        <w:rPr>
          <w:sz w:val="20"/>
          <w:szCs w:val="20"/>
          <w:color w:val="auto"/>
        </w:rPr>
      </w:pPr>
      <w:r>
        <w:rPr>
          <w:rFonts w:ascii="Arial" w:cs="Arial" w:eastAsia="Arial" w:hAnsi="Arial"/>
          <w:sz w:val="14"/>
          <w:szCs w:val="14"/>
          <w:color w:val="auto"/>
        </w:rPr>
        <w:t>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two of whom are Apollo Directors. For so long as Amazon holds the 2019 Warrants or any shares of common stock issued upon exercise of the 2019 Warrants and the ATSA remains in effect, Amazon will have the right to nominate a member or an observer to our board of directors. As of the date of this prospectus,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w:t>
      </w:r>
      <w:r>
        <w:rPr>
          <w:rFonts w:ascii="Arial" w:cs="Arial" w:eastAsia="Arial" w:hAnsi="Arial"/>
          <w:sz w:val="14"/>
          <w:szCs w:val="14"/>
          <w:i w:val="1"/>
          <w:iCs w:val="1"/>
          <w:color w:val="auto"/>
        </w:rPr>
        <w:t>Description of Capital Stock—Corporate Opportunity</w:t>
      </w:r>
      <w:r>
        <w:rPr>
          <w:rFonts w:ascii="Arial" w:cs="Arial" w:eastAsia="Arial" w:hAnsi="Arial"/>
          <w:sz w:val="14"/>
          <w:szCs w:val="14"/>
          <w:color w:val="auto"/>
        </w:rPr>
        <w:t>.”</w:t>
      </w:r>
    </w:p>
    <w:p>
      <w:pPr>
        <w:spacing w:after="0" w:line="147" w:lineRule="exact"/>
        <w:rPr>
          <w:sz w:val="20"/>
          <w:szCs w:val="20"/>
          <w:color w:val="auto"/>
        </w:rPr>
      </w:pPr>
    </w:p>
    <w:p>
      <w:pPr>
        <w:ind w:left="1160" w:right="1479"/>
        <w:spacing w:after="0" w:line="236" w:lineRule="auto"/>
        <w:rPr>
          <w:sz w:val="20"/>
          <w:szCs w:val="20"/>
          <w:color w:val="auto"/>
        </w:rPr>
      </w:pPr>
      <w:r>
        <w:rPr>
          <w:rFonts w:ascii="Arial" w:cs="Arial" w:eastAsia="Arial" w:hAnsi="Arial"/>
          <w:sz w:val="15"/>
          <w:szCs w:val="15"/>
          <w:b w:val="1"/>
          <w:bCs w:val="1"/>
          <w:i w:val="1"/>
          <w:iCs w:val="1"/>
          <w:color w:val="auto"/>
        </w:rPr>
        <w:t>We are a holding company and rely on dividends, distributions, and other payments, advances, and transfers of funds from our subsidiaries to meet our obligations.</w:t>
      </w:r>
    </w:p>
    <w:p>
      <w:pPr>
        <w:spacing w:after="0" w:line="89"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4"/>
          <w:szCs w:val="14"/>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w:t>
      </w:r>
      <w:r>
        <w:rPr>
          <w:rFonts w:ascii="Arial" w:cs="Arial" w:eastAsia="Arial" w:hAnsi="Arial"/>
          <w:sz w:val="14"/>
          <w:szCs w:val="14"/>
          <w:i w:val="1"/>
          <w:iCs w:val="1"/>
          <w:color w:val="auto"/>
        </w:rPr>
        <w:t>See</w:t>
      </w:r>
      <w:r>
        <w:rPr>
          <w:rFonts w:ascii="Arial" w:cs="Arial" w:eastAsia="Arial" w:hAnsi="Arial"/>
          <w:sz w:val="14"/>
          <w:szCs w:val="14"/>
          <w:color w:val="auto"/>
        </w:rPr>
        <w:t xml:space="preserve"> “</w:t>
      </w:r>
      <w:r>
        <w:rPr>
          <w:rFonts w:ascii="Arial" w:cs="Arial" w:eastAsia="Arial" w:hAnsi="Arial"/>
          <w:sz w:val="14"/>
          <w:szCs w:val="14"/>
          <w:i w:val="1"/>
          <w:iCs w:val="1"/>
          <w:color w:val="auto"/>
        </w:rPr>
        <w:t>Management’s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 of Financial Condition and Results of Operations—Liquidity and Capital Resources</w:t>
      </w:r>
      <w:r>
        <w:rPr>
          <w:rFonts w:ascii="Arial" w:cs="Arial" w:eastAsia="Arial" w:hAnsi="Arial"/>
          <w:sz w:val="14"/>
          <w:szCs w:val="14"/>
          <w:color w:val="auto"/>
        </w:rPr>
        <w:t>.” Each of our</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48" w:lineRule="exact"/>
        <w:rPr>
          <w:sz w:val="20"/>
          <w:szCs w:val="20"/>
          <w:color w:val="auto"/>
        </w:rPr>
      </w:pPr>
    </w:p>
    <w:p>
      <w:pPr>
        <w:ind w:left="1160" w:right="1239"/>
        <w:spacing w:after="0" w:line="241" w:lineRule="auto"/>
        <w:rPr>
          <w:sz w:val="20"/>
          <w:szCs w:val="20"/>
          <w:color w:val="auto"/>
        </w:rPr>
      </w:pPr>
      <w:r>
        <w:rPr>
          <w:rFonts w:ascii="Arial" w:cs="Arial" w:eastAsia="Arial" w:hAnsi="Arial"/>
          <w:sz w:val="14"/>
          <w:szCs w:val="14"/>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78"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4"/>
          <w:szCs w:val="14"/>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13.3% of which had vested as of June 30,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47" w:lineRule="exact"/>
        <w:rPr>
          <w:sz w:val="20"/>
          <w:szCs w:val="20"/>
          <w:color w:val="auto"/>
        </w:rPr>
      </w:pPr>
    </w:p>
    <w:p>
      <w:pPr>
        <w:ind w:left="1160" w:right="1319"/>
        <w:spacing w:after="0" w:line="351" w:lineRule="auto"/>
        <w:rPr>
          <w:sz w:val="20"/>
          <w:szCs w:val="20"/>
          <w:color w:val="auto"/>
        </w:rPr>
      </w:pPr>
      <w:r>
        <w:rPr>
          <w:rFonts w:ascii="Arial" w:cs="Arial" w:eastAsia="Arial" w:hAnsi="Arial"/>
          <w:sz w:val="12"/>
          <w:szCs w:val="12"/>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36" w:lineRule="exact"/>
        <w:rPr>
          <w:sz w:val="20"/>
          <w:szCs w:val="20"/>
          <w:color w:val="auto"/>
        </w:rPr>
      </w:pPr>
    </w:p>
    <w:p>
      <w:pPr>
        <w:ind w:left="1160" w:right="1679" w:firstLine="293"/>
        <w:spacing w:after="0" w:line="323" w:lineRule="auto"/>
        <w:rPr>
          <w:sz w:val="20"/>
          <w:szCs w:val="20"/>
          <w:color w:val="auto"/>
        </w:rPr>
      </w:pPr>
      <w:r>
        <w:rPr>
          <w:rFonts w:ascii="Arial" w:cs="Arial" w:eastAsia="Arial" w:hAnsi="Arial"/>
          <w:sz w:val="13"/>
          <w:szCs w:val="13"/>
          <w:color w:val="auto"/>
        </w:rPr>
        <w:t>As of June 30, 2021, we had 937,841,533 shares of common stock authorized but unissued. Our certificate of incorporation authorizes us to issue these shares of common stock and options, rights,</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48" w:lineRule="auto"/>
        <w:rPr>
          <w:sz w:val="20"/>
          <w:szCs w:val="20"/>
          <w:color w:val="auto"/>
        </w:rPr>
      </w:pPr>
      <w:r>
        <w:rPr>
          <w:rFonts w:ascii="Arial" w:cs="Arial" w:eastAsia="Arial" w:hAnsi="Arial"/>
          <w:sz w:val="14"/>
          <w:szCs w:val="14"/>
          <w:color w:val="auto"/>
        </w:rPr>
        <w:t>warrants and appreciation rights relating to common stock for the consideration and on the terms and conditions established by our board of directors in its sole discretion, whether in connection with acquisitions or otherwise. As of June 30, 2021, we had approximately 5,856,478 options outstanding, which are exercisable into approximately 5,856,478 shares of common stock, 7,634 shares of common stock that may be issued upon the vesting of outstanding RSUs and the 2019 Warrants outstanding, which are exercisable for 9,482,606 shares of common stock, subject to vesting requirements. Of the 2019 Warrants, approximately 13.3% have vested as of June 30, 2021 and the remainder will vest incrementally based on aggregate global payments by Amazon to the Company or its affiliates pursuant to the ATSA. We have reserved approximately 3,600,000 shares for grant under our Omnibus Incentive Plan. See “</w:t>
      </w:r>
      <w:r>
        <w:rPr>
          <w:rFonts w:ascii="Arial" w:cs="Arial" w:eastAsia="Arial" w:hAnsi="Arial"/>
          <w:sz w:val="14"/>
          <w:szCs w:val="14"/>
          <w:i w:val="1"/>
          <w:iCs w:val="1"/>
          <w:color w:val="auto"/>
        </w:rPr>
        <w:t>Executive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Compensation—Equity Compensation Plans—2021 Omnibus Incentive Plan </w:t>
      </w:r>
      <w:r>
        <w:rPr>
          <w:rFonts w:ascii="Arial" w:cs="Arial" w:eastAsia="Arial" w:hAnsi="Arial"/>
          <w:sz w:val="14"/>
          <w:szCs w:val="14"/>
          <w:color w:val="auto"/>
        </w:rPr>
        <w:t>.” Any common stock that we</w:t>
      </w:r>
      <w:r>
        <w:rPr>
          <w:rFonts w:ascii="Arial" w:cs="Arial" w:eastAsia="Arial" w:hAnsi="Arial"/>
          <w:sz w:val="14"/>
          <w:szCs w:val="14"/>
          <w:i w:val="1"/>
          <w:iCs w:val="1"/>
          <w:color w:val="auto"/>
        </w:rPr>
        <w:t xml:space="preserve"> </w:t>
      </w:r>
      <w:r>
        <w:rPr>
          <w:rFonts w:ascii="Arial" w:cs="Arial" w:eastAsia="Arial" w:hAnsi="Arial"/>
          <w:sz w:val="14"/>
          <w:szCs w:val="14"/>
          <w:color w:val="auto"/>
        </w:rPr>
        <w:t>issue, including under our Omnibus Incentive Plan or other equity incentive plans that we may adopt in the future, as well as under outstanding options or warrants would dilute the percentage ownership held by the investors who purchase common stock in this offering.</w:t>
      </w:r>
    </w:p>
    <w:p>
      <w:pPr>
        <w:spacing w:after="0" w:line="101"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55"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b w:val="1"/>
          <w:bCs w:val="1"/>
          <w:i w:val="1"/>
          <w:iCs w:val="1"/>
          <w:color w:val="auto"/>
        </w:rPr>
        <w:t>Future sales of our common stock in the public market, or the perception in the public market that such sales may occur, could reduce our stock price.</w:t>
      </w:r>
    </w:p>
    <w:p>
      <w:pPr>
        <w:spacing w:after="0" w:line="83" w:lineRule="exact"/>
        <w:rPr>
          <w:sz w:val="20"/>
          <w:szCs w:val="20"/>
          <w:color w:val="auto"/>
        </w:rPr>
      </w:pPr>
    </w:p>
    <w:p>
      <w:pPr>
        <w:ind w:left="1160" w:right="1379" w:firstLine="293"/>
        <w:spacing w:after="0" w:line="269" w:lineRule="auto"/>
        <w:rPr>
          <w:sz w:val="20"/>
          <w:szCs w:val="20"/>
          <w:color w:val="auto"/>
        </w:rPr>
      </w:pPr>
      <w:r>
        <w:rPr>
          <w:rFonts w:ascii="Arial" w:cs="Arial" w:eastAsia="Arial" w:hAnsi="Arial"/>
          <w:sz w:val="13"/>
          <w:szCs w:val="13"/>
          <w:color w:val="auto"/>
        </w:rPr>
        <w:t>As of June 30, 2021, we had 57,158,467 shares of common stock outstanding, warrants to purchase 9,482,606 shares of common stock outstanding, options to purchase 5,856,478 shares of common stock outstanding and 7,634 shares of common stock that may be issued upon the vesting of outstanding RSUs. Following this offering the number of outstanding shares of common stock will include</w:t>
      </w:r>
    </w:p>
    <w:p>
      <w:pPr>
        <w:spacing w:after="0" w:line="1" w:lineRule="exact"/>
        <w:rPr>
          <w:sz w:val="20"/>
          <w:szCs w:val="20"/>
          <w:color w:val="auto"/>
        </w:rPr>
      </w:pPr>
    </w:p>
    <w:p>
      <w:pPr>
        <w:ind w:left="1160" w:right="1199"/>
        <w:spacing w:after="0" w:line="245" w:lineRule="auto"/>
        <w:rPr>
          <w:sz w:val="20"/>
          <w:szCs w:val="20"/>
          <w:color w:val="auto"/>
        </w:rPr>
      </w:pPr>
      <w:r>
        <w:rPr>
          <w:rFonts w:ascii="Arial" w:cs="Arial" w:eastAsia="Arial" w:hAnsi="Arial"/>
          <w:sz w:val="14"/>
          <w:szCs w:val="14"/>
          <w:color w:val="auto"/>
        </w:rPr>
        <w:t>outstanding shares that are “restricted securities,” as defined under Rule 144 under the Securities Act, and eligible for sale in the public market subject to the requirements of Rule 144. We, the Apollo Stockholder, all of our executive officers and directors, Amazon, PAR Capital and the Blackrock Entities, who, following</w:t>
      </w:r>
    </w:p>
    <w:p>
      <w:pPr>
        <w:spacing w:after="0" w:line="1" w:lineRule="exact"/>
        <w:rPr>
          <w:sz w:val="20"/>
          <w:szCs w:val="20"/>
          <w:color w:val="auto"/>
        </w:rPr>
      </w:pPr>
    </w:p>
    <w:p>
      <w:pPr>
        <w:ind w:left="1160" w:right="1219"/>
        <w:spacing w:after="0" w:line="246" w:lineRule="auto"/>
        <w:rPr>
          <w:sz w:val="20"/>
          <w:szCs w:val="20"/>
          <w:color w:val="auto"/>
        </w:rPr>
      </w:pPr>
      <w:r>
        <w:rPr>
          <w:rFonts w:ascii="Arial" w:cs="Arial" w:eastAsia="Arial" w:hAnsi="Arial"/>
          <w:sz w:val="14"/>
          <w:szCs w:val="14"/>
          <w:color w:val="auto"/>
        </w:rPr>
        <w:t>this offering, collectively will beneficially own approximately shares of our common stock, agreed that, for a period of 180 days after the date of the final prospectus related to our initial public offering, we and they will not, without the prior written consent of Barclays Capital Inc. and Morgan Stanley &amp; Co. LLC on behalf of the underwriters, dispose of any shares of common stock or any securities convertible into or exchangeable for our common stock, subject to certain exceptions. See “</w:t>
      </w:r>
      <w:r>
        <w:rPr>
          <w:rFonts w:ascii="Arial" w:cs="Arial" w:eastAsia="Arial" w:hAnsi="Arial"/>
          <w:sz w:val="14"/>
          <w:szCs w:val="14"/>
          <w:i w:val="1"/>
          <w:iCs w:val="1"/>
          <w:color w:val="auto"/>
        </w:rPr>
        <w:t>Underwriting</w:t>
      </w:r>
      <w:r>
        <w:rPr>
          <w:rFonts w:ascii="Arial" w:cs="Arial" w:eastAsia="Arial" w:hAnsi="Arial"/>
          <w:sz w:val="14"/>
          <w:szCs w:val="14"/>
          <w:color w:val="auto"/>
        </w:rPr>
        <w:t xml:space="preserve"> </w:t>
      </w:r>
      <w:r>
        <w:rPr>
          <w:rFonts w:ascii="Arial" w:cs="Arial" w:eastAsia="Arial" w:hAnsi="Arial"/>
          <w:sz w:val="14"/>
          <w:szCs w:val="14"/>
          <w:i w:val="1"/>
          <w:iCs w:val="1"/>
          <w:color w:val="auto"/>
        </w:rPr>
        <w:t>(Conflict of Interest)</w:t>
      </w:r>
      <w:r>
        <w:rPr>
          <w:rFonts w:ascii="Arial" w:cs="Arial" w:eastAsia="Arial" w:hAnsi="Arial"/>
          <w:sz w:val="14"/>
          <w:szCs w:val="14"/>
          <w:color w:val="auto"/>
        </w:rPr>
        <w:t>.” Following the expiration of the applicable lock-up period, all of the issued and</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shares of our common stock will be eligible for future sale, subject to the applicable volume, manner of sale, holding periods, and other limitations of Rule 144. Barclays Capital Inc. and Morgan Stanley &amp; Co. LLC on behalf of the underwriters may, in their sole discretion, release all or any portion of the shares subject to lock-up agreements at any time and for any reason. In addition, following the lock-up period, certain of our existing stockholders, including the Apollo Stockholder and Amazon, have certain rights to require us to register the sale of common stock held by them including in connection with underwritten offerings. Additionally, we filed a registration statement in respect of all shares of common stock that we may issue under the Omnibus Incentive Plan and the SCA Acquisition Equity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 See “</w:t>
      </w:r>
      <w:r>
        <w:rPr>
          <w:rFonts w:ascii="Arial" w:cs="Arial" w:eastAsia="Arial" w:hAnsi="Arial"/>
          <w:sz w:val="14"/>
          <w:szCs w:val="14"/>
          <w:i w:val="1"/>
          <w:iCs w:val="1"/>
          <w:color w:val="auto"/>
        </w:rPr>
        <w:t>Shares Eligible for Future Sale</w:t>
      </w:r>
      <w:r>
        <w:rPr>
          <w:rFonts w:ascii="Arial" w:cs="Arial" w:eastAsia="Arial" w:hAnsi="Arial"/>
          <w:sz w:val="14"/>
          <w:szCs w:val="14"/>
          <w:color w:val="auto"/>
        </w:rPr>
        <w:t>” for a discussion of the shares of common stock that may be sold into the public market in the future.</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We do not anticipate paying dividends on our common stock in the foreseeable future.</w:t>
      </w:r>
    </w:p>
    <w:p>
      <w:pPr>
        <w:spacing w:after="0" w:line="124"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We do not anticipate paying any dividends in the foreseeable future on our common stock. We intend to retain all future earnings for the operation and expansion of our business and the repayment of outstanding debt. The CARES Act and the Credit Agreement contain, and any future indebtedness likely will contain, restrictive covenants that impose significant operating and financial restrictions on us, including restrictions on our ability to pay dividends and make other restricted payments. As a result, capital</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39" w:lineRule="auto"/>
        <w:rPr>
          <w:sz w:val="20"/>
          <w:szCs w:val="20"/>
          <w:color w:val="auto"/>
        </w:rPr>
      </w:pPr>
      <w:r>
        <w:rPr>
          <w:rFonts w:ascii="Arial" w:cs="Arial" w:eastAsia="Arial" w:hAnsi="Arial"/>
          <w:sz w:val="15"/>
          <w:szCs w:val="15"/>
          <w:color w:val="auto"/>
        </w:rPr>
        <w:t>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5"/>
          <w:szCs w:val="15"/>
          <w:i w:val="1"/>
          <w:iCs w:val="1"/>
          <w:color w:val="auto"/>
        </w:rPr>
        <w:t>Market Price of Common Stock and Dividend Policy</w:t>
      </w:r>
      <w:r>
        <w:rPr>
          <w:rFonts w:ascii="Arial" w:cs="Arial" w:eastAsia="Arial" w:hAnsi="Arial"/>
          <w:sz w:val="15"/>
          <w:szCs w:val="15"/>
          <w:color w:val="auto"/>
        </w:rPr>
        <w:t>.”</w:t>
      </w:r>
    </w:p>
    <w:p>
      <w:pPr>
        <w:spacing w:after="0" w:line="78" w:lineRule="exact"/>
        <w:rPr>
          <w:sz w:val="20"/>
          <w:szCs w:val="20"/>
          <w:color w:val="auto"/>
        </w:rPr>
      </w:pPr>
    </w:p>
    <w:p>
      <w:pPr>
        <w:ind w:left="1160" w:right="1319"/>
        <w:spacing w:after="0" w:line="248"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publish negative reports, our stock price could decline.</w:t>
      </w:r>
    </w:p>
    <w:p>
      <w:pPr>
        <w:spacing w:after="0" w:line="39" w:lineRule="exact"/>
        <w:rPr>
          <w:sz w:val="20"/>
          <w:szCs w:val="20"/>
          <w:color w:val="auto"/>
        </w:rPr>
      </w:pPr>
    </w:p>
    <w:p>
      <w:pPr>
        <w:ind w:left="1160" w:right="1279" w:firstLine="293"/>
        <w:spacing w:after="0" w:line="237"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79" w:lineRule="exact"/>
        <w:rPr>
          <w:sz w:val="20"/>
          <w:szCs w:val="20"/>
          <w:color w:val="auto"/>
        </w:rPr>
      </w:pPr>
    </w:p>
    <w:p>
      <w:pPr>
        <w:ind w:left="1160" w:right="1639"/>
        <w:spacing w:after="0" w:line="248" w:lineRule="auto"/>
        <w:rPr>
          <w:sz w:val="20"/>
          <w:szCs w:val="20"/>
          <w:color w:val="auto"/>
        </w:rPr>
      </w:pPr>
      <w:r>
        <w:rPr>
          <w:rFonts w:ascii="Arial" w:cs="Arial" w:eastAsia="Arial" w:hAnsi="Arial"/>
          <w:sz w:val="15"/>
          <w:szCs w:val="15"/>
          <w:b w:val="1"/>
          <w:bCs w:val="1"/>
          <w:i w:val="1"/>
          <w:iCs w:val="1"/>
          <w:color w:val="auto"/>
        </w:rPr>
        <w:t>We may issue preferred securities, the terms of which could adversely affect the voting power or value of our common stock.</w:t>
      </w:r>
    </w:p>
    <w:p>
      <w:pPr>
        <w:spacing w:after="0" w:line="39" w:lineRule="exact"/>
        <w:rPr>
          <w:sz w:val="20"/>
          <w:szCs w:val="20"/>
          <w:color w:val="auto"/>
        </w:rPr>
      </w:pPr>
    </w:p>
    <w:p>
      <w:pPr>
        <w:ind w:left="1160" w:right="1219" w:firstLine="293"/>
        <w:spacing w:after="0" w:line="219" w:lineRule="auto"/>
        <w:rPr>
          <w:sz w:val="20"/>
          <w:szCs w:val="20"/>
          <w:color w:val="auto"/>
        </w:rPr>
      </w:pPr>
      <w:r>
        <w:rPr>
          <w:rFonts w:ascii="Arial" w:cs="Arial" w:eastAsia="Arial" w:hAnsi="Arial"/>
          <w:sz w:val="15"/>
          <w:szCs w:val="15"/>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78"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b w:val="1"/>
          <w:bCs w:val="1"/>
          <w:i w:val="1"/>
          <w:iCs w:val="1"/>
          <w:color w:val="auto"/>
        </w:rPr>
        <w:t>We are required to pay our pre-IPO stockholders for certain tax benefits, and the amounts of such payments could be material.</w:t>
      </w:r>
    </w:p>
    <w:p>
      <w:pPr>
        <w:spacing w:after="0" w:line="39" w:lineRule="exact"/>
        <w:rPr>
          <w:sz w:val="20"/>
          <w:szCs w:val="20"/>
          <w:color w:val="auto"/>
        </w:rPr>
      </w:pPr>
    </w:p>
    <w:p>
      <w:pPr>
        <w:ind w:left="1160" w:right="1199" w:firstLine="293"/>
        <w:spacing w:after="0" w:line="223" w:lineRule="auto"/>
        <w:rPr>
          <w:sz w:val="20"/>
          <w:szCs w:val="20"/>
          <w:color w:val="auto"/>
        </w:rPr>
      </w:pPr>
      <w:r>
        <w:rPr>
          <w:rFonts w:ascii="Arial" w:cs="Arial" w:eastAsia="Arial" w:hAnsi="Arial"/>
          <w:sz w:val="15"/>
          <w:szCs w:val="15"/>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00" w:lineRule="exact"/>
        <w:rPr>
          <w:sz w:val="20"/>
          <w:szCs w:val="20"/>
          <w:color w:val="auto"/>
        </w:rPr>
      </w:pPr>
    </w:p>
    <w:p>
      <w:pPr>
        <w:ind w:left="1160" w:right="1179" w:firstLine="293"/>
        <w:spacing w:after="0" w:line="239" w:lineRule="auto"/>
        <w:rPr>
          <w:sz w:val="20"/>
          <w:szCs w:val="20"/>
          <w:color w:val="auto"/>
        </w:rPr>
      </w:pPr>
      <w:r>
        <w:rPr>
          <w:rFonts w:ascii="Arial" w:cs="Arial" w:eastAsia="Arial" w:hAnsi="Arial"/>
          <w:sz w:val="15"/>
          <w:szCs w:val="15"/>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89"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$96.5 million. Payments in accordance with the terms of the income tax receivable agreement could have an adverse effect on our liquidity and financial condition.</w:t>
      </w:r>
    </w:p>
    <w:p>
      <w:pPr>
        <w:spacing w:after="0" w:line="101"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92" w:lineRule="exact"/>
        <w:rPr>
          <w:sz w:val="20"/>
          <w:szCs w:val="20"/>
          <w:color w:val="auto"/>
        </w:rPr>
      </w:pPr>
    </w:p>
    <w:p>
      <w:pPr>
        <w:jc w:val="both"/>
        <w:ind w:left="1160" w:right="1279" w:firstLine="293"/>
        <w:spacing w:after="0" w:line="294" w:lineRule="auto"/>
        <w:rPr>
          <w:sz w:val="20"/>
          <w:szCs w:val="20"/>
          <w:color w:val="auto"/>
        </w:rPr>
      </w:pPr>
      <w:r>
        <w:rPr>
          <w:rFonts w:ascii="Arial" w:cs="Arial" w:eastAsia="Arial" w:hAnsi="Arial"/>
          <w:sz w:val="13"/>
          <w:szCs w:val="13"/>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55"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For additional information related to the income tax receivable agreement, see “</w:t>
      </w:r>
      <w:r>
        <w:rPr>
          <w:rFonts w:ascii="Arial" w:cs="Arial" w:eastAsia="Arial" w:hAnsi="Arial"/>
          <w:sz w:val="15"/>
          <w:szCs w:val="15"/>
          <w:i w:val="1"/>
          <w:iCs w:val="1"/>
          <w:color w:val="auto"/>
        </w:rPr>
        <w:t>Certain Relationships</w:t>
      </w:r>
      <w:r>
        <w:rPr>
          <w:rFonts w:ascii="Arial" w:cs="Arial" w:eastAsia="Arial" w:hAnsi="Arial"/>
          <w:sz w:val="15"/>
          <w:szCs w:val="15"/>
          <w:color w:val="auto"/>
        </w:rPr>
        <w:t xml:space="preserve"> </w:t>
      </w:r>
      <w:r>
        <w:rPr>
          <w:rFonts w:ascii="Arial" w:cs="Arial" w:eastAsia="Arial" w:hAnsi="Arial"/>
          <w:sz w:val="15"/>
          <w:szCs w:val="15"/>
          <w:i w:val="1"/>
          <w:iCs w:val="1"/>
          <w:color w:val="auto"/>
        </w:rPr>
        <w:t>and Related Party Transactions—Income Tax Receivable Agreement</w:t>
      </w:r>
      <w:r>
        <w:rPr>
          <w:rFonts w:ascii="Arial" w:cs="Arial" w:eastAsia="Arial" w:hAnsi="Arial"/>
          <w:sz w:val="15"/>
          <w:szCs w:val="15"/>
          <w:color w:val="auto"/>
        </w:rPr>
        <w:t>.”</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28"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This prospectus contains “forward-looking statements” within the meaning of the U.S. Private Securities Litigation Reform Act of 1995, which involve risks and uncertainties. These forward-looking statements are generally identified by the use of forward -looking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5"/>
          <w:szCs w:val="15"/>
          <w:i w:val="1"/>
          <w:iCs w:val="1"/>
          <w:color w:val="auto"/>
        </w:rPr>
        <w:t>Prospectus Summary</w:t>
      </w:r>
      <w:r>
        <w:rPr>
          <w:rFonts w:ascii="Arial" w:cs="Arial" w:eastAsia="Arial" w:hAnsi="Arial"/>
          <w:sz w:val="15"/>
          <w:szCs w:val="15"/>
          <w:color w:val="auto"/>
        </w:rPr>
        <w:t>,” “</w:t>
      </w:r>
      <w:r>
        <w:rPr>
          <w:rFonts w:ascii="Arial" w:cs="Arial" w:eastAsia="Arial" w:hAnsi="Arial"/>
          <w:sz w:val="15"/>
          <w:szCs w:val="15"/>
          <w:i w:val="1"/>
          <w:iCs w:val="1"/>
          <w:color w:val="auto"/>
        </w:rPr>
        <w:t>Risk Factors</w:t>
      </w:r>
      <w:r>
        <w:rPr>
          <w:rFonts w:ascii="Arial" w:cs="Arial" w:eastAsia="Arial" w:hAnsi="Arial"/>
          <w:sz w:val="15"/>
          <w:szCs w:val="15"/>
          <w:color w:val="auto"/>
        </w:rPr>
        <w:t>,” “</w:t>
      </w:r>
      <w:r>
        <w:rPr>
          <w:rFonts w:ascii="Arial" w:cs="Arial" w:eastAsia="Arial" w:hAnsi="Arial"/>
          <w:sz w:val="15"/>
          <w:szCs w:val="15"/>
          <w:i w:val="1"/>
          <w:iCs w:val="1"/>
          <w:color w:val="auto"/>
        </w:rPr>
        <w:t>Use of Proceeds</w:t>
      </w:r>
      <w:r>
        <w:rPr>
          <w:rFonts w:ascii="Arial" w:cs="Arial" w:eastAsia="Arial" w:hAnsi="Arial"/>
          <w:sz w:val="15"/>
          <w:szCs w:val="15"/>
          <w:color w:val="auto"/>
        </w:rPr>
        <w:t>,” “</w:t>
      </w:r>
      <w:r>
        <w:rPr>
          <w:rFonts w:ascii="Arial" w:cs="Arial" w:eastAsia="Arial" w:hAnsi="Arial"/>
          <w:sz w:val="15"/>
          <w:szCs w:val="15"/>
          <w:i w:val="1"/>
          <w:iCs w:val="1"/>
          <w:color w:val="auto"/>
        </w:rPr>
        <w:t>Management’s Discussion</w:t>
      </w:r>
      <w:r>
        <w:rPr>
          <w:rFonts w:ascii="Arial" w:cs="Arial" w:eastAsia="Arial" w:hAnsi="Arial"/>
          <w:sz w:val="15"/>
          <w:szCs w:val="15"/>
          <w:color w:val="auto"/>
        </w:rPr>
        <w:t xml:space="preserve"> </w:t>
      </w:r>
      <w:r>
        <w:rPr>
          <w:rFonts w:ascii="Arial" w:cs="Arial" w:eastAsia="Arial" w:hAnsi="Arial"/>
          <w:sz w:val="15"/>
          <w:szCs w:val="15"/>
          <w:i w:val="1"/>
          <w:iCs w:val="1"/>
          <w:color w:val="auto"/>
        </w:rPr>
        <w:t>and Analysis of Financial Condition and Results of Operations</w:t>
      </w:r>
      <w:r>
        <w:rPr>
          <w:rFonts w:ascii="Arial" w:cs="Arial" w:eastAsia="Arial" w:hAnsi="Arial"/>
          <w:sz w:val="15"/>
          <w:szCs w:val="15"/>
          <w:color w:val="auto"/>
        </w:rPr>
        <w:t>,” and “</w:t>
      </w:r>
      <w:r>
        <w:rPr>
          <w:rFonts w:ascii="Arial" w:cs="Arial" w:eastAsia="Arial" w:hAnsi="Arial"/>
          <w:sz w:val="15"/>
          <w:szCs w:val="15"/>
          <w:i w:val="1"/>
          <w:iCs w:val="1"/>
          <w:color w:val="auto"/>
        </w:rPr>
        <w:t>Business</w:t>
      </w:r>
      <w:r>
        <w:rPr>
          <w:rFonts w:ascii="Arial" w:cs="Arial" w:eastAsia="Arial" w:hAnsi="Arial"/>
          <w:sz w:val="15"/>
          <w:szCs w:val="15"/>
          <w:color w:val="auto"/>
        </w:rPr>
        <w:t>” and include, among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things, statements relating to:</w:t>
      </w:r>
    </w:p>
    <w:p>
      <w:pPr>
        <w:spacing w:after="0" w:line="73" w:lineRule="exact"/>
        <w:rPr>
          <w:sz w:val="20"/>
          <w:szCs w:val="20"/>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strategy, outlook and growth prospects;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operational and financial targets and dividend policy;</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general economic trends and trends in the industry and markets;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competitive environment in which we operate.</w:t>
      </w:r>
    </w:p>
    <w:p>
      <w:pPr>
        <w:spacing w:after="0" w:line="12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55" w:lineRule="exact"/>
        <w:rPr>
          <w:sz w:val="20"/>
          <w:szCs w:val="20"/>
          <w:color w:val="auto"/>
        </w:rPr>
      </w:pPr>
    </w:p>
    <w:p>
      <w:pPr>
        <w:ind w:left="1600" w:right="167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COVID-19 pandemic and its effects including related travel restrictions, social distancing measures and decreased demand for air travel;</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impact of worldwide economic conditions;</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our fuel cost;</w:t>
      </w:r>
    </w:p>
    <w:p>
      <w:pPr>
        <w:spacing w:after="0" w:line="91" w:lineRule="exact"/>
        <w:rPr>
          <w:rFonts w:ascii="Arial" w:cs="Arial" w:eastAsia="Arial" w:hAnsi="Arial"/>
          <w:sz w:val="15"/>
          <w:szCs w:val="15"/>
          <w:color w:val="auto"/>
        </w:rPr>
      </w:pPr>
    </w:p>
    <w:p>
      <w:pPr>
        <w:ind w:left="1600" w:right="177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threatened or actual terrorist attacks, global instability and potential U.S. military actions or activities;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competitive environment in our industry;</w:t>
      </w:r>
    </w:p>
    <w:p>
      <w:pPr>
        <w:spacing w:after="0" w:line="91"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factors beyond our control, including air traffic congestion, weather, security measures, travel-related taxes and outbreak of disease;</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presence in international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insurance costs;</w:t>
      </w:r>
    </w:p>
    <w:p>
      <w:pPr>
        <w:spacing w:after="0" w:line="91" w:lineRule="exact"/>
        <w:rPr>
          <w:rFonts w:ascii="Arial" w:cs="Arial" w:eastAsia="Arial" w:hAnsi="Arial"/>
          <w:sz w:val="15"/>
          <w:szCs w:val="15"/>
          <w:color w:val="auto"/>
        </w:rPr>
      </w:pPr>
    </w:p>
    <w:p>
      <w:pPr>
        <w:ind w:left="1600" w:right="167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restrictions on, or increased taxes applicable to charges for, ancillary products and services;</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air travel substitutes;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implement our business strategy successfully;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keep costs low;</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reliance on the Minneapolis/St. Paul market;</w:t>
      </w:r>
    </w:p>
    <w:p>
      <w:pPr>
        <w:spacing w:after="0" w:line="91" w:lineRule="exact"/>
        <w:rPr>
          <w:rFonts w:ascii="Arial" w:cs="Arial" w:eastAsia="Arial" w:hAnsi="Arial"/>
          <w:sz w:val="15"/>
          <w:szCs w:val="15"/>
          <w:color w:val="auto"/>
        </w:rPr>
      </w:pPr>
    </w:p>
    <w:p>
      <w:pPr>
        <w:ind w:left="1600" w:right="163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reputation and business being adversely affected in the event of an emergency, accident or similar public incident involving our aircraft or personnel;</w:t>
      </w:r>
    </w:p>
    <w:p>
      <w:pPr>
        <w:spacing w:after="0" w:line="59" w:lineRule="exact"/>
        <w:rPr>
          <w:rFonts w:ascii="Arial" w:cs="Arial" w:eastAsia="Arial" w:hAnsi="Arial"/>
          <w:sz w:val="15"/>
          <w:szCs w:val="15"/>
          <w:color w:val="auto"/>
        </w:rPr>
      </w:pPr>
    </w:p>
    <w:p>
      <w:pPr>
        <w:ind w:left="1600" w:right="1299" w:hanging="143"/>
        <w:spacing w:after="0" w:line="264" w:lineRule="auto"/>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reliance on third-party providers and other commercial partners to perform functions integral to our operations;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operational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grow or maintain our unit revenues or maintain our ancillary revenues;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increased labor costs, union disputes, employee strikes and other labor-related disruptions;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governmental regulation;</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inability to maintain an optimal daily aircraft utilization rate;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attract and retain qualified personnel;</w:t>
      </w:r>
    </w:p>
    <w:p>
      <w:pPr>
        <w:spacing w:after="0" w:line="91"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inability to expand or operate reliably and efficiently out of airports where we maintain a large presence;</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environmental and noise laws and regulations;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negative publicity regarding our customer service;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liquidity and dependence on cash balances and operating cash flows;</w:t>
      </w:r>
    </w:p>
    <w:p>
      <w:pPr>
        <w:spacing w:after="0" w:line="91" w:lineRule="exact"/>
        <w:rPr>
          <w:rFonts w:ascii="Arial" w:cs="Arial" w:eastAsia="Arial" w:hAnsi="Arial"/>
          <w:sz w:val="15"/>
          <w:szCs w:val="15"/>
          <w:color w:val="auto"/>
        </w:rPr>
      </w:pPr>
    </w:p>
    <w:p>
      <w:pPr>
        <w:ind w:left="1600" w:right="1419" w:hanging="143"/>
        <w:spacing w:after="0" w:line="264" w:lineRule="auto"/>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maintain our liquidity in the event one or more of our credit card processors were to impose holdback restrictions;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obtain financing or access capital markets;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aircraft-related fixed obligations that could impair our liquidity;</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maintenance obligations;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sole-source supplier for our aircraft and engines;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loss of key personnel;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other risk factors included under “</w:t>
      </w:r>
      <w:r>
        <w:rPr>
          <w:rFonts w:ascii="Arial" w:cs="Arial" w:eastAsia="Arial" w:hAnsi="Arial"/>
          <w:sz w:val="15"/>
          <w:szCs w:val="15"/>
          <w:i w:val="1"/>
          <w:iCs w:val="1"/>
          <w:color w:val="auto"/>
        </w:rPr>
        <w:t>Risk Factors</w:t>
      </w:r>
      <w:r>
        <w:rPr>
          <w:rFonts w:ascii="Arial" w:cs="Arial" w:eastAsia="Arial" w:hAnsi="Arial"/>
          <w:sz w:val="15"/>
          <w:szCs w:val="15"/>
          <w:color w:val="auto"/>
        </w:rPr>
        <w:t>” in this prospectus.</w:t>
      </w:r>
    </w:p>
    <w:p>
      <w:pPr>
        <w:spacing w:after="0" w:line="124"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USE OF PROCEEDS</w:t>
      </w:r>
    </w:p>
    <w:p>
      <w:pPr>
        <w:spacing w:after="0" w:line="128"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The selling stockholder is selling all of the shares of our common stock being sold in this offering, including any shares that may be sold in connection with the exercise of the underwriters’ option to purchase additional shares, and will receive all of the net proceeds from the sales of shares of our common stock being sold in this offering. See “</w:t>
      </w:r>
      <w:r>
        <w:rPr>
          <w:rFonts w:ascii="Arial" w:cs="Arial" w:eastAsia="Arial" w:hAnsi="Arial"/>
          <w:sz w:val="13"/>
          <w:szCs w:val="13"/>
          <w:i w:val="1"/>
          <w:iCs w:val="1"/>
          <w:color w:val="auto"/>
        </w:rPr>
        <w:t>Principal and Selling Stockholders.</w:t>
      </w:r>
      <w:r>
        <w:rPr>
          <w:rFonts w:ascii="Arial" w:cs="Arial" w:eastAsia="Arial" w:hAnsi="Arial"/>
          <w:sz w:val="13"/>
          <w:szCs w:val="13"/>
          <w:color w:val="auto"/>
        </w:rPr>
        <w:t>” We are not selling any shares of our common stock in this offering and we will not receive any proceeds from the sale of these shares, but we will bear the costs associated with this registration statement in accordance with the Registration Rights Agreement (as defined herein). The selling stockholder will bear any underwriting discounts</w:t>
      </w:r>
    </w:p>
    <w:p>
      <w:pPr>
        <w:spacing w:after="0" w:line="3" w:lineRule="exact"/>
        <w:rPr>
          <w:sz w:val="20"/>
          <w:szCs w:val="20"/>
          <w:color w:val="auto"/>
        </w:rPr>
      </w:pPr>
    </w:p>
    <w:p>
      <w:pPr>
        <w:ind w:left="1160" w:right="1219"/>
        <w:spacing w:after="0" w:line="246" w:lineRule="auto"/>
        <w:rPr>
          <w:sz w:val="20"/>
          <w:szCs w:val="20"/>
          <w:color w:val="auto"/>
        </w:rPr>
      </w:pPr>
      <w:r>
        <w:rPr>
          <w:rFonts w:ascii="Arial" w:cs="Arial" w:eastAsia="Arial" w:hAnsi="Arial"/>
          <w:sz w:val="15"/>
          <w:szCs w:val="15"/>
          <w:color w:val="auto"/>
        </w:rPr>
        <w:t>and commissions attributable to its sale of our common stock and we will bear the remaining fees, costs and expenses, which we estimate to be approximately $ million. See “</w:t>
      </w:r>
      <w:r>
        <w:rPr>
          <w:rFonts w:ascii="Arial" w:cs="Arial" w:eastAsia="Arial" w:hAnsi="Arial"/>
          <w:sz w:val="15"/>
          <w:szCs w:val="15"/>
          <w:i w:val="1"/>
          <w:iCs w:val="1"/>
          <w:color w:val="auto"/>
        </w:rPr>
        <w:t>Certain Relationships and Related Party</w:t>
      </w:r>
      <w:r>
        <w:rPr>
          <w:rFonts w:ascii="Arial" w:cs="Arial" w:eastAsia="Arial" w:hAnsi="Arial"/>
          <w:sz w:val="15"/>
          <w:szCs w:val="15"/>
          <w:color w:val="auto"/>
        </w:rPr>
        <w:t xml:space="preserve"> </w:t>
      </w:r>
      <w:r>
        <w:rPr>
          <w:rFonts w:ascii="Arial" w:cs="Arial" w:eastAsia="Arial" w:hAnsi="Arial"/>
          <w:sz w:val="15"/>
          <w:szCs w:val="15"/>
          <w:i w:val="1"/>
          <w:iCs w:val="1"/>
          <w:color w:val="auto"/>
        </w:rPr>
        <w:t>Transactions—Registration Rights Agreement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MARKET PRICE OF COMMON STOCK AND DIVIDEND POLICY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 Price of Our Common Stock</w:t>
      </w:r>
    </w:p>
    <w:p>
      <w:pPr>
        <w:spacing w:after="0" w:line="128" w:lineRule="exact"/>
        <w:rPr>
          <w:sz w:val="20"/>
          <w:szCs w:val="20"/>
          <w:color w:val="auto"/>
        </w:rPr>
      </w:pPr>
    </w:p>
    <w:p>
      <w:pPr>
        <w:ind w:left="1160" w:right="1299" w:firstLine="293"/>
        <w:spacing w:after="0" w:line="252" w:lineRule="auto"/>
        <w:rPr>
          <w:sz w:val="20"/>
          <w:szCs w:val="20"/>
          <w:color w:val="auto"/>
        </w:rPr>
      </w:pPr>
      <w:r>
        <w:rPr>
          <w:rFonts w:ascii="Arial" w:cs="Arial" w:eastAsia="Arial" w:hAnsi="Arial"/>
          <w:sz w:val="15"/>
          <w:szCs w:val="15"/>
          <w:color w:val="auto"/>
        </w:rPr>
        <w:t>Our common stock is listed on Nasdaq under the symbol “SNCY.” On , 2021, the closing price of our common stock was $ . As of June 30, 2021, there were 57,158,467 shares of</w:t>
      </w:r>
    </w:p>
    <w:p>
      <w:pPr>
        <w:ind w:left="1160" w:right="1579"/>
        <w:spacing w:after="0" w:line="246" w:lineRule="auto"/>
        <w:rPr>
          <w:sz w:val="20"/>
          <w:szCs w:val="20"/>
          <w:color w:val="auto"/>
        </w:rPr>
      </w:pPr>
      <w:r>
        <w:rPr>
          <w:rFonts w:ascii="Arial" w:cs="Arial" w:eastAsia="Arial" w:hAnsi="Arial"/>
          <w:sz w:val="15"/>
          <w:szCs w:val="15"/>
          <w:color w:val="auto"/>
        </w:rPr>
        <w:t>common stock outstanding and held of record by 51 stockholders and no shares of preferred stock outstanding. The number of record holders of our common stock does not include DTC participants or beneficial owners holding shares through nominee names.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Dividend Policy</w:t>
      </w:r>
    </w:p>
    <w:p>
      <w:pPr>
        <w:spacing w:after="0" w:line="117"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09"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 See “</w:t>
      </w:r>
      <w:r>
        <w:rPr>
          <w:rFonts w:ascii="Arial" w:cs="Arial" w:eastAsia="Arial" w:hAnsi="Arial"/>
          <w:sz w:val="14"/>
          <w:szCs w:val="14"/>
          <w:i w:val="1"/>
          <w:iCs w:val="1"/>
          <w:color w:val="auto"/>
        </w:rPr>
        <w:t>Risk Factors—Risks Related to this</w:t>
      </w:r>
      <w:r>
        <w:rPr>
          <w:rFonts w:ascii="Arial" w:cs="Arial" w:eastAsia="Arial" w:hAnsi="Arial"/>
          <w:sz w:val="14"/>
          <w:szCs w:val="14"/>
          <w:color w:val="auto"/>
        </w:rPr>
        <w:t xml:space="preserve"> </w:t>
      </w:r>
      <w:r>
        <w:rPr>
          <w:rFonts w:ascii="Arial" w:cs="Arial" w:eastAsia="Arial" w:hAnsi="Arial"/>
          <w:sz w:val="14"/>
          <w:szCs w:val="14"/>
          <w:i w:val="1"/>
          <w:iCs w:val="1"/>
          <w:color w:val="auto"/>
        </w:rPr>
        <w:t>Offering and Ownership of Our Common Stock</w:t>
      </w:r>
      <w:r>
        <w:rPr>
          <w:rFonts w:ascii="Arial" w:cs="Arial" w:eastAsia="Arial" w:hAnsi="Arial"/>
          <w:sz w:val="14"/>
          <w:szCs w:val="14"/>
          <w:color w:val="auto"/>
        </w:rPr>
        <w:t>” and “</w:t>
      </w:r>
      <w:r>
        <w:rPr>
          <w:rFonts w:ascii="Arial" w:cs="Arial" w:eastAsia="Arial" w:hAnsi="Arial"/>
          <w:sz w:val="14"/>
          <w:szCs w:val="14"/>
          <w:i w:val="1"/>
          <w:iCs w:val="1"/>
          <w:color w:val="auto"/>
        </w:rPr>
        <w:t>Management’s Discussion and Analysis of Financial Condition and Results of Operations—Liquidity and Capital Resources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CAPITALIZATION</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following table sets forth our cash and equivalents and our capitalization as of March 31, 2021.</w:t>
      </w:r>
    </w:p>
    <w:p>
      <w:pPr>
        <w:spacing w:after="0" w:line="113" w:lineRule="exact"/>
        <w:rPr>
          <w:sz w:val="20"/>
          <w:szCs w:val="20"/>
          <w:color w:val="auto"/>
        </w:rPr>
      </w:pPr>
    </w:p>
    <w:p>
      <w:pPr>
        <w:ind w:left="1160" w:right="1259" w:firstLine="293"/>
        <w:spacing w:after="0" w:line="274" w:lineRule="auto"/>
        <w:rPr>
          <w:sz w:val="20"/>
          <w:szCs w:val="20"/>
          <w:color w:val="auto"/>
        </w:rPr>
      </w:pPr>
      <w:r>
        <w:rPr>
          <w:rFonts w:ascii="Arial" w:cs="Arial" w:eastAsia="Arial" w:hAnsi="Arial"/>
          <w:sz w:val="14"/>
          <w:szCs w:val="14"/>
          <w:color w:val="auto"/>
        </w:rPr>
        <w:t>You should read this table together with the information included elsewhere in this prospectus, including “</w:t>
      </w:r>
      <w:r>
        <w:rPr>
          <w:rFonts w:ascii="Arial" w:cs="Arial" w:eastAsia="Arial" w:hAnsi="Arial"/>
          <w:sz w:val="14"/>
          <w:szCs w:val="14"/>
          <w:i w:val="1"/>
          <w:iCs w:val="1"/>
          <w:color w:val="auto"/>
        </w:rPr>
        <w:t>Prospectus Summary—Summary Consolidated Financial and Operating Information</w:t>
      </w:r>
      <w:r>
        <w:rPr>
          <w:rFonts w:ascii="Arial" w:cs="Arial" w:eastAsia="Arial" w:hAnsi="Arial"/>
          <w:sz w:val="14"/>
          <w:szCs w:val="14"/>
          <w:color w:val="auto"/>
        </w:rPr>
        <w:t>,” “</w:t>
      </w:r>
      <w:r>
        <w:rPr>
          <w:rFonts w:ascii="Arial" w:cs="Arial" w:eastAsia="Arial" w:hAnsi="Arial"/>
          <w:sz w:val="14"/>
          <w:szCs w:val="14"/>
          <w:i w:val="1"/>
          <w:iCs w:val="1"/>
          <w:color w:val="auto"/>
        </w:rPr>
        <w:t>Selected</w:t>
      </w:r>
      <w:r>
        <w:rPr>
          <w:rFonts w:ascii="Arial" w:cs="Arial" w:eastAsia="Arial" w:hAnsi="Arial"/>
          <w:sz w:val="14"/>
          <w:szCs w:val="14"/>
          <w:color w:val="auto"/>
        </w:rPr>
        <w:t xml:space="preserve"> </w:t>
      </w:r>
      <w:r>
        <w:rPr>
          <w:rFonts w:ascii="Arial" w:cs="Arial" w:eastAsia="Arial" w:hAnsi="Arial"/>
          <w:sz w:val="14"/>
          <w:szCs w:val="14"/>
          <w:i w:val="1"/>
          <w:iCs w:val="1"/>
          <w:color w:val="auto"/>
        </w:rPr>
        <w:t>Historical Consolidated Financial Data</w:t>
      </w:r>
      <w:r>
        <w:rPr>
          <w:rFonts w:ascii="Arial" w:cs="Arial" w:eastAsia="Arial" w:hAnsi="Arial"/>
          <w:sz w:val="14"/>
          <w:szCs w:val="14"/>
          <w:color w:val="auto"/>
        </w:rPr>
        <w:t>,”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the related notes thereto.</w:t>
      </w:r>
    </w:p>
    <w:p>
      <w:pPr>
        <w:spacing w:after="0" w:line="104"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As of March 31, 2021</w:t>
            </w:r>
          </w:p>
        </w:tc>
      </w:tr>
      <w:tr>
        <w:trPr>
          <w:trHeight w:val="21"/>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r>
      <w:tr>
        <w:trPr>
          <w:trHeight w:val="138"/>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1"/>
              </w:rPr>
              <w:t>(in thousands, except</w:t>
            </w:r>
          </w:p>
        </w:tc>
      </w:tr>
      <w:tr>
        <w:trPr>
          <w:trHeight w:val="150"/>
        </w:trPr>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 data)</w:t>
            </w:r>
          </w:p>
        </w:tc>
      </w:tr>
      <w:tr>
        <w:trPr>
          <w:trHeight w:val="21"/>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31"/>
        </w:trPr>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440" w:type="dxa"/>
            <w:vAlign w:val="bottom"/>
            <w:gridSpan w:val="2"/>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6"/>
              </w:rPr>
              <w:t>$269,599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r>
        <w:trPr>
          <w:trHeight w:val="162"/>
        </w:trPr>
        <w:tc>
          <w:tcPr>
            <w:tcW w:w="5420" w:type="dxa"/>
            <w:vAlign w:val="bottom"/>
          </w:tcPr>
          <w:p>
            <w:pPr>
              <w:spacing w:after="0" w:line="162" w:lineRule="exact"/>
              <w:rPr>
                <w:sz w:val="20"/>
                <w:szCs w:val="20"/>
                <w:color w:val="auto"/>
              </w:rPr>
            </w:pPr>
            <w:r>
              <w:rPr>
                <w:rFonts w:ascii="Arial" w:cs="Arial" w:eastAsia="Arial" w:hAnsi="Arial"/>
                <w:sz w:val="15"/>
                <w:szCs w:val="15"/>
                <w:color w:val="auto"/>
              </w:rPr>
              <w:t>Total debt</w:t>
            </w:r>
          </w:p>
        </w:tc>
        <w:tc>
          <w:tcPr>
            <w:tcW w:w="1260" w:type="dxa"/>
            <w:vAlign w:val="bottom"/>
            <w:gridSpan w:val="4"/>
          </w:tcPr>
          <w:p>
            <w:pPr>
              <w:jc w:val="right"/>
              <w:ind w:right="260"/>
              <w:spacing w:after="0" w:line="162" w:lineRule="exact"/>
              <w:rPr>
                <w:sz w:val="20"/>
                <w:szCs w:val="20"/>
                <w:color w:val="auto"/>
              </w:rPr>
            </w:pPr>
            <w:r>
              <w:rPr>
                <w:rFonts w:ascii="Arial" w:cs="Arial" w:eastAsia="Arial" w:hAnsi="Arial"/>
                <w:sz w:val="15"/>
                <w:szCs w:val="15"/>
                <w:color w:val="auto"/>
              </w:rPr>
              <w:t>303,341</w:t>
            </w: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87"/>
        </w:trPr>
        <w:tc>
          <w:tcPr>
            <w:tcW w:w="5420" w:type="dxa"/>
            <w:vAlign w:val="bottom"/>
          </w:tcPr>
          <w:p>
            <w:pPr>
              <w:ind w:left="160"/>
              <w:spacing w:after="0"/>
              <w:rPr>
                <w:sz w:val="20"/>
                <w:szCs w:val="20"/>
                <w:color w:val="auto"/>
              </w:rPr>
            </w:pPr>
            <w:r>
              <w:rPr>
                <w:rFonts w:ascii="Arial" w:cs="Arial" w:eastAsia="Arial" w:hAnsi="Arial"/>
                <w:sz w:val="15"/>
                <w:szCs w:val="15"/>
                <w:color w:val="auto"/>
                <w:w w:val="93"/>
              </w:rPr>
              <w:t>Common stock–$0.01 par value; 995,000,000 shares authorized, 57,153,467 shares</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2"/>
        </w:trPr>
        <w:tc>
          <w:tcPr>
            <w:tcW w:w="5420" w:type="dxa"/>
            <w:vAlign w:val="bottom"/>
          </w:tcPr>
          <w:p>
            <w:pPr>
              <w:ind w:left="300"/>
              <w:spacing w:after="0"/>
              <w:rPr>
                <w:sz w:val="20"/>
                <w:szCs w:val="20"/>
                <w:color w:val="auto"/>
              </w:rPr>
            </w:pPr>
            <w:r>
              <w:rPr>
                <w:rFonts w:ascii="Arial" w:cs="Arial" w:eastAsia="Arial" w:hAnsi="Arial"/>
                <w:sz w:val="15"/>
                <w:szCs w:val="15"/>
                <w:color w:val="auto"/>
              </w:rPr>
              <w:t>issued and outstanding</w:t>
            </w:r>
          </w:p>
        </w:tc>
        <w:tc>
          <w:tcPr>
            <w:tcW w:w="1260" w:type="dxa"/>
            <w:vAlign w:val="bottom"/>
            <w:gridSpan w:val="4"/>
          </w:tcPr>
          <w:p>
            <w:pPr>
              <w:jc w:val="right"/>
              <w:ind w:right="260"/>
              <w:spacing w:after="0"/>
              <w:rPr>
                <w:sz w:val="20"/>
                <w:szCs w:val="20"/>
                <w:color w:val="auto"/>
              </w:rPr>
            </w:pPr>
            <w:r>
              <w:rPr>
                <w:rFonts w:ascii="Arial" w:cs="Arial" w:eastAsia="Arial" w:hAnsi="Arial"/>
                <w:sz w:val="15"/>
                <w:szCs w:val="15"/>
                <w:color w:val="auto"/>
              </w:rPr>
              <w:t>572</w:t>
            </w:r>
          </w:p>
        </w:tc>
      </w:tr>
      <w:tr>
        <w:trPr>
          <w:trHeight w:val="193"/>
        </w:trPr>
        <w:tc>
          <w:tcPr>
            <w:tcW w:w="54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Preferred stock–$0.01 par value; 5,000,000 shares authorized, no shares issued and</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97"/>
        </w:trPr>
        <w:tc>
          <w:tcPr>
            <w:tcW w:w="54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outstanding</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r>
      <w:tr>
        <w:trPr>
          <w:trHeight w:val="209"/>
        </w:trPr>
        <w:tc>
          <w:tcPr>
            <w:tcW w:w="542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260" w:type="dxa"/>
            <w:vAlign w:val="bottom"/>
            <w:gridSpan w:val="4"/>
          </w:tcPr>
          <w:p>
            <w:pPr>
              <w:jc w:val="right"/>
              <w:ind w:right="260"/>
              <w:spacing w:after="0"/>
              <w:rPr>
                <w:sz w:val="20"/>
                <w:szCs w:val="20"/>
                <w:color w:val="auto"/>
              </w:rPr>
            </w:pPr>
            <w:r>
              <w:rPr>
                <w:rFonts w:ascii="Arial" w:cs="Arial" w:eastAsia="Arial" w:hAnsi="Arial"/>
                <w:sz w:val="15"/>
                <w:szCs w:val="15"/>
                <w:color w:val="auto"/>
              </w:rPr>
              <w:t>473,848</w:t>
            </w:r>
          </w:p>
        </w:tc>
      </w:tr>
      <w:tr>
        <w:trPr>
          <w:trHeight w:val="214"/>
        </w:trPr>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 (deficit).</w:t>
            </w:r>
          </w:p>
        </w:tc>
        <w:tc>
          <w:tcPr>
            <w:tcW w:w="44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(64,460)</w:t>
            </w:r>
          </w:p>
        </w:tc>
      </w:tr>
      <w:tr>
        <w:trPr>
          <w:trHeight w:val="20"/>
        </w:trPr>
        <w:tc>
          <w:tcPr>
            <w:tcW w:w="5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1"/>
        </w:trPr>
        <w:tc>
          <w:tcPr>
            <w:tcW w:w="542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440" w:type="dxa"/>
            <w:vAlign w:val="bottom"/>
            <w:gridSpan w:val="2"/>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color w:val="auto"/>
                <w:w w:val="99"/>
              </w:rPr>
              <w:t>409,960</w:t>
            </w:r>
          </w:p>
        </w:tc>
      </w:tr>
      <w:tr>
        <w:trPr>
          <w:trHeight w:val="20"/>
        </w:trPr>
        <w:tc>
          <w:tcPr>
            <w:tcW w:w="5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36"/>
        </w:trPr>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Total capitalization.</w:t>
            </w:r>
          </w:p>
        </w:tc>
        <w:tc>
          <w:tcPr>
            <w:tcW w:w="440" w:type="dxa"/>
            <w:vAlign w:val="bottom"/>
            <w:gridSpan w:val="2"/>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6"/>
              </w:rPr>
              <w:t>$713,301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-1513205</wp:posOffset>
            </wp:positionV>
            <wp:extent cx="355092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50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HISTORICAL CONSOLIDATED FINANCIAL DATA</w:t>
      </w:r>
    </w:p>
    <w:p>
      <w:pPr>
        <w:spacing w:after="0" w:line="128" w:lineRule="exact"/>
        <w:rPr>
          <w:sz w:val="20"/>
          <w:szCs w:val="20"/>
          <w:color w:val="auto"/>
        </w:rPr>
      </w:pPr>
    </w:p>
    <w:p>
      <w:pPr>
        <w:ind w:left="1160" w:right="1199" w:firstLine="293"/>
        <w:spacing w:after="0" w:line="284" w:lineRule="auto"/>
        <w:rPr>
          <w:sz w:val="20"/>
          <w:szCs w:val="20"/>
          <w:color w:val="auto"/>
        </w:rPr>
      </w:pPr>
      <w:r>
        <w:rPr>
          <w:rFonts w:ascii="Arial" w:cs="Arial" w:eastAsia="Arial" w:hAnsi="Arial"/>
          <w:sz w:val="13"/>
          <w:szCs w:val="13"/>
          <w:color w:val="auto"/>
        </w:rPr>
        <w:t>The following tables present our selected consolidated financial data for the periods indicated. We have derived our selected historical consolidated statement of operations data for the years ended December 31, 2020 and 2019 and for the periods January 1, 2018 through April 10, 2018 (Predecessor) and April 11, 2018 through December 31, 2018 (Successor) from our audited consolidated financial statements included elsewhere in this prospectus. We have derived our selected historical consolidated statement of operations data for the year ended December 31, 2017 from our consolidated financial statements not included in this prospectus. We have derived our selected historical consolidated balance sheet data as of December 31,</w:t>
      </w:r>
    </w:p>
    <w:p>
      <w:pPr>
        <w:spacing w:after="0" w:line="3"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2020 and 2019 from our audited consolidated financial statements included elsewhere in this prospectus. We have derived our selected historical consolidated balance sheet data as of December 31, 2018 and 2017 from our consolidated financial statements not included in this prospectus. We have derived our selected historical consolidated statement of operations data for the three months ended March 31, 2021 and 2020 from our unaudited condensed consolidated financial statements included elsewhere in this prospectus. We have derived our selected historical consolidated balance sheet data as of March 31, 2021 from our unaudited condensed consolidated financial statements included elsewhere in this prospectus.</w:t>
      </w:r>
    </w:p>
    <w:p>
      <w:pPr>
        <w:spacing w:after="0" w:line="85"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3" w:lineRule="exact"/>
        <w:rPr>
          <w:sz w:val="20"/>
          <w:szCs w:val="20"/>
          <w:color w:val="auto"/>
        </w:rPr>
      </w:pPr>
    </w:p>
    <w:p>
      <w:pPr>
        <w:ind w:left="1160" w:right="1199" w:firstLine="4"/>
        <w:spacing w:after="0" w:line="245" w:lineRule="auto"/>
        <w:tabs>
          <w:tab w:leader="none" w:pos="1379"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consolidated financial statements and the related notes included elsewhere in this prospectus.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5"/>
          <w:szCs w:val="15"/>
          <w:i w:val="1"/>
          <w:iCs w:val="1"/>
          <w:color w:val="auto"/>
        </w:rPr>
        <w:t>Management’s Discussion and Analysis</w:t>
      </w:r>
      <w:r>
        <w:rPr>
          <w:rFonts w:ascii="Arial" w:cs="Arial" w:eastAsia="Arial" w:hAnsi="Arial"/>
          <w:sz w:val="15"/>
          <w:szCs w:val="15"/>
          <w:color w:val="auto"/>
        </w:rPr>
        <w:t xml:space="preserve"> </w:t>
      </w:r>
      <w:r>
        <w:rPr>
          <w:rFonts w:ascii="Arial" w:cs="Arial" w:eastAsia="Arial" w:hAnsi="Arial"/>
          <w:sz w:val="15"/>
          <w:szCs w:val="15"/>
          <w:i w:val="1"/>
          <w:iCs w:val="1"/>
          <w:color w:val="auto"/>
        </w:rPr>
        <w:t>of Financial Condition and Results of Operations</w:t>
      </w:r>
      <w:r>
        <w:rPr>
          <w:rFonts w:ascii="Arial" w:cs="Arial" w:eastAsia="Arial" w:hAnsi="Arial"/>
          <w:sz w:val="15"/>
          <w:szCs w:val="15"/>
          <w:color w:val="auto"/>
        </w:rPr>
        <w:t>” and our consolidated financial statements and the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notes included elsewhere in this prospectus.</w:t>
      </w:r>
    </w:p>
    <w:p>
      <w:pPr>
        <w:spacing w:after="0" w:line="167"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Successor</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ind w:left="420"/>
              <w:spacing w:after="0"/>
              <w:rPr>
                <w:sz w:val="20"/>
                <w:szCs w:val="20"/>
                <w:color w:val="auto"/>
              </w:rPr>
            </w:pPr>
            <w:r>
              <w:rPr>
                <w:rFonts w:ascii="Arial" w:cs="Arial" w:eastAsia="Arial" w:hAnsi="Arial"/>
                <w:sz w:val="12"/>
                <w:szCs w:val="12"/>
                <w:b w:val="1"/>
                <w:bCs w:val="1"/>
                <w:color w:val="auto"/>
              </w:rPr>
              <w:t>Predecessor</w:t>
            </w:r>
          </w:p>
        </w:tc>
      </w:tr>
      <w:tr>
        <w:trPr>
          <w:trHeight w:val="21"/>
        </w:trPr>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60"/>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4"/>
              <w:spacing w:after="0"/>
              <w:rPr>
                <w:sz w:val="20"/>
                <w:szCs w:val="20"/>
                <w:color w:val="auto"/>
              </w:rPr>
            </w:pPr>
            <w:r>
              <w:rPr>
                <w:rFonts w:ascii="Arial" w:cs="Arial" w:eastAsia="Arial" w:hAnsi="Arial"/>
                <w:sz w:val="12"/>
                <w:szCs w:val="12"/>
                <w:b w:val="1"/>
                <w:bCs w:val="1"/>
                <w:color w:val="auto"/>
                <w:w w:val="83"/>
              </w:rPr>
              <w:t>For the</w:t>
            </w:r>
          </w:p>
        </w:tc>
        <w:tc>
          <w:tcPr>
            <w:tcW w:w="80" w:type="dxa"/>
            <w:vAlign w:val="bottom"/>
          </w:tcPr>
          <w:p>
            <w:pPr>
              <w:spacing w:after="0"/>
              <w:rPr>
                <w:sz w:val="13"/>
                <w:szCs w:val="13"/>
                <w:color w:val="auto"/>
              </w:rPr>
            </w:pPr>
          </w:p>
        </w:tc>
        <w:tc>
          <w:tcPr>
            <w:tcW w:w="580" w:type="dxa"/>
            <w:vAlign w:val="bottom"/>
          </w:tcPr>
          <w:p>
            <w:pPr>
              <w:jc w:val="center"/>
              <w:ind w:right="134"/>
              <w:spacing w:after="0"/>
              <w:rPr>
                <w:sz w:val="20"/>
                <w:szCs w:val="20"/>
                <w:color w:val="auto"/>
              </w:rPr>
            </w:pPr>
            <w:r>
              <w:rPr>
                <w:rFonts w:ascii="Arial" w:cs="Arial" w:eastAsia="Arial" w:hAnsi="Arial"/>
                <w:sz w:val="12"/>
                <w:szCs w:val="12"/>
                <w:b w:val="1"/>
                <w:bCs w:val="1"/>
                <w:color w:val="auto"/>
                <w:w w:val="83"/>
              </w:rPr>
              <w:t>For the</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174"/>
              <w:spacing w:after="0"/>
              <w:rPr>
                <w:sz w:val="20"/>
                <w:szCs w:val="20"/>
                <w:color w:val="auto"/>
              </w:rPr>
            </w:pPr>
            <w:r>
              <w:rPr>
                <w:rFonts w:ascii="Arial" w:cs="Arial" w:eastAsia="Arial" w:hAnsi="Arial"/>
                <w:sz w:val="12"/>
                <w:szCs w:val="12"/>
                <w:b w:val="1"/>
                <w:bCs w:val="1"/>
                <w:color w:val="auto"/>
                <w:w w:val="83"/>
              </w:rPr>
              <w:t>For the</w:t>
            </w:r>
          </w:p>
        </w:tc>
        <w:tc>
          <w:tcPr>
            <w:tcW w:w="100" w:type="dxa"/>
            <w:vAlign w:val="bottom"/>
          </w:tcPr>
          <w:p>
            <w:pPr>
              <w:spacing w:after="0"/>
              <w:rPr>
                <w:sz w:val="13"/>
                <w:szCs w:val="13"/>
                <w:color w:val="auto"/>
              </w:rPr>
            </w:pPr>
          </w:p>
        </w:tc>
        <w:tc>
          <w:tcPr>
            <w:tcW w:w="700" w:type="dxa"/>
            <w:vAlign w:val="bottom"/>
          </w:tcPr>
          <w:p>
            <w:pPr>
              <w:jc w:val="center"/>
              <w:ind w:right="115"/>
              <w:spacing w:after="0"/>
              <w:rPr>
                <w:sz w:val="20"/>
                <w:szCs w:val="20"/>
                <w:color w:val="auto"/>
              </w:rPr>
            </w:pPr>
            <w:r>
              <w:rPr>
                <w:rFonts w:ascii="Arial" w:cs="Arial" w:eastAsia="Arial" w:hAnsi="Arial"/>
                <w:sz w:val="12"/>
                <w:szCs w:val="12"/>
                <w:b w:val="1"/>
                <w:bCs w:val="1"/>
                <w:color w:val="auto"/>
                <w:w w:val="88"/>
              </w:rPr>
              <w:t>For the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2"/>
        </w:trPr>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54"/>
              <w:spacing w:after="0" w:line="132" w:lineRule="exact"/>
              <w:rPr>
                <w:sz w:val="20"/>
                <w:szCs w:val="20"/>
                <w:color w:val="auto"/>
              </w:rPr>
            </w:pPr>
            <w:r>
              <w:rPr>
                <w:rFonts w:ascii="Arial" w:cs="Arial" w:eastAsia="Arial" w:hAnsi="Arial"/>
                <w:sz w:val="12"/>
                <w:szCs w:val="12"/>
                <w:b w:val="1"/>
                <w:bCs w:val="1"/>
                <w:color w:val="auto"/>
                <w:w w:val="81"/>
              </w:rPr>
              <w:t>three</w:t>
            </w:r>
          </w:p>
        </w:tc>
        <w:tc>
          <w:tcPr>
            <w:tcW w:w="80" w:type="dxa"/>
            <w:vAlign w:val="bottom"/>
          </w:tcPr>
          <w:p>
            <w:pPr>
              <w:spacing w:after="0"/>
              <w:rPr>
                <w:sz w:val="11"/>
                <w:szCs w:val="11"/>
                <w:color w:val="auto"/>
              </w:rPr>
            </w:pPr>
          </w:p>
        </w:tc>
        <w:tc>
          <w:tcPr>
            <w:tcW w:w="580" w:type="dxa"/>
            <w:vAlign w:val="bottom"/>
          </w:tcPr>
          <w:p>
            <w:pPr>
              <w:jc w:val="center"/>
              <w:ind w:right="154"/>
              <w:spacing w:after="0" w:line="132" w:lineRule="exact"/>
              <w:rPr>
                <w:sz w:val="20"/>
                <w:szCs w:val="20"/>
                <w:color w:val="auto"/>
              </w:rPr>
            </w:pPr>
            <w:r>
              <w:rPr>
                <w:rFonts w:ascii="Arial" w:cs="Arial" w:eastAsia="Arial" w:hAnsi="Arial"/>
                <w:sz w:val="12"/>
                <w:szCs w:val="12"/>
                <w:b w:val="1"/>
                <w:bCs w:val="1"/>
                <w:color w:val="auto"/>
                <w:w w:val="81"/>
              </w:rPr>
              <w:t>three</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154"/>
              <w:spacing w:after="0" w:line="132" w:lineRule="exact"/>
              <w:rPr>
                <w:sz w:val="20"/>
                <w:szCs w:val="20"/>
                <w:color w:val="auto"/>
              </w:rPr>
            </w:pPr>
            <w:r>
              <w:rPr>
                <w:rFonts w:ascii="Arial" w:cs="Arial" w:eastAsia="Arial" w:hAnsi="Arial"/>
                <w:sz w:val="12"/>
                <w:szCs w:val="12"/>
                <w:b w:val="1"/>
                <w:bCs w:val="1"/>
                <w:color w:val="auto"/>
                <w:w w:val="85"/>
              </w:rPr>
              <w:t>Period</w:t>
            </w:r>
          </w:p>
        </w:tc>
        <w:tc>
          <w:tcPr>
            <w:tcW w:w="100" w:type="dxa"/>
            <w:vAlign w:val="bottom"/>
          </w:tcPr>
          <w:p>
            <w:pPr>
              <w:spacing w:after="0"/>
              <w:rPr>
                <w:sz w:val="11"/>
                <w:szCs w:val="11"/>
                <w:color w:val="auto"/>
              </w:rPr>
            </w:pPr>
          </w:p>
        </w:tc>
        <w:tc>
          <w:tcPr>
            <w:tcW w:w="700" w:type="dxa"/>
            <w:vAlign w:val="bottom"/>
          </w:tcPr>
          <w:p>
            <w:pPr>
              <w:jc w:val="center"/>
              <w:ind w:right="115"/>
              <w:spacing w:after="0" w:line="132" w:lineRule="exact"/>
              <w:rPr>
                <w:sz w:val="20"/>
                <w:szCs w:val="20"/>
                <w:color w:val="auto"/>
              </w:rPr>
            </w:pPr>
            <w:r>
              <w:rPr>
                <w:rFonts w:ascii="Arial" w:cs="Arial" w:eastAsia="Arial" w:hAnsi="Arial"/>
                <w:sz w:val="12"/>
                <w:szCs w:val="12"/>
                <w:b w:val="1"/>
                <w:bCs w:val="1"/>
                <w:color w:val="auto"/>
                <w:w w:val="87"/>
              </w:rPr>
              <w:t>period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14"/>
              <w:spacing w:after="0" w:line="132" w:lineRule="exact"/>
              <w:rPr>
                <w:sz w:val="20"/>
                <w:szCs w:val="20"/>
                <w:color w:val="auto"/>
              </w:rPr>
            </w:pPr>
            <w:r>
              <w:rPr>
                <w:rFonts w:ascii="Arial" w:cs="Arial" w:eastAsia="Arial" w:hAnsi="Arial"/>
                <w:sz w:val="12"/>
                <w:szCs w:val="12"/>
                <w:b w:val="1"/>
                <w:bCs w:val="1"/>
                <w:color w:val="auto"/>
                <w:w w:val="82"/>
              </w:rPr>
              <w:t>months</w:t>
            </w:r>
          </w:p>
        </w:tc>
        <w:tc>
          <w:tcPr>
            <w:tcW w:w="80" w:type="dxa"/>
            <w:vAlign w:val="bottom"/>
          </w:tcPr>
          <w:p>
            <w:pPr>
              <w:spacing w:after="0"/>
              <w:rPr>
                <w:sz w:val="11"/>
                <w:szCs w:val="11"/>
                <w:color w:val="auto"/>
              </w:rPr>
            </w:pPr>
          </w:p>
        </w:tc>
        <w:tc>
          <w:tcPr>
            <w:tcW w:w="580" w:type="dxa"/>
            <w:vAlign w:val="bottom"/>
          </w:tcPr>
          <w:p>
            <w:pPr>
              <w:jc w:val="center"/>
              <w:ind w:right="114"/>
              <w:spacing w:after="0" w:line="132" w:lineRule="exact"/>
              <w:rPr>
                <w:sz w:val="20"/>
                <w:szCs w:val="20"/>
                <w:color w:val="auto"/>
              </w:rPr>
            </w:pPr>
            <w:r>
              <w:rPr>
                <w:rFonts w:ascii="Arial" w:cs="Arial" w:eastAsia="Arial" w:hAnsi="Arial"/>
                <w:sz w:val="12"/>
                <w:szCs w:val="12"/>
                <w:b w:val="1"/>
                <w:bCs w:val="1"/>
                <w:color w:val="auto"/>
                <w:w w:val="82"/>
              </w:rPr>
              <w:t>months</w:t>
            </w:r>
          </w:p>
        </w:tc>
        <w:tc>
          <w:tcPr>
            <w:tcW w:w="80" w:type="dxa"/>
            <w:vAlign w:val="bottom"/>
          </w:tcPr>
          <w:p>
            <w:pPr>
              <w:spacing w:after="0"/>
              <w:rPr>
                <w:sz w:val="11"/>
                <w:szCs w:val="11"/>
                <w:color w:val="auto"/>
              </w:rPr>
            </w:pPr>
          </w:p>
        </w:tc>
        <w:tc>
          <w:tcPr>
            <w:tcW w:w="720" w:type="dxa"/>
            <w:vAlign w:val="bottom"/>
          </w:tcPr>
          <w:p>
            <w:pPr>
              <w:jc w:val="center"/>
              <w:ind w:right="114"/>
              <w:spacing w:after="0" w:line="132" w:lineRule="exact"/>
              <w:rPr>
                <w:sz w:val="20"/>
                <w:szCs w:val="20"/>
                <w:color w:val="auto"/>
              </w:rPr>
            </w:pPr>
            <w:r>
              <w:rPr>
                <w:rFonts w:ascii="Arial" w:cs="Arial" w:eastAsia="Arial" w:hAnsi="Arial"/>
                <w:sz w:val="12"/>
                <w:szCs w:val="12"/>
                <w:b w:val="1"/>
                <w:bCs w:val="1"/>
                <w:color w:val="auto"/>
                <w:w w:val="83"/>
              </w:rPr>
              <w:t>For the</w:t>
            </w:r>
          </w:p>
        </w:tc>
        <w:tc>
          <w:tcPr>
            <w:tcW w:w="140" w:type="dxa"/>
            <w:vAlign w:val="bottom"/>
          </w:tcPr>
          <w:p>
            <w:pPr>
              <w:spacing w:after="0"/>
              <w:rPr>
                <w:sz w:val="11"/>
                <w:szCs w:val="11"/>
                <w:color w:val="auto"/>
              </w:rPr>
            </w:pPr>
          </w:p>
        </w:tc>
        <w:tc>
          <w:tcPr>
            <w:tcW w:w="700" w:type="dxa"/>
            <w:vAlign w:val="bottom"/>
          </w:tcPr>
          <w:p>
            <w:pPr>
              <w:jc w:val="center"/>
              <w:ind w:right="172"/>
              <w:spacing w:after="0" w:line="132" w:lineRule="exact"/>
              <w:rPr>
                <w:sz w:val="20"/>
                <w:szCs w:val="20"/>
                <w:color w:val="auto"/>
              </w:rPr>
            </w:pPr>
            <w:r>
              <w:rPr>
                <w:rFonts w:ascii="Arial" w:cs="Arial" w:eastAsia="Arial" w:hAnsi="Arial"/>
                <w:sz w:val="12"/>
                <w:szCs w:val="12"/>
                <w:b w:val="1"/>
                <w:bCs w:val="1"/>
                <w:color w:val="auto"/>
                <w:w w:val="83"/>
              </w:rPr>
              <w:t>For the</w:t>
            </w:r>
          </w:p>
        </w:tc>
        <w:tc>
          <w:tcPr>
            <w:tcW w:w="120" w:type="dxa"/>
            <w:vAlign w:val="bottom"/>
          </w:tcPr>
          <w:p>
            <w:pPr>
              <w:spacing w:after="0"/>
              <w:rPr>
                <w:sz w:val="11"/>
                <w:szCs w:val="11"/>
                <w:color w:val="auto"/>
              </w:rPr>
            </w:pPr>
          </w:p>
        </w:tc>
        <w:tc>
          <w:tcPr>
            <w:tcW w:w="700" w:type="dxa"/>
            <w:vAlign w:val="bottom"/>
          </w:tcPr>
          <w:p>
            <w:pPr>
              <w:jc w:val="center"/>
              <w:ind w:right="174"/>
              <w:spacing w:after="0" w:line="132" w:lineRule="exact"/>
              <w:rPr>
                <w:sz w:val="20"/>
                <w:szCs w:val="20"/>
                <w:color w:val="auto"/>
              </w:rPr>
            </w:pPr>
            <w:r>
              <w:rPr>
                <w:rFonts w:ascii="Arial" w:cs="Arial" w:eastAsia="Arial" w:hAnsi="Arial"/>
                <w:sz w:val="12"/>
                <w:szCs w:val="12"/>
                <w:b w:val="1"/>
                <w:bCs w:val="1"/>
                <w:color w:val="auto"/>
                <w:w w:val="88"/>
              </w:rPr>
              <w:t>April 11,</w:t>
            </w:r>
          </w:p>
        </w:tc>
        <w:tc>
          <w:tcPr>
            <w:tcW w:w="100" w:type="dxa"/>
            <w:vAlign w:val="bottom"/>
          </w:tcPr>
          <w:p>
            <w:pPr>
              <w:spacing w:after="0"/>
              <w:rPr>
                <w:sz w:val="11"/>
                <w:szCs w:val="11"/>
                <w:color w:val="auto"/>
              </w:rPr>
            </w:pPr>
          </w:p>
        </w:tc>
        <w:tc>
          <w:tcPr>
            <w:tcW w:w="700" w:type="dxa"/>
            <w:vAlign w:val="bottom"/>
          </w:tcPr>
          <w:p>
            <w:pPr>
              <w:jc w:val="center"/>
              <w:ind w:right="115"/>
              <w:spacing w:after="0" w:line="132" w:lineRule="exact"/>
              <w:rPr>
                <w:sz w:val="20"/>
                <w:szCs w:val="20"/>
                <w:color w:val="auto"/>
              </w:rPr>
            </w:pPr>
            <w:r>
              <w:rPr>
                <w:rFonts w:ascii="Arial" w:cs="Arial" w:eastAsia="Arial" w:hAnsi="Arial"/>
                <w:sz w:val="12"/>
                <w:szCs w:val="12"/>
                <w:b w:val="1"/>
                <w:bCs w:val="1"/>
                <w:color w:val="auto"/>
                <w:w w:val="87"/>
              </w:rPr>
              <w:t>January 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8"/>
              </w:rPr>
              <w:t>For the</w:t>
            </w:r>
          </w:p>
        </w:tc>
      </w:tr>
      <w:tr>
        <w:trPr>
          <w:trHeight w:val="132"/>
        </w:trPr>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34"/>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580" w:type="dxa"/>
            <w:vAlign w:val="bottom"/>
          </w:tcPr>
          <w:p>
            <w:pPr>
              <w:jc w:val="center"/>
              <w:ind w:right="134"/>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720" w:type="dxa"/>
            <w:vAlign w:val="bottom"/>
          </w:tcPr>
          <w:p>
            <w:pPr>
              <w:jc w:val="center"/>
              <w:ind w:right="114"/>
              <w:spacing w:after="0" w:line="132" w:lineRule="exact"/>
              <w:rPr>
                <w:sz w:val="20"/>
                <w:szCs w:val="20"/>
                <w:color w:val="auto"/>
              </w:rPr>
            </w:pPr>
            <w:r>
              <w:rPr>
                <w:rFonts w:ascii="Arial" w:cs="Arial" w:eastAsia="Arial" w:hAnsi="Arial"/>
                <w:sz w:val="12"/>
                <w:szCs w:val="12"/>
                <w:b w:val="1"/>
                <w:bCs w:val="1"/>
                <w:color w:val="auto"/>
                <w:w w:val="85"/>
              </w:rPr>
              <w:t>year ended</w:t>
            </w:r>
          </w:p>
        </w:tc>
        <w:tc>
          <w:tcPr>
            <w:tcW w:w="840" w:type="dxa"/>
            <w:vAlign w:val="bottom"/>
            <w:gridSpan w:val="2"/>
          </w:tcPr>
          <w:p>
            <w:pPr>
              <w:jc w:val="center"/>
              <w:ind w:right="32"/>
              <w:spacing w:after="0" w:line="132" w:lineRule="exact"/>
              <w:rPr>
                <w:sz w:val="20"/>
                <w:szCs w:val="20"/>
                <w:color w:val="auto"/>
              </w:rPr>
            </w:pPr>
            <w:r>
              <w:rPr>
                <w:rFonts w:ascii="Arial" w:cs="Arial" w:eastAsia="Arial" w:hAnsi="Arial"/>
                <w:sz w:val="12"/>
                <w:szCs w:val="12"/>
                <w:b w:val="1"/>
                <w:bCs w:val="1"/>
                <w:color w:val="auto"/>
                <w:w w:val="85"/>
              </w:rPr>
              <w:t>year ended</w:t>
            </w:r>
          </w:p>
        </w:tc>
        <w:tc>
          <w:tcPr>
            <w:tcW w:w="820" w:type="dxa"/>
            <w:vAlign w:val="bottom"/>
            <w:gridSpan w:val="2"/>
          </w:tcPr>
          <w:p>
            <w:pPr>
              <w:jc w:val="center"/>
              <w:ind w:right="34"/>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800" w:type="dxa"/>
            <w:vAlign w:val="bottom"/>
            <w:gridSpan w:val="2"/>
          </w:tcPr>
          <w:p>
            <w:pPr>
              <w:jc w:val="center"/>
              <w:ind w:right="15"/>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100" w:type="dxa"/>
            <w:vAlign w:val="bottom"/>
          </w:tcPr>
          <w:p>
            <w:pPr>
              <w:spacing w:after="0"/>
              <w:rPr>
                <w:sz w:val="11"/>
                <w:szCs w:val="11"/>
                <w:color w:val="auto"/>
              </w:rPr>
            </w:pPr>
          </w:p>
        </w:tc>
        <w:tc>
          <w:tcPr>
            <w:tcW w:w="70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year ended</w:t>
            </w:r>
          </w:p>
        </w:tc>
      </w:tr>
      <w:tr>
        <w:trPr>
          <w:trHeight w:val="132"/>
        </w:trPr>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54"/>
              <w:spacing w:after="0" w:line="132" w:lineRule="exact"/>
              <w:rPr>
                <w:sz w:val="20"/>
                <w:szCs w:val="20"/>
                <w:color w:val="auto"/>
              </w:rPr>
            </w:pPr>
            <w:r>
              <w:rPr>
                <w:rFonts w:ascii="Arial" w:cs="Arial" w:eastAsia="Arial" w:hAnsi="Arial"/>
                <w:sz w:val="12"/>
                <w:szCs w:val="12"/>
                <w:b w:val="1"/>
                <w:bCs w:val="1"/>
                <w:color w:val="auto"/>
                <w:w w:val="90"/>
              </w:rPr>
              <w:t>March 31,</w:t>
            </w:r>
          </w:p>
        </w:tc>
        <w:tc>
          <w:tcPr>
            <w:tcW w:w="660" w:type="dxa"/>
            <w:vAlign w:val="bottom"/>
            <w:gridSpan w:val="2"/>
          </w:tcPr>
          <w:p>
            <w:pPr>
              <w:jc w:val="center"/>
              <w:ind w:right="54"/>
              <w:spacing w:after="0" w:line="132" w:lineRule="exact"/>
              <w:rPr>
                <w:sz w:val="20"/>
                <w:szCs w:val="20"/>
                <w:color w:val="auto"/>
              </w:rPr>
            </w:pPr>
            <w:r>
              <w:rPr>
                <w:rFonts w:ascii="Arial" w:cs="Arial" w:eastAsia="Arial" w:hAnsi="Arial"/>
                <w:sz w:val="12"/>
                <w:szCs w:val="12"/>
                <w:b w:val="1"/>
                <w:bCs w:val="1"/>
                <w:color w:val="auto"/>
                <w:w w:val="90"/>
              </w:rPr>
              <w:t>March 31,</w:t>
            </w:r>
          </w:p>
        </w:tc>
        <w:tc>
          <w:tcPr>
            <w:tcW w:w="800" w:type="dxa"/>
            <w:vAlign w:val="bottom"/>
            <w:gridSpan w:val="2"/>
          </w:tcPr>
          <w:p>
            <w:pPr>
              <w:jc w:val="center"/>
              <w:ind w:right="34"/>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40" w:type="dxa"/>
            <w:vAlign w:val="bottom"/>
            <w:gridSpan w:val="2"/>
          </w:tcPr>
          <w:p>
            <w:pPr>
              <w:jc w:val="center"/>
              <w:ind w:right="32"/>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20" w:type="dxa"/>
            <w:vAlign w:val="bottom"/>
            <w:gridSpan w:val="2"/>
          </w:tcPr>
          <w:p>
            <w:pPr>
              <w:jc w:val="center"/>
              <w:ind w:right="54"/>
              <w:spacing w:after="0" w:line="132" w:lineRule="exact"/>
              <w:rPr>
                <w:sz w:val="20"/>
                <w:szCs w:val="20"/>
                <w:color w:val="auto"/>
              </w:rPr>
            </w:pPr>
            <w:r>
              <w:rPr>
                <w:rFonts w:ascii="Arial" w:cs="Arial" w:eastAsia="Arial" w:hAnsi="Arial"/>
                <w:sz w:val="12"/>
                <w:szCs w:val="12"/>
                <w:b w:val="1"/>
                <w:bCs w:val="1"/>
                <w:color w:val="auto"/>
                <w:w w:val="84"/>
              </w:rPr>
              <w:t>December 31,</w:t>
            </w:r>
          </w:p>
        </w:tc>
        <w:tc>
          <w:tcPr>
            <w:tcW w:w="100" w:type="dxa"/>
            <w:vAlign w:val="bottom"/>
          </w:tcPr>
          <w:p>
            <w:pPr>
              <w:spacing w:after="0"/>
              <w:rPr>
                <w:sz w:val="11"/>
                <w:szCs w:val="11"/>
                <w:color w:val="auto"/>
              </w:rPr>
            </w:pPr>
          </w:p>
        </w:tc>
        <w:tc>
          <w:tcPr>
            <w:tcW w:w="700" w:type="dxa"/>
            <w:vAlign w:val="bottom"/>
          </w:tcPr>
          <w:p>
            <w:pPr>
              <w:jc w:val="center"/>
              <w:ind w:right="135"/>
              <w:spacing w:after="0" w:line="132" w:lineRule="exact"/>
              <w:rPr>
                <w:sz w:val="20"/>
                <w:szCs w:val="20"/>
                <w:color w:val="auto"/>
              </w:rPr>
            </w:pPr>
            <w:r>
              <w:rPr>
                <w:rFonts w:ascii="Arial" w:cs="Arial" w:eastAsia="Arial" w:hAnsi="Arial"/>
                <w:sz w:val="12"/>
                <w:szCs w:val="12"/>
                <w:b w:val="1"/>
                <w:bCs w:val="1"/>
                <w:color w:val="auto"/>
                <w:w w:val="88"/>
              </w:rPr>
              <w:t>April 10,</w:t>
            </w:r>
          </w:p>
        </w:tc>
        <w:tc>
          <w:tcPr>
            <w:tcW w:w="80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December 31,</w:t>
            </w:r>
          </w:p>
        </w:tc>
      </w:tr>
      <w:tr>
        <w:trPr>
          <w:trHeight w:val="150"/>
        </w:trPr>
        <w:tc>
          <w:tcPr>
            <w:tcW w:w="2540" w:type="dxa"/>
            <w:vAlign w:val="bottom"/>
            <w:gridSpan w:val="2"/>
          </w:tcPr>
          <w:p>
            <w:pPr>
              <w:spacing w:after="0"/>
              <w:rPr>
                <w:sz w:val="20"/>
                <w:szCs w:val="20"/>
                <w:color w:val="auto"/>
              </w:rPr>
            </w:pPr>
            <w:r>
              <w:rPr>
                <w:rFonts w:ascii="Arial" w:cs="Arial" w:eastAsia="Arial" w:hAnsi="Arial"/>
                <w:sz w:val="12"/>
                <w:szCs w:val="12"/>
                <w:b w:val="1"/>
                <w:bCs w:val="1"/>
                <w:color w:val="auto"/>
                <w:w w:val="91"/>
              </w:rPr>
              <w:t>(in thousands, except share and per share data)</w:t>
            </w:r>
          </w:p>
        </w:tc>
        <w:tc>
          <w:tcPr>
            <w:tcW w:w="80" w:type="dxa"/>
            <w:vAlign w:val="bottom"/>
          </w:tcPr>
          <w:p>
            <w:pPr>
              <w:spacing w:after="0"/>
              <w:rPr>
                <w:sz w:val="13"/>
                <w:szCs w:val="13"/>
                <w:color w:val="auto"/>
              </w:rPr>
            </w:pPr>
          </w:p>
        </w:tc>
        <w:tc>
          <w:tcPr>
            <w:tcW w:w="580" w:type="dxa"/>
            <w:vAlign w:val="bottom"/>
          </w:tcPr>
          <w:p>
            <w:pPr>
              <w:jc w:val="center"/>
              <w:ind w:right="94"/>
              <w:spacing w:after="0"/>
              <w:rPr>
                <w:sz w:val="20"/>
                <w:szCs w:val="20"/>
                <w:color w:val="auto"/>
              </w:rPr>
            </w:pPr>
            <w:r>
              <w:rPr>
                <w:rFonts w:ascii="Arial" w:cs="Arial" w:eastAsia="Arial" w:hAnsi="Arial"/>
                <w:sz w:val="12"/>
                <w:szCs w:val="12"/>
                <w:b w:val="1"/>
                <w:bCs w:val="1"/>
                <w:color w:val="auto"/>
                <w:w w:val="82"/>
              </w:rPr>
              <w:t>2021</w:t>
            </w:r>
          </w:p>
        </w:tc>
        <w:tc>
          <w:tcPr>
            <w:tcW w:w="80" w:type="dxa"/>
            <w:vAlign w:val="bottom"/>
          </w:tcPr>
          <w:p>
            <w:pPr>
              <w:spacing w:after="0"/>
              <w:rPr>
                <w:sz w:val="13"/>
                <w:szCs w:val="13"/>
                <w:color w:val="auto"/>
              </w:rPr>
            </w:pPr>
          </w:p>
        </w:tc>
        <w:tc>
          <w:tcPr>
            <w:tcW w:w="580" w:type="dxa"/>
            <w:vAlign w:val="bottom"/>
          </w:tcPr>
          <w:p>
            <w:pPr>
              <w:jc w:val="center"/>
              <w:ind w:right="94"/>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720" w:type="dxa"/>
            <w:vAlign w:val="bottom"/>
          </w:tcPr>
          <w:p>
            <w:pPr>
              <w:jc w:val="center"/>
              <w:ind w:right="94"/>
              <w:spacing w:after="0"/>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3"/>
                <w:szCs w:val="13"/>
                <w:color w:val="auto"/>
              </w:rPr>
            </w:pPr>
          </w:p>
        </w:tc>
        <w:tc>
          <w:tcPr>
            <w:tcW w:w="700" w:type="dxa"/>
            <w:vAlign w:val="bottom"/>
          </w:tcPr>
          <w:p>
            <w:pPr>
              <w:jc w:val="center"/>
              <w:ind w:right="152"/>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Pr>
          <w:p>
            <w:pPr>
              <w:spacing w:after="0"/>
              <w:rPr>
                <w:sz w:val="13"/>
                <w:szCs w:val="13"/>
                <w:color w:val="auto"/>
              </w:rPr>
            </w:pPr>
          </w:p>
        </w:tc>
        <w:tc>
          <w:tcPr>
            <w:tcW w:w="700" w:type="dxa"/>
            <w:vAlign w:val="bottom"/>
          </w:tcPr>
          <w:p>
            <w:pPr>
              <w:jc w:val="center"/>
              <w:ind w:right="134"/>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3"/>
                <w:szCs w:val="13"/>
                <w:color w:val="auto"/>
              </w:rPr>
            </w:pPr>
          </w:p>
        </w:tc>
        <w:tc>
          <w:tcPr>
            <w:tcW w:w="700" w:type="dxa"/>
            <w:vAlign w:val="bottom"/>
          </w:tcPr>
          <w:p>
            <w:pPr>
              <w:jc w:val="center"/>
              <w:ind w:right="95"/>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32"/>
              <w:spacing w:after="0"/>
              <w:rPr>
                <w:sz w:val="20"/>
                <w:szCs w:val="20"/>
                <w:color w:val="auto"/>
              </w:rPr>
            </w:pPr>
            <w:r>
              <w:rPr>
                <w:rFonts w:ascii="Arial" w:cs="Arial" w:eastAsia="Arial" w:hAnsi="Arial"/>
                <w:sz w:val="12"/>
                <w:szCs w:val="12"/>
                <w:b w:val="1"/>
                <w:bCs w:val="1"/>
                <w:color w:val="auto"/>
                <w:w w:val="82"/>
              </w:rPr>
              <w:t>2017</w:t>
            </w:r>
          </w:p>
        </w:tc>
        <w:tc>
          <w:tcPr>
            <w:tcW w:w="80" w:type="dxa"/>
            <w:vAlign w:val="bottom"/>
          </w:tcPr>
          <w:p>
            <w:pPr>
              <w:spacing w:after="0"/>
              <w:rPr>
                <w:sz w:val="13"/>
                <w:szCs w:val="13"/>
                <w:color w:val="auto"/>
              </w:rPr>
            </w:pPr>
          </w:p>
        </w:tc>
      </w:tr>
      <w:tr>
        <w:trPr>
          <w:trHeight w:val="21"/>
        </w:trPr>
        <w:tc>
          <w:tcPr>
            <w:tcW w:w="2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1"/>
        </w:trPr>
        <w:tc>
          <w:tcPr>
            <w:tcW w:w="2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7"/>
              </w:rPr>
              <w:t>Consolidated Statement of Operations</w:t>
            </w:r>
          </w:p>
        </w:tc>
        <w:tc>
          <w:tcPr>
            <w:tcW w:w="8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4"/>
        </w:trPr>
        <w:tc>
          <w:tcPr>
            <w:tcW w:w="25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Data:</w:t>
            </w:r>
          </w:p>
        </w:tc>
        <w:tc>
          <w:tcPr>
            <w:tcW w:w="8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8"/>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Operating Revenues: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25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Passenger</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w w:val="94"/>
              </w:rPr>
              <w:t>104,195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w w:val="94"/>
              </w:rPr>
              <w:t>178,486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359,232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688,833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335,824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172,897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502,081</w:t>
            </w:r>
          </w:p>
        </w:tc>
      </w:tr>
      <w:tr>
        <w:trPr>
          <w:trHeight w:val="198"/>
        </w:trPr>
        <w:tc>
          <w:tcPr>
            <w:tcW w:w="2540" w:type="dxa"/>
            <w:vAlign w:val="bottom"/>
            <w:gridSpan w:val="2"/>
          </w:tcPr>
          <w:p>
            <w:pPr>
              <w:ind w:left="140"/>
              <w:spacing w:after="0"/>
              <w:rPr>
                <w:sz w:val="20"/>
                <w:szCs w:val="20"/>
                <w:color w:val="auto"/>
              </w:rPr>
            </w:pPr>
            <w:r>
              <w:rPr>
                <w:rFonts w:ascii="Arial" w:cs="Arial" w:eastAsia="Arial" w:hAnsi="Arial"/>
                <w:sz w:val="14"/>
                <w:szCs w:val="14"/>
                <w:color w:val="auto"/>
              </w:rPr>
              <w:t>Cargo</w:t>
            </w:r>
          </w:p>
        </w:tc>
        <w:tc>
          <w:tcPr>
            <w:tcW w:w="8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21,585</w:t>
            </w:r>
          </w:p>
        </w:tc>
        <w:tc>
          <w:tcPr>
            <w:tcW w:w="8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36,809</w:t>
            </w:r>
          </w:p>
        </w:tc>
        <w:tc>
          <w:tcPr>
            <w:tcW w:w="140" w:type="dxa"/>
            <w:vAlign w:val="bottom"/>
          </w:tcPr>
          <w:p>
            <w:pPr>
              <w:spacing w:after="0"/>
              <w:rPr>
                <w:sz w:val="17"/>
                <w:szCs w:val="17"/>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24"/>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1,831</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1,844</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12,551</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49,107</w:t>
            </w: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57,595</w:t>
            </w:r>
          </w:p>
        </w:tc>
      </w:tr>
      <w:tr>
        <w:trPr>
          <w:trHeight w:val="20"/>
        </w:trPr>
        <w:tc>
          <w:tcPr>
            <w:tcW w:w="24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2540" w:type="dxa"/>
            <w:vAlign w:val="bottom"/>
            <w:gridSpan w:val="2"/>
          </w:tcPr>
          <w:p>
            <w:pPr>
              <w:ind w:left="280"/>
              <w:spacing w:after="0"/>
              <w:rPr>
                <w:sz w:val="20"/>
                <w:szCs w:val="20"/>
                <w:color w:val="auto"/>
              </w:rPr>
            </w:pPr>
            <w:r>
              <w:rPr>
                <w:rFonts w:ascii="Arial" w:cs="Arial" w:eastAsia="Arial" w:hAnsi="Arial"/>
                <w:sz w:val="14"/>
                <w:szCs w:val="14"/>
                <w:color w:val="auto"/>
              </w:rPr>
              <w:t>Total Operating Revenue</w:t>
            </w:r>
          </w:p>
        </w:tc>
        <w:tc>
          <w:tcPr>
            <w:tcW w:w="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w w:val="94"/>
              </w:rPr>
              <w:t>127,611</w:t>
            </w:r>
          </w:p>
        </w:tc>
        <w:tc>
          <w:tcPr>
            <w:tcW w:w="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w w:val="94"/>
              </w:rPr>
              <w:t>180,330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401,486</w:t>
            </w:r>
          </w:p>
        </w:tc>
        <w:tc>
          <w:tcPr>
            <w:tcW w:w="1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701,384</w:t>
            </w:r>
          </w:p>
        </w:tc>
        <w:tc>
          <w:tcPr>
            <w:tcW w:w="12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color w:val="auto"/>
              </w:rPr>
              <w:t>384,931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197,452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559,676</w:t>
            </w:r>
          </w:p>
        </w:tc>
      </w:tr>
      <w:tr>
        <w:trPr>
          <w:trHeight w:val="195"/>
        </w:trPr>
        <w:tc>
          <w:tcPr>
            <w:tcW w:w="25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8"/>
        </w:trPr>
        <w:tc>
          <w:tcPr>
            <w:tcW w:w="2540" w:type="dxa"/>
            <w:vAlign w:val="bottom"/>
            <w:gridSpan w:val="2"/>
          </w:tcPr>
          <w:p>
            <w:pPr>
              <w:ind w:left="140"/>
              <w:spacing w:after="0"/>
              <w:rPr>
                <w:sz w:val="20"/>
                <w:szCs w:val="20"/>
                <w:color w:val="auto"/>
              </w:rPr>
            </w:pPr>
            <w:r>
              <w:rPr>
                <w:rFonts w:ascii="Arial" w:cs="Arial" w:eastAsia="Arial" w:hAnsi="Arial"/>
                <w:sz w:val="14"/>
                <w:szCs w:val="14"/>
                <w:color w:val="auto"/>
              </w:rPr>
              <w:t>Aircraft Fuel</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24,274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55,561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83,392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165,666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
              <w:spacing w:after="0"/>
              <w:rPr>
                <w:sz w:val="20"/>
                <w:szCs w:val="20"/>
                <w:color w:val="auto"/>
              </w:rPr>
            </w:pPr>
            <w:r>
              <w:rPr>
                <w:rFonts w:ascii="Arial" w:cs="Arial" w:eastAsia="Arial" w:hAnsi="Arial"/>
                <w:sz w:val="14"/>
                <w:szCs w:val="14"/>
                <w:color w:val="auto"/>
              </w:rPr>
              <w:t>119,553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45,790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118,382</w:t>
            </w:r>
          </w:p>
        </w:tc>
      </w:tr>
      <w:tr>
        <w:trPr>
          <w:trHeight w:val="198"/>
        </w:trPr>
        <w:tc>
          <w:tcPr>
            <w:tcW w:w="254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Salaries, Wages, and Benefits</w:t>
            </w: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44,075</w:t>
            </w: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38,091</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141,641</w:t>
            </w: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140,739</w:t>
            </w: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90,263</w:t>
            </w: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124,446</w:t>
            </w:r>
          </w:p>
        </w:tc>
      </w:tr>
      <w:tr>
        <w:trPr>
          <w:trHeight w:val="209"/>
        </w:trPr>
        <w:tc>
          <w:tcPr>
            <w:tcW w:w="2540" w:type="dxa"/>
            <w:vAlign w:val="bottom"/>
            <w:gridSpan w:val="2"/>
          </w:tcPr>
          <w:p>
            <w:pPr>
              <w:ind w:left="140"/>
              <w:spacing w:after="0" w:line="208" w:lineRule="exact"/>
              <w:rPr>
                <w:sz w:val="20"/>
                <w:szCs w:val="20"/>
                <w:color w:val="auto"/>
              </w:rPr>
            </w:pPr>
            <w:r>
              <w:rPr>
                <w:rFonts w:ascii="Arial" w:cs="Arial" w:eastAsia="Arial" w:hAnsi="Arial"/>
                <w:sz w:val="14"/>
                <w:szCs w:val="14"/>
                <w:color w:val="auto"/>
              </w:rPr>
              <w:t>Aircraft Rent</w:t>
            </w:r>
            <w:r>
              <w:rPr>
                <w:rFonts w:ascii="Arial" w:cs="Arial" w:eastAsia="Arial" w:hAnsi="Arial"/>
                <w:sz w:val="20"/>
                <w:szCs w:val="20"/>
                <w:color w:val="auto"/>
                <w:vertAlign w:val="superscript"/>
              </w:rPr>
              <w:t>(1)</w:t>
            </w: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5,599</w:t>
            </w: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11,032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30,989</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49,908</w:t>
            </w:r>
          </w:p>
        </w:tc>
        <w:tc>
          <w:tcPr>
            <w:tcW w:w="1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color w:val="auto"/>
              </w:rPr>
              <w:t>36,831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81,141</w:t>
            </w:r>
          </w:p>
        </w:tc>
      </w:tr>
      <w:tr>
        <w:trPr>
          <w:trHeight w:val="209"/>
        </w:trPr>
        <w:tc>
          <w:tcPr>
            <w:tcW w:w="2540" w:type="dxa"/>
            <w:vAlign w:val="bottom"/>
            <w:tcBorders>
              <w:right w:val="single" w:sz="8" w:color="CCEEFF"/>
            </w:tcBorders>
            <w:gridSpan w:val="2"/>
            <w:shd w:val="clear" w:color="auto" w:fill="CCEEFF"/>
          </w:tcPr>
          <w:p>
            <w:pPr>
              <w:ind w:left="140"/>
              <w:spacing w:after="0" w:line="208" w:lineRule="exact"/>
              <w:rPr>
                <w:sz w:val="20"/>
                <w:szCs w:val="20"/>
                <w:color w:val="auto"/>
              </w:rPr>
            </w:pPr>
            <w:r>
              <w:rPr>
                <w:rFonts w:ascii="Arial" w:cs="Arial" w:eastAsia="Arial" w:hAnsi="Arial"/>
                <w:sz w:val="14"/>
                <w:szCs w:val="14"/>
                <w:color w:val="auto"/>
              </w:rPr>
              <w:t>Maintenance</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9,210</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6,478</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27,416</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35,286</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15,491</w:t>
            </w: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35,371</w:t>
            </w:r>
          </w:p>
        </w:tc>
      </w:tr>
      <w:tr>
        <w:trPr>
          <w:trHeight w:val="209"/>
        </w:trPr>
        <w:tc>
          <w:tcPr>
            <w:tcW w:w="2540" w:type="dxa"/>
            <w:vAlign w:val="bottom"/>
            <w:gridSpan w:val="2"/>
          </w:tcPr>
          <w:p>
            <w:pPr>
              <w:ind w:left="140"/>
              <w:spacing w:after="0"/>
              <w:rPr>
                <w:sz w:val="20"/>
                <w:szCs w:val="20"/>
                <w:color w:val="auto"/>
              </w:rPr>
            </w:pPr>
            <w:r>
              <w:rPr>
                <w:rFonts w:ascii="Arial" w:cs="Arial" w:eastAsia="Arial" w:hAnsi="Arial"/>
                <w:sz w:val="14"/>
                <w:szCs w:val="14"/>
                <w:color w:val="auto"/>
              </w:rPr>
              <w:t>Sales and Marketing</w:t>
            </w: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5,110</w:t>
            </w: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8,572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16,570</w:t>
            </w:r>
          </w:p>
        </w:tc>
        <w:tc>
          <w:tcPr>
            <w:tcW w:w="1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35,388</w:t>
            </w:r>
          </w:p>
        </w:tc>
        <w:tc>
          <w:tcPr>
            <w:tcW w:w="1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color w:val="auto"/>
              </w:rPr>
              <w:t>17,180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36,320</w:t>
            </w:r>
          </w:p>
        </w:tc>
      </w:tr>
      <w:tr>
        <w:trPr>
          <w:trHeight w:val="220"/>
        </w:trPr>
        <w:tc>
          <w:tcPr>
            <w:tcW w:w="2540" w:type="dxa"/>
            <w:vAlign w:val="bottom"/>
            <w:tcBorders>
              <w:right w:val="single" w:sz="8" w:color="CCEEFF"/>
            </w:tcBorders>
            <w:gridSpan w:val="2"/>
            <w:shd w:val="clear" w:color="auto" w:fill="CCEEFF"/>
          </w:tcPr>
          <w:p>
            <w:pPr>
              <w:ind w:left="140"/>
              <w:spacing w:after="0" w:line="220"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12,615</w:t>
            </w:r>
          </w:p>
        </w:tc>
        <w:tc>
          <w:tcPr>
            <w:tcW w:w="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10,527</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48,086</w:t>
            </w: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34,877</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14,405</w:t>
            </w: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-920115</wp:posOffset>
            </wp:positionV>
            <wp:extent cx="5588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-920115</wp:posOffset>
            </wp:positionV>
            <wp:extent cx="9779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-920115</wp:posOffset>
            </wp:positionV>
            <wp:extent cx="4889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-920115</wp:posOffset>
            </wp:positionV>
            <wp:extent cx="4889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-920115</wp:posOffset>
            </wp:positionV>
            <wp:extent cx="4889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-920115</wp:posOffset>
            </wp:positionV>
            <wp:extent cx="4889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-920115</wp:posOffset>
            </wp:positionV>
            <wp:extent cx="203009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30095" cy="6985"/>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-1840865</wp:posOffset>
            </wp:positionV>
            <wp:extent cx="4191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-1840865</wp:posOffset>
            </wp:positionV>
            <wp:extent cx="4191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-1840865</wp:posOffset>
            </wp:positionV>
            <wp:extent cx="4191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-1840865</wp:posOffset>
            </wp:positionV>
            <wp:extent cx="4191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-1840865</wp:posOffset>
            </wp:positionV>
            <wp:extent cx="4191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-1840865</wp:posOffset>
            </wp:positionV>
            <wp:extent cx="419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-1840865</wp:posOffset>
            </wp:positionV>
            <wp:extent cx="4191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910" cy="6985"/>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9"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2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12"/>
              <w:spacing w:after="0"/>
              <w:rPr>
                <w:sz w:val="20"/>
                <w:szCs w:val="20"/>
                <w:color w:val="auto"/>
              </w:rPr>
            </w:pPr>
            <w:r>
              <w:rPr>
                <w:rFonts w:ascii="Arial" w:cs="Arial" w:eastAsia="Arial" w:hAnsi="Arial"/>
                <w:sz w:val="12"/>
                <w:szCs w:val="12"/>
                <w:b w:val="1"/>
                <w:bCs w:val="1"/>
                <w:color w:val="auto"/>
                <w:w w:val="82"/>
              </w:rPr>
              <w:t>Successor</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rPr>
              <w:t>Predecessor</w:t>
            </w:r>
          </w:p>
        </w:tc>
      </w:tr>
      <w:tr>
        <w:trPr>
          <w:trHeight w:val="21"/>
        </w:trPr>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49"/>
        </w:trPr>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13"/>
              <w:spacing w:after="0"/>
              <w:rPr>
                <w:sz w:val="20"/>
                <w:szCs w:val="20"/>
                <w:color w:val="auto"/>
              </w:rPr>
            </w:pPr>
            <w:r>
              <w:rPr>
                <w:rFonts w:ascii="Arial" w:cs="Arial" w:eastAsia="Arial" w:hAnsi="Arial"/>
                <w:sz w:val="12"/>
                <w:szCs w:val="12"/>
                <w:b w:val="1"/>
                <w:bCs w:val="1"/>
                <w:color w:val="auto"/>
                <w:w w:val="83"/>
              </w:rPr>
              <w:t>For the</w:t>
            </w:r>
          </w:p>
        </w:tc>
        <w:tc>
          <w:tcPr>
            <w:tcW w:w="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2"/>
                <w:szCs w:val="12"/>
                <w:color w:val="auto"/>
              </w:rPr>
            </w:pPr>
          </w:p>
        </w:tc>
        <w:tc>
          <w:tcPr>
            <w:tcW w:w="760" w:type="dxa"/>
            <w:vAlign w:val="bottom"/>
          </w:tcPr>
          <w:p>
            <w:pPr>
              <w:jc w:val="center"/>
              <w:ind w:right="93"/>
              <w:spacing w:after="0"/>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2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33"/>
              <w:spacing w:after="0" w:line="132" w:lineRule="exact"/>
              <w:rPr>
                <w:sz w:val="20"/>
                <w:szCs w:val="20"/>
                <w:color w:val="auto"/>
              </w:rPr>
            </w:pPr>
            <w:r>
              <w:rPr>
                <w:rFonts w:ascii="Arial" w:cs="Arial" w:eastAsia="Arial" w:hAnsi="Arial"/>
                <w:sz w:val="12"/>
                <w:szCs w:val="12"/>
                <w:b w:val="1"/>
                <w:bCs w:val="1"/>
                <w:color w:val="auto"/>
                <w:w w:val="81"/>
              </w:rPr>
              <w:t>three</w:t>
            </w:r>
          </w:p>
        </w:tc>
        <w:tc>
          <w:tcPr>
            <w:tcW w:w="80" w:type="dxa"/>
            <w:vAlign w:val="bottom"/>
          </w:tcPr>
          <w:p>
            <w:pPr>
              <w:spacing w:after="0"/>
              <w:rPr>
                <w:sz w:val="11"/>
                <w:szCs w:val="11"/>
                <w:color w:val="auto"/>
              </w:rPr>
            </w:pPr>
          </w:p>
        </w:tc>
        <w:tc>
          <w:tcPr>
            <w:tcW w:w="700" w:type="dxa"/>
            <w:vAlign w:val="bottom"/>
          </w:tcPr>
          <w:p>
            <w:pPr>
              <w:jc w:val="center"/>
              <w:ind w:right="153"/>
              <w:spacing w:after="0" w:line="132" w:lineRule="exact"/>
              <w:rPr>
                <w:sz w:val="20"/>
                <w:szCs w:val="20"/>
                <w:color w:val="auto"/>
              </w:rPr>
            </w:pPr>
            <w:r>
              <w:rPr>
                <w:rFonts w:ascii="Arial" w:cs="Arial" w:eastAsia="Arial" w:hAnsi="Arial"/>
                <w:sz w:val="12"/>
                <w:szCs w:val="12"/>
                <w:b w:val="1"/>
                <w:bCs w:val="1"/>
                <w:color w:val="auto"/>
                <w:w w:val="81"/>
              </w:rPr>
              <w:t>three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5"/>
              </w:rPr>
              <w:t>Period</w:t>
            </w:r>
          </w:p>
        </w:tc>
        <w:tc>
          <w:tcPr>
            <w:tcW w:w="80" w:type="dxa"/>
            <w:vAlign w:val="bottom"/>
          </w:tcPr>
          <w:p>
            <w:pPr>
              <w:spacing w:after="0"/>
              <w:rPr>
                <w:sz w:val="11"/>
                <w:szCs w:val="11"/>
                <w:color w:val="auto"/>
              </w:rPr>
            </w:pPr>
          </w:p>
        </w:tc>
        <w:tc>
          <w:tcPr>
            <w:tcW w:w="760" w:type="dxa"/>
            <w:vAlign w:val="bottom"/>
          </w:tcPr>
          <w:p>
            <w:pPr>
              <w:jc w:val="center"/>
              <w:ind w:right="93"/>
              <w:spacing w:after="0" w:line="132" w:lineRule="exact"/>
              <w:rPr>
                <w:sz w:val="20"/>
                <w:szCs w:val="20"/>
                <w:color w:val="auto"/>
              </w:rPr>
            </w:pPr>
            <w:r>
              <w:rPr>
                <w:rFonts w:ascii="Arial" w:cs="Arial" w:eastAsia="Arial" w:hAnsi="Arial"/>
                <w:sz w:val="12"/>
                <w:szCs w:val="12"/>
                <w:b w:val="1"/>
                <w:bCs w:val="1"/>
                <w:color w:val="auto"/>
                <w:w w:val="87"/>
              </w:rPr>
              <w:t>period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2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33"/>
              <w:spacing w:after="0" w:line="132" w:lineRule="exact"/>
              <w:rPr>
                <w:sz w:val="20"/>
                <w:szCs w:val="20"/>
                <w:color w:val="auto"/>
              </w:rPr>
            </w:pPr>
            <w:r>
              <w:rPr>
                <w:rFonts w:ascii="Arial" w:cs="Arial" w:eastAsia="Arial" w:hAnsi="Arial"/>
                <w:sz w:val="12"/>
                <w:szCs w:val="12"/>
                <w:b w:val="1"/>
                <w:bCs w:val="1"/>
                <w:color w:val="auto"/>
                <w:w w:val="82"/>
              </w:rPr>
              <w:t>months</w:t>
            </w:r>
          </w:p>
        </w:tc>
        <w:tc>
          <w:tcPr>
            <w:tcW w:w="80" w:type="dxa"/>
            <w:vAlign w:val="bottom"/>
          </w:tcPr>
          <w:p>
            <w:pPr>
              <w:spacing w:after="0"/>
              <w:rPr>
                <w:sz w:val="11"/>
                <w:szCs w:val="11"/>
                <w:color w:val="auto"/>
              </w:rPr>
            </w:pPr>
          </w:p>
        </w:tc>
        <w:tc>
          <w:tcPr>
            <w:tcW w:w="700" w:type="dxa"/>
            <w:vAlign w:val="bottom"/>
          </w:tcPr>
          <w:p>
            <w:pPr>
              <w:jc w:val="center"/>
              <w:ind w:right="113"/>
              <w:spacing w:after="0" w:line="132" w:lineRule="exact"/>
              <w:rPr>
                <w:sz w:val="20"/>
                <w:szCs w:val="20"/>
                <w:color w:val="auto"/>
              </w:rPr>
            </w:pPr>
            <w:r>
              <w:rPr>
                <w:rFonts w:ascii="Arial" w:cs="Arial" w:eastAsia="Arial" w:hAnsi="Arial"/>
                <w:sz w:val="12"/>
                <w:szCs w:val="12"/>
                <w:b w:val="1"/>
                <w:bCs w:val="1"/>
                <w:color w:val="auto"/>
                <w:w w:val="82"/>
              </w:rPr>
              <w:t>months</w:t>
            </w:r>
          </w:p>
        </w:tc>
        <w:tc>
          <w:tcPr>
            <w:tcW w:w="80" w:type="dxa"/>
            <w:vAlign w:val="bottom"/>
          </w:tcPr>
          <w:p>
            <w:pPr>
              <w:spacing w:after="0"/>
              <w:rPr>
                <w:sz w:val="11"/>
                <w:szCs w:val="11"/>
                <w:color w:val="auto"/>
              </w:rPr>
            </w:pPr>
          </w:p>
        </w:tc>
        <w:tc>
          <w:tcPr>
            <w:tcW w:w="700" w:type="dxa"/>
            <w:vAlign w:val="bottom"/>
          </w:tcPr>
          <w:p>
            <w:pPr>
              <w:jc w:val="center"/>
              <w:ind w:right="112"/>
              <w:spacing w:after="0" w:line="132" w:lineRule="exact"/>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1"/>
                <w:szCs w:val="11"/>
                <w:color w:val="auto"/>
              </w:rPr>
            </w:pPr>
          </w:p>
        </w:tc>
        <w:tc>
          <w:tcPr>
            <w:tcW w:w="7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11"/>
                <w:szCs w:val="11"/>
                <w:color w:val="auto"/>
              </w:rPr>
            </w:pPr>
          </w:p>
        </w:tc>
        <w:tc>
          <w:tcPr>
            <w:tcW w:w="7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4"/>
              </w:rPr>
              <w:t>April 11,</w:t>
            </w:r>
          </w:p>
        </w:tc>
        <w:tc>
          <w:tcPr>
            <w:tcW w:w="80" w:type="dxa"/>
            <w:vAlign w:val="bottom"/>
          </w:tcPr>
          <w:p>
            <w:pPr>
              <w:spacing w:after="0"/>
              <w:rPr>
                <w:sz w:val="11"/>
                <w:szCs w:val="11"/>
                <w:color w:val="auto"/>
              </w:rPr>
            </w:pPr>
          </w:p>
        </w:tc>
        <w:tc>
          <w:tcPr>
            <w:tcW w:w="760" w:type="dxa"/>
            <w:vAlign w:val="bottom"/>
          </w:tcPr>
          <w:p>
            <w:pPr>
              <w:jc w:val="center"/>
              <w:ind w:right="93"/>
              <w:spacing w:after="0" w:line="132" w:lineRule="exact"/>
              <w:rPr>
                <w:sz w:val="20"/>
                <w:szCs w:val="20"/>
                <w:color w:val="auto"/>
              </w:rPr>
            </w:pPr>
            <w:r>
              <w:rPr>
                <w:rFonts w:ascii="Arial" w:cs="Arial" w:eastAsia="Arial" w:hAnsi="Arial"/>
                <w:sz w:val="12"/>
                <w:szCs w:val="12"/>
                <w:b w:val="1"/>
                <w:bCs w:val="1"/>
                <w:color w:val="auto"/>
                <w:w w:val="87"/>
              </w:rPr>
              <w:t>January 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For the</w:t>
            </w:r>
          </w:p>
        </w:tc>
      </w:tr>
      <w:tr>
        <w:trPr>
          <w:trHeight w:val="132"/>
        </w:trPr>
        <w:tc>
          <w:tcPr>
            <w:tcW w:w="2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13"/>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700" w:type="dxa"/>
            <w:vAlign w:val="bottom"/>
          </w:tcPr>
          <w:p>
            <w:pPr>
              <w:jc w:val="center"/>
              <w:ind w:right="113"/>
              <w:spacing w:after="0" w:line="132" w:lineRule="exact"/>
              <w:rPr>
                <w:sz w:val="20"/>
                <w:szCs w:val="20"/>
                <w:color w:val="auto"/>
              </w:rPr>
            </w:pPr>
            <w:r>
              <w:rPr>
                <w:rFonts w:ascii="Arial" w:cs="Arial" w:eastAsia="Arial" w:hAnsi="Arial"/>
                <w:sz w:val="12"/>
                <w:szCs w:val="12"/>
                <w:b w:val="1"/>
                <w:bCs w:val="1"/>
                <w:color w:val="auto"/>
                <w:w w:val="79"/>
              </w:rPr>
              <w:t>ended</w:t>
            </w:r>
          </w:p>
        </w:tc>
        <w:tc>
          <w:tcPr>
            <w:tcW w:w="780" w:type="dxa"/>
            <w:vAlign w:val="bottom"/>
            <w:gridSpan w:val="2"/>
          </w:tcPr>
          <w:p>
            <w:pPr>
              <w:jc w:val="center"/>
              <w:ind w:right="32"/>
              <w:spacing w:after="0" w:line="132" w:lineRule="exact"/>
              <w:rPr>
                <w:sz w:val="20"/>
                <w:szCs w:val="20"/>
                <w:color w:val="auto"/>
              </w:rPr>
            </w:pPr>
            <w:r>
              <w:rPr>
                <w:rFonts w:ascii="Arial" w:cs="Arial" w:eastAsia="Arial" w:hAnsi="Arial"/>
                <w:sz w:val="12"/>
                <w:szCs w:val="12"/>
                <w:b w:val="1"/>
                <w:bCs w:val="1"/>
                <w:color w:val="auto"/>
                <w:w w:val="81"/>
              </w:rPr>
              <w:t>year ended</w:t>
            </w:r>
          </w:p>
        </w:tc>
        <w:tc>
          <w:tcPr>
            <w:tcW w:w="78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year ended</w:t>
            </w: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8"/>
              </w:rPr>
              <w:t>2018 through</w:t>
            </w:r>
          </w:p>
        </w:tc>
        <w:tc>
          <w:tcPr>
            <w:tcW w:w="840" w:type="dxa"/>
            <w:vAlign w:val="bottom"/>
            <w:gridSpan w:val="2"/>
          </w:tcPr>
          <w:p>
            <w:pPr>
              <w:jc w:val="center"/>
              <w:ind w:right="13"/>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70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1"/>
              </w:rPr>
              <w:t>year ended</w:t>
            </w:r>
          </w:p>
        </w:tc>
      </w:tr>
      <w:tr>
        <w:trPr>
          <w:trHeight w:val="132"/>
        </w:trPr>
        <w:tc>
          <w:tcPr>
            <w:tcW w:w="2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13"/>
              <w:spacing w:after="0" w:line="132" w:lineRule="exact"/>
              <w:rPr>
                <w:sz w:val="20"/>
                <w:szCs w:val="20"/>
                <w:color w:val="auto"/>
              </w:rPr>
            </w:pPr>
            <w:r>
              <w:rPr>
                <w:rFonts w:ascii="Arial" w:cs="Arial" w:eastAsia="Arial" w:hAnsi="Arial"/>
                <w:sz w:val="12"/>
                <w:szCs w:val="12"/>
                <w:b w:val="1"/>
                <w:bCs w:val="1"/>
                <w:color w:val="auto"/>
                <w:w w:val="90"/>
              </w:rPr>
              <w:t>March 31,</w:t>
            </w:r>
          </w:p>
        </w:tc>
        <w:tc>
          <w:tcPr>
            <w:tcW w:w="80" w:type="dxa"/>
            <w:vAlign w:val="bottom"/>
          </w:tcPr>
          <w:p>
            <w:pPr>
              <w:spacing w:after="0"/>
              <w:rPr>
                <w:sz w:val="11"/>
                <w:szCs w:val="11"/>
                <w:color w:val="auto"/>
              </w:rPr>
            </w:pPr>
          </w:p>
        </w:tc>
        <w:tc>
          <w:tcPr>
            <w:tcW w:w="700" w:type="dxa"/>
            <w:vAlign w:val="bottom"/>
          </w:tcPr>
          <w:p>
            <w:pPr>
              <w:jc w:val="center"/>
              <w:ind w:right="113"/>
              <w:spacing w:after="0" w:line="132" w:lineRule="exact"/>
              <w:rPr>
                <w:sz w:val="20"/>
                <w:szCs w:val="20"/>
                <w:color w:val="auto"/>
              </w:rPr>
            </w:pPr>
            <w:r>
              <w:rPr>
                <w:rFonts w:ascii="Arial" w:cs="Arial" w:eastAsia="Arial" w:hAnsi="Arial"/>
                <w:sz w:val="12"/>
                <w:szCs w:val="12"/>
                <w:b w:val="1"/>
                <w:bCs w:val="1"/>
                <w:color w:val="auto"/>
                <w:w w:val="86"/>
              </w:rPr>
              <w:t>March 31,</w:t>
            </w:r>
          </w:p>
        </w:tc>
        <w:tc>
          <w:tcPr>
            <w:tcW w:w="7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2"/>
              </w:rPr>
              <w:t>December 31,</w:t>
            </w: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4"/>
              </w:rPr>
              <w:t>December 31,</w:t>
            </w:r>
          </w:p>
        </w:tc>
        <w:tc>
          <w:tcPr>
            <w:tcW w:w="7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4"/>
              </w:rPr>
              <w:t>December 31,</w:t>
            </w:r>
          </w:p>
        </w:tc>
        <w:tc>
          <w:tcPr>
            <w:tcW w:w="80" w:type="dxa"/>
            <w:vAlign w:val="bottom"/>
          </w:tcPr>
          <w:p>
            <w:pPr>
              <w:spacing w:after="0"/>
              <w:rPr>
                <w:sz w:val="11"/>
                <w:szCs w:val="11"/>
                <w:color w:val="auto"/>
              </w:rPr>
            </w:pPr>
          </w:p>
        </w:tc>
        <w:tc>
          <w:tcPr>
            <w:tcW w:w="760" w:type="dxa"/>
            <w:vAlign w:val="bottom"/>
          </w:tcPr>
          <w:p>
            <w:pPr>
              <w:jc w:val="center"/>
              <w:ind w:right="113"/>
              <w:spacing w:after="0" w:line="132" w:lineRule="exact"/>
              <w:rPr>
                <w:sz w:val="20"/>
                <w:szCs w:val="20"/>
                <w:color w:val="auto"/>
              </w:rPr>
            </w:pPr>
            <w:r>
              <w:rPr>
                <w:rFonts w:ascii="Arial" w:cs="Arial" w:eastAsia="Arial" w:hAnsi="Arial"/>
                <w:sz w:val="12"/>
                <w:szCs w:val="12"/>
                <w:b w:val="1"/>
                <w:bCs w:val="1"/>
                <w:color w:val="auto"/>
                <w:w w:val="88"/>
              </w:rPr>
              <w:t>April 10,</w:t>
            </w:r>
          </w:p>
        </w:tc>
        <w:tc>
          <w:tcPr>
            <w:tcW w:w="70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4"/>
              </w:rPr>
              <w:t>December 31,</w:t>
            </w:r>
          </w:p>
        </w:tc>
      </w:tr>
      <w:tr>
        <w:trPr>
          <w:trHeight w:val="150"/>
        </w:trPr>
        <w:tc>
          <w:tcPr>
            <w:tcW w:w="2500" w:type="dxa"/>
            <w:vAlign w:val="bottom"/>
            <w:gridSpan w:val="2"/>
          </w:tcPr>
          <w:p>
            <w:pPr>
              <w:spacing w:after="0"/>
              <w:rPr>
                <w:sz w:val="20"/>
                <w:szCs w:val="20"/>
                <w:color w:val="auto"/>
              </w:rPr>
            </w:pPr>
            <w:r>
              <w:rPr>
                <w:rFonts w:ascii="Arial" w:cs="Arial" w:eastAsia="Arial" w:hAnsi="Arial"/>
                <w:sz w:val="12"/>
                <w:szCs w:val="12"/>
                <w:b w:val="1"/>
                <w:bCs w:val="1"/>
                <w:color w:val="auto"/>
                <w:w w:val="90"/>
              </w:rPr>
              <w:t>(in thousands, except share and per share data)</w:t>
            </w:r>
          </w:p>
        </w:tc>
        <w:tc>
          <w:tcPr>
            <w:tcW w:w="80" w:type="dxa"/>
            <w:vAlign w:val="bottom"/>
          </w:tcPr>
          <w:p>
            <w:pPr>
              <w:spacing w:after="0"/>
              <w:rPr>
                <w:sz w:val="13"/>
                <w:szCs w:val="13"/>
                <w:color w:val="auto"/>
              </w:rPr>
            </w:pPr>
          </w:p>
        </w:tc>
        <w:tc>
          <w:tcPr>
            <w:tcW w:w="680" w:type="dxa"/>
            <w:vAlign w:val="bottom"/>
          </w:tcPr>
          <w:p>
            <w:pPr>
              <w:jc w:val="center"/>
              <w:ind w:right="93"/>
              <w:spacing w:after="0"/>
              <w:rPr>
                <w:sz w:val="20"/>
                <w:szCs w:val="20"/>
                <w:color w:val="auto"/>
              </w:rPr>
            </w:pPr>
            <w:r>
              <w:rPr>
                <w:rFonts w:ascii="Arial" w:cs="Arial" w:eastAsia="Arial" w:hAnsi="Arial"/>
                <w:sz w:val="12"/>
                <w:szCs w:val="12"/>
                <w:b w:val="1"/>
                <w:bCs w:val="1"/>
                <w:color w:val="auto"/>
                <w:w w:val="89"/>
              </w:rPr>
              <w:t>2021</w:t>
            </w:r>
          </w:p>
        </w:tc>
        <w:tc>
          <w:tcPr>
            <w:tcW w:w="80" w:type="dxa"/>
            <w:vAlign w:val="bottom"/>
          </w:tcPr>
          <w:p>
            <w:pPr>
              <w:spacing w:after="0"/>
              <w:rPr>
                <w:sz w:val="13"/>
                <w:szCs w:val="13"/>
                <w:color w:val="auto"/>
              </w:rPr>
            </w:pPr>
          </w:p>
        </w:tc>
        <w:tc>
          <w:tcPr>
            <w:tcW w:w="700" w:type="dxa"/>
            <w:vAlign w:val="bottom"/>
          </w:tcPr>
          <w:p>
            <w:pPr>
              <w:jc w:val="center"/>
              <w:ind w:right="93"/>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700" w:type="dxa"/>
            <w:vAlign w:val="bottom"/>
          </w:tcPr>
          <w:p>
            <w:pPr>
              <w:jc w:val="center"/>
              <w:ind w:right="92"/>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620" w:type="dxa"/>
            <w:vAlign w:val="bottom"/>
          </w:tcPr>
          <w:p>
            <w:pPr>
              <w:jc w:val="center"/>
              <w:ind w:right="12"/>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13"/>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73"/>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9"/>
              </w:rPr>
              <w:t>2017</w:t>
            </w:r>
          </w:p>
        </w:tc>
        <w:tc>
          <w:tcPr>
            <w:tcW w:w="80" w:type="dxa"/>
            <w:vAlign w:val="bottom"/>
          </w:tcPr>
          <w:p>
            <w:pPr>
              <w:spacing w:after="0"/>
              <w:rPr>
                <w:sz w:val="13"/>
                <w:szCs w:val="13"/>
                <w:color w:val="auto"/>
              </w:rPr>
            </w:pPr>
          </w:p>
        </w:tc>
      </w:tr>
      <w:tr>
        <w:trPr>
          <w:trHeight w:val="21"/>
        </w:trPr>
        <w:tc>
          <w:tcPr>
            <w:tcW w:w="2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78"/>
        </w:trPr>
        <w:tc>
          <w:tcPr>
            <w:tcW w:w="25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Ground Handling</w:t>
            </w: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5,230</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9,292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20,596</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41,719</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23,828</w:t>
            </w: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7"/>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Landing Fees and Airport Rent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8,785</w:t>
            </w:r>
          </w:p>
        </w:tc>
        <w:tc>
          <w:tcPr>
            <w:tcW w:w="80" w:type="dxa"/>
            <w:vAlign w:val="bottom"/>
          </w:tcPr>
          <w:p>
            <w:pPr>
              <w:spacing w:after="0"/>
              <w:rPr>
                <w:sz w:val="16"/>
                <w:szCs w:val="16"/>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11,114</w:t>
            </w:r>
          </w:p>
        </w:tc>
        <w:tc>
          <w:tcPr>
            <w:tcW w:w="80" w:type="dxa"/>
            <w:vAlign w:val="bottom"/>
          </w:tcPr>
          <w:p>
            <w:pPr>
              <w:spacing w:after="0"/>
              <w:rPr>
                <w:sz w:val="16"/>
                <w:szCs w:val="16"/>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31,256</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44,400</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25,977</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98"/>
        </w:trPr>
        <w:tc>
          <w:tcPr>
            <w:tcW w:w="2500" w:type="dxa"/>
            <w:vAlign w:val="bottom"/>
            <w:tcBorders>
              <w:right w:val="single" w:sz="8" w:color="CCEEFF"/>
            </w:tcBorders>
            <w:gridSpan w:val="2"/>
            <w:shd w:val="clear" w:color="auto" w:fill="CCEEFF"/>
          </w:tcPr>
          <w:p>
            <w:pPr>
              <w:ind w:left="140"/>
              <w:spacing w:after="0" w:line="198" w:lineRule="exact"/>
              <w:rPr>
                <w:sz w:val="20"/>
                <w:szCs w:val="20"/>
                <w:color w:val="auto"/>
              </w:rPr>
            </w:pPr>
            <w:r>
              <w:rPr>
                <w:rFonts w:ascii="Arial" w:cs="Arial" w:eastAsia="Arial" w:hAnsi="Arial"/>
                <w:sz w:val="14"/>
                <w:szCs w:val="14"/>
                <w:color w:val="auto"/>
              </w:rPr>
              <w:t>Special Items, net</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(26,871)</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(64,563)</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7,092</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(6,706)</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213"/>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Other Operating, net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14,651</w:t>
            </w:r>
          </w:p>
        </w:tc>
        <w:tc>
          <w:tcPr>
            <w:tcW w:w="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14,433</w:t>
            </w:r>
          </w:p>
        </w:tc>
        <w:tc>
          <w:tcPr>
            <w:tcW w:w="8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48,718</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68,187</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40,877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124,047</w:t>
            </w:r>
          </w:p>
        </w:tc>
      </w:tr>
      <w:tr>
        <w:trPr>
          <w:trHeight w:val="20"/>
        </w:trPr>
        <w:tc>
          <w:tcPr>
            <w:tcW w:w="24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102,678</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165,100</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384,101</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623,262</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377,699</w:t>
            </w: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171,336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6"/>
              </w:rPr>
              <w:t>530,008</w:t>
            </w:r>
          </w:p>
        </w:tc>
      </w:tr>
      <w:tr>
        <w:trPr>
          <w:trHeight w:val="20"/>
        </w:trPr>
        <w:tc>
          <w:tcPr>
            <w:tcW w:w="24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4"/>
                <w:szCs w:val="14"/>
                <w:color w:val="auto"/>
              </w:rPr>
              <w:t>Operating Income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24,933</w:t>
            </w:r>
          </w:p>
        </w:tc>
        <w:tc>
          <w:tcPr>
            <w:tcW w:w="8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15,230</w:t>
            </w:r>
          </w:p>
        </w:tc>
        <w:tc>
          <w:tcPr>
            <w:tcW w:w="8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17,385</w:t>
            </w:r>
          </w:p>
        </w:tc>
        <w:tc>
          <w:tcPr>
            <w:tcW w:w="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78,122</w:t>
            </w:r>
          </w:p>
        </w:tc>
        <w:tc>
          <w:tcPr>
            <w:tcW w:w="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7,232</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29,668</w:t>
            </w:r>
          </w:p>
        </w:tc>
      </w:tr>
      <w:tr>
        <w:trPr>
          <w:trHeight w:val="195"/>
        </w:trPr>
        <w:tc>
          <w:tcPr>
            <w:tcW w:w="250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Non-operating Income (Expense):</w:t>
            </w: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8"/>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Interest Income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251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377</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937</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258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418</w:t>
            </w:r>
          </w:p>
        </w:tc>
      </w:tr>
      <w:tr>
        <w:trPr>
          <w:trHeight w:val="198"/>
        </w:trPr>
        <w:tc>
          <w:tcPr>
            <w:tcW w:w="25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 .</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(7,121)</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(5,616)</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(22,073)</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(17,170)</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(6,060)</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(1,134)</w:t>
            </w:r>
          </w:p>
        </w:tc>
      </w:tr>
      <w:tr>
        <w:trPr>
          <w:trHeight w:val="224"/>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Other, net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(1,729)</w:t>
            </w: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(1,636)</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(506)</w:t>
            </w:r>
          </w:p>
        </w:tc>
      </w:tr>
      <w:tr>
        <w:trPr>
          <w:trHeight w:val="20"/>
        </w:trPr>
        <w:tc>
          <w:tcPr>
            <w:tcW w:w="250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5"/>
        </w:trPr>
        <w:tc>
          <w:tcPr>
            <w:tcW w:w="2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Non-operating Expense</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(5,534)</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(22,067)</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(17,962)</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(7,438)</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(1,222)</w:t>
            </w:r>
          </w:p>
        </w:tc>
      </w:tr>
      <w:tr>
        <w:trPr>
          <w:trHeight w:val="224"/>
        </w:trPr>
        <w:tc>
          <w:tcPr>
            <w:tcW w:w="2500" w:type="dxa"/>
            <w:vAlign w:val="bottom"/>
            <w:gridSpan w:val="2"/>
          </w:tcPr>
          <w:p>
            <w:pPr>
              <w:spacing w:after="0"/>
              <w:rPr>
                <w:sz w:val="20"/>
                <w:szCs w:val="20"/>
                <w:color w:val="auto"/>
              </w:rPr>
            </w:pPr>
            <w:r>
              <w:rPr>
                <w:rFonts w:ascii="Arial" w:cs="Arial" w:eastAsia="Arial" w:hAnsi="Arial"/>
                <w:sz w:val="14"/>
                <w:szCs w:val="14"/>
                <w:color w:val="auto"/>
              </w:rPr>
              <w:t>Income (Loss) before Income Tax</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17,822</w:t>
            </w:r>
          </w:p>
        </w:tc>
        <w:tc>
          <w:tcPr>
            <w:tcW w:w="8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9,696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(4,682)</w:t>
            </w:r>
          </w:p>
        </w:tc>
        <w:tc>
          <w:tcPr>
            <w:tcW w:w="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60,160</w:t>
            </w: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25,910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28,446</w:t>
            </w:r>
          </w:p>
        </w:tc>
      </w:tr>
      <w:tr>
        <w:trPr>
          <w:trHeight w:val="20"/>
        </w:trPr>
        <w:tc>
          <w:tcPr>
            <w:tcW w:w="24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5,406</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2,445</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14,088</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161</w:t>
            </w: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24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7"/>
        </w:trPr>
        <w:tc>
          <w:tcPr>
            <w:tcW w:w="2440" w:type="dxa"/>
            <w:vAlign w:val="bottom"/>
          </w:tcPr>
          <w:p>
            <w:pPr>
              <w:spacing w:after="0"/>
              <w:rPr>
                <w:sz w:val="20"/>
                <w:szCs w:val="20"/>
                <w:color w:val="auto"/>
              </w:rPr>
            </w:pPr>
            <w:r>
              <w:rPr>
                <w:rFonts w:ascii="Arial" w:cs="Arial" w:eastAsia="Arial" w:hAnsi="Arial"/>
                <w:sz w:val="14"/>
                <w:szCs w:val="14"/>
                <w:color w:val="auto"/>
              </w:rPr>
              <w:t>Net Income (Loss)</w:t>
            </w: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12,416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7,251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(3,904)</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46,072</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(367)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25,910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28,446</w:t>
            </w: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35"/>
        </w:trPr>
        <w:tc>
          <w:tcPr>
            <w:tcW w:w="2500" w:type="dxa"/>
            <w:vAlign w:val="bottom"/>
            <w:tcBorders>
              <w:right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w w:val="98"/>
              </w:rPr>
              <w:t>Net Income (Loss) per share to common</w:t>
            </w: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80"/>
        </w:trPr>
        <w:tc>
          <w:tcPr>
            <w:tcW w:w="25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stockholders:</w:t>
            </w: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4"/>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Basic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0.26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0.16</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(0.08)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0.99</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(0.01)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4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0.96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5"/>
        </w:trPr>
        <w:tc>
          <w:tcPr>
            <w:tcW w:w="244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Shares used for computation</w:t>
            </w: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198"/>
        </w:trPr>
        <w:tc>
          <w:tcPr>
            <w:tcW w:w="25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48,496,077</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w w:val="85"/>
              </w:rPr>
              <w:t>46,805,951</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85"/>
              </w:rPr>
              <w:t>46,805,951</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46,773,038</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46,700,900</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100,000,000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8"/>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5"/>
              </w:rPr>
              <w:t>52,508,186</w:t>
            </w:r>
          </w:p>
        </w:tc>
        <w:tc>
          <w:tcPr>
            <w:tcW w:w="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w w:val="85"/>
              </w:rPr>
              <w:t>48,225,603</w:t>
            </w:r>
          </w:p>
        </w:tc>
        <w:tc>
          <w:tcPr>
            <w:tcW w:w="8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85"/>
              </w:rPr>
              <w:t>46,805,951</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47,909,413</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46,700,900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87"/>
              </w:rPr>
              <w:t>100,000,000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-395605</wp:posOffset>
            </wp:positionV>
            <wp:extent cx="349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-549275</wp:posOffset>
            </wp:positionV>
            <wp:extent cx="4813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1330" cy="698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-549275</wp:posOffset>
            </wp:positionV>
            <wp:extent cx="4889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-549275</wp:posOffset>
            </wp:positionV>
            <wp:extent cx="4889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-549275</wp:posOffset>
            </wp:positionV>
            <wp:extent cx="4889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-549275</wp:posOffset>
            </wp:positionV>
            <wp:extent cx="4889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-549275</wp:posOffset>
            </wp:positionV>
            <wp:extent cx="207200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72005" cy="698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-1086485</wp:posOffset>
            </wp:positionV>
            <wp:extent cx="3492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-1240155</wp:posOffset>
            </wp:positionV>
            <wp:extent cx="4889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-1240155</wp:posOffset>
            </wp:positionV>
            <wp:extent cx="9080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-1240155</wp:posOffset>
            </wp:positionV>
            <wp:extent cx="4889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-1240155</wp:posOffset>
            </wp:positionV>
            <wp:extent cx="4889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-1240155</wp:posOffset>
            </wp:positionV>
            <wp:extent cx="4889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-1240155</wp:posOffset>
            </wp:positionV>
            <wp:extent cx="4889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-1240155</wp:posOffset>
            </wp:positionV>
            <wp:extent cx="207200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7200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-1518920</wp:posOffset>
            </wp:positionV>
            <wp:extent cx="4889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-1518920</wp:posOffset>
            </wp:positionV>
            <wp:extent cx="9080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-1518920</wp:posOffset>
            </wp:positionV>
            <wp:extent cx="4889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-1518920</wp:posOffset>
            </wp:positionV>
            <wp:extent cx="4889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-1518920</wp:posOffset>
            </wp:positionV>
            <wp:extent cx="4889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-1518920</wp:posOffset>
            </wp:positionV>
            <wp:extent cx="4889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-1518920</wp:posOffset>
            </wp:positionV>
            <wp:extent cx="207200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7200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-2049145</wp:posOffset>
            </wp:positionV>
            <wp:extent cx="4889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-2049145</wp:posOffset>
            </wp:positionV>
            <wp:extent cx="9080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-2049145</wp:posOffset>
            </wp:positionV>
            <wp:extent cx="4889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-2049145</wp:posOffset>
            </wp:positionV>
            <wp:extent cx="4889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-2049145</wp:posOffset>
            </wp:positionV>
            <wp:extent cx="4889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-2049145</wp:posOffset>
            </wp:positionV>
            <wp:extent cx="4889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-2049145</wp:posOffset>
            </wp:positionV>
            <wp:extent cx="207200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72005" cy="698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-2202815</wp:posOffset>
            </wp:positionV>
            <wp:extent cx="3492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5322570</wp:posOffset>
            </wp:positionH>
            <wp:positionV relativeFrom="paragraph">
              <wp:posOffset>-2356485</wp:posOffset>
            </wp:positionV>
            <wp:extent cx="4889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-2356485</wp:posOffset>
            </wp:positionV>
            <wp:extent cx="9080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-2356485</wp:posOffset>
            </wp:positionV>
            <wp:extent cx="4889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-2356485</wp:posOffset>
            </wp:positionV>
            <wp:extent cx="4889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-2356485</wp:posOffset>
            </wp:positionV>
            <wp:extent cx="4889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-2356485</wp:posOffset>
            </wp:positionV>
            <wp:extent cx="4889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-2356485</wp:posOffset>
            </wp:positionV>
            <wp:extent cx="207200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72005" cy="698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-2865755</wp:posOffset>
            </wp:positionV>
            <wp:extent cx="4191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-2865755</wp:posOffset>
            </wp:positionV>
            <wp:extent cx="4191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-2865755</wp:posOffset>
            </wp:positionV>
            <wp:extent cx="419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-2865755</wp:posOffset>
            </wp:positionV>
            <wp:extent cx="4191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-2865755</wp:posOffset>
            </wp:positionV>
            <wp:extent cx="419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-2865755</wp:posOffset>
            </wp:positionV>
            <wp:extent cx="349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-2865755</wp:posOffset>
            </wp:positionV>
            <wp:extent cx="2794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99060</wp:posOffset>
            </wp:positionV>
            <wp:extent cx="44640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6" w:lineRule="exact"/>
        <w:rPr>
          <w:sz w:val="20"/>
          <w:szCs w:val="20"/>
          <w:color w:val="auto"/>
        </w:rPr>
      </w:pPr>
    </w:p>
    <w:p>
      <w:pPr>
        <w:ind w:left="1460" w:right="1279" w:hanging="296"/>
        <w:spacing w:after="0" w:line="237" w:lineRule="auto"/>
        <w:tabs>
          <w:tab w:leader="none" w:pos="1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45" w:lineRule="exact"/>
        <w:rPr>
          <w:rFonts w:ascii="Arial" w:cs="Arial" w:eastAsia="Arial" w:hAnsi="Arial"/>
          <w:sz w:val="14"/>
          <w:szCs w:val="14"/>
          <w:color w:val="auto"/>
        </w:rPr>
      </w:pPr>
    </w:p>
    <w:p>
      <w:pPr>
        <w:ind w:left="1460" w:right="1239" w:hanging="296"/>
        <w:spacing w:after="0" w:line="237" w:lineRule="auto"/>
        <w:tabs>
          <w:tab w:leader="none" w:pos="1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45" w:lineRule="exact"/>
        <w:rPr>
          <w:rFonts w:ascii="Arial" w:cs="Arial" w:eastAsia="Arial" w:hAnsi="Arial"/>
          <w:sz w:val="14"/>
          <w:szCs w:val="14"/>
          <w:color w:val="auto"/>
        </w:rPr>
      </w:pPr>
    </w:p>
    <w:p>
      <w:pPr>
        <w:ind w:left="1460" w:right="1259" w:hanging="296"/>
        <w:spacing w:after="0" w:line="225" w:lineRule="auto"/>
        <w:tabs>
          <w:tab w:leader="none" w:pos="1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45" w:lineRule="exact"/>
        <w:rPr>
          <w:rFonts w:ascii="Arial" w:cs="Arial" w:eastAsia="Arial" w:hAnsi="Arial"/>
          <w:sz w:val="15"/>
          <w:szCs w:val="15"/>
          <w:color w:val="auto"/>
        </w:rPr>
      </w:pPr>
    </w:p>
    <w:p>
      <w:pPr>
        <w:jc w:val="both"/>
        <w:ind w:left="1460" w:right="1339" w:hanging="296"/>
        <w:spacing w:after="0" w:line="229" w:lineRule="auto"/>
        <w:tabs>
          <w:tab w:leader="none" w:pos="1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79"/>
              </w:rPr>
              <w:t>As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0"/>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March 31,</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w w:val="86"/>
              </w:rPr>
              <w:t>As of December 31,</w:t>
            </w:r>
          </w:p>
        </w:tc>
        <w:tc>
          <w:tcPr>
            <w:tcW w:w="560" w:type="dxa"/>
            <w:vAlign w:val="bottom"/>
          </w:tcPr>
          <w:p>
            <w:pPr>
              <w:spacing w:after="0"/>
              <w:rPr>
                <w:sz w:val="13"/>
                <w:szCs w:val="13"/>
                <w:color w:val="auto"/>
              </w:rPr>
            </w:pPr>
          </w:p>
        </w:tc>
      </w:tr>
      <w:tr>
        <w:trPr>
          <w:trHeight w:val="21"/>
        </w:trPr>
        <w:tc>
          <w:tcPr>
            <w:tcW w:w="314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57"/>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2"/>
              </w:rPr>
              <w:t>2021</w:t>
            </w:r>
          </w:p>
        </w:tc>
        <w:tc>
          <w:tcPr>
            <w:tcW w:w="100" w:type="dxa"/>
            <w:vAlign w:val="bottom"/>
          </w:tcPr>
          <w:p>
            <w:pPr>
              <w:spacing w:after="0"/>
              <w:rPr>
                <w:sz w:val="13"/>
                <w:szCs w:val="13"/>
                <w:color w:val="auto"/>
              </w:rPr>
            </w:pPr>
          </w:p>
        </w:tc>
        <w:tc>
          <w:tcPr>
            <w:tcW w:w="680" w:type="dxa"/>
            <w:vAlign w:val="bottom"/>
          </w:tcPr>
          <w:p>
            <w:pPr>
              <w:jc w:val="right"/>
              <w:ind w:right="15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5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2017</w:t>
            </w: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Consolidated Balance Sheet Data:</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9"/>
        </w:trPr>
        <w:tc>
          <w:tcPr>
            <w:tcW w:w="3140" w:type="dxa"/>
            <w:vAlign w:val="bottom"/>
            <w:gridSpan w:val="2"/>
          </w:tcPr>
          <w:p>
            <w:pPr>
              <w:spacing w:after="0"/>
              <w:rPr>
                <w:sz w:val="20"/>
                <w:szCs w:val="20"/>
                <w:color w:val="auto"/>
              </w:rPr>
            </w:pPr>
            <w:r>
              <w:rPr>
                <w:rFonts w:ascii="Arial" w:cs="Arial" w:eastAsia="Arial" w:hAnsi="Arial"/>
                <w:sz w:val="15"/>
                <w:szCs w:val="15"/>
                <w:color w:val="auto"/>
              </w:rPr>
              <w:t>Cash and equivalents</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  269,599</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w w:val="98"/>
              </w:rPr>
              <w:t>$   62,028</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51,006</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$ 29,600</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  4,276</w:t>
            </w:r>
          </w:p>
        </w:tc>
      </w:tr>
      <w:tr>
        <w:trPr>
          <w:trHeight w:val="20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assets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8"/>
              </w:rPr>
              <w:t>1,244,202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8"/>
              </w:rPr>
              <w:t>1,053,267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3"/>
              </w:rPr>
              <w:t>1,007,876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9"/>
              </w:rPr>
              <w:t>675,832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216,828</w:t>
            </w:r>
          </w:p>
        </w:tc>
      </w:tr>
      <w:tr>
        <w:trPr>
          <w:trHeight w:val="158"/>
        </w:trPr>
        <w:tc>
          <w:tcPr>
            <w:tcW w:w="3140" w:type="dxa"/>
            <w:vAlign w:val="bottom"/>
            <w:gridSpan w:val="2"/>
          </w:tcPr>
          <w:p>
            <w:pPr>
              <w:spacing w:after="0" w:line="158" w:lineRule="exact"/>
              <w:rPr>
                <w:sz w:val="20"/>
                <w:szCs w:val="20"/>
                <w:color w:val="auto"/>
              </w:rPr>
            </w:pPr>
            <w:r>
              <w:rPr>
                <w:rFonts w:ascii="Arial" w:cs="Arial" w:eastAsia="Arial" w:hAnsi="Arial"/>
                <w:sz w:val="15"/>
                <w:szCs w:val="15"/>
                <w:color w:val="auto"/>
              </w:rPr>
              <w:t>Long-term debt and finance lease obligations,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8"/>
        </w:trPr>
        <w:tc>
          <w:tcPr>
            <w:tcW w:w="3140" w:type="dxa"/>
            <w:vAlign w:val="bottom"/>
            <w:gridSpan w:val="2"/>
          </w:tcPr>
          <w:p>
            <w:pPr>
              <w:ind w:left="160"/>
              <w:spacing w:after="0" w:line="238" w:lineRule="exact"/>
              <w:rPr>
                <w:sz w:val="20"/>
                <w:szCs w:val="20"/>
                <w:color w:val="auto"/>
              </w:rPr>
            </w:pPr>
            <w:r>
              <w:rPr>
                <w:rFonts w:ascii="Arial" w:cs="Arial" w:eastAsia="Arial" w:hAnsi="Arial"/>
                <w:sz w:val="15"/>
                <w:szCs w:val="15"/>
                <w:color w:val="auto"/>
              </w:rPr>
              <w:t>including current portion</w:t>
            </w:r>
            <w:r>
              <w:rPr>
                <w:rFonts w:ascii="Arial" w:cs="Arial" w:eastAsia="Arial" w:hAnsi="Arial"/>
                <w:sz w:val="21"/>
                <w:szCs w:val="21"/>
                <w:color w:val="auto"/>
                <w:vertAlign w:val="superscript"/>
              </w:rPr>
              <w:t>(1)</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406,629</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389,633</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284,272</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150,246</w:t>
            </w:r>
          </w:p>
        </w:tc>
        <w:tc>
          <w:tcPr>
            <w:tcW w:w="560" w:type="dxa"/>
            <w:vAlign w:val="bottom"/>
          </w:tcPr>
          <w:p>
            <w:pPr>
              <w:jc w:val="right"/>
              <w:spacing w:after="0"/>
              <w:rPr>
                <w:sz w:val="20"/>
                <w:szCs w:val="20"/>
                <w:color w:val="auto"/>
              </w:rPr>
            </w:pPr>
            <w:r>
              <w:rPr>
                <w:rFonts w:ascii="Arial" w:cs="Arial" w:eastAsia="Arial" w:hAnsi="Arial"/>
                <w:sz w:val="15"/>
                <w:szCs w:val="15"/>
                <w:color w:val="auto"/>
              </w:rPr>
              <w:t>11,273</w:t>
            </w:r>
          </w:p>
        </w:tc>
      </w:tr>
      <w:tr>
        <w:trPr>
          <w:trHeight w:val="20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409,960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283,817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283,724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9"/>
              </w:rPr>
              <w:t>235,647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-787400</wp:posOffset>
            </wp:positionV>
            <wp:extent cx="5588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-787400</wp:posOffset>
            </wp:positionV>
            <wp:extent cx="5588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3655060</wp:posOffset>
            </wp:positionH>
            <wp:positionV relativeFrom="paragraph">
              <wp:posOffset>-787400</wp:posOffset>
            </wp:positionV>
            <wp:extent cx="5588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-787400</wp:posOffset>
            </wp:positionV>
            <wp:extent cx="5588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-787400</wp:posOffset>
            </wp:positionV>
            <wp:extent cx="5588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55" w:lineRule="exact"/>
        <w:rPr>
          <w:sz w:val="20"/>
          <w:szCs w:val="20"/>
          <w:color w:val="auto"/>
        </w:rPr>
      </w:pPr>
    </w:p>
    <w:p>
      <w:pPr>
        <w:ind w:left="1460" w:right="1239" w:hanging="296"/>
        <w:spacing w:after="0" w:line="225" w:lineRule="auto"/>
        <w:tabs>
          <w:tab w:leader="none" w:pos="1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Finance lease obligations were formerly referred to as capital lease obligations prior to our adoption of Accounting Standards Codification 842: Leases (“ASC 842”) on January 1, 2019. See Note 2 to our audited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MANAGEMENT’S DISCUSSION AND ANALYSIS OF FINANCIAL CONDITION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RESULTS OF OPERATIONS</w:t>
      </w:r>
    </w:p>
    <w:p>
      <w:pPr>
        <w:spacing w:after="0" w:line="101"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services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99"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Our scheduled service business combines low costs with a high quality product to generate higher TRASM than ULCCs while maintaining lower Adjusted CASM than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103"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Our charter business, which is one of the largest narrow body charter operations in the United 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65" w:lineRule="auto"/>
        <w:rPr>
          <w:sz w:val="20"/>
          <w:szCs w:val="20"/>
          <w:color w:val="auto"/>
        </w:rPr>
      </w:pPr>
      <w:r>
        <w:rPr>
          <w:rFonts w:ascii="Arial" w:cs="Arial" w:eastAsia="Arial" w:hAnsi="Arial"/>
          <w:sz w:val="14"/>
          <w:szCs w:val="14"/>
          <w:color w:val="auto"/>
        </w:rPr>
        <w:t>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In the first quarter of 2021, our charter revenues were 32.4% lower when compared to the first quarter of 2019. In comparison, combined U.S. passenger airline revenues were 61.7% lower during the first quarter of 2021 when compared to the first quarter of 2019.</w:t>
      </w:r>
    </w:p>
    <w:p>
      <w:pPr>
        <w:spacing w:after="0" w:line="95" w:lineRule="exact"/>
        <w:rPr>
          <w:sz w:val="20"/>
          <w:szCs w:val="20"/>
          <w:color w:val="auto"/>
        </w:rPr>
      </w:pPr>
    </w:p>
    <w:p>
      <w:pPr>
        <w:ind w:left="1160" w:right="1259" w:firstLine="293"/>
        <w:spacing w:after="0" w:line="265" w:lineRule="auto"/>
        <w:rPr>
          <w:sz w:val="20"/>
          <w:szCs w:val="20"/>
          <w:color w:val="auto"/>
        </w:rPr>
      </w:pPr>
      <w:r>
        <w:rPr>
          <w:rFonts w:ascii="Arial" w:cs="Arial" w:eastAsia="Arial" w:hAnsi="Arial"/>
          <w:sz w:val="14"/>
          <w:szCs w:val="14"/>
          <w:color w:val="auto"/>
        </w:rPr>
        <w:t>On December 13, 2019, we signed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17"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On April 11, 2018, Sun Country Airlines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94"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4"/>
          <w:szCs w:val="14"/>
          <w:color w:val="auto"/>
        </w:rPr>
        <w:t>Due to the change in the basis of accounting resulting from the acquisition, the financial information for the Predecessor and Successor periods are not necessarily comparable. 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w:t>
      </w:r>
    </w:p>
    <w:p>
      <w:pPr>
        <w:spacing w:after="0" w:line="3" w:lineRule="exact"/>
        <w:rPr>
          <w:sz w:val="20"/>
          <w:szCs w:val="20"/>
          <w:color w:val="auto"/>
        </w:rPr>
      </w:pPr>
    </w:p>
    <w:p>
      <w:pPr>
        <w:ind w:left="1160" w:right="1299" w:firstLine="4"/>
        <w:spacing w:after="0" w:line="266" w:lineRule="auto"/>
        <w:tabs>
          <w:tab w:leader="none" w:pos="1379"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See Note 2 to our audited consolidated financial statements included elsewhere in this prospectus for additional information.</w:t>
      </w:r>
    </w:p>
    <w:p>
      <w:pPr>
        <w:spacing w:after="0" w:line="94"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financial information, accounting policies and activities of the Successor and Predecessor are referred to as those of the Company. The Successor adopted the Predecessor’s accounting policies. See Note 2 to our audited consolidated financial statements included elsewhere in this prospectus for additional information.</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For the years ended December 31, 2019 and 2018, we were managed as a single segment that provided scheduled service and charter air transportation to passengers. In May 2020, we began providing air cargo services under the ATSA and, during the fourth quarter of 2020, we determined that we have two reportable segments: passenger and cargo. To the extent material to the understanding of segment profitability, we more fully describe the segment expenses per financial statement line item. As air cargo operations commenced in May 2020, the cargo segment had no comparable operations for any other prior period presented.</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Years in Review</w:t>
      </w:r>
    </w:p>
    <w:p>
      <w:pPr>
        <w:spacing w:after="0" w:line="128"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 none of which are offered by ULCCs.</w:t>
      </w:r>
    </w:p>
    <w:p>
      <w:pPr>
        <w:spacing w:after="0" w:line="9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From late 2017 through 2019, we transformed our business by implementing our strategy of providing a high quality travel experience at affordable fares. We redesigned our network to focus our flying on peak demand opportunities at both our MSP hub and our growing network of non-MSP point-to-point markets, which supported a 43% increase in passengers from 2017 to 2019. During those years, we invested significantly in mid-life Boeing 737-800 aircraft, new aircraft interiors and seat densification and other growth-oriented and cost-saving initiatives. During 2019, we reconfigured the seat density of substantially all our aircraft to 183 seats, and subsequently further increased the seat density of our fleet to 186 seats. At 186 seats, we offer two different seat categories: Best and Standard. The Best category includes preferred boarding, one complimentary alcoholic beverage, four inches of extra legroom and 150% extra recline. Additionally, we meaningfully expanded our ancillary product offerings by introducing carry-on and checked bag fees and increasing our buy-on-board options, stimulating passenger demand for our product through low base fares and enabling passengers to identify, select and pay for the products and services they want to use. Average ancillary revenue per scheduled service passenger increased by 148% from 2017 to 2019. These efforts were further complemented by the implementation of a robust and scalable reservation and distribution system and new website in 2019, the redesign of our loyalty program in 2018 to be simple and family friendly, and improved flexibility of our cancellation policy.</w:t>
      </w:r>
    </w:p>
    <w:p>
      <w:pPr>
        <w:spacing w:after="0" w:line="100" w:lineRule="exact"/>
        <w:rPr>
          <w:sz w:val="20"/>
          <w:szCs w:val="20"/>
          <w:color w:val="auto"/>
        </w:rPr>
      </w:pPr>
    </w:p>
    <w:p>
      <w:pPr>
        <w:ind w:left="1160" w:right="1219" w:firstLine="293"/>
        <w:spacing w:after="0" w:line="246" w:lineRule="auto"/>
        <w:rPr>
          <w:sz w:val="20"/>
          <w:szCs w:val="20"/>
          <w:color w:val="auto"/>
        </w:rPr>
      </w:pPr>
      <w:r>
        <w:rPr>
          <w:rFonts w:ascii="Arial" w:cs="Arial" w:eastAsia="Arial" w:hAnsi="Arial"/>
          <w:sz w:val="15"/>
          <w:szCs w:val="15"/>
          <w:color w:val="auto"/>
        </w:rPr>
        <w:t>Our revenue grew from $560 million in 2017 to $701 million in 2019 primarily as a result of our increased capacity following the expansion of our network. Our ASMs increased from 5.3 billion in 2017 to 7.1 billion in 2019, driven primarily by an increase in average seat density of our aircraft and an increase in the number of flights and block hours. Our scheduled service revenue grew from $372 million in 2017 to $396 million in 2019. We have focused on the expansion of our network of point-to-point travel outside of MSP to leverage seasonal demand where other airlines are unable to respond effectively to the needs of the market. Since implementing our non-MSP route strategy in early 2018, we grew this service to 10% of scheduled service block hours in 2018 and further increased non-MSP service to 20% of scheduled service block hours in 2019. Our charter service revenue grew from $132 million in 2017 to $175 million in 2019 primarily due to an increase in the number of charter flights for our casino and sports customers and the U.S. Department of Defense.</w:t>
      </w:r>
    </w:p>
    <w:p>
      <w:pPr>
        <w:spacing w:after="0" w:line="110" w:lineRule="exact"/>
        <w:rPr>
          <w:sz w:val="20"/>
          <w:szCs w:val="20"/>
          <w:color w:val="auto"/>
        </w:rPr>
      </w:pPr>
    </w:p>
    <w:p>
      <w:pPr>
        <w:ind w:left="1160" w:right="1479" w:firstLine="293"/>
        <w:spacing w:after="0" w:line="290" w:lineRule="auto"/>
        <w:rPr>
          <w:sz w:val="20"/>
          <w:szCs w:val="20"/>
          <w:color w:val="auto"/>
        </w:rPr>
      </w:pPr>
      <w:r>
        <w:rPr>
          <w:rFonts w:ascii="Arial" w:cs="Arial" w:eastAsia="Arial" w:hAnsi="Arial"/>
          <w:sz w:val="13"/>
          <w:szCs w:val="13"/>
          <w:color w:val="auto"/>
        </w:rPr>
        <w:t>Our transformation reduced operating costs during this same time period, resulting in a decrease in CASM from 10.09 cents in 2017 to 8.82 cents in 2019 and Adjusted CASM from 7.80 cents in 2017 to</w:t>
      </w:r>
    </w:p>
    <w:p>
      <w:pPr>
        <w:spacing w:after="0" w:line="1"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6.31 cents in 2019, which allowed us to offer highly competitive low-cost fares to our customers and reduce our average fare per scheduled service passenger from $148.60 in 2017 to $111.08 in 2019. The primary drivers of our cost savings were renegotiating our component maintenance agreement, fuel savings initiatives, catering cost reductions, renegotiation of distribution contracts and various other initiatives. In December 2019, we arranged for the financing or refinancing of 13 used aircraft in a EETC structure, which we completed in June 2020, further reducing costs in 2020 and beyond. Our cost structure has resulted in our ability to maintain low costs at lower utilizations, which enables us to tailor schedules to peak periods of demand. These efforts improved our operating margin from 5.3% in 2017 to 11.1% in 2019.</w:t>
      </w:r>
    </w:p>
    <w:p>
      <w:pPr>
        <w:spacing w:after="0" w:line="83" w:lineRule="exact"/>
        <w:rPr>
          <w:sz w:val="20"/>
          <w:szCs w:val="20"/>
          <w:color w:val="auto"/>
        </w:rPr>
      </w:pPr>
    </w:p>
    <w:p>
      <w:pPr>
        <w:ind w:left="1160" w:right="1319" w:firstLine="293"/>
        <w:spacing w:after="0" w:line="341" w:lineRule="auto"/>
        <w:rPr>
          <w:sz w:val="20"/>
          <w:szCs w:val="20"/>
          <w:color w:val="auto"/>
        </w:rPr>
      </w:pPr>
      <w:r>
        <w:rPr>
          <w:rFonts w:ascii="Arial" w:cs="Arial" w:eastAsia="Arial" w:hAnsi="Arial"/>
          <w:sz w:val="13"/>
          <w:szCs w:val="13"/>
          <w:color w:val="auto"/>
        </w:rPr>
        <w:t>In May 2020, we began providing air cargo transportation services under the ATSA. In June 2020, we entered into an amendment to the ATSA that added two additional aircraft to the agreement, which were</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39"/>
        <w:spacing w:after="0" w:line="254" w:lineRule="auto"/>
        <w:rPr>
          <w:sz w:val="20"/>
          <w:szCs w:val="20"/>
          <w:color w:val="auto"/>
        </w:rPr>
      </w:pPr>
      <w:r>
        <w:rPr>
          <w:rFonts w:ascii="Arial" w:cs="Arial" w:eastAsia="Arial" w:hAnsi="Arial"/>
          <w:sz w:val="15"/>
          <w:szCs w:val="15"/>
          <w:color w:val="auto"/>
        </w:rPr>
        <w:t>delivered in the fourth quarter of 2020, bringing the total number of aircraft we fly for Amazon to 12. In August 2020, we entered into a contract with Major League Soccer to provide charter flights for professional soccer teams.</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COVID-19 pandemic resulted in a dramatic decline in passenger demand across the U.S. airline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industry. We have experienced a significant decline in demand related to the COVID-19 pandemic, which</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has caused a material decline in our 2020 revenues and negatively impacted our financial condition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operating results during the COVID-19 pandemic, which is likely to continue for the duration of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COVID-19 pandemic, and our business operations were adjusted in response to the pandemic. Actions we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took during 2020 to mitigate the impact of the COVID-19 induced downturn include: capacity reductions;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company-wide hiring freeze; voluntary leave programs; reduced capital expenditures; and deferred vendor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payments. In February 2021, we entered into the Credit Agreement. In connection with the COVID-19</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pandemic, we received CARES Act grants of $62.3 million during 2020 and a loan of $45.0 million in</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October 2020. On January 22, 2021, we were informed by Treasury that we would receive a grant of</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$32.2 million under the Payroll Support Program Extension under the Consolidated Appropriations Act</w:t>
      </w:r>
    </w:p>
    <w:p>
      <w:pPr>
        <w:spacing w:after="0" w:line="15" w:lineRule="exact"/>
        <w:rPr>
          <w:sz w:val="20"/>
          <w:szCs w:val="20"/>
          <w:color w:val="auto"/>
        </w:rPr>
      </w:pPr>
    </w:p>
    <w:p>
      <w:pPr>
        <w:ind w:left="1160" w:right="1199"/>
        <w:spacing w:after="0" w:line="262" w:lineRule="auto"/>
        <w:rPr>
          <w:sz w:val="20"/>
          <w:szCs w:val="20"/>
          <w:color w:val="auto"/>
        </w:rPr>
      </w:pPr>
      <w:r>
        <w:rPr>
          <w:rFonts w:ascii="Arial" w:cs="Arial" w:eastAsia="Arial" w:hAnsi="Arial"/>
          <w:sz w:val="14"/>
          <w:szCs w:val="14"/>
          <w:color w:val="auto"/>
        </w:rPr>
        <w:t>of 2021. We received $16.1 million on February 2, 2021, an additional $16.1 million on March 26, 2021 and an additional $4.8 million in grants on April 22, 2021. Further, we were notified on April 15, 2021 that</w:t>
      </w:r>
    </w:p>
    <w:p>
      <w:pPr>
        <w:jc w:val="both"/>
        <w:ind w:left="1160" w:right="1419"/>
        <w:spacing w:after="0" w:line="246" w:lineRule="auto"/>
        <w:rPr>
          <w:sz w:val="20"/>
          <w:szCs w:val="20"/>
          <w:color w:val="auto"/>
        </w:rPr>
      </w:pPr>
      <w:r>
        <w:rPr>
          <w:rFonts w:ascii="Arial" w:cs="Arial" w:eastAsia="Arial" w:hAnsi="Arial"/>
          <w:sz w:val="15"/>
          <w:szCs w:val="15"/>
          <w:color w:val="auto"/>
        </w:rPr>
        <w:t>we would receive a grant of approximately $34.5 million under Payroll Support Program 3. Of this grant amount, $17.3 million was received on April 29, 2021 and the remaining $17.2 million was received on May 27, 2021.</w:t>
      </w:r>
    </w:p>
    <w:p>
      <w:pPr>
        <w:spacing w:after="0" w:line="96"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While the COVID-19 induced industry downturn has delayed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 While Adjusted CASM for all U.S. airlines increased in 2020 as a result of the COVID-19 induced downturn, we believe that our business model and strategy positions us well to maintain and improve our Adjusted CASM in the future, while maintaining lower utilization rates than most of our peers.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 Plan</w:t>
      </w:r>
    </w:p>
    <w:p>
      <w:pPr>
        <w:spacing w:after="0" w:line="128"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color w:val="auto"/>
        </w:rPr>
        <w:t>During 2019, we completed the transition of our fleet to substantially all mid-life Boeing 737-800s, a Boeing 737-NG variant, and as of the date of this prospectus, we operate a fleet of 46 aircraft, including 34 passenger and 12 cargo aircraft. The use of a single aircraft variant allows for additional cost efficiencies as a result of simplified scheduling, maintenance, flight operations and training. The transition to 737-800s also resulted in an increase in seat density on substantially all of our passenger aircraft to 183 seats in 2019, which will provide for greater fuel efficiency per ASM. We further increased the seat density of our fleet to 186 seats as a result of additional seat reconfiguration which was completed in 2020.</w:t>
      </w:r>
    </w:p>
    <w:p>
      <w:pPr>
        <w:spacing w:after="0" w:line="93"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We currently have plans to grow our operating capacity as we take delivery of additional aircraft and make changes to our network:</w:t>
      </w:r>
    </w:p>
    <w:p>
      <w:pPr>
        <w:spacing w:after="0" w:line="60" w:lineRule="exact"/>
        <w:rPr>
          <w:sz w:val="20"/>
          <w:szCs w:val="20"/>
          <w:color w:val="auto"/>
        </w:rPr>
      </w:pPr>
    </w:p>
    <w:p>
      <w:pPr>
        <w:ind w:left="1600" w:right="145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took delivery of an additional two Boeing 737-800 aircraft provided by Amazon in the fourth quarter of 2020, which brought the total Amazon aircraft to 12.</w:t>
      </w:r>
    </w:p>
    <w:p>
      <w:pPr>
        <w:spacing w:after="0" w:line="59" w:lineRule="exact"/>
        <w:rPr>
          <w:rFonts w:ascii="Arial" w:cs="Arial" w:eastAsia="Arial" w:hAnsi="Arial"/>
          <w:sz w:val="15"/>
          <w:szCs w:val="15"/>
          <w:color w:val="auto"/>
        </w:rPr>
      </w:pPr>
    </w:p>
    <w:p>
      <w:pPr>
        <w:ind w:left="1600" w:right="1379" w:hanging="143"/>
        <w:spacing w:after="0" w:line="264" w:lineRule="auto"/>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have identified commercial opportunities to add up to two additional aircraft to our fleet in the remainder of 2021.</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then plan to grow the passenger fleet to an estimated 50 aircraft by the end of 2023.</w:t>
      </w:r>
    </w:p>
    <w:p>
      <w:pPr>
        <w:spacing w:after="0" w:line="124"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We expect to finance all of our additional passenger aircraft through debt or finance leases, though we also may enter into new operating leases on an opportunistic basis. Additionally, we may buy out a certain portion of our existing aircraft currently financed under operating lease agreements over the next several years, using either mortgage based financings or enhanced equipment trust certificates (EETC). EETC structures are issued through pass-through trusts, which are structured to provide for certain credit enhancements that reduce the risks to the purchasers of the trust certificates and, as a result, reduce the cost of our aircraft financing. As of December 31, 2020, 13 of our aircraft were structured under the 2019-1 EETC. These aircraft consisted of a portion of previously leased aircraft (operating and finance leases), previously owned</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39"/>
        <w:spacing w:after="0" w:line="264" w:lineRule="auto"/>
        <w:rPr>
          <w:sz w:val="20"/>
          <w:szCs w:val="20"/>
          <w:color w:val="auto"/>
        </w:rPr>
      </w:pPr>
      <w:r>
        <w:rPr>
          <w:rFonts w:ascii="Arial" w:cs="Arial" w:eastAsia="Arial" w:hAnsi="Arial"/>
          <w:sz w:val="15"/>
          <w:szCs w:val="15"/>
          <w:color w:val="auto"/>
        </w:rPr>
        <w:t>aircraft which were refinanced with favorable terms under the EETC, and aircraft new to the fleet. The EETC has and will continue to reduce our financing costs.</w:t>
      </w:r>
    </w:p>
    <w:p>
      <w:pPr>
        <w:spacing w:after="0" w:line="93"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Our strategy is to target mid-life aircraft due to the lower ownership costs relative to new aircraft and the flexibility associated with a liquid market for mid-life aircraft. This allows us to adjust the composition of our fleet with limited forward commitments. The average age of the passenger aircraft in our fleet as of December 31, 2020 was approximately 15 years, and we do not expect this to change in the near future. We view aircraft ownership as preferable to leasing due to:</w:t>
      </w:r>
    </w:p>
    <w:p>
      <w:pPr>
        <w:spacing w:after="0" w:line="72" w:lineRule="exact"/>
        <w:rPr>
          <w:sz w:val="20"/>
          <w:szCs w:val="20"/>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Increased level of control to optimize and utilize maintenance value;</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Competitive financing costs at investment grade rates;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Flexibility to sell or retire aircraft at any time.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Trends and Uncertainties Affecting Our Business</w:t>
      </w:r>
    </w:p>
    <w:p>
      <w:pPr>
        <w:spacing w:after="0" w:line="128" w:lineRule="exact"/>
        <w:rPr>
          <w:sz w:val="20"/>
          <w:szCs w:val="20"/>
          <w:color w:val="auto"/>
        </w:rPr>
      </w:pPr>
    </w:p>
    <w:p>
      <w:pPr>
        <w:ind w:left="1160" w:right="1179" w:firstLine="293"/>
        <w:spacing w:after="0" w:line="263" w:lineRule="auto"/>
        <w:rPr>
          <w:sz w:val="20"/>
          <w:szCs w:val="20"/>
          <w:color w:val="auto"/>
        </w:rPr>
      </w:pPr>
      <w:r>
        <w:rPr>
          <w:rFonts w:ascii="Arial" w:cs="Arial" w:eastAsia="Arial" w:hAnsi="Arial"/>
          <w:sz w:val="14"/>
          <w:szCs w:val="14"/>
          <w:i w:val="1"/>
          <w:iCs w:val="1"/>
          <w:color w:val="auto"/>
        </w:rPr>
        <w:t>COVID-19 Pandemic</w:t>
      </w:r>
      <w:r>
        <w:rPr>
          <w:rFonts w:ascii="Arial" w:cs="Arial" w:eastAsia="Arial" w:hAnsi="Arial"/>
          <w:sz w:val="14"/>
          <w:szCs w:val="14"/>
          <w:color w:val="auto"/>
        </w:rPr>
        <w:t>: The COVID-19 pandemic and shelter-in-place directives greatly impacted our</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results for the year ended December 31, 2020 and will continue to do so into the future. Air traffic demand is down substantially, and base air fares are down as well. We cannot predict when air travel will return to customary levels or at what pace. In the meantime, our revenues will be adversely affected. We believe that demand in the foreseeable future will continue to fluctuate in response to fluctuations in COVID-19 cases, hospitalizations, deaths, treatment efficacy and the availability of a vaccine. The impacts of the COVID-19 pandemic have resulted in a reduction in our flight schedule. It is likely that reduced schedules will continue into the future. We currently allow customers to cancel their flights for travel credits that they are able to use within 12 months of the original booking date, and record as revenue when such credits expire unused or when passenger flights occur. A significant amount of outstanding passenger credits from reservations made in early 2020 are expiring within the next year, and as passengers use such credits to book flights, our cash receipts in 2021 are expected to be adversely impacted. We are closely monitoring bookings and making decisions on schedule changes as necessary based on demand. As the COVID-19 pandemic continues to evolve, our financial and operational outlook remains subject to change. We currently expect to incur near-term operating losses and negative cash flows as a result of the expected continued decline in passenger and charter bookings as compared to 2019. The extent of the impact of COVID-19 on our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 See “</w:t>
      </w:r>
      <w:r>
        <w:rPr>
          <w:rFonts w:ascii="Arial" w:cs="Arial" w:eastAsia="Arial" w:hAnsi="Arial"/>
          <w:sz w:val="14"/>
          <w:szCs w:val="14"/>
          <w:i w:val="1"/>
          <w:iCs w:val="1"/>
          <w:color w:val="auto"/>
        </w:rPr>
        <w:t>Risk Factors</w:t>
      </w:r>
      <w:r>
        <w:rPr>
          <w:rFonts w:ascii="Arial" w:cs="Arial" w:eastAsia="Arial" w:hAnsi="Arial"/>
          <w:sz w:val="14"/>
          <w:szCs w:val="14"/>
          <w:color w:val="auto"/>
        </w:rPr>
        <w:t>,” including “</w:t>
      </w:r>
      <w:r>
        <w:rPr>
          <w:rFonts w:ascii="Arial" w:cs="Arial" w:eastAsia="Arial" w:hAnsi="Arial"/>
          <w:sz w:val="14"/>
          <w:szCs w:val="14"/>
          <w:i w:val="1"/>
          <w:iCs w:val="1"/>
          <w:color w:val="auto"/>
        </w:rPr>
        <w:t>Risk Factors—Risks Related to Our Industry—The global pandemic</w:t>
      </w:r>
      <w:r>
        <w:rPr>
          <w:rFonts w:ascii="Arial" w:cs="Arial" w:eastAsia="Arial" w:hAnsi="Arial"/>
          <w:sz w:val="14"/>
          <w:szCs w:val="14"/>
          <w:color w:val="auto"/>
        </w:rPr>
        <w:t xml:space="preserve"> </w:t>
      </w:r>
      <w:r>
        <w:rPr>
          <w:rFonts w:ascii="Arial" w:cs="Arial" w:eastAsia="Arial" w:hAnsi="Arial"/>
          <w:sz w:val="14"/>
          <w:szCs w:val="14"/>
          <w:i w:val="1"/>
          <w:iCs w:val="1"/>
          <w:color w:val="auto"/>
        </w:rPr>
        <w:t>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r>
        <w:rPr>
          <w:rFonts w:ascii="Arial" w:cs="Arial" w:eastAsia="Arial" w:hAnsi="Arial"/>
          <w:sz w:val="14"/>
          <w:szCs w:val="14"/>
          <w:color w:val="auto"/>
        </w:rPr>
        <w:t>” and “</w:t>
      </w:r>
      <w:r>
        <w:rPr>
          <w:rFonts w:ascii="Arial" w:cs="Arial" w:eastAsia="Arial" w:hAnsi="Arial"/>
          <w:sz w:val="14"/>
          <w:szCs w:val="14"/>
          <w:i w:val="1"/>
          <w:iCs w:val="1"/>
          <w:color w:val="auto"/>
        </w:rPr>
        <w:t>Risk Factors—Risks Related to Our Business—The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r>
        <w:rPr>
          <w:rFonts w:ascii="Arial" w:cs="Arial" w:eastAsia="Arial" w:hAnsi="Arial"/>
          <w:sz w:val="14"/>
          <w:szCs w:val="14"/>
          <w:color w:val="auto"/>
        </w:rPr>
        <w:t>.”</w:t>
      </w:r>
    </w:p>
    <w:p>
      <w:pPr>
        <w:spacing w:after="0" w:line="92"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i w:val="1"/>
          <w:iCs w:val="1"/>
          <w:color w:val="auto"/>
        </w:rPr>
        <w:t>Additional factors impacting our business</w:t>
      </w:r>
      <w:r>
        <w:rPr>
          <w:rFonts w:ascii="Arial" w:cs="Arial" w:eastAsia="Arial" w:hAnsi="Arial"/>
          <w:sz w:val="15"/>
          <w:szCs w:val="15"/>
          <w:color w:val="auto"/>
        </w:rPr>
        <w:t>: We believe our operating performance is driven by</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factors that typically affect airlines and their markets, including trends which affect the broader travel industry, as well as trends which affect the specific markets and customer base that we target. The following key factors may affect our future performance:</w:t>
      </w:r>
    </w:p>
    <w:p>
      <w:pPr>
        <w:spacing w:after="0" w:line="102"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i w:val="1"/>
          <w:iCs w:val="1"/>
          <w:color w:val="auto"/>
        </w:rPr>
        <w:t>Competition</w:t>
      </w:r>
      <w:r>
        <w:rPr>
          <w:rFonts w:ascii="Arial" w:cs="Arial" w:eastAsia="Arial" w:hAnsi="Arial"/>
          <w:sz w:val="14"/>
          <w:szCs w:val="14"/>
          <w:color w:val="auto"/>
        </w:rPr>
        <w:t>. The airline industry is highly competitive. The principal competitive factors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airline industry are the fare, flight schedules, 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 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firstLine="293"/>
        <w:spacing w:after="0" w:line="250" w:lineRule="auto"/>
        <w:rPr>
          <w:sz w:val="20"/>
          <w:szCs w:val="20"/>
          <w:color w:val="auto"/>
        </w:rPr>
      </w:pPr>
      <w:r>
        <w:rPr>
          <w:rFonts w:ascii="Arial" w:cs="Arial" w:eastAsia="Arial" w:hAnsi="Arial"/>
          <w:sz w:val="14"/>
          <w:szCs w:val="14"/>
          <w:color w:val="auto"/>
        </w:rPr>
        <w:t>The availability of low-priced fares coupled with an increase in domestic capacity has led to dramatic changes in pricing behavior in many U.S. markets. Legacy network airlines have also begun matching LCC and ULCC pricing on portions of their marginal unsold capacity, which we expect to continue for the foreseeable future. Many domestic 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4"/>
          <w:szCs w:val="14"/>
          <w:i w:val="1"/>
          <w:iCs w:val="1"/>
          <w:color w:val="auto"/>
        </w:rPr>
        <w:t>Risk Factors</w:t>
      </w:r>
      <w:r>
        <w:rPr>
          <w:rFonts w:ascii="Arial" w:cs="Arial" w:eastAsia="Arial" w:hAnsi="Arial"/>
          <w:sz w:val="14"/>
          <w:szCs w:val="14"/>
          <w:color w:val="auto"/>
        </w:rPr>
        <w:t>” included elsewhere in this prospectus for additional information.</w:t>
      </w:r>
    </w:p>
    <w:p>
      <w:pPr>
        <w:spacing w:after="0" w:line="95" w:lineRule="exact"/>
        <w:rPr>
          <w:sz w:val="20"/>
          <w:szCs w:val="20"/>
          <w:color w:val="auto"/>
        </w:rPr>
      </w:pPr>
    </w:p>
    <w:p>
      <w:pPr>
        <w:ind w:left="1160" w:right="1319" w:firstLine="293"/>
        <w:spacing w:after="0" w:line="239" w:lineRule="auto"/>
        <w:rPr>
          <w:sz w:val="20"/>
          <w:szCs w:val="20"/>
          <w:color w:val="auto"/>
        </w:rPr>
      </w:pPr>
      <w:r>
        <w:rPr>
          <w:rFonts w:ascii="Arial" w:cs="Arial" w:eastAsia="Arial" w:hAnsi="Arial"/>
          <w:sz w:val="15"/>
          <w:szCs w:val="15"/>
          <w:color w:val="auto"/>
        </w:rPr>
        <w:t>Additionally, as a result of COVID- 19, we have experienced increased competition for domestic charters as competitors are now offering charter services with otherwise grounded aircraft due to a decline in their passenger service.</w:t>
      </w:r>
    </w:p>
    <w:p>
      <w:pPr>
        <w:spacing w:after="0" w:line="8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Aircraft Fuel</w:t>
      </w:r>
      <w:r>
        <w:rPr>
          <w:rFonts w:ascii="Arial" w:cs="Arial" w:eastAsia="Arial" w:hAnsi="Arial"/>
          <w:sz w:val="14"/>
          <w:szCs w:val="14"/>
          <w:color w:val="auto"/>
        </w:rPr>
        <w:t>. Fuel expense generally represents our single largest operating expense. Jet fuel prices</w:t>
      </w:r>
      <w:r>
        <w:rPr>
          <w:rFonts w:ascii="Arial" w:cs="Arial" w:eastAsia="Arial" w:hAnsi="Arial"/>
          <w:sz w:val="14"/>
          <w:szCs w:val="14"/>
          <w:i w:val="1"/>
          <w:iCs w:val="1"/>
          <w:color w:val="auto"/>
        </w:rPr>
        <w:t xml:space="preserve"> </w:t>
      </w:r>
      <w:r>
        <w:rPr>
          <w:rFonts w:ascii="Arial" w:cs="Arial" w:eastAsia="Arial" w:hAnsi="Arial"/>
          <w:sz w:val="14"/>
          <w:szCs w:val="14"/>
          <w:color w:val="auto"/>
        </w:rPr>
        <w:t>and availability are subject to market fluctuations, 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For the years ended December 31, 2020 and 2019, approximately 57% and 58%, respectively, of our fuel was purchased from two vendors. This concentration is largely driven by our substantial operations in MSP.</w:t>
      </w:r>
    </w:p>
    <w:p>
      <w:pPr>
        <w:spacing w:after="0" w:line="1" w:lineRule="exact"/>
        <w:rPr>
          <w:sz w:val="20"/>
          <w:szCs w:val="20"/>
          <w:color w:val="auto"/>
        </w:rPr>
      </w:pPr>
    </w:p>
    <w:p>
      <w:pPr>
        <w:ind w:left="1160" w:right="1499"/>
        <w:spacing w:after="0" w:line="233" w:lineRule="auto"/>
        <w:rPr>
          <w:sz w:val="20"/>
          <w:szCs w:val="20"/>
          <w:color w:val="auto"/>
        </w:rPr>
      </w:pPr>
      <w:r>
        <w:rPr>
          <w:rFonts w:ascii="Arial" w:cs="Arial" w:eastAsia="Arial" w:hAnsi="Arial"/>
          <w:sz w:val="15"/>
          <w:szCs w:val="15"/>
          <w:color w:val="auto"/>
        </w:rPr>
        <w:t>We currently participate in fuel consortia at multiple airports. These agreements generally include cost-sharing provisions and environmental indemnities that are generally joint and several among the participating airlines.</w:t>
      </w:r>
    </w:p>
    <w:p>
      <w:pPr>
        <w:spacing w:after="0" w:line="101"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Generally, our charter operations have pass-through provisions for fuel costs, and therefore we do not hedge our fuel requirements for that component of our business.</w:t>
      </w:r>
    </w:p>
    <w:p>
      <w:pPr>
        <w:spacing w:after="0" w:line="9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 against unexpected price volatility. However, we cannot be assured that our hedging strategy will be effective or that we will continue our strategy in the future.</w:t>
      </w:r>
    </w:p>
    <w:p>
      <w:pPr>
        <w:spacing w:after="0" w:line="94"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5"/>
          <w:szCs w:val="15"/>
          <w:color w:val="auto"/>
        </w:rPr>
        <w:t>We do not apply hedge accounting on our fuel derivative contracts, and as a result, changes in the fair value of our fuel derivative contracts are recorded within the period as a component of aircraft fuel expense. See Note 12 to our audited consolidated financial statements included elsewhere in this prospectus for further discussion of our hedging activity.</w:t>
      </w:r>
    </w:p>
    <w:p>
      <w:pPr>
        <w:spacing w:after="0" w:line="102"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i w:val="1"/>
          <w:iCs w:val="1"/>
          <w:color w:val="auto"/>
        </w:rPr>
        <w:t>Seasonality and Volatility</w:t>
      </w:r>
      <w:r>
        <w:rPr>
          <w:rFonts w:ascii="Arial" w:cs="Arial" w:eastAsia="Arial" w:hAnsi="Arial"/>
          <w:sz w:val="14"/>
          <w:szCs w:val="14"/>
          <w:color w:val="auto"/>
        </w:rPr>
        <w:t>. The airline industry is affected by economic cycles and trends, where</w:t>
      </w:r>
      <w:r>
        <w:rPr>
          <w:rFonts w:ascii="Arial" w:cs="Arial" w:eastAsia="Arial" w:hAnsi="Arial"/>
          <w:sz w:val="14"/>
          <w:szCs w:val="14"/>
          <w:i w:val="1"/>
          <w:iCs w:val="1"/>
          <w:color w:val="auto"/>
        </w:rPr>
        <w:t xml:space="preserve"> </w:t>
      </w:r>
      <w:r>
        <w:rPr>
          <w:rFonts w:ascii="Arial" w:cs="Arial" w:eastAsia="Arial" w:hAnsi="Arial"/>
          <w:sz w:val="14"/>
          <w:szCs w:val="14"/>
          <w:color w:val="auto"/>
        </w:rPr>
        <w:t>unfavorable economic conditions have 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 base fares, travelers have often elected to replace air travel at such times with car travel or other forms of ground transportation or have opted not to travel at all.</w:t>
      </w:r>
    </w:p>
    <w:p>
      <w:pPr>
        <w:spacing w:after="0" w:line="93" w:lineRule="exact"/>
        <w:rPr>
          <w:sz w:val="20"/>
          <w:szCs w:val="20"/>
          <w:color w:val="auto"/>
        </w:rPr>
      </w:pPr>
    </w:p>
    <w:p>
      <w:pPr>
        <w:ind w:left="1160" w:right="1199" w:firstLine="293"/>
        <w:spacing w:after="0" w:line="292" w:lineRule="auto"/>
        <w:rPr>
          <w:sz w:val="20"/>
          <w:szCs w:val="20"/>
          <w:color w:val="auto"/>
        </w:rPr>
      </w:pPr>
      <w:r>
        <w:rPr>
          <w:rFonts w:ascii="Arial" w:cs="Arial" w:eastAsia="Arial" w:hAnsi="Arial"/>
          <w:sz w:val="13"/>
          <w:szCs w:val="13"/>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 We continually work to meet the needs of both VFR and leisure travelers. Accordingly, our network of destinations includes those popular year-round, as well as those that are highly seasonal, and we adapt our flight schedule according to expected patterns of demand throughout the</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9" w:lineRule="auto"/>
        <w:rPr>
          <w:sz w:val="20"/>
          <w:szCs w:val="20"/>
          <w:color w:val="auto"/>
        </w:rPr>
      </w:pPr>
      <w:r>
        <w:rPr>
          <w:rFonts w:ascii="Arial" w:cs="Arial" w:eastAsia="Arial" w:hAnsi="Arial"/>
          <w:sz w:val="14"/>
          <w:szCs w:val="14"/>
          <w:color w:val="auto"/>
        </w:rPr>
        <w:t>year. Understanding the purpose of our customers’ travel and our ability to adjust capacity accordingly helps us optimize destinations, strengthen our network and increase unit revenues. We will look to incorporate new destinations with seasonality that complements our current mix of customers and destinations to mitigate the overall impact of seasonality on our business. Part of our network strategy includes expanding our presence outside of MSP to leverage seasonal demand peaks where other airlines are unable to effectively respond to the needs of the market. For example, we expect to continue to target cold -to-warm leisure markets in the upper Midwest, where we believe we have a competitive advantage due to our cold weather operational expertise and strong brand recognition, as well as other large, fragmented markets. Furthermore, our charter operations complement our network strategy by maintaining aircraft and crew utilization in periods when scheduled service would be less profitable.</w:t>
      </w:r>
    </w:p>
    <w:p>
      <w:pPr>
        <w:spacing w:after="0" w:line="99"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Due to normal seasonality, our first quarter of each fiscal year typically outperforms relative to our second quarter: during normal industry conditions our average fares and ASMs are typically lower in the second quarter than the first quarter and CASM and Adjusted CASM are typically higher in the second quarter than the first quarter. Although we believe industry conditions during the remainder of 2021 should slowly return to more normalized conditions than the past several quarters, we expect the second quarter of 2021 to reflect the ongoing trend towards our normal seasonality, with lower average fares and higher CASM and Adjusted CASM than in the first quarter, despite the continuing overall capacity growth quarter-over-quarter.</w:t>
      </w:r>
    </w:p>
    <w:p>
      <w:pPr>
        <w:spacing w:after="0" w:line="89"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i w:val="1"/>
          <w:iCs w:val="1"/>
          <w:color w:val="auto"/>
        </w:rPr>
        <w:t>Labor</w:t>
      </w:r>
      <w:r>
        <w:rPr>
          <w:rFonts w:ascii="Arial" w:cs="Arial" w:eastAsia="Arial" w:hAnsi="Arial"/>
          <w:sz w:val="14"/>
          <w:szCs w:val="14"/>
          <w:color w:val="auto"/>
        </w:rPr>
        <w:t>. The airline industry is heavily unionized and our business is labor intensive. The wages,</w:t>
      </w:r>
      <w:r>
        <w:rPr>
          <w:rFonts w:ascii="Arial" w:cs="Arial" w:eastAsia="Arial" w:hAnsi="Arial"/>
          <w:sz w:val="14"/>
          <w:szCs w:val="14"/>
          <w:i w:val="1"/>
          <w:iCs w:val="1"/>
          <w:color w:val="auto"/>
        </w:rPr>
        <w:t xml:space="preserve"> </w:t>
      </w:r>
      <w:r>
        <w:rPr>
          <w:rFonts w:ascii="Arial" w:cs="Arial" w:eastAsia="Arial" w:hAnsi="Arial"/>
          <w:sz w:val="14"/>
          <w:szCs w:val="14"/>
          <w:color w:val="auto"/>
        </w:rPr>
        <w:t>benefits and work rules of unionized airline 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95"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3"/>
          <w:szCs w:val="13"/>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2019. We have scheduled dates to restart negotiations in the third quarter of 2021.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 to the Company and we have begun preliminary discussions with our pilots; however, the contract remains in status quo until there is a newly ratified contract.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85" w:lineRule="exact"/>
        <w:rPr>
          <w:sz w:val="20"/>
          <w:szCs w:val="20"/>
          <w:color w:val="auto"/>
        </w:rPr>
      </w:pPr>
    </w:p>
    <w:p>
      <w:pPr>
        <w:ind w:left="1160" w:right="1339" w:firstLine="293"/>
        <w:spacing w:after="0" w:line="284" w:lineRule="auto"/>
        <w:rPr>
          <w:sz w:val="20"/>
          <w:szCs w:val="20"/>
          <w:color w:val="auto"/>
        </w:rPr>
      </w:pPr>
      <w:r>
        <w:rPr>
          <w:rFonts w:ascii="Arial" w:cs="Arial" w:eastAsia="Arial" w:hAnsi="Arial"/>
          <w:sz w:val="13"/>
          <w:szCs w:val="13"/>
          <w:i w:val="1"/>
          <w:iCs w:val="1"/>
          <w:color w:val="auto"/>
        </w:rPr>
        <w:t>Aircraft Maintenance</w:t>
      </w:r>
      <w:r>
        <w:rPr>
          <w:rFonts w:ascii="Arial" w:cs="Arial" w:eastAsia="Arial" w:hAnsi="Arial"/>
          <w:sz w:val="13"/>
          <w:szCs w:val="13"/>
          <w:color w:val="auto"/>
        </w:rPr>
        <w:t>. The amount of total maintenance costs and related depreciation of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expense is subject to variables 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61" w:lineRule="exact"/>
        <w:rPr>
          <w:sz w:val="20"/>
          <w:szCs w:val="20"/>
          <w:color w:val="auto"/>
        </w:rPr>
      </w:pPr>
    </w:p>
    <w:p>
      <w:pPr>
        <w:ind w:left="1160" w:right="1539" w:firstLine="293"/>
        <w:spacing w:after="0" w:line="248" w:lineRule="auto"/>
        <w:rPr>
          <w:sz w:val="20"/>
          <w:szCs w:val="20"/>
          <w:color w:val="auto"/>
        </w:rPr>
      </w:pPr>
      <w:r>
        <w:rPr>
          <w:rFonts w:ascii="Arial" w:cs="Arial" w:eastAsia="Arial" w:hAnsi="Arial"/>
          <w:sz w:val="15"/>
          <w:szCs w:val="15"/>
          <w:color w:val="auto"/>
        </w:rPr>
        <w:t>Maintenance expense has increased mainly as a result of a growing fleet, a trend that we expect to continue for the next several years as we take delivery of additional aircraft.</w:t>
      </w:r>
    </w:p>
    <w:p>
      <w:pPr>
        <w:spacing w:after="0" w:line="94" w:lineRule="exact"/>
        <w:rPr>
          <w:sz w:val="20"/>
          <w:szCs w:val="20"/>
          <w:color w:val="auto"/>
        </w:rPr>
      </w:pPr>
    </w:p>
    <w:p>
      <w:pPr>
        <w:ind w:left="1160" w:right="1419" w:firstLine="293"/>
        <w:spacing w:after="0" w:line="233" w:lineRule="auto"/>
        <w:rPr>
          <w:sz w:val="20"/>
          <w:szCs w:val="20"/>
          <w:color w:val="auto"/>
        </w:rPr>
      </w:pPr>
      <w:r>
        <w:rPr>
          <w:rFonts w:ascii="Arial" w:cs="Arial" w:eastAsia="Arial" w:hAnsi="Arial"/>
          <w:sz w:val="15"/>
          <w:szCs w:val="15"/>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 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39" w:lineRule="auto"/>
        <w:rPr>
          <w:sz w:val="20"/>
          <w:szCs w:val="20"/>
          <w:color w:val="auto"/>
        </w:rPr>
      </w:pPr>
      <w:r>
        <w:rPr>
          <w:rFonts w:ascii="Arial" w:cs="Arial" w:eastAsia="Arial" w:hAnsi="Arial"/>
          <w:sz w:val="15"/>
          <w:szCs w:val="15"/>
          <w:color w:val="auto"/>
        </w:rPr>
        <w:t>scheduled significant maintenance events are paid in advance of the recognition of the maintenance expense in our results of operations. For more information, refer to “</w:t>
      </w:r>
      <w:r>
        <w:rPr>
          <w:rFonts w:ascii="Arial" w:cs="Arial" w:eastAsia="Arial" w:hAnsi="Arial"/>
          <w:sz w:val="15"/>
          <w:szCs w:val="15"/>
          <w:i w:val="1"/>
          <w:iCs w:val="1"/>
          <w:color w:val="auto"/>
        </w:rPr>
        <w:t>Critical Accounting Policies and Estimates—</w:t>
      </w:r>
      <w:r>
        <w:rPr>
          <w:rFonts w:ascii="Arial" w:cs="Arial" w:eastAsia="Arial" w:hAnsi="Arial"/>
          <w:sz w:val="15"/>
          <w:szCs w:val="15"/>
          <w:color w:val="auto"/>
        </w:rPr>
        <w:t xml:space="preserve"> </w:t>
      </w:r>
      <w:r>
        <w:rPr>
          <w:rFonts w:ascii="Arial" w:cs="Arial" w:eastAsia="Arial" w:hAnsi="Arial"/>
          <w:sz w:val="15"/>
          <w:szCs w:val="15"/>
          <w:i w:val="1"/>
          <w:iCs w:val="1"/>
          <w:color w:val="auto"/>
        </w:rPr>
        <w:t>Aircraft Maintenance</w:t>
      </w:r>
      <w:r>
        <w:rPr>
          <w:rFonts w:ascii="Arial" w:cs="Arial" w:eastAsia="Arial" w:hAnsi="Arial"/>
          <w:sz w:val="15"/>
          <w:szCs w:val="15"/>
          <w:color w:val="auto"/>
        </w:rPr>
        <w:t>.”</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Components of Operations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Revenues</w:t>
      </w:r>
    </w:p>
    <w:p>
      <w:pPr>
        <w:spacing w:after="0" w:line="124"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i w:val="1"/>
          <w:iCs w:val="1"/>
          <w:color w:val="auto"/>
        </w:rPr>
        <w:t>Scheduled service</w:t>
      </w:r>
      <w:r>
        <w:rPr>
          <w:rFonts w:ascii="Arial" w:cs="Arial" w:eastAsia="Arial" w:hAnsi="Arial"/>
          <w:sz w:val="15"/>
          <w:szCs w:val="15"/>
          <w:color w:val="auto"/>
        </w:rPr>
        <w:t>. Scheduled service revenue consists of base fares, unused and expired passenger</w:t>
      </w:r>
      <w:r>
        <w:rPr>
          <w:rFonts w:ascii="Arial" w:cs="Arial" w:eastAsia="Arial" w:hAnsi="Arial"/>
          <w:sz w:val="15"/>
          <w:szCs w:val="15"/>
          <w:i w:val="1"/>
          <w:iCs w:val="1"/>
          <w:color w:val="auto"/>
        </w:rPr>
        <w:t xml:space="preserve"> </w:t>
      </w:r>
      <w:r>
        <w:rPr>
          <w:rFonts w:ascii="Arial" w:cs="Arial" w:eastAsia="Arial" w:hAnsi="Arial"/>
          <w:sz w:val="15"/>
          <w:szCs w:val="15"/>
          <w:color w:val="auto"/>
        </w:rPr>
        <w:t>credits and expired travel credits.</w:t>
      </w:r>
    </w:p>
    <w:p>
      <w:pPr>
        <w:spacing w:after="0" w:line="83" w:lineRule="exact"/>
        <w:rPr>
          <w:sz w:val="20"/>
          <w:szCs w:val="20"/>
          <w:color w:val="auto"/>
        </w:rPr>
      </w:pPr>
    </w:p>
    <w:p>
      <w:pPr>
        <w:jc w:val="both"/>
        <w:ind w:left="1160" w:right="1519" w:firstLine="293"/>
        <w:spacing w:after="0" w:line="239" w:lineRule="auto"/>
        <w:rPr>
          <w:sz w:val="20"/>
          <w:szCs w:val="20"/>
          <w:color w:val="auto"/>
        </w:rPr>
      </w:pPr>
      <w:r>
        <w:rPr>
          <w:rFonts w:ascii="Arial" w:cs="Arial" w:eastAsia="Arial" w:hAnsi="Arial"/>
          <w:sz w:val="15"/>
          <w:szCs w:val="15"/>
          <w:i w:val="1"/>
          <w:iCs w:val="1"/>
          <w:color w:val="auto"/>
        </w:rPr>
        <w:t>Charter service</w:t>
      </w:r>
      <w:r>
        <w:rPr>
          <w:rFonts w:ascii="Arial" w:cs="Arial" w:eastAsia="Arial" w:hAnsi="Arial"/>
          <w:sz w:val="15"/>
          <w:szCs w:val="15"/>
          <w:color w:val="auto"/>
        </w:rPr>
        <w:t>. Charter service revenue consists of revenue earned from our charter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generated through our service to the U.S. Department of Defense, collegiate and professional sports teams and casinos.</w:t>
      </w:r>
    </w:p>
    <w:p>
      <w:pPr>
        <w:spacing w:after="0" w:line="100"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i w:val="1"/>
          <w:iCs w:val="1"/>
          <w:color w:val="auto"/>
        </w:rPr>
        <w:t xml:space="preserve">Ancillary </w:t>
      </w:r>
      <w:r>
        <w:rPr>
          <w:rFonts w:ascii="Arial" w:cs="Arial" w:eastAsia="Arial" w:hAnsi="Arial"/>
          <w:sz w:val="15"/>
          <w:szCs w:val="15"/>
          <w:color w:val="auto"/>
        </w:rPr>
        <w:t>. Ancillary revenue consists of revenue generated from air travel-related services such as</w:t>
      </w:r>
      <w:r>
        <w:rPr>
          <w:rFonts w:ascii="Arial" w:cs="Arial" w:eastAsia="Arial" w:hAnsi="Arial"/>
          <w:sz w:val="15"/>
          <w:szCs w:val="15"/>
          <w:i w:val="1"/>
          <w:iCs w:val="1"/>
          <w:color w:val="auto"/>
        </w:rPr>
        <w:t xml:space="preserve"> </w:t>
      </w:r>
      <w:r>
        <w:rPr>
          <w:rFonts w:ascii="Arial" w:cs="Arial" w:eastAsia="Arial" w:hAnsi="Arial"/>
          <w:sz w:val="15"/>
          <w:szCs w:val="15"/>
          <w:color w:val="auto"/>
        </w:rPr>
        <w:t>baggage fees, seat selection and upgrade fees, itinerary service fees, on-board sales and sales of trip insurance.</w:t>
      </w:r>
    </w:p>
    <w:p>
      <w:pPr>
        <w:spacing w:after="0" w:line="100"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Cargo revenue consists of air cargo transportation services under the ATSA primarily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to e-commerce delivery services.</w:t>
      </w:r>
    </w:p>
    <w:p>
      <w:pPr>
        <w:spacing w:after="0" w:line="83"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i w:val="1"/>
          <w:iCs w:val="1"/>
          <w:color w:val="auto"/>
        </w:rPr>
        <w:t>Other</w:t>
      </w:r>
      <w:r>
        <w:rPr>
          <w:rFonts w:ascii="Arial" w:cs="Arial" w:eastAsia="Arial" w:hAnsi="Arial"/>
          <w:sz w:val="14"/>
          <w:szCs w:val="14"/>
          <w:color w:val="auto"/>
        </w:rPr>
        <w:t>. Other revenue consists primarily of revenue from services in connection with our Sun Country</w:t>
      </w:r>
      <w:r>
        <w:rPr>
          <w:rFonts w:ascii="Arial" w:cs="Arial" w:eastAsia="Arial" w:hAnsi="Arial"/>
          <w:sz w:val="14"/>
          <w:szCs w:val="14"/>
          <w:i w:val="1"/>
          <w:iCs w:val="1"/>
          <w:color w:val="auto"/>
        </w:rPr>
        <w:t xml:space="preserve"> </w:t>
      </w:r>
      <w:r>
        <w:rPr>
          <w:rFonts w:ascii="Arial" w:cs="Arial" w:eastAsia="Arial" w:hAnsi="Arial"/>
          <w:sz w:val="14"/>
          <w:szCs w:val="14"/>
          <w:color w:val="auto"/>
        </w:rPr>
        <w:t>Vacations products, including 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24"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includes jet fuel, federal and state taxes, other fees and the mark-to-market gains and losses associated with 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00"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i w:val="1"/>
          <w:iCs w:val="1"/>
          <w:color w:val="auto"/>
        </w:rPr>
        <w:t>Salaries, Wages, and Benefits</w:t>
      </w:r>
      <w:r>
        <w:rPr>
          <w:rFonts w:ascii="Arial" w:cs="Arial" w:eastAsia="Arial" w:hAnsi="Arial"/>
          <w:sz w:val="15"/>
          <w:szCs w:val="15"/>
          <w:color w:val="auto"/>
        </w:rPr>
        <w:t>. Salaries, wages, and benefits expense includes salaries, hourly wages,</w:t>
      </w:r>
      <w:r>
        <w:rPr>
          <w:rFonts w:ascii="Arial" w:cs="Arial" w:eastAsia="Arial" w:hAnsi="Arial"/>
          <w:sz w:val="15"/>
          <w:szCs w:val="15"/>
          <w:i w:val="1"/>
          <w:iCs w:val="1"/>
          <w:color w:val="auto"/>
        </w:rPr>
        <w:t xml:space="preserve"> </w:t>
      </w:r>
      <w:r>
        <w:rPr>
          <w:rFonts w:ascii="Arial" w:cs="Arial" w:eastAsia="Arial" w:hAnsi="Arial"/>
          <w:sz w:val="15"/>
          <w:szCs w:val="15"/>
          <w:color w:val="auto"/>
        </w:rPr>
        <w:t>bonuses, equity-based compensation and profit sharing paid to employees for their services, as well as related expenses associated with medical benefits, employee benefit plans, employer payroll taxes and other employee related costs.</w:t>
      </w:r>
    </w:p>
    <w:p>
      <w:pPr>
        <w:spacing w:after="0" w:line="91"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consists of monthly lease charges for aircraft and spare engines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96"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i w:val="1"/>
          <w:iCs w:val="1"/>
          <w:color w:val="auto"/>
        </w:rPr>
        <w:t>Maintenance</w:t>
      </w:r>
      <w:r>
        <w:rPr>
          <w:rFonts w:ascii="Arial" w:cs="Arial" w:eastAsia="Arial" w:hAnsi="Arial"/>
          <w:sz w:val="14"/>
          <w:szCs w:val="14"/>
          <w:color w:val="auto"/>
        </w:rPr>
        <w:t>. Maintenance expense includes the cost of all parts, materials and fees for repairs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performed by us and our third-party vendors to 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59"/>
        <w:spacing w:after="0" w:line="264" w:lineRule="auto"/>
        <w:rPr>
          <w:sz w:val="20"/>
          <w:szCs w:val="20"/>
          <w:color w:val="auto"/>
        </w:rPr>
      </w:pPr>
      <w:r>
        <w:rPr>
          <w:rFonts w:ascii="Arial" w:cs="Arial" w:eastAsia="Arial" w:hAnsi="Arial"/>
          <w:sz w:val="15"/>
          <w:szCs w:val="15"/>
          <w:color w:val="auto"/>
        </w:rPr>
        <w:t xml:space="preserve">aircraft in our fleet as of the date of the acquisition. For more information on these accounting methods, refer to “— </w:t>
      </w:r>
      <w:r>
        <w:rPr>
          <w:rFonts w:ascii="Arial" w:cs="Arial" w:eastAsia="Arial" w:hAnsi="Arial"/>
          <w:sz w:val="15"/>
          <w:szCs w:val="15"/>
          <w:i w:val="1"/>
          <w:iCs w:val="1"/>
          <w:color w:val="auto"/>
        </w:rPr>
        <w:t>Critical Accounting Policies and Estimates—Aircraft Maintenance</w:t>
      </w:r>
      <w:r>
        <w:rPr>
          <w:rFonts w:ascii="Arial" w:cs="Arial" w:eastAsia="Arial" w:hAnsi="Arial"/>
          <w:sz w:val="15"/>
          <w:szCs w:val="15"/>
          <w:color w:val="auto"/>
        </w:rPr>
        <w:t>.”</w:t>
      </w:r>
    </w:p>
    <w:p>
      <w:pPr>
        <w:spacing w:after="0" w:line="93"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i w:val="1"/>
          <w:iCs w:val="1"/>
          <w:color w:val="auto"/>
        </w:rPr>
        <w:t>Sales and Marketing</w:t>
      </w:r>
      <w:r>
        <w:rPr>
          <w:rFonts w:ascii="Arial" w:cs="Arial" w:eastAsia="Arial" w:hAnsi="Arial"/>
          <w:sz w:val="14"/>
          <w:szCs w:val="14"/>
          <w:color w:val="auto"/>
        </w:rPr>
        <w:t>. Sales and marketing expense includes credit card processing fees, travel agent</w:t>
      </w:r>
      <w:r>
        <w:rPr>
          <w:rFonts w:ascii="Arial" w:cs="Arial" w:eastAsia="Arial" w:hAnsi="Arial"/>
          <w:sz w:val="14"/>
          <w:szCs w:val="14"/>
          <w:i w:val="1"/>
          <w:iCs w:val="1"/>
          <w:color w:val="auto"/>
        </w:rPr>
        <w:t xml:space="preserve"> </w:t>
      </w:r>
      <w:r>
        <w:rPr>
          <w:rFonts w:ascii="Arial" w:cs="Arial" w:eastAsia="Arial" w:hAnsi="Arial"/>
          <w:sz w:val="14"/>
          <w:szCs w:val="14"/>
          <w:color w:val="auto"/>
        </w:rPr>
        <w:t>commissions and related global distribution systems fees, advertising, sponsorship and distribution costs, such as the costs of our call centers, and costs associated with our frequent flier program. It excludes related salary and wages of personnel, which are included in salaries, wages and benefits expense.</w:t>
      </w:r>
    </w:p>
    <w:p>
      <w:pPr>
        <w:spacing w:after="0" w:line="78"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 Depreciation and amortization expense includes depreciation of fixed</w:t>
      </w:r>
      <w:r>
        <w:rPr>
          <w:rFonts w:ascii="Arial" w:cs="Arial" w:eastAsia="Arial" w:hAnsi="Arial"/>
          <w:sz w:val="15"/>
          <w:szCs w:val="15"/>
          <w:i w:val="1"/>
          <w:iCs w:val="1"/>
          <w:color w:val="auto"/>
        </w:rPr>
        <w:t xml:space="preserve"> </w:t>
      </w:r>
      <w:r>
        <w:rPr>
          <w:rFonts w:ascii="Arial" w:cs="Arial" w:eastAsia="Arial" w:hAnsi="Arial"/>
          <w:sz w:val="15"/>
          <w:szCs w:val="15"/>
          <w:color w:val="auto"/>
        </w:rPr>
        <w:t>assets we own and leasehold improvements, amortization of finance leased assets, as well as the amortization of finite-lived intangible assets. It also includes the depreciation of significant maintenance expenses we deferred under the built-in overhaul method for owned aircraft.</w:t>
      </w:r>
    </w:p>
    <w:p>
      <w:pPr>
        <w:spacing w:after="0" w:line="102" w:lineRule="exact"/>
        <w:rPr>
          <w:sz w:val="20"/>
          <w:szCs w:val="20"/>
          <w:color w:val="auto"/>
        </w:rPr>
      </w:pPr>
    </w:p>
    <w:p>
      <w:pPr>
        <w:ind w:left="1160" w:right="1499" w:firstLine="293"/>
        <w:spacing w:after="0" w:line="264" w:lineRule="auto"/>
        <w:rPr>
          <w:sz w:val="20"/>
          <w:szCs w:val="20"/>
          <w:color w:val="auto"/>
        </w:rPr>
      </w:pPr>
      <w:r>
        <w:rPr>
          <w:rFonts w:ascii="Arial" w:cs="Arial" w:eastAsia="Arial" w:hAnsi="Arial"/>
          <w:sz w:val="15"/>
          <w:szCs w:val="15"/>
          <w:i w:val="1"/>
          <w:iCs w:val="1"/>
          <w:color w:val="auto"/>
        </w:rPr>
        <w:t xml:space="preserve">Ground Handling. </w:t>
      </w:r>
      <w:r>
        <w:rPr>
          <w:rFonts w:ascii="Arial" w:cs="Arial" w:eastAsia="Arial" w:hAnsi="Arial"/>
          <w:sz w:val="15"/>
          <w:szCs w:val="15"/>
          <w:color w:val="auto"/>
        </w:rPr>
        <w:t>Ground handling includes ground activities including baggage handling, ticket</w:t>
      </w:r>
      <w:r>
        <w:rPr>
          <w:rFonts w:ascii="Arial" w:cs="Arial" w:eastAsia="Arial" w:hAnsi="Arial"/>
          <w:sz w:val="15"/>
          <w:szCs w:val="15"/>
          <w:i w:val="1"/>
          <w:iCs w:val="1"/>
          <w:color w:val="auto"/>
        </w:rPr>
        <w:t xml:space="preserve"> </w:t>
      </w:r>
      <w:r>
        <w:rPr>
          <w:rFonts w:ascii="Arial" w:cs="Arial" w:eastAsia="Arial" w:hAnsi="Arial"/>
          <w:sz w:val="15"/>
          <w:szCs w:val="15"/>
          <w:color w:val="auto"/>
        </w:rPr>
        <w:t>counter and other ground services.</w:t>
      </w:r>
    </w:p>
    <w:p>
      <w:pPr>
        <w:spacing w:after="0" w:line="93"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i w:val="1"/>
          <w:iCs w:val="1"/>
          <w:color w:val="auto"/>
        </w:rPr>
        <w:t xml:space="preserve">Landing Fees and Airport Rent. </w:t>
      </w:r>
      <w:r>
        <w:rPr>
          <w:rFonts w:ascii="Arial" w:cs="Arial" w:eastAsia="Arial" w:hAnsi="Arial"/>
          <w:sz w:val="15"/>
          <w:szCs w:val="15"/>
          <w:color w:val="auto"/>
        </w:rPr>
        <w:t>Landing fees and airport rent includes aircraft landing fees and</w:t>
      </w:r>
      <w:r>
        <w:rPr>
          <w:rFonts w:ascii="Arial" w:cs="Arial" w:eastAsia="Arial" w:hAnsi="Arial"/>
          <w:sz w:val="15"/>
          <w:szCs w:val="15"/>
          <w:i w:val="1"/>
          <w:iCs w:val="1"/>
          <w:color w:val="auto"/>
        </w:rPr>
        <w:t xml:space="preserve"> </w:t>
      </w:r>
      <w:r>
        <w:rPr>
          <w:rFonts w:ascii="Arial" w:cs="Arial" w:eastAsia="Arial" w:hAnsi="Arial"/>
          <w:sz w:val="15"/>
          <w:szCs w:val="15"/>
          <w:color w:val="auto"/>
        </w:rPr>
        <w:t>charges for the use of airport facilities.</w:t>
      </w:r>
    </w:p>
    <w:p>
      <w:pPr>
        <w:spacing w:after="0" w:line="82" w:lineRule="exact"/>
        <w:rPr>
          <w:sz w:val="20"/>
          <w:szCs w:val="20"/>
          <w:color w:val="auto"/>
        </w:rPr>
      </w:pPr>
    </w:p>
    <w:p>
      <w:pPr>
        <w:ind w:left="1160" w:right="1339" w:firstLine="293"/>
        <w:spacing w:after="0" w:line="254" w:lineRule="auto"/>
        <w:rPr>
          <w:sz w:val="20"/>
          <w:szCs w:val="20"/>
          <w:color w:val="auto"/>
        </w:rPr>
      </w:pPr>
      <w:r>
        <w:rPr>
          <w:rFonts w:ascii="Arial" w:cs="Arial" w:eastAsia="Arial" w:hAnsi="Arial"/>
          <w:sz w:val="15"/>
          <w:szCs w:val="15"/>
          <w:i w:val="1"/>
          <w:iCs w:val="1"/>
          <w:color w:val="auto"/>
        </w:rPr>
        <w:t xml:space="preserve">Special Items, net. </w:t>
      </w:r>
      <w:r>
        <w:rPr>
          <w:rFonts w:ascii="Arial" w:cs="Arial" w:eastAsia="Arial" w:hAnsi="Arial"/>
          <w:sz w:val="15"/>
          <w:szCs w:val="15"/>
          <w:color w:val="auto"/>
        </w:rPr>
        <w:t>Special items, net reflects expenses, or credits to expense, that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 of our ongoing costs for the period presented and may vary from period to period in nature, frequency and amount.</w:t>
      </w:r>
    </w:p>
    <w:p>
      <w:pPr>
        <w:spacing w:after="0" w:line="101" w:lineRule="exact"/>
        <w:rPr>
          <w:sz w:val="20"/>
          <w:szCs w:val="20"/>
          <w:color w:val="auto"/>
        </w:rPr>
      </w:pPr>
    </w:p>
    <w:p>
      <w:pPr>
        <w:ind w:left="1160" w:right="1239" w:firstLine="293"/>
        <w:spacing w:after="0" w:line="281" w:lineRule="auto"/>
        <w:rPr>
          <w:sz w:val="20"/>
          <w:szCs w:val="20"/>
          <w:color w:val="auto"/>
        </w:rPr>
      </w:pPr>
      <w:r>
        <w:rPr>
          <w:rFonts w:ascii="Arial" w:cs="Arial" w:eastAsia="Arial" w:hAnsi="Arial"/>
          <w:sz w:val="14"/>
          <w:szCs w:val="14"/>
          <w:i w:val="1"/>
          <w:iCs w:val="1"/>
          <w:color w:val="auto"/>
        </w:rPr>
        <w:t xml:space="preserve">Other Operating. </w:t>
      </w:r>
      <w:r>
        <w:rPr>
          <w:rFonts w:ascii="Arial" w:cs="Arial" w:eastAsia="Arial" w:hAnsi="Arial"/>
          <w:sz w:val="14"/>
          <w:szCs w:val="14"/>
          <w:color w:val="auto"/>
        </w:rPr>
        <w:t>Other operating expenses include crew and other employee travel, interrupted trip</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information technology, property taxes and insurance, including hull-liability insurance, supplies, legal and other professional fees, facilities and all other administrative and operational overhead expenses.</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Non-operating Income (Expense)</w:t>
      </w:r>
    </w:p>
    <w:p>
      <w:pPr>
        <w:spacing w:after="0" w:line="124"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includes interest on our cash and equivalent and investment balances.</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income is generally immaterial to our results of operations, reflecting the current low interest rate environment and our unrestricted cash balances.</w:t>
      </w:r>
    </w:p>
    <w:p>
      <w:pPr>
        <w:spacing w:after="0" w:line="90"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includes interest related to our outstanding debt and our finance/</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leases, as well as the amortization of debt financing costs.</w:t>
      </w:r>
    </w:p>
    <w:p>
      <w:pPr>
        <w:spacing w:after="0" w:line="93" w:lineRule="exact"/>
        <w:rPr>
          <w:sz w:val="20"/>
          <w:szCs w:val="20"/>
          <w:color w:val="auto"/>
        </w:rPr>
      </w:pPr>
    </w:p>
    <w:p>
      <w:pPr>
        <w:ind w:left="1160" w:right="1179" w:firstLine="293"/>
        <w:spacing w:after="0" w:line="341"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expenses include activities not classified in any other area of the consolidated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of operations, such as gain or loss on sale or retirement of assets and certain consulting expenses.</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Income Taxes</w:t>
      </w:r>
    </w:p>
    <w:p>
      <w:pPr>
        <w:spacing w:after="0" w:line="124" w:lineRule="exact"/>
        <w:rPr>
          <w:sz w:val="20"/>
          <w:szCs w:val="20"/>
          <w:color w:val="auto"/>
        </w:rPr>
      </w:pPr>
    </w:p>
    <w:p>
      <w:pPr>
        <w:ind w:left="1160" w:right="1379" w:firstLine="293"/>
        <w:spacing w:after="0" w:line="249" w:lineRule="auto"/>
        <w:rPr>
          <w:sz w:val="20"/>
          <w:szCs w:val="20"/>
          <w:color w:val="auto"/>
        </w:rPr>
      </w:pPr>
      <w:r>
        <w:rPr>
          <w:rFonts w:ascii="Arial" w:cs="Arial" w:eastAsia="Arial" w:hAnsi="Arial"/>
          <w:sz w:val="15"/>
          <w:szCs w:val="15"/>
          <w:color w:val="auto"/>
        </w:rPr>
        <w:t>During the Predecessor period, we were taxed as a limited liability company as our prior owners had elected to be treated as a partnership under the Internal Revenue Code of 1986, as amended (the “Code”), whereby our income or loss was reported by the partners on their individual tax returns. Therefore, no provision for income tax expense was included on the consolidated statements of operations during the Predecessor 2018 period.</w:t>
      </w:r>
    </w:p>
    <w:p>
      <w:pPr>
        <w:spacing w:after="0" w:line="94"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Results of Operations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three months ended March 31, 2021 and 2020</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rPr>
              <w:t>Three Months Ended March 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Change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2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 except percentages)</w:t>
            </w:r>
          </w:p>
        </w:tc>
        <w:tc>
          <w:tcPr>
            <w:tcW w:w="60" w:type="dxa"/>
            <w:vAlign w:val="bottom"/>
          </w:tcPr>
          <w:p>
            <w:pPr>
              <w:spacing w:after="0" w:line="20" w:lineRule="exact"/>
              <w:rPr>
                <w:sz w:val="1"/>
                <w:szCs w:val="1"/>
                <w:color w:val="auto"/>
              </w:rPr>
            </w:pPr>
          </w:p>
        </w:tc>
        <w:tc>
          <w:tcPr>
            <w:tcW w:w="480" w:type="dxa"/>
            <w:vAlign w:val="bottom"/>
            <w:vMerge w:val="restart"/>
          </w:tcPr>
          <w:p>
            <w:pPr>
              <w:jc w:val="right"/>
              <w:ind w:right="88"/>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line="20" w:lineRule="exact"/>
              <w:rPr>
                <w:sz w:val="1"/>
                <w:szCs w:val="1"/>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2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6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gridSpan w:val="2"/>
          </w:tcPr>
          <w:p>
            <w:pPr>
              <w:spacing w:after="0"/>
              <w:rPr>
                <w:sz w:val="20"/>
                <w:szCs w:val="20"/>
                <w:color w:val="auto"/>
              </w:rPr>
            </w:pPr>
            <w:r>
              <w:rPr>
                <w:rFonts w:ascii="Arial" w:cs="Arial" w:eastAsia="Arial" w:hAnsi="Arial"/>
                <w:sz w:val="15"/>
                <w:szCs w:val="15"/>
                <w:color w:val="auto"/>
              </w:rPr>
              <w:t>Scheduled Service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54,620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86"/>
              </w:rPr>
              <w:t>$114,228</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$(59,608)</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(52)%</w:t>
            </w:r>
          </w:p>
        </w:tc>
        <w:tc>
          <w:tcPr>
            <w:tcW w:w="0" w:type="dxa"/>
            <w:vAlign w:val="bottom"/>
          </w:tcPr>
          <w:p>
            <w:pPr>
              <w:spacing w:after="0"/>
              <w:rPr>
                <w:sz w:val="1"/>
                <w:szCs w:val="1"/>
                <w:color w:val="auto"/>
              </w:rPr>
            </w:pPr>
          </w:p>
        </w:tc>
      </w:tr>
      <w:tr>
        <w:trPr>
          <w:trHeight w:val="209"/>
        </w:trPr>
        <w:tc>
          <w:tcPr>
            <w:tcW w:w="4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Charter Service</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25,805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29,227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(3,422)</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(12)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260" w:type="dxa"/>
            <w:vAlign w:val="bottom"/>
            <w:gridSpan w:val="2"/>
          </w:tcPr>
          <w:p>
            <w:pPr>
              <w:spacing w:after="0"/>
              <w:rPr>
                <w:sz w:val="20"/>
                <w:szCs w:val="20"/>
                <w:color w:val="auto"/>
              </w:rPr>
            </w:pPr>
            <w:r>
              <w:rPr>
                <w:rFonts w:ascii="Arial" w:cs="Arial" w:eastAsia="Arial" w:hAnsi="Arial"/>
                <w:sz w:val="15"/>
                <w:szCs w:val="15"/>
                <w:color w:val="auto"/>
              </w:rPr>
              <w:t>Ancillary</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23,770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35,031</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(11,261)</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(32)%</w:t>
            </w:r>
          </w:p>
        </w:tc>
        <w:tc>
          <w:tcPr>
            <w:tcW w:w="0" w:type="dxa"/>
            <w:vAlign w:val="bottom"/>
          </w:tcPr>
          <w:p>
            <w:pPr>
              <w:spacing w:after="0"/>
              <w:rPr>
                <w:sz w:val="1"/>
                <w:szCs w:val="1"/>
                <w:color w:val="auto"/>
              </w:rPr>
            </w:pPr>
          </w:p>
        </w:tc>
      </w:tr>
      <w:tr>
        <w:trPr>
          <w:trHeight w:val="20"/>
        </w:trPr>
        <w:tc>
          <w:tcPr>
            <w:tcW w:w="42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104,195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9"/>
              </w:rPr>
              <w:t>178,486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(74,291)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(42)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Cargo</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21,585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21,585</w:t>
            </w:r>
          </w:p>
        </w:tc>
        <w:tc>
          <w:tcPr>
            <w:tcW w:w="400" w:type="dxa"/>
            <w:vAlign w:val="bottom"/>
            <w:gridSpan w:val="2"/>
          </w:tcPr>
          <w:p>
            <w:pPr>
              <w:jc w:val="right"/>
              <w:ind w:right="107"/>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1,831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1,844</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60" w:type="dxa"/>
            <w:vAlign w:val="bottom"/>
            <w:gridSpan w:val="2"/>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127,611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180,330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(52,719)</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(29)%</w:t>
            </w:r>
          </w:p>
        </w:tc>
        <w:tc>
          <w:tcPr>
            <w:tcW w:w="0" w:type="dxa"/>
            <w:vAlign w:val="bottom"/>
          </w:tcPr>
          <w:p>
            <w:pPr>
              <w:spacing w:after="0"/>
              <w:rPr>
                <w:sz w:val="1"/>
                <w:szCs w:val="1"/>
                <w:color w:val="auto"/>
              </w:rPr>
            </w:pPr>
          </w:p>
        </w:tc>
      </w:tr>
      <w:tr>
        <w:trPr>
          <w:trHeight w:val="205"/>
        </w:trPr>
        <w:tc>
          <w:tcPr>
            <w:tcW w:w="42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24,274</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55,561</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(31,287)</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(56)%</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44,075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38,091</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5,984</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5,599</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11,032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(5,433)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(49)%</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9,210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6,478</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2,732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5,110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8,572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(3,462)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(40)%</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12,615</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10,527</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2,088</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5,230</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9,292</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(4,062)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(44)%</w:t>
            </w:r>
          </w:p>
        </w:tc>
        <w:tc>
          <w:tcPr>
            <w:tcW w:w="0" w:type="dxa"/>
            <w:vAlign w:val="bottom"/>
          </w:tcPr>
          <w:p>
            <w:pPr>
              <w:spacing w:after="0"/>
              <w:rPr>
                <w:sz w:val="1"/>
                <w:szCs w:val="1"/>
                <w:color w:val="auto"/>
              </w:rPr>
            </w:pPr>
          </w:p>
        </w:tc>
      </w:tr>
      <w:tr>
        <w:trPr>
          <w:trHeight w:val="209"/>
        </w:trPr>
        <w:tc>
          <w:tcPr>
            <w:tcW w:w="42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8,785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11,114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(2,329)</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(21)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(26,871)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(26,871)</w:t>
            </w:r>
          </w:p>
        </w:tc>
        <w:tc>
          <w:tcPr>
            <w:tcW w:w="400" w:type="dxa"/>
            <w:vAlign w:val="bottom"/>
            <w:gridSpan w:val="2"/>
          </w:tcPr>
          <w:p>
            <w:pPr>
              <w:jc w:val="right"/>
              <w:ind w:right="107"/>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Operating, net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14,651</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14,433</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218</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60" w:type="dxa"/>
            <w:vAlign w:val="bottom"/>
          </w:tcPr>
          <w:p>
            <w:pPr>
              <w:ind w:left="300"/>
              <w:spacing w:after="0"/>
              <w:rPr>
                <w:sz w:val="20"/>
                <w:szCs w:val="20"/>
                <w:color w:val="auto"/>
              </w:rPr>
            </w:pPr>
            <w:r>
              <w:rPr>
                <w:rFonts w:ascii="Arial" w:cs="Arial" w:eastAsia="Arial" w:hAnsi="Arial"/>
                <w:sz w:val="15"/>
                <w:szCs w:val="15"/>
                <w:color w:val="auto"/>
              </w:rPr>
              <w:t>Total Operating Expenses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102,678</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165,100</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(62,422)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94"/>
              </w:rPr>
              <w:t>(38)%</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24,933</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15,230</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9,703</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16"/>
        </w:trPr>
        <w:tc>
          <w:tcPr>
            <w:tcW w:w="426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Non-operating Income (Expense)</w:t>
            </w:r>
            <w:r>
              <w:rPr>
                <w:rFonts w:ascii="Arial" w:cs="Arial" w:eastAsia="Arial" w:hAnsi="Arial"/>
                <w:sz w:val="15"/>
                <w:szCs w:val="15"/>
                <w:color w:val="auto"/>
              </w:rPr>
              <w:t>:</w:t>
            </w:r>
          </w:p>
        </w:tc>
        <w:tc>
          <w:tcPr>
            <w:tcW w:w="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(94)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(7,121)</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(5,616)</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(1,505)</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2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(169)</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(97)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2"/>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(7,111)</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(5,534)</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(1,577)</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Income before Income Tax</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17,822</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9,696</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8,126</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gridSpan w:val="2"/>
          </w:tcPr>
          <w:p>
            <w:pPr>
              <w:ind w:left="160"/>
              <w:spacing w:after="0"/>
              <w:rPr>
                <w:sz w:val="20"/>
                <w:szCs w:val="20"/>
                <w:color w:val="auto"/>
              </w:rPr>
            </w:pPr>
            <w:r>
              <w:rPr>
                <w:rFonts w:ascii="Arial" w:cs="Arial" w:eastAsia="Arial" w:hAnsi="Arial"/>
                <w:sz w:val="15"/>
                <w:szCs w:val="15"/>
                <w:color w:val="auto"/>
              </w:rPr>
              <w:t>Income Tax Expense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5,406</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2,445</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2,961</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w w:val="83"/>
              </w:rPr>
              <w:t>121%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26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12,416</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  7,251</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  5,165</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44"/>
        </w:trPr>
        <w:tc>
          <w:tcPr>
            <w:tcW w:w="4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-3257550</wp:posOffset>
            </wp:positionV>
            <wp:extent cx="4241800" cy="139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-2699385</wp:posOffset>
            </wp:positionV>
            <wp:extent cx="4241800" cy="132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-2433955</wp:posOffset>
            </wp:positionV>
            <wp:extent cx="4241800" cy="132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-2169160</wp:posOffset>
            </wp:positionV>
            <wp:extent cx="4241800" cy="132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-1638935</wp:posOffset>
            </wp:positionV>
            <wp:extent cx="4241800" cy="139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-480695</wp:posOffset>
            </wp:positionV>
            <wp:extent cx="4241800" cy="146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167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41800" cy="16764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-1352550</wp:posOffset>
            </wp:positionV>
            <wp:extent cx="4241800" cy="1536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-2971165</wp:posOffset>
            </wp:positionV>
            <wp:extent cx="11874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-2971165</wp:posOffset>
            </wp:positionV>
            <wp:extent cx="364172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-3529330</wp:posOffset>
            </wp:positionV>
            <wp:extent cx="11874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-3529330</wp:posOffset>
            </wp:positionV>
            <wp:extent cx="36417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41725" cy="698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-4073525</wp:posOffset>
            </wp:positionV>
            <wp:extent cx="11176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-4073525</wp:posOffset>
            </wp:positionV>
            <wp:extent cx="11176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-4073525</wp:posOffset>
            </wp:positionV>
            <wp:extent cx="11176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-4073525</wp:posOffset>
            </wp:positionV>
            <wp:extent cx="11176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7" w:lineRule="exact"/>
        <w:rPr>
          <w:sz w:val="20"/>
          <w:szCs w:val="20"/>
          <w:color w:val="auto"/>
        </w:rPr>
      </w:pPr>
    </w:p>
    <w:p>
      <w:pPr>
        <w:ind w:left="1160" w:right="1319" w:firstLine="293"/>
        <w:spacing w:after="0" w:line="311" w:lineRule="auto"/>
        <w:rPr>
          <w:sz w:val="20"/>
          <w:szCs w:val="20"/>
          <w:color w:val="auto"/>
        </w:rPr>
      </w:pPr>
      <w:r>
        <w:rPr>
          <w:rFonts w:ascii="Arial" w:cs="Arial" w:eastAsia="Arial" w:hAnsi="Arial"/>
          <w:sz w:val="13"/>
          <w:szCs w:val="13"/>
          <w:color w:val="auto"/>
        </w:rPr>
        <w:t>Total operating revenues decreased by $52.7 million, or 29%, to $127.6 million for the three months ended March 31, 2021 from $180.3 million for the three months ended March 31, 2020. The dramatic decline is due to a significant decline in passenger service demand as a result of the COVID-19 pandemic.</w:t>
      </w:r>
    </w:p>
    <w:p>
      <w:pPr>
        <w:spacing w:after="0" w:line="56"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decreased by $59.6 million, or 52%, to $54.6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three months ended March 31, 2021 from $114.2 million for the three months ended March 31, 2020. The decrease in scheduled service revenue was driven by a dramatic decline in passenger demand due to government travel restrictions and quarantine requirements related to the COVID-19 pandemic.</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table below presents select operating data for scheduled service, expressed as quarter-over-quarter changes: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68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Three Months Ended March 31,</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w w:val="90"/>
              </w:rPr>
              <w:t>Increase</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69"/>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720" w:type="dxa"/>
            <w:vAlign w:val="bottom"/>
          </w:tcPr>
          <w:p>
            <w:pPr>
              <w:jc w:val="right"/>
              <w:ind w:right="16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1"/>
              </w:rPr>
              <w:t>(Decrease)</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6"/>
              </w:rPr>
              <w:t>% Change</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Arial" w:cs="Arial" w:eastAsia="Arial" w:hAnsi="Arial"/>
                <w:sz w:val="15"/>
                <w:szCs w:val="15"/>
                <w:color w:val="auto"/>
              </w:rPr>
              <w:t>Passengers (thousands)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553,032</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813,938</w:t>
            </w:r>
          </w:p>
        </w:tc>
        <w:tc>
          <w:tcPr>
            <w:tcW w:w="1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(260,906)</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98.77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   140.34</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(41.57)</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5"/>
                <w:szCs w:val="15"/>
                <w:color w:val="auto"/>
              </w:rPr>
              <w:t>RPMs (thousands)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774,999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1,149,906</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(374,907)</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20"/>
        </w:trPr>
        <w:tc>
          <w:tcPr>
            <w:tcW w:w="3680" w:type="dxa"/>
            <w:vAlign w:val="bottom"/>
          </w:tcPr>
          <w:p>
            <w:pPr>
              <w:spacing w:after="0"/>
              <w:rPr>
                <w:sz w:val="20"/>
                <w:szCs w:val="20"/>
                <w:color w:val="auto"/>
              </w:rPr>
            </w:pPr>
            <w:r>
              <w:rPr>
                <w:rFonts w:ascii="Arial" w:cs="Arial" w:eastAsia="Arial" w:hAnsi="Arial"/>
                <w:sz w:val="15"/>
                <w:szCs w:val="15"/>
                <w:color w:val="auto"/>
              </w:rPr>
              <w:t>ASMs (thousands)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83"/>
              </w:rPr>
              <w:t>1,158,012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1,508,196</w:t>
            </w:r>
          </w:p>
        </w:tc>
        <w:tc>
          <w:tcPr>
            <w:tcW w:w="1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(350,184)</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20"/>
        </w:trPr>
        <w:tc>
          <w:tcPr>
            <w:tcW w:w="3680" w:type="dxa"/>
            <w:vAlign w:val="bottom"/>
          </w:tcPr>
          <w:p>
            <w:pPr>
              <w:spacing w:after="0"/>
              <w:rPr>
                <w:sz w:val="20"/>
                <w:szCs w:val="20"/>
                <w:color w:val="auto"/>
              </w:rPr>
            </w:pPr>
            <w:r>
              <w:rPr>
                <w:rFonts w:ascii="Arial" w:cs="Arial" w:eastAsia="Arial" w:hAnsi="Arial"/>
                <w:sz w:val="15"/>
                <w:szCs w:val="15"/>
                <w:color w:val="auto"/>
              </w:rPr>
              <w:t>PRASM (cents)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4.72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7.57</w:t>
            </w:r>
          </w:p>
        </w:tc>
        <w:tc>
          <w:tcPr>
            <w:tcW w:w="1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(2.85)</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20"/>
        </w:trPr>
        <w:tc>
          <w:tcPr>
            <w:tcW w:w="3680" w:type="dxa"/>
            <w:vAlign w:val="bottom"/>
          </w:tcPr>
          <w:p>
            <w:pPr>
              <w:spacing w:after="0"/>
              <w:rPr>
                <w:sz w:val="20"/>
                <w:szCs w:val="20"/>
                <w:color w:val="auto"/>
              </w:rPr>
            </w:pPr>
            <w:r>
              <w:rPr>
                <w:rFonts w:ascii="Arial" w:cs="Arial" w:eastAsia="Arial" w:hAnsi="Arial"/>
                <w:sz w:val="15"/>
                <w:szCs w:val="15"/>
                <w:color w:val="auto"/>
              </w:rPr>
              <w:t>Passenger load factor</w:t>
            </w:r>
          </w:p>
        </w:tc>
        <w:tc>
          <w:tcPr>
            <w:tcW w:w="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66.9%</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76.2%</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(9.3)pts</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-550545</wp:posOffset>
            </wp:positionV>
            <wp:extent cx="4241800" cy="132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-278765</wp:posOffset>
            </wp:positionV>
            <wp:extent cx="4241800" cy="139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-822325</wp:posOffset>
            </wp:positionV>
            <wp:extent cx="4241800" cy="139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90"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The 32% decline in the number of scheduled service passengers in the three months ended March 31, 2021, as compared to the three months ended March 31, 2020, was primarily due to COVID-19 pandemic related demand reductions. For the three months ended March 31, 2021, our average base fare was $98.77, compared to $140.34 for the three months ended March 31, 2020. The 30% reduction in average base fare was due to lower prices in the airline industry due to significantly lower demand and fewer higher priced international passengers.</w:t>
      </w:r>
    </w:p>
    <w:p>
      <w:pPr>
        <w:spacing w:after="0" w:line="106"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i w:val="1"/>
          <w:iCs w:val="1"/>
          <w:color w:val="auto"/>
        </w:rPr>
        <w:t xml:space="preserve">Charter Service. </w:t>
      </w:r>
      <w:r>
        <w:rPr>
          <w:rFonts w:ascii="Arial" w:cs="Arial" w:eastAsia="Arial" w:hAnsi="Arial"/>
          <w:sz w:val="14"/>
          <w:szCs w:val="14"/>
          <w:color w:val="auto"/>
        </w:rPr>
        <w:t>Charter service revenue decreased by $3.4 million, or 12%, to $25.8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three months ended March 31, 2021, from $29.2 million for the three months ended March 31, 2020. The COVID-19 pandemic drove a decrease in our casino charter service revenue of 62.5% due to a delayed recovery in demand. This was offset by an increase in our custom charters service revenue of 47.4%, driven by increase in NCAA operations, other custom charters, and U.S. Department of Defense. Charter revenue per block hour was $7.7 million for the three months ended March 31, 2021, as compared to $8.1 million for the three months ended March 31, 2020, for a decrease of 4%.</w:t>
      </w:r>
    </w:p>
    <w:p>
      <w:pPr>
        <w:spacing w:after="0" w:line="82" w:lineRule="exact"/>
        <w:rPr>
          <w:sz w:val="20"/>
          <w:szCs w:val="20"/>
          <w:color w:val="auto"/>
        </w:rPr>
      </w:pPr>
    </w:p>
    <w:p>
      <w:pPr>
        <w:ind w:left="1460"/>
        <w:spacing w:after="0"/>
        <w:tabs>
          <w:tab w:leader="none" w:pos="2160" w:val="left"/>
        </w:tabs>
        <w:rPr>
          <w:sz w:val="20"/>
          <w:szCs w:val="20"/>
          <w:color w:val="auto"/>
        </w:rPr>
      </w:pPr>
      <w:r>
        <w:rPr>
          <w:rFonts w:ascii="Arial" w:cs="Arial" w:eastAsia="Arial" w:hAnsi="Arial"/>
          <w:sz w:val="15"/>
          <w:szCs w:val="15"/>
          <w:i w:val="1"/>
          <w:iCs w:val="1"/>
          <w:color w:val="auto"/>
        </w:rPr>
        <w:t>Ancillary.</w:t>
      </w:r>
      <w:r>
        <w:rPr>
          <w:sz w:val="20"/>
          <w:szCs w:val="20"/>
          <w:color w:val="auto"/>
        </w:rPr>
        <w:tab/>
      </w:r>
      <w:r>
        <w:rPr>
          <w:rFonts w:ascii="Arial" w:cs="Arial" w:eastAsia="Arial" w:hAnsi="Arial"/>
          <w:sz w:val="14"/>
          <w:szCs w:val="14"/>
          <w:color w:val="auto"/>
        </w:rPr>
        <w:t>Ancillary revenue decreased by $11.3 million, or 32%, to $23.8 million for the three months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ended March 31, 2021, from $35.0 million for the three months ended March 31, 2020. The number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scheduled service passengers was 553 thousand in the three months ended March 31, 2021, down 32% from</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814 thousand in the three months ended March 31, 2020. The decline in passenger demand due to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COVID-19 pandemic resulted in a corresponding decline in sales of air travel-related services such as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baggage fees, seat selection and upgrade fees, and on-board sales. Specifically, ancillary revenue was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$42.98 per passenger in the three months ended March 31, 2021, down from $43.04 per passenger in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three months ended March 31, 2020.</w:t>
      </w:r>
    </w:p>
    <w:p>
      <w:pPr>
        <w:spacing w:after="0" w:line="113"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i w:val="1"/>
          <w:iCs w:val="1"/>
          <w:color w:val="auto"/>
        </w:rPr>
        <w:t xml:space="preserve">Cargo. </w:t>
      </w:r>
      <w:r>
        <w:rPr>
          <w:rFonts w:ascii="Arial" w:cs="Arial" w:eastAsia="Arial" w:hAnsi="Arial"/>
          <w:sz w:val="15"/>
          <w:szCs w:val="15"/>
          <w:color w:val="auto"/>
        </w:rPr>
        <w:t>Revenue from cargo services was $21.6 million for the three months ended March 31, 2021,</w:t>
      </w:r>
      <w:r>
        <w:rPr>
          <w:rFonts w:ascii="Arial" w:cs="Arial" w:eastAsia="Arial" w:hAnsi="Arial"/>
          <w:sz w:val="15"/>
          <w:szCs w:val="15"/>
          <w:i w:val="1"/>
          <w:iCs w:val="1"/>
          <w:color w:val="auto"/>
        </w:rPr>
        <w:t xml:space="preserve"> </w:t>
      </w:r>
      <w:r>
        <w:rPr>
          <w:rFonts w:ascii="Arial" w:cs="Arial" w:eastAsia="Arial" w:hAnsi="Arial"/>
          <w:sz w:val="15"/>
          <w:szCs w:val="15"/>
          <w:color w:val="auto"/>
        </w:rPr>
        <w:t>with no comparative revenue for the three months ended March 31, 2020. All of our 2021 cargo service revenue related to the commencement of air cargo transportation services under the ATSA with Amazon in May 2020.</w:t>
      </w:r>
    </w:p>
    <w:p>
      <w:pPr>
        <w:spacing w:after="0" w:line="102"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at $1.8 million for the three months ended March 31, 2021 was flat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2020. There was an observed decrease in co-brand credit card revenue from lower card spending and lower mail revenue due to decreased flights, offset by increased Sun Country Vacations revenue.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13"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decreased by $31.3 million, or 56%, to $24.3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as compared to $55.6 million for the three months ended March 31, 2020. The decrease was largely driven by a $24.4 million change in the mark-to-market gains/losses from our fuel derivative contracts, consisting of a $2.4 million gain in the three months ended March 31, 2021 compared to a $22.0 million loss in the three months ended March 31, 2020. The decrease was further driven by a 25% decrease in fuel gallons consumed, due to our decreased level of operations as a result of reduced demand relating to the COVID-19 pandemic, as demonstrated by a 20% decrease in passenger service block hours. Partially offsetting these decreases was a 5% increase in the average price per gallon of fuel.</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increased by $6.0 million, or 16%,</w:t>
      </w:r>
      <w:r>
        <w:rPr>
          <w:rFonts w:ascii="Arial" w:cs="Arial" w:eastAsia="Arial" w:hAnsi="Arial"/>
          <w:sz w:val="14"/>
          <w:szCs w:val="14"/>
          <w:i w:val="1"/>
          <w:iCs w:val="1"/>
          <w:color w:val="auto"/>
        </w:rPr>
        <w:t xml:space="preserve"> </w:t>
      </w:r>
      <w:r>
        <w:rPr>
          <w:rFonts w:ascii="Arial" w:cs="Arial" w:eastAsia="Arial" w:hAnsi="Arial"/>
          <w:sz w:val="14"/>
          <w:szCs w:val="14"/>
          <w:color w:val="auto"/>
        </w:rPr>
        <w:t>to $44.1 million for the three months ended March 31, 2021, as compared to $38.1 million for the</w:t>
      </w:r>
    </w:p>
    <w:p>
      <w:pPr>
        <w:spacing w:after="0" w:line="1" w:lineRule="exact"/>
        <w:rPr>
          <w:sz w:val="20"/>
          <w:szCs w:val="20"/>
          <w:color w:val="auto"/>
        </w:rPr>
      </w:pPr>
    </w:p>
    <w:p>
      <w:pPr>
        <w:ind w:left="1160" w:right="1179"/>
        <w:spacing w:after="0" w:line="245" w:lineRule="auto"/>
        <w:rPr>
          <w:sz w:val="20"/>
          <w:szCs w:val="20"/>
          <w:color w:val="auto"/>
        </w:rPr>
      </w:pPr>
      <w:r>
        <w:rPr>
          <w:rFonts w:ascii="Arial" w:cs="Arial" w:eastAsia="Arial" w:hAnsi="Arial"/>
          <w:sz w:val="14"/>
          <w:szCs w:val="14"/>
          <w:color w:val="auto"/>
        </w:rPr>
        <w:t>three months ended March 31, 2020. A portion of the increase was primarily due to insourcing MSP ground handling operations in April 2020, resulting in approximately $1.2 million in higher salaries, wages and benefits, along with increased pilot pay and per diems to support operations under the ATSA. Since the probability of partial vesting was triggered by our IPO, we expensed $ 2.5 million for our performance-based stock options for the three months ended March 31, 2021. No expense was recorded in the three months ended March 31, 2020 for performance-based stock options. Our cargo segment was responsible for</w:t>
      </w:r>
    </w:p>
    <w:p>
      <w:pPr>
        <w:spacing w:after="0" w:line="3" w:lineRule="exact"/>
        <w:rPr>
          <w:sz w:val="20"/>
          <w:szCs w:val="20"/>
          <w:color w:val="auto"/>
        </w:rPr>
      </w:pPr>
    </w:p>
    <w:p>
      <w:pPr>
        <w:ind w:left="1160" w:right="1539"/>
        <w:spacing w:after="0" w:line="233" w:lineRule="auto"/>
        <w:rPr>
          <w:sz w:val="20"/>
          <w:szCs w:val="20"/>
          <w:color w:val="auto"/>
        </w:rPr>
      </w:pPr>
      <w:r>
        <w:rPr>
          <w:rFonts w:ascii="Arial" w:cs="Arial" w:eastAsia="Arial" w:hAnsi="Arial"/>
          <w:sz w:val="15"/>
          <w:szCs w:val="15"/>
          <w:color w:val="auto"/>
        </w:rPr>
        <w:t>$11.2 million of the consolidated salaries, wages, and benefits expense for the three months ended March 31, 2021, and was driven by headcount required to support the operations and aircraft under the ATSA.</w:t>
      </w:r>
    </w:p>
    <w:p>
      <w:pPr>
        <w:spacing w:after="0" w:line="101"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Rent</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Aircraft rent expense decreased by $5.4 million, or 49%, to $5.6 million for the</w:t>
      </w:r>
    </w:p>
    <w:p>
      <w:pPr>
        <w:ind w:left="1160"/>
        <w:spacing w:after="0" w:line="235" w:lineRule="auto"/>
        <w:rPr>
          <w:sz w:val="20"/>
          <w:szCs w:val="20"/>
          <w:color w:val="auto"/>
        </w:rPr>
      </w:pPr>
      <w:r>
        <w:rPr>
          <w:rFonts w:ascii="Arial" w:cs="Arial" w:eastAsia="Arial" w:hAnsi="Arial"/>
          <w:sz w:val="15"/>
          <w:szCs w:val="15"/>
          <w:color w:val="auto"/>
        </w:rPr>
        <w:t>three months ended March 31, 2021, as compared to $11.0 million for the three months ended</w:t>
      </w:r>
    </w:p>
    <w:p>
      <w:pPr>
        <w:ind w:left="1160"/>
        <w:spacing w:after="0" w:line="229" w:lineRule="auto"/>
        <w:rPr>
          <w:sz w:val="20"/>
          <w:szCs w:val="20"/>
          <w:color w:val="auto"/>
        </w:rPr>
      </w:pPr>
      <w:r>
        <w:rPr>
          <w:rFonts w:ascii="Arial" w:cs="Arial" w:eastAsia="Arial" w:hAnsi="Arial"/>
          <w:sz w:val="15"/>
          <w:szCs w:val="15"/>
          <w:color w:val="auto"/>
        </w:rPr>
        <w:t>March 31, 2020. Aircraft rent expense decreased primarily due to the composition of our aircraft fleet</w:t>
      </w:r>
    </w:p>
    <w:p>
      <w:pPr>
        <w:ind w:left="1160"/>
        <w:spacing w:after="0"/>
        <w:rPr>
          <w:sz w:val="20"/>
          <w:szCs w:val="20"/>
          <w:color w:val="auto"/>
        </w:rPr>
      </w:pPr>
      <w:r>
        <w:rPr>
          <w:rFonts w:ascii="Arial" w:cs="Arial" w:eastAsia="Arial" w:hAnsi="Arial"/>
          <w:sz w:val="14"/>
          <w:szCs w:val="14"/>
          <w:color w:val="auto"/>
        </w:rPr>
        <w:t>shifting from aircraft under operating leases (for which expense is recorded within aircraft rent) to owned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aircraft. Specifically, in the year ended December 31, 2020 we purchased two aircraft previously under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operating lease and leased two fewer seasonal aircraft. In addition, in late first quarter 2021, we purchased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five aircraft previously under operating lease. Additionally, a 20% decrease in passenger service block hours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resulted in a decrease in supplemental rent.</w:t>
      </w:r>
    </w:p>
    <w:p>
      <w:pPr>
        <w:spacing w:after="0" w:line="90" w:lineRule="exact"/>
        <w:rPr>
          <w:sz w:val="20"/>
          <w:szCs w:val="20"/>
          <w:color w:val="auto"/>
        </w:rPr>
      </w:pPr>
    </w:p>
    <w:p>
      <w:pPr>
        <w:ind w:left="1460"/>
        <w:spacing w:after="0"/>
        <w:tabs>
          <w:tab w:leader="none" w:pos="2400" w:val="left"/>
        </w:tabs>
        <w:rPr>
          <w:sz w:val="20"/>
          <w:szCs w:val="20"/>
          <w:color w:val="auto"/>
        </w:rPr>
      </w:pPr>
      <w:r>
        <w:rPr>
          <w:rFonts w:ascii="Arial" w:cs="Arial" w:eastAsia="Arial" w:hAnsi="Arial"/>
          <w:sz w:val="15"/>
          <w:szCs w:val="15"/>
          <w:i w:val="1"/>
          <w:iCs w:val="1"/>
          <w:color w:val="auto"/>
        </w:rPr>
        <w:t>Maintenance</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Maintenance materials and repair expense increased by $2.7 million, or 42%,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$9.2 million for the three months ended March 31, 2021, as compared to $6.5 million for the three months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ended March 31, 2020. Our cargo segment was responsible for $2.6 million of the consolidated maintenance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expense for the three months ended March 31, 2021, as compared to none for the prior year quarter since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cargo segment shipments did not begin until May 2020. The cargo segment expense primarily relates to line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maintenance, since heavy maintenance is reimbursed under the ATSA.</w:t>
      </w:r>
    </w:p>
    <w:p>
      <w:pPr>
        <w:spacing w:after="0" w:line="101"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4"/>
          <w:szCs w:val="14"/>
          <w:i w:val="1"/>
          <w:iCs w:val="1"/>
          <w:color w:val="auto"/>
        </w:rPr>
        <w:t>Sales and Marketing</w:t>
      </w:r>
      <w:r>
        <w:rPr>
          <w:rFonts w:ascii="Arial" w:cs="Arial" w:eastAsia="Arial" w:hAnsi="Arial"/>
          <w:sz w:val="14"/>
          <w:szCs w:val="14"/>
          <w:color w:val="auto"/>
        </w:rPr>
        <w:t>. Sales and marketing expense decreased by $3.5 million, or 40%, to $5.1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three months ended March 31, 2021, as compared to $8.6 million for the three months ended March 31, 2020. The passenger revenue decrease between these two periods was 42%, resulting in a</w:t>
      </w:r>
    </w:p>
    <w:p>
      <w:pPr>
        <w:spacing w:after="0" w:line="1" w:lineRule="exact"/>
        <w:rPr>
          <w:sz w:val="20"/>
          <w:szCs w:val="20"/>
          <w:color w:val="auto"/>
        </w:rPr>
      </w:pPr>
    </w:p>
    <w:p>
      <w:pPr>
        <w:ind w:left="1160" w:right="1399"/>
        <w:spacing w:after="0" w:line="233" w:lineRule="auto"/>
        <w:rPr>
          <w:sz w:val="20"/>
          <w:szCs w:val="20"/>
          <w:color w:val="auto"/>
        </w:rPr>
      </w:pPr>
      <w:r>
        <w:rPr>
          <w:rFonts w:ascii="Arial" w:cs="Arial" w:eastAsia="Arial" w:hAnsi="Arial"/>
          <w:sz w:val="15"/>
          <w:szCs w:val="15"/>
          <w:color w:val="auto"/>
        </w:rPr>
        <w:t>$2.0 million reduction in credit card processing fees, related to lower sales on our scheduled service. The remaining $ 1.5 million reduction relates to lower advertising costs, global distribution system fees and travel agent commissions, all due to the COVID-19 pandemic.</w:t>
      </w:r>
    </w:p>
    <w:p>
      <w:pPr>
        <w:spacing w:after="0" w:line="101"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 Depreciation and amortization expense increased by $2.1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20%, to $12.6 million for the three months ended March 31, 2021, as compared to $10.5 million for the three months ended March 31, 2020. The increase was primarily due to the impact of a change in the composition of our aircraft fleet to an increased number of owned aircraft in connection with our 2019-1 EETC and aircraft under finance leases (for which expense is recorded within depreciation and amortization).</w:t>
      </w:r>
    </w:p>
    <w:p>
      <w:pPr>
        <w:spacing w:after="0" w:line="95"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i w:val="1"/>
          <w:iCs w:val="1"/>
          <w:color w:val="auto"/>
        </w:rPr>
        <w:t>Ground Handling</w:t>
      </w:r>
      <w:r>
        <w:rPr>
          <w:rFonts w:ascii="Arial" w:cs="Arial" w:eastAsia="Arial" w:hAnsi="Arial"/>
          <w:sz w:val="14"/>
          <w:szCs w:val="14"/>
          <w:color w:val="auto"/>
        </w:rPr>
        <w:t>. Ground handling expense decreased by $4.1 million, or 44%, to $5.2 million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three months ended March 31, 2021, as compared to $9.3 million for the three months ended March 31, 2020. The decrease was primarily due to the 26% decline in scheduled departures during the same time periods. Additionally, we insourced our MSP operations in April 2020, contributing to a reduction of $2.2 million in ground handling expenses for the three months ended March 31, 2021 compared to March 31, 2020, but resulting in higher salaries, wages and benefits.</w:t>
      </w:r>
    </w:p>
    <w:p>
      <w:pPr>
        <w:spacing w:after="0" w:line="93"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i w:val="1"/>
          <w:iCs w:val="1"/>
          <w:color w:val="auto"/>
        </w:rPr>
        <w:t>Landing Fees and Airport Rent</w:t>
      </w:r>
      <w:r>
        <w:rPr>
          <w:rFonts w:ascii="Arial" w:cs="Arial" w:eastAsia="Arial" w:hAnsi="Arial"/>
          <w:sz w:val="15"/>
          <w:szCs w:val="15"/>
          <w:color w:val="auto"/>
        </w:rPr>
        <w:t>. Landing fees and airport rent decreased by $2.3 million, or 21%, to</w:t>
      </w:r>
      <w:r>
        <w:rPr>
          <w:rFonts w:ascii="Arial" w:cs="Arial" w:eastAsia="Arial" w:hAnsi="Arial"/>
          <w:sz w:val="15"/>
          <w:szCs w:val="15"/>
          <w:i w:val="1"/>
          <w:iCs w:val="1"/>
          <w:color w:val="auto"/>
        </w:rPr>
        <w:t xml:space="preserve"> </w:t>
      </w:r>
      <w:r>
        <w:rPr>
          <w:rFonts w:ascii="Arial" w:cs="Arial" w:eastAsia="Arial" w:hAnsi="Arial"/>
          <w:sz w:val="15"/>
          <w:szCs w:val="15"/>
          <w:color w:val="auto"/>
        </w:rPr>
        <w:t>$8.8 million for the three months ended March 31, 2021, as compared to $11.1 million for the three months ended March 31, 2020. The decrease was driven by the 26% reduction in scheduled departures for the three months ended March 31, 2021.</w:t>
      </w:r>
    </w:p>
    <w:p>
      <w:pPr>
        <w:spacing w:after="0" w:line="102"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i w:val="1"/>
          <w:iCs w:val="1"/>
          <w:color w:val="auto"/>
        </w:rPr>
        <w:t>Special Items, net</w:t>
      </w:r>
      <w:r>
        <w:rPr>
          <w:rFonts w:ascii="Arial" w:cs="Arial" w:eastAsia="Arial" w:hAnsi="Arial"/>
          <w:sz w:val="14"/>
          <w:szCs w:val="14"/>
          <w:color w:val="auto"/>
        </w:rPr>
        <w:t>. Special items, net was a contra-expense of $26.9 million for the three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March 31, 2021, and zero for the three months ended March 31, 2020. For the three months ended March 31, 2021, Special items, net included a $32.2 million of income related to funds received under PSP2 of the CARES Act, to be used exclusively for the continuation of payments for salaries, wages, and benefits, and $0.3 million in refundable tax credits related to employee retention under the CARES Act. This was partially offset by a $5.7 million net loss on lease termination costs on the purchase of five aircraft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during the quarter that were previously under operating leases. Our cargo segment was responsible for</w:t>
      </w:r>
    </w:p>
    <w:p>
      <w:pPr>
        <w:spacing w:after="0" w:line="25" w:lineRule="exact"/>
        <w:rPr>
          <w:sz w:val="20"/>
          <w:szCs w:val="20"/>
          <w:color w:val="auto"/>
        </w:rPr>
      </w:pPr>
    </w:p>
    <w:p>
      <w:pPr>
        <w:ind w:left="1160" w:right="1199"/>
        <w:spacing w:after="0" w:line="246" w:lineRule="auto"/>
        <w:rPr>
          <w:sz w:val="20"/>
          <w:szCs w:val="20"/>
          <w:color w:val="auto"/>
        </w:rPr>
      </w:pPr>
      <w:r>
        <w:rPr>
          <w:rFonts w:ascii="Arial" w:cs="Arial" w:eastAsia="Arial" w:hAnsi="Arial"/>
          <w:sz w:val="15"/>
          <w:szCs w:val="15"/>
          <w:color w:val="auto"/>
        </w:rPr>
        <w:t>$8.7 million of the consolidated income from Special items, net for the three months ended March 31, 2021, driven by allocated amounts received under the CARES Act, based on the respective segment salaries, wages and benefits.</w:t>
      </w:r>
    </w:p>
    <w:p>
      <w:pPr>
        <w:spacing w:after="0" w:line="107"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i w:val="1"/>
          <w:iCs w:val="1"/>
          <w:color w:val="auto"/>
        </w:rPr>
        <w:t>Other Operating, net</w:t>
      </w:r>
      <w:r>
        <w:rPr>
          <w:rFonts w:ascii="Arial" w:cs="Arial" w:eastAsia="Arial" w:hAnsi="Arial"/>
          <w:sz w:val="14"/>
          <w:szCs w:val="14"/>
          <w:color w:val="auto"/>
        </w:rPr>
        <w:t>. Other operating, net expense increased by $0.2 million, or 2%, to $14.7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three months ended March 31, 2021, as compared to $14.4 million for the three months ended March 31, 2020. A passenger segment decrease of $3.9 million was primarily driven by our lower level of operations related to the COVID-19 pandemic which resulted in reduced crew and other employee travel costs, interrupted trip expenses, catering expenses, and other operational overhead costs. Our cargo segment was responsible for $4.1 million of our consolidated other operating, net expense for the three months ended March 31, 2021, driven by overhead expenses as well as crew and employee travel costs.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13" w:lineRule="exact"/>
        <w:rPr>
          <w:sz w:val="20"/>
          <w:szCs w:val="20"/>
          <w:color w:val="auto"/>
        </w:rPr>
      </w:pPr>
    </w:p>
    <w:p>
      <w:pPr>
        <w:ind w:left="1160" w:right="1839" w:firstLine="293"/>
        <w:spacing w:after="0" w:line="270" w:lineRule="auto"/>
        <w:rPr>
          <w:sz w:val="20"/>
          <w:szCs w:val="20"/>
          <w:color w:val="auto"/>
        </w:rPr>
      </w:pPr>
      <w:r>
        <w:rPr>
          <w:rFonts w:ascii="Arial" w:cs="Arial" w:eastAsia="Arial" w:hAnsi="Arial"/>
          <w:sz w:val="14"/>
          <w:szCs w:val="14"/>
          <w:i w:val="1"/>
          <w:iCs w:val="1"/>
          <w:color w:val="auto"/>
        </w:rPr>
        <w:t>Interest Expense</w:t>
      </w:r>
      <w:r>
        <w:rPr>
          <w:rFonts w:ascii="Arial" w:cs="Arial" w:eastAsia="Arial" w:hAnsi="Arial"/>
          <w:sz w:val="14"/>
          <w:szCs w:val="14"/>
          <w:color w:val="auto"/>
        </w:rPr>
        <w:t>. Interest expense increased by $1.5 million, or 27%, to $7.1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three months ended March 31, 2021, as compared to $5.6 million for the three months ended</w:t>
      </w:r>
    </w:p>
    <w:p>
      <w:pPr>
        <w:ind w:left="1160" w:right="1259"/>
        <w:spacing w:after="0" w:line="269" w:lineRule="auto"/>
        <w:rPr>
          <w:sz w:val="20"/>
          <w:szCs w:val="20"/>
          <w:color w:val="auto"/>
        </w:rPr>
      </w:pPr>
      <w:r>
        <w:rPr>
          <w:rFonts w:ascii="Arial" w:cs="Arial" w:eastAsia="Arial" w:hAnsi="Arial"/>
          <w:sz w:val="14"/>
          <w:szCs w:val="14"/>
          <w:color w:val="auto"/>
        </w:rPr>
        <w:t>March 31, 2020. The increase was primarily due to debt issued for the acquisition of new aircraft and spare engines, including new debt incurred in connection with the 2019-1 EETC. During the three months ended March 31, 2021, the Company expensed $1.2 million of debt financing costs due to the $46.3 million repayment of the $45.0 million CARES Act Loan and the replacement of the ABL Facility.</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6"/>
            <w:vMerge w:val="restart"/>
          </w:tcPr>
          <w:p>
            <w:pPr>
              <w:jc w:val="right"/>
              <w:ind w:right="8"/>
              <w:spacing w:after="0"/>
              <w:rPr>
                <w:sz w:val="20"/>
                <w:szCs w:val="20"/>
                <w:color w:val="auto"/>
              </w:rPr>
            </w:pPr>
            <w:r>
              <w:rPr>
                <w:rFonts w:ascii="Arial" w:cs="Arial" w:eastAsia="Arial" w:hAnsi="Arial"/>
                <w:sz w:val="12"/>
                <w:szCs w:val="12"/>
                <w:b w:val="1"/>
                <w:bCs w:val="1"/>
                <w:color w:val="auto"/>
                <w:w w:val="84"/>
              </w:rPr>
              <w:t>Three Months Ended March 31, 2021</w:t>
            </w:r>
            <w:r>
              <w:rPr>
                <w:rFonts w:ascii="Arial" w:cs="Arial" w:eastAsia="Arial" w:hAnsi="Arial"/>
                <w:sz w:val="17"/>
                <w:szCs w:val="17"/>
                <w:b w:val="1"/>
                <w:bCs w:val="1"/>
                <w:color w:val="auto"/>
                <w:w w:val="84"/>
                <w:vertAlign w:val="superscript"/>
              </w:rPr>
              <w:t>(1)</w:t>
            </w:r>
          </w:p>
        </w:tc>
        <w:tc>
          <w:tcPr>
            <w:tcW w:w="240" w:type="dxa"/>
            <w:vAlign w:val="bottom"/>
            <w:vMerge w:val="restart"/>
          </w:tcPr>
          <w:p>
            <w:pPr>
              <w:spacing w:after="0"/>
              <w:rPr>
                <w:sz w:val="12"/>
                <w:szCs w:val="12"/>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w w:val="96"/>
              </w:rPr>
              <w:t>Three Months Ended</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3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2"/>
                <w:szCs w:val="12"/>
                <w:b w:val="1"/>
                <w:bCs w:val="1"/>
                <w:color w:val="auto"/>
              </w:rPr>
              <w:t>March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60" w:type="dxa"/>
            <w:vAlign w:val="bottom"/>
            <w:gridSpan w:val="3"/>
          </w:tcPr>
          <w:p>
            <w:pPr>
              <w:spacing w:after="0"/>
              <w:rPr>
                <w:sz w:val="20"/>
                <w:szCs w:val="20"/>
                <w:color w:val="auto"/>
              </w:rPr>
            </w:pPr>
            <w:r>
              <w:rPr>
                <w:rFonts w:ascii="Arial" w:cs="Arial" w:eastAsia="Arial" w:hAnsi="Arial"/>
                <w:sz w:val="12"/>
                <w:szCs w:val="12"/>
                <w:b w:val="1"/>
                <w:bCs w:val="1"/>
                <w:color w:val="auto"/>
              </w:rPr>
              <w:t>(in thousands, except percentages)</w:t>
            </w:r>
          </w:p>
        </w:tc>
        <w:tc>
          <w:tcPr>
            <w:tcW w:w="78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82"/>
              </w:rPr>
              <w:t>Passenger</w:t>
            </w:r>
          </w:p>
        </w:tc>
        <w:tc>
          <w:tcPr>
            <w:tcW w:w="7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Cargo</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Passenger</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8"/>
              </w:rPr>
              <w:t>$ Change</w:t>
            </w: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106,026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8"/>
              </w:rPr>
              <w:t>$21,585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4"/>
              </w:rPr>
              <w:t>127,611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6"/>
              </w:rPr>
              <w:t>$180,330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(74,304)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gridSpan w:val="3"/>
          </w:tcPr>
          <w:p>
            <w:pPr>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24,253</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24,274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55,561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(31,308)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3"/>
          </w:tcPr>
          <w:p>
            <w:pPr>
              <w:ind w:left="160"/>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32,839</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11,236</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44,075</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38,091</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(5,252)</w:t>
            </w:r>
          </w:p>
        </w:tc>
        <w:tc>
          <w:tcPr>
            <w:tcW w:w="0" w:type="dxa"/>
            <w:vAlign w:val="bottom"/>
          </w:tcPr>
          <w:p>
            <w:pPr>
              <w:spacing w:after="0"/>
              <w:rPr>
                <w:sz w:val="1"/>
                <w:szCs w:val="1"/>
                <w:color w:val="auto"/>
              </w:rPr>
            </w:pPr>
          </w:p>
        </w:tc>
      </w:tr>
      <w:tr>
        <w:trPr>
          <w:trHeight w:val="209"/>
        </w:trPr>
        <w:tc>
          <w:tcPr>
            <w:tcW w:w="30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5,599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5,599</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11,032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3"/>
          </w:tcPr>
          <w:p>
            <w:pPr>
              <w:ind w:left="160"/>
              <w:spacing w:after="0"/>
              <w:rPr>
                <w:sz w:val="20"/>
                <w:szCs w:val="20"/>
                <w:color w:val="auto"/>
              </w:rPr>
            </w:pPr>
            <w:r>
              <w:rPr>
                <w:rFonts w:ascii="Arial" w:cs="Arial" w:eastAsia="Arial" w:hAnsi="Arial"/>
                <w:sz w:val="15"/>
                <w:szCs w:val="15"/>
                <w:color w:val="auto"/>
              </w:rPr>
              <w:t>Maintenance</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6,603</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2,607</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9,210</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6,478</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9"/>
        </w:trPr>
        <w:tc>
          <w:tcPr>
            <w:tcW w:w="30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5,110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5,110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8,572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3"/>
          </w:tcPr>
          <w:p>
            <w:pPr>
              <w:ind w:left="16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12,589</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12,615</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10,527</w:t>
            </w: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2,062</w:t>
            </w:r>
          </w:p>
        </w:tc>
        <w:tc>
          <w:tcPr>
            <w:tcW w:w="0" w:type="dxa"/>
            <w:vAlign w:val="bottom"/>
          </w:tcPr>
          <w:p>
            <w:pPr>
              <w:spacing w:after="0"/>
              <w:rPr>
                <w:sz w:val="1"/>
                <w:szCs w:val="1"/>
                <w:color w:val="auto"/>
              </w:rPr>
            </w:pPr>
          </w:p>
        </w:tc>
      </w:tr>
      <w:tr>
        <w:trPr>
          <w:trHeight w:val="209"/>
        </w:trPr>
        <w:tc>
          <w:tcPr>
            <w:tcW w:w="30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5,230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5,230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9,292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3"/>
          </w:tcPr>
          <w:p>
            <w:pPr>
              <w:ind w:left="160"/>
              <w:spacing w:after="0"/>
              <w:rPr>
                <w:sz w:val="20"/>
                <w:szCs w:val="20"/>
                <w:color w:val="auto"/>
              </w:rPr>
            </w:pPr>
            <w:r>
              <w:rPr>
                <w:rFonts w:ascii="Arial" w:cs="Arial" w:eastAsia="Arial" w:hAnsi="Arial"/>
                <w:sz w:val="15"/>
                <w:szCs w:val="15"/>
                <w:color w:val="auto"/>
              </w:rPr>
              <w:t>Landing Fees and Airport Rent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8,655</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8,785</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11,114</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(2,459)</w:t>
            </w:r>
          </w:p>
        </w:tc>
        <w:tc>
          <w:tcPr>
            <w:tcW w:w="0" w:type="dxa"/>
            <w:vAlign w:val="bottom"/>
          </w:tcPr>
          <w:p>
            <w:pPr>
              <w:spacing w:after="0"/>
              <w:rPr>
                <w:sz w:val="1"/>
                <w:szCs w:val="1"/>
                <w:color w:val="auto"/>
              </w:rPr>
            </w:pPr>
          </w:p>
        </w:tc>
      </w:tr>
      <w:tr>
        <w:trPr>
          <w:trHeight w:val="209"/>
        </w:trPr>
        <w:tc>
          <w:tcPr>
            <w:tcW w:w="30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9"/>
              </w:rPr>
              <w:t>(18,206)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(8,665)</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(26,871)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(18,206)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gridSpan w:val="3"/>
          </w:tcPr>
          <w:p>
            <w:pPr>
              <w:ind w:left="160"/>
              <w:spacing w:after="0"/>
              <w:rPr>
                <w:sz w:val="20"/>
                <w:szCs w:val="20"/>
                <w:color w:val="auto"/>
              </w:rPr>
            </w:pPr>
            <w:r>
              <w:rPr>
                <w:rFonts w:ascii="Arial" w:cs="Arial" w:eastAsia="Arial" w:hAnsi="Arial"/>
                <w:sz w:val="15"/>
                <w:szCs w:val="15"/>
                <w:color w:val="auto"/>
              </w:rPr>
              <w:t>Other Operating, net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10,580</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4,071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14,651</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14,433</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(3,853)</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93,252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4"/>
              </w:rPr>
              <w:t>102,678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9"/>
              </w:rPr>
              <w:t>165,100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(71,848)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5"/>
                <w:szCs w:val="15"/>
                <w:color w:val="auto"/>
              </w:rPr>
              <w:t>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12,774</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$12,159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24,933</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w w:val="92"/>
              </w:rPr>
              <w:t>$ 15,230</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w w:val="96"/>
              </w:rPr>
              <w:t>$ (2,456)</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Adjustment for Special Items</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9"/>
              </w:rPr>
              <w:t>(18,206)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(8,665)</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(26,871)</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5"/>
                <w:szCs w:val="15"/>
                <w:b w:val="1"/>
                <w:bCs w:val="1"/>
                <w:color w:val="auto"/>
              </w:rPr>
              <w:t>Adjusted Operating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(5,432)</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w w:val="95"/>
              </w:rPr>
              <w:t>$ 3,494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(1,938)</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b w:val="1"/>
                <w:bCs w:val="1"/>
                <w:color w:val="auto"/>
              </w:rPr>
              <w:t>Adjusted Operating Margin %</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700" w:type="dxa"/>
            <w:vAlign w:val="bottom"/>
            <w:tcBorders>
              <w:bottom w:val="single" w:sz="8" w:color="auto"/>
            </w:tcBorders>
          </w:tcPr>
          <w:p>
            <w:pPr>
              <w:spacing w:after="0"/>
              <w:rPr>
                <w:sz w:val="6"/>
                <w:szCs w:val="6"/>
                <w:color w:val="auto"/>
              </w:rPr>
            </w:pPr>
          </w:p>
        </w:tc>
        <w:tc>
          <w:tcPr>
            <w:tcW w:w="2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-871220</wp:posOffset>
            </wp:positionV>
            <wp:extent cx="14668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-871220</wp:posOffset>
            </wp:positionV>
            <wp:extent cx="14668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-871220</wp:posOffset>
            </wp:positionV>
            <wp:extent cx="14668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-871220</wp:posOffset>
            </wp:positionV>
            <wp:extent cx="244157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41575" cy="698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-2475865</wp:posOffset>
            </wp:positionV>
            <wp:extent cx="13970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-2475865</wp:posOffset>
            </wp:positionV>
            <wp:extent cx="13970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-2475865</wp:posOffset>
            </wp:positionV>
            <wp:extent cx="13970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-2475865</wp:posOffset>
            </wp:positionV>
            <wp:extent cx="13970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-2475865</wp:posOffset>
            </wp:positionV>
            <wp:extent cx="11176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68"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period information.</w:t>
      </w:r>
    </w:p>
    <w:p>
      <w:pPr>
        <w:spacing w:after="0" w:line="13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 xml:space="preserve">Passenger. </w:t>
      </w:r>
      <w:r>
        <w:rPr>
          <w:rFonts w:ascii="Arial" w:cs="Arial" w:eastAsia="Arial" w:hAnsi="Arial"/>
          <w:sz w:val="15"/>
          <w:szCs w:val="15"/>
          <w:color w:val="auto"/>
        </w:rPr>
        <w:t>Passenger operating income decreased by $2.5 million, or 16%, to $12.8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from $15.2 million for the three months ended March 31, 2020. For more information on the changes in the components of operating income for the passenger segment, refer to the consolidated results of operations discussion above.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i w:val="1"/>
          <w:iCs w:val="1"/>
          <w:color w:val="auto"/>
        </w:rPr>
        <w:t xml:space="preserve">Cargo. </w:t>
      </w:r>
      <w:r>
        <w:rPr>
          <w:rFonts w:ascii="Arial" w:cs="Arial" w:eastAsia="Arial" w:hAnsi="Arial"/>
          <w:sz w:val="14"/>
          <w:szCs w:val="14"/>
          <w:color w:val="auto"/>
        </w:rPr>
        <w:t>Cargo operating income was $12.2 million for the three months ended March 31, 2021. As air</w:t>
      </w:r>
      <w:r>
        <w:rPr>
          <w:rFonts w:ascii="Arial" w:cs="Arial" w:eastAsia="Arial" w:hAnsi="Arial"/>
          <w:sz w:val="14"/>
          <w:szCs w:val="14"/>
          <w:i w:val="1"/>
          <w:iCs w:val="1"/>
          <w:color w:val="auto"/>
        </w:rPr>
        <w:t xml:space="preserve"> </w:t>
      </w:r>
      <w:r>
        <w:rPr>
          <w:rFonts w:ascii="Arial" w:cs="Arial" w:eastAsia="Arial" w:hAnsi="Arial"/>
          <w:sz w:val="14"/>
          <w:szCs w:val="14"/>
          <w:color w:val="auto"/>
        </w:rPr>
        <w:t>cargo operations commenced in May 2020, the cargo segment had no comparable operations for any other prior period presented.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4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percentages)</w:t>
            </w:r>
          </w:p>
        </w:tc>
        <w:tc>
          <w:tcPr>
            <w:tcW w:w="6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60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7"/>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359,232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688,833</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(329,601)</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(48)%</w:t>
            </w:r>
          </w:p>
        </w:tc>
      </w:tr>
      <w:tr>
        <w:trPr>
          <w:trHeight w:val="209"/>
        </w:trPr>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line="209"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10"/>
                <w:szCs w:val="10"/>
                <w:color w:val="auto"/>
              </w:rPr>
              <w:t>(2)</w:t>
            </w:r>
          </w:p>
        </w:tc>
        <w:tc>
          <w:tcPr>
            <w:tcW w:w="280" w:type="dxa"/>
            <w:vAlign w:val="bottom"/>
            <w:shd w:val="clear" w:color="auto" w:fill="CCEEFF"/>
          </w:tcPr>
          <w:p>
            <w:pPr>
              <w:ind w:left="40"/>
              <w:spacing w:after="0"/>
              <w:rPr>
                <w:sz w:val="20"/>
                <w:szCs w:val="20"/>
                <w:color w:val="auto"/>
              </w:rPr>
            </w:pPr>
            <w:r>
              <w:rPr>
                <w:rFonts w:ascii="Arial" w:cs="Arial" w:eastAsia="Arial" w:hAnsi="Arial"/>
                <w:sz w:val="15"/>
                <w:szCs w:val="15"/>
                <w:color w:val="auto"/>
                <w:w w:val="94"/>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14"/>
        </w:trPr>
        <w:tc>
          <w:tcPr>
            <w:tcW w:w="3940" w:type="dxa"/>
            <w:vAlign w:val="bottom"/>
          </w:tcPr>
          <w:p>
            <w:pPr>
              <w:ind w:left="16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5,445</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(7,106)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(57)%</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Revenue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401,486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701,384</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(299,898)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(43)%</w:t>
            </w:r>
          </w:p>
        </w:tc>
      </w:tr>
      <w:tr>
        <w:trPr>
          <w:trHeight w:val="205"/>
        </w:trPr>
        <w:tc>
          <w:tcPr>
            <w:tcW w:w="414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83,392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165,666</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(82,274)</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(50)%</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Salaries, Wages, and Benefits .</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141,641</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140,739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460" w:type="dxa"/>
            <w:vAlign w:val="bottom"/>
            <w:gridSpan w:val="2"/>
          </w:tcPr>
          <w:p>
            <w:pPr>
              <w:jc w:val="right"/>
              <w:ind w:right="5"/>
              <w:spacing w:after="0"/>
              <w:rPr>
                <w:sz w:val="20"/>
                <w:szCs w:val="20"/>
                <w:color w:val="auto"/>
              </w:rPr>
            </w:pPr>
            <w:r>
              <w:rPr>
                <w:rFonts w:ascii="Arial" w:cs="Arial" w:eastAsia="Arial" w:hAnsi="Arial"/>
                <w:sz w:val="15"/>
                <w:szCs w:val="15"/>
                <w:color w:val="auto"/>
              </w:rPr>
              <w:t>1%</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30,989</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49,908</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(18,919)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(7,870)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(22)%</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16,570</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35,388</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(18,818)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(53)%</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460" w:type="dxa"/>
            <w:vAlign w:val="bottom"/>
            <w:gridSpan w:val="2"/>
          </w:tcPr>
          <w:p>
            <w:pPr>
              <w:jc w:val="right"/>
              <w:ind w:right="5"/>
              <w:spacing w:after="0"/>
              <w:rPr>
                <w:sz w:val="20"/>
                <w:szCs w:val="20"/>
                <w:color w:val="auto"/>
              </w:rPr>
            </w:pPr>
            <w:r>
              <w:rPr>
                <w:rFonts w:ascii="Arial" w:cs="Arial" w:eastAsia="Arial" w:hAnsi="Arial"/>
                <w:sz w:val="15"/>
                <w:szCs w:val="15"/>
                <w:color w:val="auto"/>
              </w:rPr>
              <w:t>38%</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20,596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41,719</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(21,123)</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(51)%</w:t>
            </w:r>
          </w:p>
        </w:tc>
      </w:tr>
      <w:tr>
        <w:trPr>
          <w:trHeight w:val="209"/>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(13,144)</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(30)%</w:t>
            </w:r>
          </w:p>
        </w:tc>
      </w:tr>
      <w:tr>
        <w:trPr>
          <w:trHeight w:val="209"/>
        </w:trPr>
        <w:tc>
          <w:tcPr>
            <w:tcW w:w="4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(64,563)</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(71,655)</w:t>
            </w:r>
          </w:p>
        </w:tc>
        <w:tc>
          <w:tcPr>
            <w:tcW w:w="280" w:type="dxa"/>
            <w:vAlign w:val="bottom"/>
            <w:shd w:val="clear" w:color="auto" w:fill="CCEEFF"/>
          </w:tcPr>
          <w:p>
            <w:pPr>
              <w:ind w:left="40"/>
              <w:spacing w:after="0"/>
              <w:rPr>
                <w:sz w:val="20"/>
                <w:szCs w:val="20"/>
                <w:color w:val="auto"/>
              </w:rPr>
            </w:pPr>
            <w:r>
              <w:rPr>
                <w:rFonts w:ascii="Arial" w:cs="Arial" w:eastAsia="Arial" w:hAnsi="Arial"/>
                <w:sz w:val="15"/>
                <w:szCs w:val="15"/>
                <w:color w:val="auto"/>
                <w:w w:val="94"/>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r>
      <w:tr>
        <w:trPr>
          <w:trHeight w:val="225"/>
        </w:trPr>
        <w:tc>
          <w:tcPr>
            <w:tcW w:w="39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(19,469)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39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384,101</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623,262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(239,161)</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(60,737)</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(78)%</w:t>
            </w:r>
          </w:p>
        </w:tc>
      </w:tr>
      <w:tr>
        <w:trPr>
          <w:trHeight w:val="216"/>
        </w:trPr>
        <w:tc>
          <w:tcPr>
            <w:tcW w:w="41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r>
              <w:rPr>
                <w:rFonts w:ascii="Arial" w:cs="Arial" w:eastAsia="Arial" w:hAnsi="Arial"/>
                <w:sz w:val="15"/>
                <w:szCs w:val="15"/>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(560)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(60)%</w:t>
            </w:r>
          </w:p>
        </w:tc>
      </w:tr>
      <w:tr>
        <w:trPr>
          <w:trHeight w:val="220"/>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(22,073)</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(17,170)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(4,903)</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(29)%</w:t>
            </w:r>
          </w:p>
        </w:tc>
      </w:tr>
      <w:tr>
        <w:trPr>
          <w:trHeight w:val="225"/>
        </w:trPr>
        <w:tc>
          <w:tcPr>
            <w:tcW w:w="4140" w:type="dxa"/>
            <w:vAlign w:val="bottom"/>
            <w:gridSpan w:val="2"/>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2"/>
          </w:tcPr>
          <w:p>
            <w:pPr>
              <w:jc w:val="right"/>
              <w:ind w:right="5"/>
              <w:spacing w:after="0"/>
              <w:rPr>
                <w:sz w:val="20"/>
                <w:szCs w:val="20"/>
                <w:color w:val="auto"/>
              </w:rPr>
            </w:pPr>
            <w:r>
              <w:rPr>
                <w:rFonts w:ascii="Arial" w:cs="Arial" w:eastAsia="Arial" w:hAnsi="Arial"/>
                <w:sz w:val="15"/>
                <w:szCs w:val="15"/>
                <w:color w:val="auto"/>
              </w:rPr>
              <w:t>79%</w:t>
            </w:r>
          </w:p>
        </w:tc>
      </w:tr>
      <w:tr>
        <w:trPr>
          <w:trHeight w:val="20"/>
        </w:trPr>
        <w:tc>
          <w:tcPr>
            <w:tcW w:w="414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140" w:type="dxa"/>
            <w:vAlign w:val="bottom"/>
            <w:gridSpan w:val="2"/>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(22,067)</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(17,962)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(4,105)</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(23)%</w:t>
            </w:r>
          </w:p>
        </w:tc>
      </w:tr>
      <w:tr>
        <w:trPr>
          <w:trHeight w:val="225"/>
        </w:trPr>
        <w:tc>
          <w:tcPr>
            <w:tcW w:w="394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(108)%</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3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Expense (Benefit)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(778)</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14,088</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(14,866)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(106)%</w:t>
            </w:r>
          </w:p>
        </w:tc>
      </w:tr>
      <w:tr>
        <w:trPr>
          <w:trHeight w:val="20"/>
        </w:trPr>
        <w:tc>
          <w:tcPr>
            <w:tcW w:w="39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140" w:type="dxa"/>
            <w:vAlign w:val="bottom"/>
            <w:gridSpan w:val="2"/>
          </w:tcPr>
          <w:p>
            <w:pPr>
              <w:ind w:left="300"/>
              <w:spacing w:after="0"/>
              <w:rPr>
                <w:sz w:val="20"/>
                <w:szCs w:val="20"/>
                <w:color w:val="auto"/>
              </w:rPr>
            </w:pPr>
            <w:r>
              <w:rPr>
                <w:rFonts w:ascii="Arial" w:cs="Arial" w:eastAsia="Arial" w:hAnsi="Arial"/>
                <w:sz w:val="15"/>
                <w:szCs w:val="15"/>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93"/>
              </w:rPr>
              <w:t>$ (49,976)</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(109)%</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1"/>
        </w:trPr>
        <w:tc>
          <w:tcPr>
            <w:tcW w:w="4140" w:type="dxa"/>
            <w:vAlign w:val="bottom"/>
            <w:tcBorders>
              <w:right w:val="single" w:sz="8" w:color="CCEEFF"/>
            </w:tcBorders>
            <w:gridSpan w:val="2"/>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Non-GAAP Financial Data</w:t>
            </w: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r>
      <w:tr>
        <w:trPr>
          <w:trHeight w:val="231"/>
        </w:trPr>
        <w:tc>
          <w:tcPr>
            <w:tcW w:w="4140" w:type="dxa"/>
            <w:vAlign w:val="bottom"/>
            <w:gridSpan w:val="2"/>
          </w:tcPr>
          <w:p>
            <w:pPr>
              <w:spacing w:after="0" w:line="231" w:lineRule="exact"/>
              <w:rPr>
                <w:sz w:val="20"/>
                <w:szCs w:val="20"/>
                <w:color w:val="auto"/>
              </w:rPr>
            </w:pPr>
            <w:r>
              <w:rPr>
                <w:rFonts w:ascii="Arial" w:cs="Arial" w:eastAsia="Arial" w:hAnsi="Arial"/>
                <w:sz w:val="15"/>
                <w:szCs w:val="15"/>
                <w:color w:val="auto"/>
              </w:rPr>
              <w:t>Adjusted Net Income (Loss)</w:t>
            </w:r>
            <w:r>
              <w:rPr>
                <w:rFonts w:ascii="Arial" w:cs="Arial" w:eastAsia="Arial" w:hAnsi="Arial"/>
                <w:sz w:val="21"/>
                <w:szCs w:val="21"/>
                <w:color w:val="auto"/>
                <w:vertAlign w:val="superscript"/>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(47,916)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53,734</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$(101,650)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(189)%</w:t>
            </w:r>
          </w:p>
        </w:tc>
      </w:tr>
      <w:tr>
        <w:trPr>
          <w:trHeight w:val="231"/>
        </w:trPr>
        <w:tc>
          <w:tcPr>
            <w:tcW w:w="4140" w:type="dxa"/>
            <w:vAlign w:val="bottom"/>
            <w:gridSpan w:val="2"/>
          </w:tcPr>
          <w:p>
            <w:pPr>
              <w:spacing w:after="0" w:line="231"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38,930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171,129</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$(132,199)</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-3257550</wp:posOffset>
            </wp:positionV>
            <wp:extent cx="4241800" cy="132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-2992120</wp:posOffset>
            </wp:positionV>
            <wp:extent cx="4241800" cy="132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-2727325</wp:posOffset>
            </wp:positionV>
            <wp:extent cx="4241800" cy="132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-2461895</wp:posOffset>
            </wp:positionV>
            <wp:extent cx="4241800" cy="132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-1324610</wp:posOffset>
            </wp:positionV>
            <wp:extent cx="4241800" cy="139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-146050</wp:posOffset>
            </wp:positionV>
            <wp:extent cx="4241800" cy="146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-746125</wp:posOffset>
            </wp:positionV>
            <wp:extent cx="4241800" cy="1536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-1038860</wp:posOffset>
            </wp:positionV>
            <wp:extent cx="4241800" cy="146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-1610995</wp:posOffset>
            </wp:positionV>
            <wp:extent cx="29273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-1610995</wp:posOffset>
            </wp:positionV>
            <wp:extent cx="356489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648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-1917700</wp:posOffset>
            </wp:positionV>
            <wp:extent cx="4241800" cy="1536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-3543300</wp:posOffset>
            </wp:positionV>
            <wp:extent cx="4241800" cy="1466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41800" cy="1466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-4087495</wp:posOffset>
            </wp:positionV>
            <wp:extent cx="11176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-4087495</wp:posOffset>
            </wp:positionV>
            <wp:extent cx="11176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-4087495</wp:posOffset>
            </wp:positionV>
            <wp:extent cx="11176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-4087495</wp:posOffset>
            </wp:positionV>
            <wp:extent cx="11176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132715</wp:posOffset>
            </wp:positionV>
            <wp:extent cx="44640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99" w:lineRule="exact"/>
        <w:rPr>
          <w:sz w:val="20"/>
          <w:szCs w:val="20"/>
          <w:color w:val="auto"/>
        </w:rPr>
      </w:pPr>
    </w:p>
    <w:p>
      <w:pPr>
        <w:ind w:left="1460" w:right="1379" w:hanging="296"/>
        <w:spacing w:after="0" w:line="236" w:lineRule="auto"/>
        <w:tabs>
          <w:tab w:leader="none" w:pos="1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See “—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for definitions of these measures and reconciliations to the most comparable GAAP metric.</w:t>
      </w:r>
    </w:p>
    <w:p>
      <w:pPr>
        <w:spacing w:after="0" w:line="45" w:lineRule="exact"/>
        <w:rPr>
          <w:rFonts w:ascii="Arial" w:cs="Arial" w:eastAsia="Arial" w:hAnsi="Arial"/>
          <w:sz w:val="15"/>
          <w:szCs w:val="15"/>
          <w:color w:val="auto"/>
        </w:rPr>
      </w:pPr>
    </w:p>
    <w:p>
      <w:pPr>
        <w:ind w:left="1460" w:hanging="296"/>
        <w:spacing w:after="0"/>
        <w:tabs>
          <w:tab w:leader="none" w:pos="1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“NM” stands for not meaningful.</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60" w:type="dxa"/>
            <w:vAlign w:val="bottom"/>
            <w:gridSpan w:val="3"/>
          </w:tcPr>
          <w:p>
            <w:pPr>
              <w:spacing w:after="0"/>
              <w:rPr>
                <w:sz w:val="20"/>
                <w:szCs w:val="20"/>
                <w:color w:val="auto"/>
              </w:rPr>
            </w:pPr>
            <w:r>
              <w:rPr>
                <w:rFonts w:ascii="Arial" w:cs="Arial" w:eastAsia="Arial" w:hAnsi="Arial"/>
                <w:sz w:val="12"/>
                <w:szCs w:val="12"/>
                <w:b w:val="1"/>
                <w:bCs w:val="1"/>
                <w:color w:val="auto"/>
              </w:rPr>
              <w:t>(in thousands, except percentages)</w:t>
            </w: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600" w:type="dxa"/>
            <w:vAlign w:val="bottom"/>
          </w:tcPr>
          <w:p>
            <w:pPr>
              <w:jc w:val="right"/>
              <w:ind w:right="21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Scheduled service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$193,047</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$396,113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$(203,066)</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gridSpan w:val="3"/>
          </w:tcPr>
          <w:p>
            <w:pPr>
              <w:spacing w:after="0"/>
              <w:rPr>
                <w:sz w:val="20"/>
                <w:szCs w:val="20"/>
                <w:color w:val="auto"/>
              </w:rPr>
            </w:pPr>
            <w:r>
              <w:rPr>
                <w:rFonts w:ascii="Arial" w:cs="Arial" w:eastAsia="Arial" w:hAnsi="Arial"/>
                <w:sz w:val="15"/>
                <w:szCs w:val="15"/>
                <w:color w:val="auto"/>
              </w:rPr>
              <w:t>Charter service</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98,130</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174,562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(76,432)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(44)%</w:t>
            </w:r>
          </w:p>
        </w:tc>
      </w:tr>
      <w:tr>
        <w:trPr>
          <w:trHeight w:val="214"/>
        </w:trPr>
        <w:tc>
          <w:tcPr>
            <w:tcW w:w="3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Ancillary</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68,055</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9"/>
              </w:rPr>
              <w:t>118,158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(50,103)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Passenger</w:t>
            </w:r>
          </w:p>
        </w:tc>
        <w:tc>
          <w:tcPr>
            <w:tcW w:w="560" w:type="dxa"/>
            <w:vAlign w:val="bottom"/>
          </w:tcPr>
          <w:p>
            <w:pPr>
              <w:jc w:val="right"/>
              <w:spacing w:after="0"/>
              <w:rPr>
                <w:sz w:val="20"/>
                <w:szCs w:val="20"/>
                <w:color w:val="auto"/>
              </w:rPr>
            </w:pPr>
            <w:r>
              <w:rPr>
                <w:rFonts w:ascii="Arial" w:cs="Arial" w:eastAsia="Arial" w:hAnsi="Arial"/>
                <w:sz w:val="15"/>
                <w:szCs w:val="15"/>
                <w:color w:val="auto"/>
                <w:w w:val="99"/>
              </w:rPr>
              <w:t>359,232</w:t>
            </w:r>
          </w:p>
        </w:tc>
        <w:tc>
          <w:tcPr>
            <w:tcW w:w="1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688,833</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(329,601)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(48)%</w:t>
            </w:r>
          </w:p>
        </w:tc>
      </w:tr>
      <w:tr>
        <w:trPr>
          <w:trHeight w:val="209"/>
        </w:trPr>
        <w:tc>
          <w:tcPr>
            <w:tcW w:w="41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36,809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4"/>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r>
      <w:tr>
        <w:trPr>
          <w:trHeight w:val="214"/>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Other</w:t>
            </w:r>
          </w:p>
        </w:tc>
        <w:tc>
          <w:tcPr>
            <w:tcW w:w="560" w:type="dxa"/>
            <w:vAlign w:val="bottom"/>
          </w:tcPr>
          <w:p>
            <w:pPr>
              <w:jc w:val="right"/>
              <w:spacing w:after="0"/>
              <w:rPr>
                <w:sz w:val="20"/>
                <w:szCs w:val="20"/>
                <w:color w:val="auto"/>
              </w:rPr>
            </w:pPr>
            <w:r>
              <w:rPr>
                <w:rFonts w:ascii="Arial" w:cs="Arial" w:eastAsia="Arial" w:hAnsi="Arial"/>
                <w:sz w:val="15"/>
                <w:szCs w:val="15"/>
                <w:color w:val="auto"/>
              </w:rPr>
              <w:t>5,445</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12,551</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(7,106)</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(57)%</w:t>
            </w:r>
          </w:p>
        </w:tc>
      </w:tr>
      <w:tr>
        <w:trPr>
          <w:trHeight w:val="20"/>
        </w:trPr>
        <w:tc>
          <w:tcPr>
            <w:tcW w:w="7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4160" w:type="dxa"/>
            <w:vAlign w:val="bottom"/>
            <w:tcBorders>
              <w:right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$401,486</w:t>
            </w: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$701,384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$(299,898)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(43)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3"/>
        </w:trPr>
        <w:tc>
          <w:tcPr>
            <w:tcW w:w="700" w:type="dxa"/>
            <w:vAlign w:val="bottom"/>
            <w:tcBorders>
              <w:bottom w:val="single" w:sz="8" w:color="auto"/>
            </w:tcBorders>
          </w:tcPr>
          <w:p>
            <w:pPr>
              <w:spacing w:after="0"/>
              <w:rPr>
                <w:sz w:val="5"/>
                <w:szCs w:val="5"/>
                <w:color w:val="auto"/>
              </w:rPr>
            </w:pPr>
          </w:p>
        </w:tc>
        <w:tc>
          <w:tcPr>
            <w:tcW w:w="3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-243840</wp:posOffset>
            </wp:positionV>
            <wp:extent cx="27178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-243840</wp:posOffset>
            </wp:positionV>
            <wp:extent cx="358584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85845" cy="698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-1066800</wp:posOffset>
            </wp:positionV>
            <wp:extent cx="11176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-1066800</wp:posOffset>
            </wp:positionV>
            <wp:extent cx="11176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-1066800</wp:posOffset>
            </wp:positionV>
            <wp:extent cx="11176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-1066800</wp:posOffset>
            </wp:positionV>
            <wp:extent cx="11176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35"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Total operating revenues decreased by $299.9 million, or 43%, to $401.5 million for the year ended December 31, 2020 from $701.4 million for the year ended December 31, 2019.</w:t>
      </w:r>
    </w:p>
    <w:p>
      <w:pPr>
        <w:spacing w:after="0" w:line="8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i w:val="1"/>
          <w:iCs w:val="1"/>
          <w:color w:val="auto"/>
        </w:rPr>
        <w:t xml:space="preserve">Scheduled Service. </w:t>
      </w:r>
      <w:r>
        <w:rPr>
          <w:rFonts w:ascii="Arial" w:cs="Arial" w:eastAsia="Arial" w:hAnsi="Arial"/>
          <w:sz w:val="14"/>
          <w:szCs w:val="14"/>
          <w:color w:val="auto"/>
        </w:rPr>
        <w:t>Scheduled service revenue decreased by $203.1 million, or 51%, to $193.0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year ended December 31, 2020 from $396.1 million for the year ended December 31, 2019. The decrease in scheduled service revenue was driven by a dramatic decline in passenger demand due to government travel restrictions and quarantine requirements related to the COVID-19 pandemic. Specifically, the number of scheduled service passengers was 1.7 million in the year ended December 31, 2020, down from 3.6 million in the year ended December 31, 2019. This drove a 42% decrease in departures and a</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18 percentage point decrease in load factor. The decrease in load factor resulted in a decrease in PRASM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19% to $5.57 from $6.89. Further, our scheduled service capacity, as measured by ASMs, decreased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40%.</w:t>
      </w:r>
    </w:p>
    <w:p>
      <w:pPr>
        <w:spacing w:after="0" w:line="101" w:lineRule="exact"/>
        <w:rPr>
          <w:sz w:val="20"/>
          <w:szCs w:val="20"/>
          <w:color w:val="auto"/>
        </w:rPr>
      </w:pPr>
    </w:p>
    <w:p>
      <w:pPr>
        <w:ind w:left="1160" w:right="1239" w:firstLine="293"/>
        <w:spacing w:after="0" w:line="250" w:lineRule="auto"/>
        <w:rPr>
          <w:sz w:val="20"/>
          <w:szCs w:val="20"/>
          <w:color w:val="auto"/>
        </w:rPr>
      </w:pPr>
      <w:r>
        <w:rPr>
          <w:rFonts w:ascii="Arial" w:cs="Arial" w:eastAsia="Arial" w:hAnsi="Arial"/>
          <w:sz w:val="14"/>
          <w:szCs w:val="14"/>
          <w:i w:val="1"/>
          <w:iCs w:val="1"/>
          <w:color w:val="auto"/>
        </w:rPr>
        <w:t xml:space="preserve">Charter Service. </w:t>
      </w:r>
      <w:r>
        <w:rPr>
          <w:rFonts w:ascii="Arial" w:cs="Arial" w:eastAsia="Arial" w:hAnsi="Arial"/>
          <w:sz w:val="14"/>
          <w:szCs w:val="14"/>
          <w:color w:val="auto"/>
        </w:rPr>
        <w:t>Charter service revenue decreased by $76.4 million, or 44%, to $98.1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year ended December 31, 2020 from $174.6 million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95"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i w:val="1"/>
          <w:iCs w:val="1"/>
          <w:color w:val="auto"/>
        </w:rPr>
        <w:t xml:space="preserve">Ancillary. </w:t>
      </w:r>
      <w:r>
        <w:rPr>
          <w:rFonts w:ascii="Arial" w:cs="Arial" w:eastAsia="Arial" w:hAnsi="Arial"/>
          <w:sz w:val="14"/>
          <w:szCs w:val="14"/>
          <w:color w:val="auto"/>
        </w:rPr>
        <w:t>Ancillary revenue decreased by $50.1 million, or 42%, to $68.1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2020 from $118.2 million for the year ended December 31, 2019. The decline in passenger demand due to the COVID-19 pandemic resulted in lower demand for air travel- related services such as baggage fees, seat selection and upgrade fees, and on- 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w:t>
      </w:r>
    </w:p>
    <w:p>
      <w:pPr>
        <w:spacing w:after="0" w:line="80" w:lineRule="exact"/>
        <w:rPr>
          <w:sz w:val="20"/>
          <w:szCs w:val="20"/>
          <w:color w:val="auto"/>
        </w:rPr>
      </w:pPr>
    </w:p>
    <w:p>
      <w:pPr>
        <w:ind w:left="1160" w:right="1359" w:firstLine="293"/>
        <w:spacing w:after="0" w:line="251" w:lineRule="auto"/>
        <w:rPr>
          <w:sz w:val="20"/>
          <w:szCs w:val="20"/>
          <w:color w:val="auto"/>
        </w:rPr>
      </w:pPr>
      <w:r>
        <w:rPr>
          <w:rFonts w:ascii="Arial" w:cs="Arial" w:eastAsia="Arial" w:hAnsi="Arial"/>
          <w:sz w:val="14"/>
          <w:szCs w:val="14"/>
          <w:i w:val="1"/>
          <w:iCs w:val="1"/>
          <w:color w:val="auto"/>
        </w:rPr>
        <w:t xml:space="preserve">Cargo. </w:t>
      </w:r>
      <w:r>
        <w:rPr>
          <w:rFonts w:ascii="Arial" w:cs="Arial" w:eastAsia="Arial" w:hAnsi="Arial"/>
          <w:sz w:val="14"/>
          <w:szCs w:val="14"/>
          <w:color w:val="auto"/>
        </w:rPr>
        <w:t>Revenue from cargo services was $36.8 million for the year ended December 31, 2020, with</w:t>
      </w:r>
      <w:r>
        <w:rPr>
          <w:rFonts w:ascii="Arial" w:cs="Arial" w:eastAsia="Arial" w:hAnsi="Arial"/>
          <w:sz w:val="14"/>
          <w:szCs w:val="14"/>
          <w:i w:val="1"/>
          <w:iCs w:val="1"/>
          <w:color w:val="auto"/>
        </w:rPr>
        <w:t xml:space="preserve"> </w:t>
      </w:r>
      <w:r>
        <w:rPr>
          <w:rFonts w:ascii="Arial" w:cs="Arial" w:eastAsia="Arial" w:hAnsi="Arial"/>
          <w:sz w:val="14"/>
          <w:szCs w:val="14"/>
          <w:color w:val="auto"/>
        </w:rPr>
        <w:t>no comparative revenue for the year ended December 31, 2019. All of our 2020 cargo service revenue related to the commencement of air cargo transportation services under the ATSA with Amazon in</w:t>
      </w:r>
    </w:p>
    <w:p>
      <w:pPr>
        <w:spacing w:after="0" w:line="1" w:lineRule="exact"/>
        <w:rPr>
          <w:sz w:val="20"/>
          <w:szCs w:val="20"/>
          <w:color w:val="auto"/>
        </w:rPr>
      </w:pPr>
    </w:p>
    <w:p>
      <w:pPr>
        <w:ind w:left="1160" w:right="1359"/>
        <w:spacing w:after="0" w:line="233" w:lineRule="auto"/>
        <w:rPr>
          <w:sz w:val="20"/>
          <w:szCs w:val="20"/>
          <w:color w:val="auto"/>
        </w:rPr>
      </w:pPr>
      <w:r>
        <w:rPr>
          <w:rFonts w:ascii="Arial" w:cs="Arial" w:eastAsia="Arial" w:hAnsi="Arial"/>
          <w:sz w:val="15"/>
          <w:szCs w:val="15"/>
          <w:color w:val="auto"/>
        </w:rPr>
        <w:t>May 2020. In June 2020, we entered into an amendment to the ATSA with Amazon that added two additional aircraft to the agreement, which were delivered in the fourth quarter of 2020, bringing the total number of aircraft we fly for Amazon to 12.</w:t>
      </w:r>
    </w:p>
    <w:p>
      <w:pPr>
        <w:spacing w:after="0" w:line="101"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decreased by $7.1 million, or 57%, to $5.4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from $12.6 million for the year ended December 31, 2019. The decrease in our other revenue was driven by lower bookings for our Sun Country Vacations products due to a decline in demand for leisure travel related to the COVID-19 pandemic.</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For the year ended December 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7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7"/>
        </w:trPr>
        <w:tc>
          <w:tcPr>
            <w:tcW w:w="4160" w:type="dxa"/>
            <w:vAlign w:val="bottom"/>
            <w:gridSpan w:val="3"/>
          </w:tcPr>
          <w:p>
            <w:pPr>
              <w:spacing w:after="0"/>
              <w:rPr>
                <w:sz w:val="20"/>
                <w:szCs w:val="20"/>
                <w:color w:val="auto"/>
              </w:rPr>
            </w:pPr>
            <w:r>
              <w:rPr>
                <w:rFonts w:ascii="Arial" w:cs="Arial" w:eastAsia="Arial" w:hAnsi="Arial"/>
                <w:sz w:val="12"/>
                <w:szCs w:val="12"/>
                <w:b w:val="1"/>
                <w:bCs w:val="1"/>
                <w:color w:val="auto"/>
              </w:rPr>
              <w:t>(in thousands, except percentages)</w:t>
            </w:r>
          </w:p>
        </w:tc>
        <w:tc>
          <w:tcPr>
            <w:tcW w:w="56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6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3"/>
                <w:szCs w:val="13"/>
                <w:color w:val="auto"/>
              </w:rPr>
            </w:pPr>
          </w:p>
        </w:tc>
        <w:tc>
          <w:tcPr>
            <w:tcW w:w="60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1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Aircraft fuel</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$ 83,392</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$165,666</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 (82,274)</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(50)%</w:t>
            </w:r>
          </w:p>
        </w:tc>
      </w:tr>
      <w:tr>
        <w:trPr>
          <w:trHeight w:val="209"/>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Salaries, wages and benefits.</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w w:val="99"/>
              </w:rPr>
              <w:t>141,641</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140,739</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902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Aircraft rent</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30,989</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49,908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(18,919)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(38)%</w:t>
            </w:r>
          </w:p>
        </w:tc>
      </w:tr>
      <w:tr>
        <w:trPr>
          <w:trHeight w:val="209"/>
        </w:trPr>
        <w:tc>
          <w:tcPr>
            <w:tcW w:w="41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Maintenance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27,416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35,286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(7,870)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Sales and marketing</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16,570</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35,388</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(18,818)</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(53)%</w:t>
            </w:r>
          </w:p>
        </w:tc>
      </w:tr>
      <w:tr>
        <w:trPr>
          <w:trHeight w:val="209"/>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Depreciation and amortization</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48,086</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34,877</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13,209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09"/>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Ground handling</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20,596</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41,719</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(21,123)</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(51)%</w:t>
            </w:r>
          </w:p>
        </w:tc>
      </w:tr>
      <w:tr>
        <w:trPr>
          <w:trHeight w:val="209"/>
        </w:trPr>
        <w:tc>
          <w:tcPr>
            <w:tcW w:w="41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Landing fees and airport rent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31,256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44,400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(13,144)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4160" w:type="dxa"/>
            <w:vAlign w:val="bottom"/>
            <w:gridSpan w:val="3"/>
          </w:tcPr>
          <w:p>
            <w:pPr>
              <w:ind w:left="160"/>
              <w:spacing w:after="0"/>
              <w:rPr>
                <w:sz w:val="20"/>
                <w:szCs w:val="20"/>
                <w:color w:val="auto"/>
              </w:rPr>
            </w:pPr>
            <w:r>
              <w:rPr>
                <w:rFonts w:ascii="Arial" w:cs="Arial" w:eastAsia="Arial" w:hAnsi="Arial"/>
                <w:sz w:val="15"/>
                <w:szCs w:val="15"/>
                <w:color w:val="auto"/>
              </w:rPr>
              <w:t>Special items, net</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(64,563)</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7,092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(71,655)</w:t>
            </w:r>
          </w:p>
        </w:tc>
        <w:tc>
          <w:tcPr>
            <w:tcW w:w="420" w:type="dxa"/>
            <w:vAlign w:val="bottom"/>
            <w:gridSpan w:val="2"/>
          </w:tcPr>
          <w:p>
            <w:pPr>
              <w:jc w:val="right"/>
              <w:spacing w:after="0" w:line="220" w:lineRule="exact"/>
              <w:rPr>
                <w:sz w:val="20"/>
                <w:szCs w:val="20"/>
                <w:color w:val="auto"/>
              </w:rPr>
            </w:pPr>
            <w:r>
              <w:rPr>
                <w:rFonts w:ascii="Arial" w:cs="Arial" w:eastAsia="Arial" w:hAnsi="Arial"/>
                <w:sz w:val="25"/>
                <w:szCs w:val="25"/>
                <w:color w:val="auto"/>
                <w:w w:val="94"/>
                <w:vertAlign w:val="subscript"/>
              </w:rPr>
              <w:t>NM</w:t>
            </w:r>
            <w:r>
              <w:rPr>
                <w:rFonts w:ascii="Arial" w:cs="Arial" w:eastAsia="Arial" w:hAnsi="Arial"/>
                <w:sz w:val="10"/>
                <w:szCs w:val="10"/>
                <w:color w:val="auto"/>
                <w:w w:val="94"/>
              </w:rPr>
              <w:t>(1)</w:t>
            </w:r>
          </w:p>
        </w:tc>
      </w:tr>
      <w:tr>
        <w:trPr>
          <w:trHeight w:val="225"/>
        </w:trPr>
        <w:tc>
          <w:tcPr>
            <w:tcW w:w="39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Other operating, net</w:t>
            </w: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48,718</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68,187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(19,469)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0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4160" w:type="dxa"/>
            <w:vAlign w:val="bottom"/>
            <w:gridSpan w:val="3"/>
          </w:tcPr>
          <w:p>
            <w:pPr>
              <w:spacing w:after="0"/>
              <w:rPr>
                <w:sz w:val="20"/>
                <w:szCs w:val="20"/>
                <w:color w:val="auto"/>
              </w:rPr>
            </w:pPr>
            <w:r>
              <w:rPr>
                <w:rFonts w:ascii="Arial" w:cs="Arial" w:eastAsia="Arial" w:hAnsi="Arial"/>
                <w:sz w:val="15"/>
                <w:szCs w:val="15"/>
                <w:color w:val="auto"/>
              </w:rPr>
              <w:t>Total operating expenses</w:t>
            </w:r>
          </w:p>
        </w:tc>
        <w:tc>
          <w:tcPr>
            <w:tcW w:w="560" w:type="dxa"/>
            <w:vAlign w:val="bottom"/>
          </w:tcPr>
          <w:p>
            <w:pPr>
              <w:jc w:val="right"/>
              <w:spacing w:after="0"/>
              <w:rPr>
                <w:sz w:val="20"/>
                <w:szCs w:val="20"/>
                <w:color w:val="auto"/>
              </w:rPr>
            </w:pPr>
            <w:r>
              <w:rPr>
                <w:rFonts w:ascii="Arial" w:cs="Arial" w:eastAsia="Arial" w:hAnsi="Arial"/>
                <w:sz w:val="15"/>
                <w:szCs w:val="15"/>
                <w:color w:val="auto"/>
                <w:w w:val="86"/>
              </w:rPr>
              <w:t>$384,101</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$623,262</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$(239,161)</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99"/>
              </w:rPr>
              <w:t>(38)%</w:t>
            </w:r>
          </w:p>
        </w:tc>
      </w:tr>
      <w:tr>
        <w:trPr>
          <w:trHeight w:val="20"/>
        </w:trPr>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4"/>
        </w:trPr>
        <w:tc>
          <w:tcPr>
            <w:tcW w:w="70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-1471295</wp:posOffset>
            </wp:positionV>
            <wp:extent cx="4241800" cy="132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-941070</wp:posOffset>
            </wp:positionV>
            <wp:extent cx="4241800" cy="132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-1743710</wp:posOffset>
            </wp:positionV>
            <wp:extent cx="11176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-1743710</wp:posOffset>
            </wp:positionV>
            <wp:extent cx="11176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-1743710</wp:posOffset>
            </wp:positionV>
            <wp:extent cx="11176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-1743710</wp:posOffset>
            </wp:positionV>
            <wp:extent cx="11176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34"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24"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 Aircraft fuel expense decreased by $82.3 million, or 50%, to $83.4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$165.7 million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29% decline in average price per gallon of fuel which was driven by lower worldwide demand as a result of the COVID-19 pandemic. These decreases were partially offset by mark-to-market losses of $12.2 million in the year ended December 31, 2020 compared to mark-to-market gains of $10.8 million in the year ended December 31, 2019 from our fuel derivative contracts associated with our economic fuel hedges.</w:t>
      </w:r>
    </w:p>
    <w:p>
      <w:pPr>
        <w:spacing w:after="0" w:line="94"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increased by $0.9 million, or 1%,</w:t>
      </w:r>
      <w:r>
        <w:rPr>
          <w:rFonts w:ascii="Arial" w:cs="Arial" w:eastAsia="Arial" w:hAnsi="Arial"/>
          <w:sz w:val="14"/>
          <w:szCs w:val="14"/>
          <w:i w:val="1"/>
          <w:iCs w:val="1"/>
          <w:color w:val="auto"/>
        </w:rPr>
        <w:t xml:space="preserve"> </w:t>
      </w:r>
      <w:r>
        <w:rPr>
          <w:rFonts w:ascii="Arial" w:cs="Arial" w:eastAsia="Arial" w:hAnsi="Arial"/>
          <w:sz w:val="14"/>
          <w:szCs w:val="14"/>
          <w:color w:val="auto"/>
        </w:rPr>
        <w:t>to $141.6 million for the year ended December 31, 2020, as compared to $140.7 million for the year ended December 31, 2019. The increase was primarily due to increased headcount, primarily related to insourcing certain operations, and to increased pilot pay and per diems to support operations under the ATSA. The increase was partially offset by a decrease in expenses related to employee benefits, reduction in flight attendant headcount, and call center staffing due to lower volume of calls. Additionally, the grants under the Payroll Support Program received in the second and third quarters of 2020 restricted us from taking measures to reduce headcount through September 30, 2020 in response to the decline in operations. Our cargo segment was responsible for $20.5 million of the consolidated salaries, wages, and benefits expense for the year ended December 31, 2020 and was driven by headcount to support the operations and aircraft under the ATSA.</w:t>
      </w:r>
    </w:p>
    <w:p>
      <w:pPr>
        <w:spacing w:after="0" w:line="99"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i w:val="1"/>
          <w:iCs w:val="1"/>
          <w:color w:val="auto"/>
        </w:rPr>
        <w:t>Aircraft Rent</w:t>
      </w:r>
      <w:r>
        <w:rPr>
          <w:rFonts w:ascii="Arial" w:cs="Arial" w:eastAsia="Arial" w:hAnsi="Arial"/>
          <w:sz w:val="14"/>
          <w:szCs w:val="14"/>
          <w:color w:val="auto"/>
        </w:rPr>
        <w:t>. Aircraft rent expense decreased by $18.9 million, or 38%, to $31.0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2020, as compared to $49.9 million for the year ended December 31, 2019. Aircraft rent expense decreased primarily due to the composition of our aircraft fleet shifting from aircraft under operating leases (for which expense is recorded within aircraft rent) to owned aircraft and aircraft under finance leases (for which expense is recorded within depreciation and amortization). Specifically, in the year ended December 31, 2020 we purchased two aircraft previously under operating lease and leased two fewer seasonal aircraft. Additionally, a 28% decrease in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i w:val="1"/>
          <w:iCs w:val="1"/>
          <w:color w:val="auto"/>
        </w:rPr>
        <w:t>Maintenance</w:t>
      </w:r>
      <w:r>
        <w:rPr>
          <w:rFonts w:ascii="Arial" w:cs="Arial" w:eastAsia="Arial" w:hAnsi="Arial"/>
          <w:sz w:val="15"/>
          <w:szCs w:val="15"/>
          <w:color w:val="auto"/>
        </w:rPr>
        <w:t>. Maintenance materials and repair expense decreased by $7.9 million, or 22%, to</w:t>
      </w:r>
      <w:r>
        <w:rPr>
          <w:rFonts w:ascii="Arial" w:cs="Arial" w:eastAsia="Arial" w:hAnsi="Arial"/>
          <w:sz w:val="15"/>
          <w:szCs w:val="15"/>
          <w:i w:val="1"/>
          <w:iCs w:val="1"/>
          <w:color w:val="auto"/>
        </w:rPr>
        <w:t xml:space="preserve"> </w:t>
      </w:r>
      <w:r>
        <w:rPr>
          <w:rFonts w:ascii="Arial" w:cs="Arial" w:eastAsia="Arial" w:hAnsi="Arial"/>
          <w:sz w:val="15"/>
          <w:szCs w:val="15"/>
          <w:color w:val="auto"/>
        </w:rPr>
        <w:t>$27.4 million for the year ended December 31, 2020, as compared to $35.3 million for the year ended December 31, 2019. The decrease was driven primarily by the COVID -19 pandemic which caused reduced aircraft utilization, as measured by a 28% decrease in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 segment was responsible for $5.0 million of the consolidated maintenance expense for the year ended December 31, 2020, driven by expenses for line maintenance on aircraft operated under the ATSA.</w:t>
      </w:r>
    </w:p>
    <w:p>
      <w:pPr>
        <w:spacing w:after="0" w:line="101"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decreased by $18.8 million, or 53%,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$16.6 million for the year ended December 31, 2020, as compared to $35.4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2019. The decrease was primarily due to a $7.1 million reduction in credit card processing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fees related to lower sales on our scheduled service. Additionally, there was a $2.0 million decrease in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advertising costs, a $6.1 million decrease in global distribution systems fees associated with the decrease in</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scheduled service and a $1.3 million decrease in travel agent commissions, all due to the COVID-19</w:t>
      </w:r>
    </w:p>
    <w:p>
      <w:pPr>
        <w:ind w:left="1160"/>
        <w:spacing w:after="0"/>
        <w:rPr>
          <w:sz w:val="20"/>
          <w:szCs w:val="20"/>
          <w:color w:val="auto"/>
        </w:rPr>
      </w:pPr>
      <w:r>
        <w:rPr>
          <w:rFonts w:ascii="Arial" w:cs="Arial" w:eastAsia="Arial" w:hAnsi="Arial"/>
          <w:sz w:val="15"/>
          <w:szCs w:val="15"/>
          <w:color w:val="auto"/>
        </w:rPr>
        <w:t>pandemic.</w:t>
      </w:r>
    </w:p>
    <w:p>
      <w:pPr>
        <w:spacing w:after="0" w:line="9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increased by $13.2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38%, to $48.1 million for the year ended December 31, 2020, as compared to $34.9 million for the year ended December 31, 2019. The increase was primarily due to the impact of a change in the composition of our aircraft fleet to an increased number of owned aircraft in connection with our 2019-1 EETC and aircraft under finance leases (for which expense is recorded within depreciation and amortization). Specifically, the increase is due to the incremental depreciation related to one aircraft previously under an operating lease which was amended and converted into a finance lease in December 2019, one incremental aircraft obtained through a new finance lease, one aircraft we purchased in December 2019, two aircraft we purchased in the year ended December 31, 2020 which were previously under operating leases and two aircraft we purchased in the year ended December 31, 2020 which were new additions to the fleet.</w:t>
      </w:r>
    </w:p>
    <w:p>
      <w:pPr>
        <w:spacing w:after="0" w:line="99"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i w:val="1"/>
          <w:iCs w:val="1"/>
          <w:color w:val="auto"/>
        </w:rPr>
        <w:t>Ground Handling</w:t>
      </w:r>
      <w:r>
        <w:rPr>
          <w:rFonts w:ascii="Arial" w:cs="Arial" w:eastAsia="Arial" w:hAnsi="Arial"/>
          <w:sz w:val="15"/>
          <w:szCs w:val="15"/>
          <w:color w:val="auto"/>
        </w:rPr>
        <w:t>. Ground handling expense decreased by $21.1 million, or 51%, to $20.6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 ended December 31, 2020, as compared to $41.7 million for the year ended December 31, 2019. The decrease was primarily due to the 27% decline in departures. Additionally, we insourced our MSP operations in April 2020, contributing to a reduction of $4.4 million in ground handling expenses, but resulting in higher salaries, wages and benefits.</w:t>
      </w:r>
    </w:p>
    <w:p>
      <w:pPr>
        <w:spacing w:after="0" w:line="100" w:lineRule="exact"/>
        <w:rPr>
          <w:sz w:val="20"/>
          <w:szCs w:val="20"/>
          <w:color w:val="auto"/>
        </w:rPr>
      </w:pPr>
    </w:p>
    <w:p>
      <w:pPr>
        <w:ind w:left="1160" w:right="1279" w:firstLine="293"/>
        <w:spacing w:after="0" w:line="255" w:lineRule="auto"/>
        <w:rPr>
          <w:sz w:val="20"/>
          <w:szCs w:val="20"/>
          <w:color w:val="auto"/>
        </w:rPr>
      </w:pPr>
      <w:r>
        <w:rPr>
          <w:rFonts w:ascii="Arial" w:cs="Arial" w:eastAsia="Arial" w:hAnsi="Arial"/>
          <w:sz w:val="14"/>
          <w:szCs w:val="14"/>
          <w:i w:val="1"/>
          <w:iCs w:val="1"/>
          <w:color w:val="auto"/>
        </w:rPr>
        <w:t>Landing Fees and Airport Rent</w:t>
      </w:r>
      <w:r>
        <w:rPr>
          <w:rFonts w:ascii="Arial" w:cs="Arial" w:eastAsia="Arial" w:hAnsi="Arial"/>
          <w:sz w:val="14"/>
          <w:szCs w:val="14"/>
          <w:color w:val="auto"/>
        </w:rPr>
        <w:t>. Landing fees and airport rent decreased by $ 13.1 million, or 30%, to</w:t>
      </w:r>
      <w:r>
        <w:rPr>
          <w:rFonts w:ascii="Arial" w:cs="Arial" w:eastAsia="Arial" w:hAnsi="Arial"/>
          <w:sz w:val="14"/>
          <w:szCs w:val="14"/>
          <w:i w:val="1"/>
          <w:iCs w:val="1"/>
          <w:color w:val="auto"/>
        </w:rPr>
        <w:t xml:space="preserve"> </w:t>
      </w:r>
      <w:r>
        <w:rPr>
          <w:rFonts w:ascii="Arial" w:cs="Arial" w:eastAsia="Arial" w:hAnsi="Arial"/>
          <w:sz w:val="14"/>
          <w:szCs w:val="14"/>
          <w:color w:val="auto"/>
        </w:rPr>
        <w:t>$31.3 million for the year ended December 31, 2020, as compared to $ 44.4 million for the year ended December 31, 2019. The decrease was driven by the 27% reduction in departures during the year ended December 31, 2020. Our cargo segment was responsible for $0.3 million of the consolidated landing fees and airport rent for the year ended December 31, 2020, driven by allocated airport rent.</w:t>
      </w:r>
    </w:p>
    <w:p>
      <w:pPr>
        <w:spacing w:after="0" w:line="79"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Special Items, net</w:t>
      </w:r>
      <w:r>
        <w:rPr>
          <w:rFonts w:ascii="Arial" w:cs="Arial" w:eastAsia="Arial" w:hAnsi="Arial"/>
          <w:sz w:val="14"/>
          <w:szCs w:val="14"/>
          <w:color w:val="auto"/>
        </w:rPr>
        <w:t>. Special items, net was an income of $64.6 million for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2020 and an expense of $7.1 million for the year ended December 31, 2019. For the year ended December 31, 2020, Special items, net included a $62.3 million credit related to funds received under the CARES Act Payroll Support Program, to be used exclusively for the continuation of payments for salaries, wages, and benefits, and $2.3 million in refundable tax credits related to employee retention under the CARES Act. For the year ended December 31, 2019, Special items, net included a charge of</w:t>
      </w:r>
    </w:p>
    <w:p>
      <w:pPr>
        <w:spacing w:after="0" w:line="3" w:lineRule="exact"/>
        <w:rPr>
          <w:sz w:val="20"/>
          <w:szCs w:val="20"/>
          <w:color w:val="auto"/>
        </w:rPr>
      </w:pPr>
    </w:p>
    <w:p>
      <w:pPr>
        <w:ind w:left="1160" w:right="1299"/>
        <w:spacing w:after="0" w:line="247" w:lineRule="auto"/>
        <w:rPr>
          <w:sz w:val="20"/>
          <w:szCs w:val="20"/>
          <w:color w:val="auto"/>
        </w:rPr>
      </w:pPr>
      <w:r>
        <w:rPr>
          <w:rFonts w:ascii="Arial" w:cs="Arial" w:eastAsia="Arial" w:hAnsi="Arial"/>
          <w:sz w:val="14"/>
          <w:szCs w:val="14"/>
          <w:color w:val="auto"/>
        </w:rPr>
        <w:t>$7.6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$0.7 million in connection with the write-off of assets in connection with the relocation of our headquarters in 2019. Special items, net for the year ended December 31, 2019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 million of the consolidated income from consolidated special items, net for the year ended December 31, 2020, driven by allocated amounts from the CARES Act, based on the respective segment salaries, wages and benefits.</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decreased by $19.5 million, or 29%, to</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$48.7 million for the year ended December 31, 2020, as compared to $68.2 million for the year ended</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31, 2019.</w:t>
      </w:r>
    </w:p>
    <w:p>
      <w:pPr>
        <w:spacing w:after="0" w:line="157"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This decrease was primarily driven by our lower level of operations related to the COVID-19 pandemic which resulted in reduced crew and other employee travel costs, interrupted trip expenses, catering expenses, and other operational overhead costs. Our cargo segment was responsible for $6.8 million of our consolidated other operating, net expense for the year ended December 31, 2020, driven by $4.2 million of allocated overhead expenses and $2.6 million for crew and employee travel costs.</w:t>
      </w:r>
    </w:p>
    <w:p>
      <w:pPr>
        <w:spacing w:after="0" w:line="190"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For the year ended 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240" w:type="dxa"/>
            <w:vAlign w:val="bottom"/>
            <w:gridSpan w:val="3"/>
          </w:tcPr>
          <w:p>
            <w:pPr>
              <w:spacing w:after="0"/>
              <w:rPr>
                <w:sz w:val="20"/>
                <w:szCs w:val="20"/>
                <w:color w:val="auto"/>
              </w:rPr>
            </w:pPr>
            <w:r>
              <w:rPr>
                <w:rFonts w:ascii="Arial" w:cs="Arial" w:eastAsia="Arial" w:hAnsi="Arial"/>
                <w:sz w:val="12"/>
                <w:szCs w:val="12"/>
                <w:b w:val="1"/>
                <w:bCs w:val="1"/>
                <w:color w:val="auto"/>
              </w:rPr>
              <w:t>(in thousands, except percentages)</w:t>
            </w: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540" w:type="dxa"/>
            <w:vAlign w:val="bottom"/>
          </w:tcPr>
          <w:p>
            <w:pPr>
              <w:jc w:val="right"/>
              <w:ind w:right="17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280" w:type="dxa"/>
            <w:vAlign w:val="bottom"/>
          </w:tcPr>
          <w:p>
            <w:pPr>
              <w:jc w:val="right"/>
              <w:ind w:right="11"/>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gridSpan w:val="3"/>
          </w:tcPr>
          <w:p>
            <w:pPr>
              <w:spacing w:after="0"/>
              <w:rPr>
                <w:sz w:val="20"/>
                <w:szCs w:val="20"/>
                <w:color w:val="auto"/>
              </w:rPr>
            </w:pPr>
            <w:r>
              <w:rPr>
                <w:rFonts w:ascii="Arial" w:cs="Arial" w:eastAsia="Arial" w:hAnsi="Arial"/>
                <w:sz w:val="15"/>
                <w:szCs w:val="15"/>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377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   (560)</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9"/>
        </w:trPr>
        <w:tc>
          <w:tcPr>
            <w:tcW w:w="4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(22,073)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(17,170)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(4,903)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240" w:type="dxa"/>
            <w:vAlign w:val="bottom"/>
            <w:gridSpan w:val="3"/>
          </w:tcPr>
          <w:p>
            <w:pPr>
              <w:spacing w:after="0"/>
              <w:rPr>
                <w:sz w:val="20"/>
                <w:szCs w:val="20"/>
                <w:color w:val="auto"/>
              </w:rPr>
            </w:pPr>
            <w:r>
              <w:rPr>
                <w:rFonts w:ascii="Arial" w:cs="Arial" w:eastAsia="Arial" w:hAnsi="Arial"/>
                <w:sz w:val="15"/>
                <w:szCs w:val="15"/>
                <w:color w:val="auto"/>
              </w:rPr>
              <w:t>Other, net</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(1,729)</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1,358</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424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5"/>
                <w:szCs w:val="15"/>
                <w:b w:val="1"/>
                <w:bCs w:val="1"/>
                <w:color w:val="auto"/>
              </w:rPr>
              <w:t>Total Non-operating Expense, Net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tcBorders>
              <w:right w:val="single" w:sz="8" w:color="CCEEFF"/>
            </w:tcBorders>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(22,067)</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(17,962)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(4,105)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240" w:type="dxa"/>
            <w:vAlign w:val="bottom"/>
            <w:gridSpan w:val="3"/>
          </w:tcPr>
          <w:p>
            <w:pPr>
              <w:spacing w:after="0"/>
              <w:rPr>
                <w:sz w:val="20"/>
                <w:szCs w:val="20"/>
                <w:color w:val="auto"/>
              </w:rPr>
            </w:pPr>
            <w:r>
              <w:rPr>
                <w:rFonts w:ascii="Arial" w:cs="Arial" w:eastAsia="Arial" w:hAnsi="Arial"/>
                <w:sz w:val="15"/>
                <w:szCs w:val="15"/>
                <w:color w:val="auto"/>
              </w:rPr>
              <w:t>Income (Loss) Before Income Tax</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60,160</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(64,842)</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0"/>
              </w:rPr>
              <w:t>(108)%</w:t>
            </w:r>
          </w:p>
        </w:tc>
        <w:tc>
          <w:tcPr>
            <w:tcW w:w="0" w:type="dxa"/>
            <w:vAlign w:val="bottom"/>
          </w:tcPr>
          <w:p>
            <w:pPr>
              <w:spacing w:after="0"/>
              <w:rPr>
                <w:sz w:val="1"/>
                <w:szCs w:val="1"/>
                <w:color w:val="auto"/>
              </w:rPr>
            </w:pPr>
          </w:p>
        </w:tc>
      </w:tr>
      <w:tr>
        <w:trPr>
          <w:trHeight w:val="214"/>
        </w:trPr>
        <w:tc>
          <w:tcPr>
            <w:tcW w:w="4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14,088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(14,866)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5"/>
                <w:szCs w:val="15"/>
                <w:b w:val="1"/>
                <w:bCs w:val="1"/>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46,072</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$(49,976)</w:t>
            </w:r>
          </w:p>
        </w:tc>
        <w:tc>
          <w:tcPr>
            <w:tcW w:w="460" w:type="dxa"/>
            <w:vAlign w:val="bottom"/>
            <w:gridSpan w:val="2"/>
          </w:tcPr>
          <w:p>
            <w:pPr>
              <w:jc w:val="right"/>
              <w:spacing w:after="0" w:line="216"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70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-662305</wp:posOffset>
            </wp:positionV>
            <wp:extent cx="29273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-662305</wp:posOffset>
            </wp:positionV>
            <wp:extent cx="360680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-1206500</wp:posOffset>
            </wp:positionV>
            <wp:extent cx="11176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-1206500</wp:posOffset>
            </wp:positionV>
            <wp:extent cx="11176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-1206500</wp:posOffset>
            </wp:positionV>
            <wp:extent cx="11176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-1206500</wp:posOffset>
            </wp:positionV>
            <wp:extent cx="11176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“NM” stands for not meaningful</w:t>
      </w:r>
    </w:p>
    <w:p>
      <w:pPr>
        <w:spacing w:after="0" w:line="135" w:lineRule="exact"/>
        <w:rPr>
          <w:sz w:val="20"/>
          <w:szCs w:val="20"/>
          <w:color w:val="auto"/>
        </w:rPr>
      </w:pPr>
    </w:p>
    <w:p>
      <w:pPr>
        <w:ind w:left="1160" w:right="1519" w:firstLine="293"/>
        <w:spacing w:after="0" w:line="264"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decreased in the year ended December 31, 2020 related to lower</w:t>
      </w:r>
      <w:r>
        <w:rPr>
          <w:rFonts w:ascii="Arial" w:cs="Arial" w:eastAsia="Arial" w:hAnsi="Arial"/>
          <w:sz w:val="15"/>
          <w:szCs w:val="15"/>
          <w:i w:val="1"/>
          <w:iCs w:val="1"/>
          <w:color w:val="auto"/>
        </w:rPr>
        <w:t xml:space="preserve"> </w:t>
      </w:r>
      <w:r>
        <w:rPr>
          <w:rFonts w:ascii="Arial" w:cs="Arial" w:eastAsia="Arial" w:hAnsi="Arial"/>
          <w:sz w:val="15"/>
          <w:szCs w:val="15"/>
          <w:color w:val="auto"/>
        </w:rPr>
        <w:t>average cash balances.</w:t>
      </w:r>
    </w:p>
    <w:p>
      <w:pPr>
        <w:spacing w:after="0" w:line="137" w:lineRule="exact"/>
        <w:rPr>
          <w:sz w:val="20"/>
          <w:szCs w:val="20"/>
          <w:color w:val="auto"/>
        </w:rPr>
      </w:pPr>
    </w:p>
    <w:p>
      <w:pPr>
        <w:ind w:left="1160" w:right="1419" w:firstLine="293"/>
        <w:spacing w:after="0" w:line="251" w:lineRule="auto"/>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increased by $4.9 million, or 29%, to $22.1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2020, as compared to $17.2 million for the year ended December 31, 2019. The increase was primarily due to debt issued for the acquisition of new aircraft and spare engines, including new debt incurred in connection with the 2019-1 EETC.</w:t>
      </w:r>
    </w:p>
    <w:p>
      <w:pPr>
        <w:spacing w:after="0" w:line="146" w:lineRule="exact"/>
        <w:rPr>
          <w:sz w:val="20"/>
          <w:szCs w:val="20"/>
          <w:color w:val="auto"/>
        </w:rPr>
      </w:pPr>
    </w:p>
    <w:p>
      <w:pPr>
        <w:ind w:left="1160" w:right="1439" w:firstLine="293"/>
        <w:spacing w:after="0" w:line="249" w:lineRule="auto"/>
        <w:rPr>
          <w:sz w:val="20"/>
          <w:szCs w:val="20"/>
          <w:color w:val="auto"/>
        </w:rPr>
      </w:pPr>
      <w:r>
        <w:rPr>
          <w:rFonts w:ascii="Arial" w:cs="Arial" w:eastAsia="Arial" w:hAnsi="Arial"/>
          <w:sz w:val="15"/>
          <w:szCs w:val="15"/>
          <w:i w:val="1"/>
          <w:iCs w:val="1"/>
          <w:color w:val="auto"/>
        </w:rPr>
        <w:t>Other, net</w:t>
      </w:r>
      <w:r>
        <w:rPr>
          <w:rFonts w:ascii="Arial" w:cs="Arial" w:eastAsia="Arial" w:hAnsi="Arial"/>
          <w:sz w:val="15"/>
          <w:szCs w:val="15"/>
          <w:color w:val="auto"/>
        </w:rPr>
        <w:t>. Other, net expense decreased $1.4 million, or 79%, to $0.4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as compared to $1.7 million 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149" w:lineRule="exact"/>
        <w:rPr>
          <w:sz w:val="20"/>
          <w:szCs w:val="20"/>
          <w:color w:val="auto"/>
        </w:rPr>
      </w:pPr>
    </w:p>
    <w:p>
      <w:pPr>
        <w:jc w:val="both"/>
        <w:ind w:left="1160" w:right="1279" w:firstLine="293"/>
        <w:spacing w:after="0" w:line="254"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Our effective tax rate was 16.6% for the year ended December 31, 2020, as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23.5% for the year ended December 31, 2019. Our tax rate can vary depending on the amount of income we earn in each state and the state tax rate applicable to such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Segment Information</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98"/>
        </w:trPr>
        <w:tc>
          <w:tcPr>
            <w:tcW w:w="7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8"/>
          </w:tcPr>
          <w:p>
            <w:pPr>
              <w:ind w:left="40"/>
              <w:spacing w:after="0"/>
              <w:rPr>
                <w:sz w:val="20"/>
                <w:szCs w:val="20"/>
                <w:color w:val="auto"/>
              </w:rPr>
            </w:pPr>
            <w:r>
              <w:rPr>
                <w:rFonts w:ascii="Arial" w:cs="Arial" w:eastAsia="Arial" w:hAnsi="Arial"/>
                <w:sz w:val="12"/>
                <w:szCs w:val="12"/>
                <w:b w:val="1"/>
                <w:bCs w:val="1"/>
                <w:color w:val="auto"/>
                <w:w w:val="84"/>
              </w:rPr>
              <w:t>For the year ended December 31, 2020</w:t>
            </w:r>
            <w:r>
              <w:rPr>
                <w:rFonts w:ascii="Arial" w:cs="Arial" w:eastAsia="Arial" w:hAnsi="Arial"/>
                <w:sz w:val="17"/>
                <w:szCs w:val="17"/>
                <w:b w:val="1"/>
                <w:bCs w:val="1"/>
                <w:color w:val="auto"/>
                <w:w w:val="84"/>
                <w:vertAlign w:val="superscript"/>
              </w:rPr>
              <w:t>(1)</w:t>
            </w:r>
          </w:p>
        </w:tc>
        <w:tc>
          <w:tcPr>
            <w:tcW w:w="60" w:type="dxa"/>
            <w:vAlign w:val="bottom"/>
            <w:gridSpan w:val="2"/>
          </w:tcPr>
          <w:p>
            <w:pPr>
              <w:spacing w:after="0"/>
              <w:rPr>
                <w:sz w:val="17"/>
                <w:szCs w:val="17"/>
                <w:color w:val="auto"/>
              </w:rPr>
            </w:pPr>
          </w:p>
        </w:tc>
      </w:tr>
      <w:tr>
        <w:trPr>
          <w:trHeight w:val="157"/>
        </w:trPr>
        <w:tc>
          <w:tcPr>
            <w:tcW w:w="4660" w:type="dxa"/>
            <w:vAlign w:val="bottom"/>
            <w:gridSpan w:val="4"/>
          </w:tcPr>
          <w:p>
            <w:pPr>
              <w:spacing w:after="0"/>
              <w:rPr>
                <w:sz w:val="20"/>
                <w:szCs w:val="20"/>
                <w:color w:val="auto"/>
              </w:rPr>
            </w:pPr>
            <w:r>
              <w:rPr>
                <w:rFonts w:ascii="Arial" w:cs="Arial" w:eastAsia="Arial" w:hAnsi="Arial"/>
                <w:sz w:val="12"/>
                <w:szCs w:val="12"/>
                <w:b w:val="1"/>
                <w:bCs w:val="1"/>
                <w:color w:val="auto"/>
              </w:rPr>
              <w:t>(in thousands)</w:t>
            </w: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Passenger</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Cargo</w:t>
            </w:r>
          </w:p>
        </w:tc>
        <w:tc>
          <w:tcPr>
            <w:tcW w:w="80" w:type="dxa"/>
            <w:vAlign w:val="bottom"/>
          </w:tcPr>
          <w:p>
            <w:pPr>
              <w:spacing w:after="0"/>
              <w:rPr>
                <w:sz w:val="13"/>
                <w:szCs w:val="13"/>
                <w:color w:val="auto"/>
              </w:rPr>
            </w:pPr>
          </w:p>
        </w:tc>
        <w:tc>
          <w:tcPr>
            <w:tcW w:w="540" w:type="dxa"/>
            <w:vAlign w:val="bottom"/>
            <w:gridSpan w:val="3"/>
          </w:tcPr>
          <w:p>
            <w:pPr>
              <w:ind w:left="80"/>
              <w:spacing w:after="0"/>
              <w:rPr>
                <w:sz w:val="20"/>
                <w:szCs w:val="20"/>
                <w:color w:val="auto"/>
              </w:rPr>
            </w:pPr>
            <w:r>
              <w:rPr>
                <w:rFonts w:ascii="Arial" w:cs="Arial" w:eastAsia="Arial" w:hAnsi="Arial"/>
                <w:sz w:val="12"/>
                <w:szCs w:val="12"/>
                <w:b w:val="1"/>
                <w:bCs w:val="1"/>
                <w:color w:val="auto"/>
              </w:rPr>
              <w:t>Total</w:t>
            </w: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66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364,677</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401,486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4660" w:type="dxa"/>
            <w:vAlign w:val="bottom"/>
            <w:gridSpan w:val="4"/>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Aircraft fuel</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83,392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4"/>
          </w:tcPr>
          <w:p>
            <w:pPr>
              <w:spacing w:after="0"/>
              <w:rPr>
                <w:sz w:val="20"/>
                <w:szCs w:val="20"/>
                <w:color w:val="auto"/>
              </w:rPr>
            </w:pPr>
            <w:r>
              <w:rPr>
                <w:rFonts w:ascii="Arial" w:cs="Arial" w:eastAsia="Arial" w:hAnsi="Arial"/>
                <w:sz w:val="15"/>
                <w:szCs w:val="15"/>
                <w:color w:val="auto"/>
              </w:rPr>
              <w:t>Salaries, wages and benefits</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121,189</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20,452</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w w:val="84"/>
              </w:rPr>
              <w:t>141,641</w:t>
            </w:r>
          </w:p>
        </w:tc>
        <w:tc>
          <w:tcPr>
            <w:tcW w:w="40" w:type="dxa"/>
            <w:vAlign w:val="bottom"/>
          </w:tcPr>
          <w:p>
            <w:pPr>
              <w:spacing w:after="0"/>
              <w:rPr>
                <w:sz w:val="18"/>
                <w:szCs w:val="18"/>
                <w:color w:val="auto"/>
              </w:rPr>
            </w:pPr>
          </w:p>
        </w:tc>
      </w:tr>
      <w:tr>
        <w:trPr>
          <w:trHeight w:val="209"/>
        </w:trPr>
        <w:tc>
          <w:tcPr>
            <w:tcW w:w="46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Aircraft rent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30,989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4"/>
          </w:tcPr>
          <w:p>
            <w:pPr>
              <w:spacing w:after="0"/>
              <w:rPr>
                <w:sz w:val="20"/>
                <w:szCs w:val="20"/>
                <w:color w:val="auto"/>
              </w:rPr>
            </w:pPr>
            <w:r>
              <w:rPr>
                <w:rFonts w:ascii="Arial" w:cs="Arial" w:eastAsia="Arial" w:hAnsi="Arial"/>
                <w:sz w:val="15"/>
                <w:szCs w:val="15"/>
                <w:color w:val="auto"/>
              </w:rPr>
              <w:t>Maintenance</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22,457</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4,959</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27,416</w:t>
            </w:r>
          </w:p>
        </w:tc>
        <w:tc>
          <w:tcPr>
            <w:tcW w:w="40" w:type="dxa"/>
            <w:vAlign w:val="bottom"/>
          </w:tcPr>
          <w:p>
            <w:pPr>
              <w:spacing w:after="0"/>
              <w:rPr>
                <w:sz w:val="18"/>
                <w:szCs w:val="18"/>
                <w:color w:val="auto"/>
              </w:rPr>
            </w:pPr>
          </w:p>
        </w:tc>
      </w:tr>
      <w:tr>
        <w:trPr>
          <w:trHeight w:val="209"/>
        </w:trPr>
        <w:tc>
          <w:tcPr>
            <w:tcW w:w="46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16,570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4"/>
          </w:tcPr>
          <w:p>
            <w:pPr>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48,086</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48,086</w:t>
            </w:r>
          </w:p>
        </w:tc>
        <w:tc>
          <w:tcPr>
            <w:tcW w:w="40" w:type="dxa"/>
            <w:vAlign w:val="bottom"/>
          </w:tcPr>
          <w:p>
            <w:pPr>
              <w:spacing w:after="0"/>
              <w:rPr>
                <w:sz w:val="18"/>
                <w:szCs w:val="18"/>
                <w:color w:val="auto"/>
              </w:rPr>
            </w:pPr>
          </w:p>
        </w:tc>
      </w:tr>
      <w:tr>
        <w:trPr>
          <w:trHeight w:val="209"/>
        </w:trPr>
        <w:tc>
          <w:tcPr>
            <w:tcW w:w="46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Ground handling</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20,596</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660" w:type="dxa"/>
            <w:vAlign w:val="bottom"/>
            <w:gridSpan w:val="4"/>
          </w:tcPr>
          <w:p>
            <w:pPr>
              <w:spacing w:after="0"/>
              <w:rPr>
                <w:sz w:val="20"/>
                <w:szCs w:val="20"/>
                <w:color w:val="auto"/>
              </w:rPr>
            </w:pPr>
            <w:r>
              <w:rPr>
                <w:rFonts w:ascii="Arial" w:cs="Arial" w:eastAsia="Arial" w:hAnsi="Arial"/>
                <w:sz w:val="15"/>
                <w:szCs w:val="15"/>
                <w:color w:val="auto"/>
              </w:rPr>
              <w:t>Landing fees and airport rent</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30,975</w:t>
            </w:r>
          </w:p>
        </w:tc>
        <w:tc>
          <w:tcPr>
            <w:tcW w:w="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281</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31,256</w:t>
            </w:r>
          </w:p>
        </w:tc>
        <w:tc>
          <w:tcPr>
            <w:tcW w:w="40" w:type="dxa"/>
            <w:vAlign w:val="bottom"/>
          </w:tcPr>
          <w:p>
            <w:pPr>
              <w:spacing w:after="0"/>
              <w:rPr>
                <w:sz w:val="18"/>
                <w:szCs w:val="18"/>
                <w:color w:val="auto"/>
              </w:rPr>
            </w:pPr>
          </w:p>
        </w:tc>
      </w:tr>
      <w:tr>
        <w:trPr>
          <w:trHeight w:val="209"/>
        </w:trPr>
        <w:tc>
          <w:tcPr>
            <w:tcW w:w="46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Special items,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(53,842)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(10,721)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(64,563)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4660" w:type="dxa"/>
            <w:vAlign w:val="bottom"/>
            <w:tcBorders>
              <w:bottom w:val="single" w:sz="8" w:color="CCEEFF"/>
            </w:tcBorders>
            <w:gridSpan w:val="4"/>
          </w:tcPr>
          <w:p>
            <w:pPr>
              <w:spacing w:after="0"/>
              <w:rPr>
                <w:sz w:val="20"/>
                <w:szCs w:val="20"/>
                <w:color w:val="auto"/>
              </w:rPr>
            </w:pPr>
            <w:r>
              <w:rPr>
                <w:rFonts w:ascii="Arial" w:cs="Arial" w:eastAsia="Arial" w:hAnsi="Arial"/>
                <w:sz w:val="15"/>
                <w:szCs w:val="15"/>
                <w:color w:val="auto"/>
              </w:rPr>
              <w:t>Other operating, net</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41,880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6,838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21,809</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384,101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4660" w:type="dxa"/>
            <w:vAlign w:val="bottom"/>
            <w:gridSpan w:val="4"/>
          </w:tcPr>
          <w:p>
            <w:pPr>
              <w:spacing w:after="0"/>
              <w:rPr>
                <w:sz w:val="20"/>
                <w:szCs w:val="20"/>
                <w:color w:val="auto"/>
              </w:rPr>
            </w:pPr>
            <w:r>
              <w:rPr>
                <w:rFonts w:ascii="Arial" w:cs="Arial" w:eastAsia="Arial" w:hAnsi="Arial"/>
                <w:sz w:val="15"/>
                <w:szCs w:val="15"/>
                <w:b w:val="1"/>
                <w:bCs w:val="1"/>
                <w:color w:val="auto"/>
              </w:rPr>
              <w:t>Operating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2,385</w:t>
            </w:r>
          </w:p>
        </w:tc>
        <w:tc>
          <w:tcPr>
            <w:tcW w:w="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17,385</w:t>
            </w:r>
          </w:p>
        </w:tc>
        <w:tc>
          <w:tcPr>
            <w:tcW w:w="4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5"/>
        </w:trPr>
        <w:tc>
          <w:tcPr>
            <w:tcW w:w="70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-417830</wp:posOffset>
            </wp:positionV>
            <wp:extent cx="388620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-2022475</wp:posOffset>
            </wp:positionV>
            <wp:extent cx="11176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-2022475</wp:posOffset>
            </wp:positionV>
            <wp:extent cx="11176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-2022475</wp:posOffset>
            </wp:positionV>
            <wp:extent cx="11176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year information.</w:t>
      </w:r>
    </w:p>
    <w:p>
      <w:pPr>
        <w:spacing w:after="0" w:line="13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i w:val="1"/>
          <w:iCs w:val="1"/>
          <w:color w:val="auto"/>
        </w:rPr>
        <w:t xml:space="preserve">Passenger. </w:t>
      </w:r>
      <w:r>
        <w:rPr>
          <w:rFonts w:ascii="Arial" w:cs="Arial" w:eastAsia="Arial" w:hAnsi="Arial"/>
          <w:sz w:val="15"/>
          <w:szCs w:val="15"/>
          <w:color w:val="auto"/>
        </w:rPr>
        <w:t>Passenger operating income decreased by $75.7 million, or 97%, to $2.4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year-ended December 31, 2020, as compared to $78.1 million for the year ended December 31, 2019. For more information on the changes in the components of operating income for the passenger segment, refer to the consolidated results of operations discussion above.</w:t>
      </w:r>
    </w:p>
    <w:p>
      <w:pPr>
        <w:spacing w:after="0" w:line="146"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 xml:space="preserve">Cargo. </w:t>
      </w:r>
      <w:r>
        <w:rPr>
          <w:rFonts w:ascii="Arial" w:cs="Arial" w:eastAsia="Arial" w:hAnsi="Arial"/>
          <w:sz w:val="15"/>
          <w:szCs w:val="15"/>
          <w:color w:val="auto"/>
        </w:rPr>
        <w:t>Cargo operating income was $15.0 million as of the year-ended December 31, 2020. As air</w:t>
      </w:r>
      <w:r>
        <w:rPr>
          <w:rFonts w:ascii="Arial" w:cs="Arial" w:eastAsia="Arial" w:hAnsi="Arial"/>
          <w:sz w:val="15"/>
          <w:szCs w:val="15"/>
          <w:i w:val="1"/>
          <w:iCs w:val="1"/>
          <w:color w:val="auto"/>
        </w:rPr>
        <w:t xml:space="preserve"> </w:t>
      </w:r>
      <w:r>
        <w:rPr>
          <w:rFonts w:ascii="Arial" w:cs="Arial" w:eastAsia="Arial" w:hAnsi="Arial"/>
          <w:sz w:val="15"/>
          <w:szCs w:val="15"/>
          <w:color w:val="auto"/>
        </w:rPr>
        <w:t>cargo operations commenced in May 2020, the cargo segment had no comparable operations for any other prior period presented. For more information on the components of operating income for the cargo segment, refer to the consolidated results of operations discussion above, we more fully describe the cargo expenses embedded within each financial statement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 ended December 31, 2019 and the Successor and Predecessor 2018 periods</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4"/>
              </w:rPr>
              <w:t>For the period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60" w:type="dxa"/>
            <w:vAlign w:val="bottom"/>
          </w:tcPr>
          <w:p>
            <w:pPr>
              <w:spacing w:after="0"/>
              <w:rPr>
                <w:sz w:val="11"/>
                <w:szCs w:val="11"/>
                <w:color w:val="auto"/>
              </w:rPr>
            </w:pPr>
          </w:p>
        </w:tc>
        <w:tc>
          <w:tcPr>
            <w:tcW w:w="72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34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88"/>
              </w:rPr>
              <w:t>through</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7"/>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60" w:type="dxa"/>
            <w:vAlign w:val="bottom"/>
          </w:tcPr>
          <w:p>
            <w:pPr>
              <w:spacing w:after="0"/>
              <w:rPr>
                <w:sz w:val="11"/>
                <w:szCs w:val="11"/>
                <w:color w:val="auto"/>
              </w:rPr>
            </w:pPr>
          </w:p>
        </w:tc>
        <w:tc>
          <w:tcPr>
            <w:tcW w:w="72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40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r>
              <w:rPr>
                <w:rFonts w:ascii="Arial" w:cs="Arial" w:eastAsia="Arial" w:hAnsi="Arial"/>
                <w:sz w:val="15"/>
                <w:szCs w:val="15"/>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5"/>
                <w:szCs w:val="15"/>
                <w:color w:val="auto"/>
              </w:rPr>
              <w:t>Passenger</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688,833</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335,824</w:t>
            </w:r>
          </w:p>
        </w:tc>
        <w:tc>
          <w:tcPr>
            <w:tcW w:w="100" w:type="dxa"/>
            <w:vAlign w:val="bottom"/>
            <w:tcBorders>
              <w:right w:val="single" w:sz="8" w:color="auto"/>
            </w:tcBorders>
          </w:tcPr>
          <w:p>
            <w:pPr>
              <w:spacing w:after="0"/>
              <w:rPr>
                <w:sz w:val="18"/>
                <w:szCs w:val="18"/>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7"/>
              <w:spacing w:after="0"/>
              <w:rPr>
                <w:sz w:val="20"/>
                <w:szCs w:val="20"/>
                <w:color w:val="auto"/>
              </w:rPr>
            </w:pPr>
            <w:r>
              <w:rPr>
                <w:rFonts w:ascii="Arial" w:cs="Arial" w:eastAsia="Arial" w:hAnsi="Arial"/>
                <w:sz w:val="15"/>
                <w:szCs w:val="15"/>
                <w:color w:val="auto"/>
                <w:w w:val="84"/>
              </w:rPr>
              <w:t>172,897</w:t>
            </w:r>
          </w:p>
        </w:tc>
        <w:tc>
          <w:tcPr>
            <w:tcW w:w="0" w:type="dxa"/>
            <w:vAlign w:val="bottom"/>
          </w:tcPr>
          <w:p>
            <w:pPr>
              <w:spacing w:after="0"/>
              <w:rPr>
                <w:sz w:val="1"/>
                <w:szCs w:val="1"/>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24,555</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Operating Revenue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701,384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384,931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color w:val="auto"/>
                <w:w w:val="84"/>
              </w:rPr>
              <w:t>197,452</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5"/>
                <w:szCs w:val="15"/>
                <w:color w:val="auto"/>
              </w:rPr>
              <w:t>Aircraft Fuel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165,666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119,553</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45,790</w:t>
            </w: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4"/>
              </w:rPr>
              <w:t>140,739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36,964</w:t>
            </w:r>
          </w:p>
        </w:tc>
        <w:tc>
          <w:tcPr>
            <w:tcW w:w="0" w:type="dxa"/>
            <w:vAlign w:val="bottom"/>
          </w:tcPr>
          <w:p>
            <w:pPr>
              <w:spacing w:after="0"/>
              <w:rPr>
                <w:sz w:val="1"/>
                <w:szCs w:val="1"/>
                <w:color w:val="auto"/>
              </w:rPr>
            </w:pPr>
          </w:p>
        </w:tc>
      </w:tr>
      <w:tr>
        <w:trPr>
          <w:trHeight w:val="220"/>
        </w:trPr>
        <w:tc>
          <w:tcPr>
            <w:tcW w:w="4020" w:type="dxa"/>
            <w:vAlign w:val="bottom"/>
            <w:gridSpan w:val="2"/>
          </w:tcPr>
          <w:p>
            <w:pPr>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220"/>
        </w:trPr>
        <w:tc>
          <w:tcPr>
            <w:tcW w:w="402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Maintenance</w:t>
            </w:r>
            <w:r>
              <w:rPr>
                <w:rFonts w:ascii="Arial" w:cs="Arial" w:eastAsia="Arial" w:hAnsi="Arial"/>
                <w:sz w:val="21"/>
                <w:szCs w:val="21"/>
                <w:color w:val="auto"/>
                <w:vertAlign w:val="superscript"/>
              </w:rPr>
              <w:t>(2)</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9,508</w:t>
            </w: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5"/>
                <w:szCs w:val="15"/>
                <w:color w:val="auto"/>
              </w:rPr>
              <w:t>Sales and Marketing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220"/>
        </w:trPr>
        <w:tc>
          <w:tcPr>
            <w:tcW w:w="402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rPr>
              <w:t>Depreciation and Amortization</w:t>
            </w:r>
            <w:r>
              <w:rPr>
                <w:rFonts w:ascii="Arial" w:cs="Arial" w:eastAsia="Arial" w:hAnsi="Arial"/>
                <w:sz w:val="21"/>
                <w:szCs w:val="21"/>
                <w:color w:val="auto"/>
                <w:vertAlign w:val="superscript"/>
              </w:rPr>
              <w:t>(3)</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5"/>
                <w:szCs w:val="15"/>
                <w:color w:val="auto"/>
              </w:rPr>
              <w:t>Ground Handling</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8,619</w:t>
            </w: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5"/>
                <w:szCs w:val="15"/>
                <w:color w:val="auto"/>
              </w:rPr>
              <w:t>Special Items,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Operating, net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17,994</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gridSpan w:val="2"/>
          </w:tcPr>
          <w:p>
            <w:pPr>
              <w:ind w:left="160"/>
              <w:spacing w:after="0"/>
              <w:rPr>
                <w:sz w:val="20"/>
                <w:szCs w:val="20"/>
                <w:color w:val="auto"/>
              </w:rPr>
            </w:pPr>
            <w:r>
              <w:rPr>
                <w:rFonts w:ascii="Arial" w:cs="Arial" w:eastAsia="Arial" w:hAnsi="Arial"/>
                <w:sz w:val="15"/>
                <w:szCs w:val="15"/>
                <w:color w:val="auto"/>
              </w:rPr>
              <w:t>Total 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623,262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w w:val="84"/>
              </w:rPr>
              <w:t>377,699</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color w:val="auto"/>
                <w:w w:val="84"/>
              </w:rPr>
              <w:t>171,336</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2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Operating Income</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78,122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7,232</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26,116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Non-operating Income (Expense)</w:t>
            </w:r>
            <w:r>
              <w:rPr>
                <w:rFonts w:ascii="Arial" w:cs="Arial" w:eastAsia="Arial" w:hAnsi="Arial"/>
                <w:sz w:val="15"/>
                <w:szCs w:val="15"/>
                <w:color w:val="auto"/>
              </w:rPr>
              <w:t>:</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20"/>
        </w:trPr>
        <w:tc>
          <w:tcPr>
            <w:tcW w:w="402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(17,170)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25"/>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net</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(1,729)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 Non-operating Expense,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(17,962)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(7,438)</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25"/>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(Loss) Before Income Tax</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60,160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5"/>
                <w:szCs w:val="15"/>
                <w:color w:val="auto"/>
              </w:rPr>
              <w:t>Income Tax Expense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14,088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2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Net Income (Loss)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46,072</w:t>
            </w:r>
          </w:p>
        </w:tc>
        <w:tc>
          <w:tcPr>
            <w:tcW w:w="1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shd w:val="clear" w:color="auto" w:fill="CCEEFF"/>
          </w:tcPr>
          <w:p>
            <w:pPr>
              <w:spacing w:after="0"/>
              <w:rPr>
                <w:sz w:val="21"/>
                <w:szCs w:val="21"/>
                <w:color w:val="auto"/>
              </w:rPr>
            </w:pP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b w:val="1"/>
                <w:bCs w:val="1"/>
                <w:color w:val="auto"/>
              </w:rPr>
              <w:t>Non-GAAP Financial Data</w:t>
            </w:r>
            <w:r>
              <w:rPr>
                <w:rFonts w:ascii="Arial" w:cs="Arial" w:eastAsia="Arial" w:hAnsi="Arial"/>
                <w:sz w:val="15"/>
                <w:szCs w:val="15"/>
                <w:color w:val="auto"/>
              </w:rPr>
              <w:t>:</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02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Adjusted Net Income (Loss)</w:t>
            </w:r>
            <w:r>
              <w:rPr>
                <w:rFonts w:ascii="Arial" w:cs="Arial" w:eastAsia="Arial" w:hAnsi="Arial"/>
                <w:sz w:val="21"/>
                <w:szCs w:val="21"/>
                <w:color w:val="auto"/>
                <w:vertAlign w:val="superscript"/>
              </w:rPr>
              <w:t>(4)</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53,734</w:t>
            </w:r>
          </w:p>
        </w:tc>
        <w:tc>
          <w:tcPr>
            <w:tcW w:w="1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(5,871)</w:t>
            </w:r>
          </w:p>
        </w:tc>
        <w:tc>
          <w:tcPr>
            <w:tcW w:w="100" w:type="dxa"/>
            <w:vAlign w:val="bottom"/>
            <w:tcBorders>
              <w:right w:val="single" w:sz="8" w:color="auto"/>
            </w:tcBorders>
            <w:shd w:val="clear" w:color="auto" w:fill="CCEEFF"/>
          </w:tcPr>
          <w:p>
            <w:pPr>
              <w:spacing w:after="0"/>
              <w:rPr>
                <w:sz w:val="21"/>
                <w:szCs w:val="21"/>
                <w:color w:val="auto"/>
              </w:rPr>
            </w:pP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26,181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spacing w:after="0" w:line="224" w:lineRule="exact"/>
              <w:rPr>
                <w:sz w:val="20"/>
                <w:szCs w:val="20"/>
                <w:color w:val="auto"/>
              </w:rPr>
            </w:pPr>
            <w:r>
              <w:rPr>
                <w:rFonts w:ascii="Arial" w:cs="Arial" w:eastAsia="Arial" w:hAnsi="Arial"/>
                <w:sz w:val="15"/>
                <w:szCs w:val="15"/>
                <w:color w:val="auto"/>
              </w:rPr>
              <w:t>Adjusted EBITDAR</w:t>
            </w:r>
            <w:r>
              <w:rPr>
                <w:rFonts w:ascii="Arial" w:cs="Arial" w:eastAsia="Arial" w:hAnsi="Arial"/>
                <w:sz w:val="21"/>
                <w:szCs w:val="21"/>
                <w:color w:val="auto"/>
                <w:vertAlign w:val="superscript"/>
              </w:rPr>
              <w:t>(4)</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gridSpan w:val="2"/>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w w:val="84"/>
              </w:rPr>
              <w:t>171,129</w:t>
            </w: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49,688</w:t>
            </w:r>
          </w:p>
        </w:tc>
        <w:tc>
          <w:tcPr>
            <w:tcW w:w="100" w:type="dxa"/>
            <w:vAlign w:val="bottom"/>
            <w:tcBorders>
              <w:right w:val="single" w:sz="8" w:color="auto"/>
            </w:tcBorders>
          </w:tcPr>
          <w:p>
            <w:pPr>
              <w:spacing w:after="0"/>
              <w:rPr>
                <w:sz w:val="19"/>
                <w:szCs w:val="19"/>
                <w:color w:val="auto"/>
              </w:rPr>
            </w:pP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7"/>
              <w:spacing w:after="0"/>
              <w:rPr>
                <w:sz w:val="20"/>
                <w:szCs w:val="20"/>
                <w:color w:val="auto"/>
              </w:rPr>
            </w:pPr>
            <w:r>
              <w:rPr>
                <w:rFonts w:ascii="Arial" w:cs="Arial" w:eastAsia="Arial" w:hAnsi="Arial"/>
                <w:sz w:val="15"/>
                <w:szCs w:val="15"/>
                <w:color w:val="auto"/>
              </w:rPr>
              <w:t>57,279</w:t>
            </w: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-711200</wp:posOffset>
            </wp:positionV>
            <wp:extent cx="5588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-711200</wp:posOffset>
            </wp:positionV>
            <wp:extent cx="383032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-1861820</wp:posOffset>
            </wp:positionV>
            <wp:extent cx="5588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-1861820</wp:posOffset>
            </wp:positionV>
            <wp:extent cx="383032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-4059555</wp:posOffset>
            </wp:positionV>
            <wp:extent cx="10477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-4059555</wp:posOffset>
            </wp:positionV>
            <wp:extent cx="11176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-4059555</wp:posOffset>
            </wp:positionV>
            <wp:extent cx="11176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46" w:lineRule="exact"/>
        <w:rPr>
          <w:sz w:val="20"/>
          <w:szCs w:val="20"/>
          <w:color w:val="auto"/>
        </w:rPr>
      </w:pPr>
    </w:p>
    <w:p>
      <w:pPr>
        <w:ind w:left="1460" w:right="1279" w:hanging="296"/>
        <w:spacing w:after="0" w:line="237" w:lineRule="auto"/>
        <w:tabs>
          <w:tab w:leader="none" w:pos="1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2" w:lineRule="exact"/>
        <w:rPr>
          <w:rFonts w:ascii="Arial" w:cs="Arial" w:eastAsia="Arial" w:hAnsi="Arial"/>
          <w:sz w:val="14"/>
          <w:szCs w:val="14"/>
          <w:color w:val="auto"/>
        </w:rPr>
      </w:pPr>
    </w:p>
    <w:p>
      <w:pPr>
        <w:ind w:left="1460" w:right="1239" w:hanging="296"/>
        <w:spacing w:after="0" w:line="237" w:lineRule="auto"/>
        <w:tabs>
          <w:tab w:leader="none" w:pos="1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67" w:lineRule="exact"/>
        <w:rPr>
          <w:rFonts w:ascii="Arial" w:cs="Arial" w:eastAsia="Arial" w:hAnsi="Arial"/>
          <w:sz w:val="14"/>
          <w:szCs w:val="14"/>
          <w:color w:val="auto"/>
        </w:rPr>
      </w:pPr>
    </w:p>
    <w:p>
      <w:pPr>
        <w:ind w:left="1460" w:hanging="296"/>
        <w:spacing w:after="0"/>
        <w:tabs>
          <w:tab w:leader="none" w:pos="1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 for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460" w:right="1479"/>
        <w:spacing w:after="0" w:line="239" w:lineRule="auto"/>
        <w:rPr>
          <w:sz w:val="20"/>
          <w:szCs w:val="20"/>
          <w:color w:val="auto"/>
        </w:rPr>
      </w:pPr>
      <w:r>
        <w:rPr>
          <w:rFonts w:ascii="Arial" w:cs="Arial" w:eastAsia="Arial" w:hAnsi="Arial"/>
          <w:sz w:val="15"/>
          <w:szCs w:val="15"/>
          <w:color w:val="auto"/>
        </w:rPr>
        <w:t>certain acquired assets and to the amortization of definite-lived intangible assets. See Note 2 to our audited consolidated financial statements included elsewhere in this prospectus for additional information.</w:t>
      </w:r>
    </w:p>
    <w:p>
      <w:pPr>
        <w:spacing w:after="0" w:line="89" w:lineRule="exact"/>
        <w:rPr>
          <w:sz w:val="20"/>
          <w:szCs w:val="20"/>
          <w:color w:val="auto"/>
        </w:rPr>
      </w:pPr>
    </w:p>
    <w:p>
      <w:pPr>
        <w:ind w:left="1460" w:right="1379" w:hanging="296"/>
        <w:spacing w:after="0" w:line="264" w:lineRule="auto"/>
        <w:tabs>
          <w:tab w:leader="none" w:pos="1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See “— </w:t>
      </w:r>
      <w:r>
        <w:rPr>
          <w:rFonts w:ascii="Arial" w:cs="Arial" w:eastAsia="Arial" w:hAnsi="Arial"/>
          <w:sz w:val="15"/>
          <w:szCs w:val="15"/>
          <w:i w:val="1"/>
          <w:iCs w:val="1"/>
          <w:color w:val="auto"/>
        </w:rPr>
        <w:t>Non-GAAP Financial Measures</w:t>
      </w:r>
      <w:r>
        <w:rPr>
          <w:rFonts w:ascii="Arial" w:cs="Arial" w:eastAsia="Arial" w:hAnsi="Arial"/>
          <w:sz w:val="15"/>
          <w:szCs w:val="15"/>
          <w:color w:val="auto"/>
        </w:rPr>
        <w:t>” for definitions of these measures and reconciliations to the most comparable GAAP metric.</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Revenues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4"/>
              </w:rPr>
              <w:t>For the period</w:t>
            </w:r>
          </w:p>
        </w:tc>
        <w:tc>
          <w:tcPr>
            <w:tcW w:w="8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4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80" w:type="dxa"/>
            <w:vAlign w:val="bottom"/>
            <w:tcBorders>
              <w:left w:val="single" w:sz="8" w:color="auto"/>
            </w:tcBorders>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through</w:t>
            </w:r>
          </w:p>
        </w:tc>
        <w:tc>
          <w:tcPr>
            <w:tcW w:w="8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Borders>
              <w:left w:val="single" w:sz="8" w:color="auto"/>
            </w:tcBorders>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40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0" w:type="dxa"/>
            <w:vAlign w:val="bottom"/>
            <w:gridSpan w:val="2"/>
          </w:tcPr>
          <w:p>
            <w:pPr>
              <w:jc w:val="center"/>
              <w:ind w:left="192"/>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left="33"/>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left w:val="single" w:sz="8" w:color="auto"/>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r>
              <w:rPr>
                <w:rFonts w:ascii="Arial" w:cs="Arial" w:eastAsia="Arial" w:hAnsi="Arial"/>
                <w:sz w:val="15"/>
                <w:szCs w:val="15"/>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5"/>
                <w:szCs w:val="15"/>
                <w:color w:val="auto"/>
              </w:rPr>
              <w:t>Scheduled service</w:t>
            </w: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$396,113</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w w:val="99"/>
              </w:rPr>
              <w:t>$224,507</w:t>
            </w:r>
          </w:p>
        </w:tc>
        <w:tc>
          <w:tcPr>
            <w:tcW w:w="80" w:type="dxa"/>
            <w:vAlign w:val="bottom"/>
          </w:tcPr>
          <w:p>
            <w:pPr>
              <w:spacing w:after="0"/>
              <w:rPr>
                <w:sz w:val="18"/>
                <w:szCs w:val="18"/>
                <w:color w:val="auto"/>
              </w:rPr>
            </w:pPr>
          </w:p>
        </w:tc>
        <w:tc>
          <w:tcPr>
            <w:tcW w:w="720" w:type="dxa"/>
            <w:vAlign w:val="bottom"/>
            <w:tcBorders>
              <w:left w:val="single" w:sz="8" w:color="auto"/>
            </w:tcBorders>
            <w:gridSpan w:val="3"/>
          </w:tcPr>
          <w:p>
            <w:pPr>
              <w:jc w:val="right"/>
              <w:spacing w:after="0"/>
              <w:rPr>
                <w:sz w:val="20"/>
                <w:szCs w:val="20"/>
                <w:color w:val="auto"/>
              </w:rPr>
            </w:pPr>
            <w:r>
              <w:rPr>
                <w:rFonts w:ascii="Arial" w:cs="Arial" w:eastAsia="Arial" w:hAnsi="Arial"/>
                <w:sz w:val="15"/>
                <w:szCs w:val="15"/>
                <w:color w:val="auto"/>
              </w:rPr>
              <w:t>$132,234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Charter service</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174,562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111,317</w:t>
            </w:r>
          </w:p>
        </w:tc>
        <w:tc>
          <w:tcPr>
            <w:tcW w:w="80" w:type="dxa"/>
            <w:vAlign w:val="bottom"/>
            <w:shd w:val="clear" w:color="auto" w:fill="CCEEFF"/>
          </w:tcPr>
          <w:p>
            <w:pPr>
              <w:spacing w:after="0"/>
              <w:rPr>
                <w:sz w:val="18"/>
                <w:szCs w:val="18"/>
                <w:color w:val="auto"/>
              </w:rPr>
            </w:pPr>
          </w:p>
        </w:tc>
        <w:tc>
          <w:tcPr>
            <w:tcW w:w="80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40,663</w:t>
            </w:r>
          </w:p>
        </w:tc>
        <w:tc>
          <w:tcPr>
            <w:tcW w:w="0" w:type="dxa"/>
            <w:vAlign w:val="bottom"/>
          </w:tcPr>
          <w:p>
            <w:pPr>
              <w:spacing w:after="0"/>
              <w:rPr>
                <w:sz w:val="1"/>
                <w:szCs w:val="1"/>
                <w:color w:val="auto"/>
              </w:rPr>
            </w:pPr>
          </w:p>
        </w:tc>
      </w:tr>
      <w:tr>
        <w:trPr>
          <w:trHeight w:val="231"/>
        </w:trPr>
        <w:tc>
          <w:tcPr>
            <w:tcW w:w="4020" w:type="dxa"/>
            <w:vAlign w:val="bottom"/>
            <w:gridSpan w:val="2"/>
          </w:tcPr>
          <w:p>
            <w:pPr>
              <w:spacing w:after="0" w:line="231"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p>
        </w:tc>
        <w:tc>
          <w:tcPr>
            <w:tcW w:w="2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118,158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Passenger</w:t>
            </w:r>
          </w:p>
        </w:tc>
        <w:tc>
          <w:tcPr>
            <w:tcW w:w="24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9"/>
              </w:rPr>
              <w:t>688,833</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335,824</w:t>
            </w:r>
          </w:p>
        </w:tc>
        <w:tc>
          <w:tcPr>
            <w:tcW w:w="80" w:type="dxa"/>
            <w:vAlign w:val="bottom"/>
            <w:shd w:val="clear" w:color="auto" w:fill="CCEEFF"/>
          </w:tcPr>
          <w:p>
            <w:pPr>
              <w:spacing w:after="0"/>
              <w:rPr>
                <w:sz w:val="17"/>
                <w:szCs w:val="17"/>
                <w:color w:val="auto"/>
              </w:rPr>
            </w:pPr>
          </w:p>
        </w:tc>
        <w:tc>
          <w:tcPr>
            <w:tcW w:w="72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172,897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20" w:type="dxa"/>
            <w:vAlign w:val="bottom"/>
            <w:gridSpan w:val="2"/>
          </w:tcPr>
          <w:p>
            <w:pPr>
              <w:spacing w:after="0" w:line="220"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p>
        </w:tc>
        <w:tc>
          <w:tcPr>
            <w:tcW w:w="24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rPr>
              <w:t>41,065</w:t>
            </w:r>
          </w:p>
        </w:tc>
        <w:tc>
          <w:tcPr>
            <w:tcW w:w="80" w:type="dxa"/>
            <w:vAlign w:val="bottom"/>
          </w:tcPr>
          <w:p>
            <w:pPr>
              <w:spacing w:after="0"/>
              <w:rPr>
                <w:sz w:val="19"/>
                <w:szCs w:val="19"/>
                <w:color w:val="auto"/>
              </w:rPr>
            </w:pPr>
          </w:p>
        </w:tc>
        <w:tc>
          <w:tcPr>
            <w:tcW w:w="80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5"/>
                <w:szCs w:val="15"/>
                <w:color w:val="auto"/>
              </w:rPr>
              <w:t>15,670</w:t>
            </w:r>
          </w:p>
        </w:tc>
        <w:tc>
          <w:tcPr>
            <w:tcW w:w="0" w:type="dxa"/>
            <w:vAlign w:val="bottom"/>
          </w:tcPr>
          <w:p>
            <w:pPr>
              <w:spacing w:after="0"/>
              <w:rPr>
                <w:sz w:val="1"/>
                <w:szCs w:val="1"/>
                <w:color w:val="auto"/>
              </w:rPr>
            </w:pPr>
          </w:p>
        </w:tc>
      </w:tr>
      <w:tr>
        <w:trPr>
          <w:trHeight w:val="214"/>
        </w:trPr>
        <w:tc>
          <w:tcPr>
            <w:tcW w:w="4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12,551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8,042</w:t>
            </w:r>
          </w:p>
        </w:tc>
        <w:tc>
          <w:tcPr>
            <w:tcW w:w="80" w:type="dxa"/>
            <w:vAlign w:val="bottom"/>
            <w:shd w:val="clear" w:color="auto" w:fill="CCEEFF"/>
          </w:tcPr>
          <w:p>
            <w:pPr>
              <w:spacing w:after="0"/>
              <w:rPr>
                <w:sz w:val="18"/>
                <w:szCs w:val="18"/>
                <w:color w:val="auto"/>
              </w:rPr>
            </w:pPr>
          </w:p>
        </w:tc>
        <w:tc>
          <w:tcPr>
            <w:tcW w:w="72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20" w:type="dxa"/>
            <w:vAlign w:val="bottom"/>
            <w:gridSpan w:val="2"/>
          </w:tcPr>
          <w:p>
            <w:pPr>
              <w:spacing w:after="0"/>
              <w:rPr>
                <w:sz w:val="20"/>
                <w:szCs w:val="20"/>
                <w:color w:val="auto"/>
              </w:rPr>
            </w:pPr>
            <w:r>
              <w:rPr>
                <w:rFonts w:ascii="Arial" w:cs="Arial" w:eastAsia="Arial" w:hAnsi="Arial"/>
                <w:sz w:val="15"/>
                <w:szCs w:val="15"/>
                <w:color w:val="auto"/>
              </w:rPr>
              <w:t>Total operating revenues</w:t>
            </w:r>
          </w:p>
        </w:tc>
        <w:tc>
          <w:tcPr>
            <w:tcW w:w="24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$701,384</w:t>
            </w:r>
          </w:p>
        </w:tc>
        <w:tc>
          <w:tcPr>
            <w:tcW w:w="160" w:type="dxa"/>
            <w:vAlign w:val="bottom"/>
          </w:tcPr>
          <w:p>
            <w:pPr>
              <w:spacing w:after="0"/>
              <w:rPr>
                <w:sz w:val="22"/>
                <w:szCs w:val="2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w w:val="99"/>
              </w:rPr>
              <w:t>$384,931</w:t>
            </w:r>
          </w:p>
        </w:tc>
        <w:tc>
          <w:tcPr>
            <w:tcW w:w="80" w:type="dxa"/>
            <w:vAlign w:val="bottom"/>
          </w:tcPr>
          <w:p>
            <w:pPr>
              <w:spacing w:after="0"/>
              <w:rPr>
                <w:sz w:val="22"/>
                <w:szCs w:val="22"/>
                <w:color w:val="auto"/>
              </w:rPr>
            </w:pPr>
          </w:p>
        </w:tc>
        <w:tc>
          <w:tcPr>
            <w:tcW w:w="720" w:type="dxa"/>
            <w:vAlign w:val="bottom"/>
            <w:tcBorders>
              <w:left w:val="single" w:sz="8" w:color="auto"/>
            </w:tcBorders>
            <w:gridSpan w:val="3"/>
          </w:tcPr>
          <w:p>
            <w:pPr>
              <w:jc w:val="right"/>
              <w:spacing w:after="0"/>
              <w:rPr>
                <w:sz w:val="20"/>
                <w:szCs w:val="20"/>
                <w:color w:val="auto"/>
              </w:rPr>
            </w:pPr>
            <w:r>
              <w:rPr>
                <w:rFonts w:ascii="Arial" w:cs="Arial" w:eastAsia="Arial" w:hAnsi="Arial"/>
                <w:sz w:val="15"/>
                <w:szCs w:val="15"/>
                <w:color w:val="auto"/>
              </w:rPr>
              <w:t>$197,452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700" w:type="dxa"/>
            <w:vAlign w:val="bottom"/>
            <w:tcBorders>
              <w:bottom w:val="single" w:sz="8" w:color="auto"/>
            </w:tcBorders>
          </w:tcPr>
          <w:p>
            <w:pPr>
              <w:spacing w:after="0"/>
              <w:rPr>
                <w:sz w:val="6"/>
                <w:szCs w:val="6"/>
                <w:color w:val="auto"/>
              </w:rPr>
            </w:pPr>
          </w:p>
        </w:tc>
        <w:tc>
          <w:tcPr>
            <w:tcW w:w="3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-655320</wp:posOffset>
            </wp:positionV>
            <wp:extent cx="5588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-655320</wp:posOffset>
            </wp:positionV>
            <wp:extent cx="383032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-1206500</wp:posOffset>
            </wp:positionV>
            <wp:extent cx="10477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-1206500</wp:posOffset>
            </wp:positionV>
            <wp:extent cx="11176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-1206500</wp:posOffset>
            </wp:positionV>
            <wp:extent cx="11176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57" w:lineRule="exact"/>
        <w:rPr>
          <w:sz w:val="20"/>
          <w:szCs w:val="20"/>
          <w:color w:val="auto"/>
        </w:rPr>
      </w:pPr>
    </w:p>
    <w:p>
      <w:pPr>
        <w:ind w:left="1460" w:right="1359" w:hanging="296"/>
        <w:spacing w:after="0" w:line="221" w:lineRule="auto"/>
        <w:tabs>
          <w:tab w:leader="none" w:pos="1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classification of Ancillary changed as a result of the adoption of Accounting Standards Codification: Revenue from Contracts with Customers (“ASC 606”). Certain ancillary revenue was included in Other revenue prior to the adoption of this standard, but is included in Passenger revenue with the adoption of this standard. Total operating revenues were $701.4 million for the year ended December 31, 2019, $384.9 million for the Successor 2018 period and $197.5 million for the Predecessor 2018 period.</w:t>
      </w:r>
    </w:p>
    <w:p>
      <w:pPr>
        <w:spacing w:after="0" w:line="102" w:lineRule="exact"/>
        <w:rPr>
          <w:sz w:val="20"/>
          <w:szCs w:val="20"/>
          <w:color w:val="auto"/>
        </w:rPr>
      </w:pPr>
    </w:p>
    <w:p>
      <w:pPr>
        <w:ind w:left="1460"/>
        <w:spacing w:after="0"/>
        <w:tabs>
          <w:tab w:leader="none" w:pos="2720" w:val="left"/>
        </w:tabs>
        <w:rPr>
          <w:sz w:val="20"/>
          <w:szCs w:val="20"/>
          <w:color w:val="auto"/>
        </w:rPr>
      </w:pPr>
      <w:r>
        <w:rPr>
          <w:rFonts w:ascii="Arial" w:cs="Arial" w:eastAsia="Arial" w:hAnsi="Arial"/>
          <w:sz w:val="15"/>
          <w:szCs w:val="15"/>
          <w:i w:val="1"/>
          <w:iCs w:val="1"/>
          <w:color w:val="auto"/>
        </w:rPr>
        <w:t>Scheduled Service.</w:t>
      </w:r>
      <w:r>
        <w:rPr>
          <w:sz w:val="20"/>
          <w:szCs w:val="20"/>
          <w:color w:val="auto"/>
        </w:rPr>
        <w:tab/>
      </w:r>
      <w:r>
        <w:rPr>
          <w:rFonts w:ascii="Arial" w:cs="Arial" w:eastAsia="Arial" w:hAnsi="Arial"/>
          <w:sz w:val="13"/>
          <w:szCs w:val="13"/>
          <w:color w:val="auto"/>
        </w:rPr>
        <w:t>Scheduled service revenue was $396.1 million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2019, $224.5 million for the Successor 2018 period and $132.2 million for the Predecessor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2018 period. The increase in scheduled service revenue was primarily related to increases in our capacity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and departures along with a slight increase in load factor. Our scheduled service capacity, as measured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ASMs, increased by 30% as a result of additional aircraft in service and increases in the number of seats on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board. In the year ended December 31, 2019, we completed the reconfiguration of substantially all of our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fleet to a high-density seating configuration of 183 seats. The increase in capacity led to an increase in our</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number of scheduled service passengers to 3.6 million from 2.6 million. The increase in scheduled service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revenue was partially offset by a 19% decrease in average scheduled passenger fare to $111.08 from</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$136.42 and a decrease in PRASM of 1.16 cents, or 14%, largely driven by our low-fare pricing strategy.</w:t>
      </w:r>
    </w:p>
    <w:p>
      <w:pPr>
        <w:spacing w:after="0" w:line="113"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i w:val="1"/>
          <w:iCs w:val="1"/>
          <w:color w:val="auto"/>
        </w:rPr>
        <w:t xml:space="preserve">Charter Service. </w:t>
      </w:r>
      <w:r>
        <w:rPr>
          <w:rFonts w:ascii="Arial" w:cs="Arial" w:eastAsia="Arial" w:hAnsi="Arial"/>
          <w:sz w:val="15"/>
          <w:szCs w:val="15"/>
          <w:color w:val="auto"/>
        </w:rPr>
        <w:t>Charter service revenue was $174.6 million for the year ended December 31, 2019,</w:t>
      </w:r>
      <w:r>
        <w:rPr>
          <w:rFonts w:ascii="Arial" w:cs="Arial" w:eastAsia="Arial" w:hAnsi="Arial"/>
          <w:sz w:val="15"/>
          <w:szCs w:val="15"/>
          <w:i w:val="1"/>
          <w:iCs w:val="1"/>
          <w:color w:val="auto"/>
        </w:rPr>
        <w:t xml:space="preserve"> </w:t>
      </w:r>
      <w:r>
        <w:rPr>
          <w:rFonts w:ascii="Arial" w:cs="Arial" w:eastAsia="Arial" w:hAnsi="Arial"/>
          <w:sz w:val="15"/>
          <w:szCs w:val="15"/>
          <w:color w:val="auto"/>
        </w:rPr>
        <w:t>$111.3 million for the Successor 2018 period and $40.7 million for the Predecessor 2018 period. The increase in our charter service revenue was primarily due to an increase in the number of charter flights for our casino and sports customers and the U.S. Department of Defense.</w:t>
      </w:r>
    </w:p>
    <w:p>
      <w:pPr>
        <w:spacing w:after="0" w:line="91"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i w:val="1"/>
          <w:iCs w:val="1"/>
          <w:color w:val="auto"/>
        </w:rPr>
        <w:t xml:space="preserve">Ancillary. </w:t>
      </w:r>
      <w:r>
        <w:rPr>
          <w:rFonts w:ascii="Arial" w:cs="Arial" w:eastAsia="Arial" w:hAnsi="Arial"/>
          <w:sz w:val="14"/>
          <w:szCs w:val="14"/>
          <w:color w:val="auto"/>
        </w:rPr>
        <w:t>Ancillary revenue was $ 118.2 million for the year ended December 31, 2019, $41.1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Successor 2018 period and $15.7 million for the Predecessor 2018 period. The increase in ancillary revenue was driven by the unbundling of our services to improve our product segmentation in January 2018, which previously were offered as a component of the base fares. Our focus on ancillary services has driven an increase in ancillary revenue on a per passenger basis of $11.44, or 53%.</w:t>
      </w:r>
    </w:p>
    <w:p>
      <w:pPr>
        <w:spacing w:after="0" w:line="90" w:lineRule="exact"/>
        <w:rPr>
          <w:sz w:val="20"/>
          <w:szCs w:val="20"/>
          <w:color w:val="auto"/>
        </w:rPr>
      </w:pPr>
    </w:p>
    <w:p>
      <w:pPr>
        <w:ind w:left="1160" w:right="1259" w:firstLine="293"/>
        <w:spacing w:after="0" w:line="236"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Other revenue was $12.6 million for the year ended December 31, 2019, $8.0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and $8.9 million for the Predecessor 2018 period. The decrease in our other revenue was primarily due to a temporary delay in implementing our Sun Country Vacations products in our new booking system in June 2019.</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Operating Expenses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gridSpan w:val="7"/>
            <w:vMerge w:val="restart"/>
          </w:tcPr>
          <w:p>
            <w:pPr>
              <w:ind w:left="500"/>
              <w:spacing w:after="0"/>
              <w:rPr>
                <w:sz w:val="20"/>
                <w:szCs w:val="20"/>
                <w:color w:val="auto"/>
              </w:rPr>
            </w:pPr>
            <w:r>
              <w:rPr>
                <w:rFonts w:ascii="Arial" w:cs="Arial" w:eastAsia="Arial" w:hAnsi="Arial"/>
                <w:sz w:val="12"/>
                <w:szCs w:val="12"/>
                <w:b w:val="1"/>
                <w:bCs w:val="1"/>
                <w:color w:val="auto"/>
              </w:rPr>
              <w:t>Successor</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4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7"/>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4"/>
              </w:rPr>
              <w:t>For the period</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20" w:type="dxa"/>
            <w:vAlign w:val="bottom"/>
            <w:shd w:val="clear" w:color="auto" w:fill="000000"/>
          </w:tcPr>
          <w:p>
            <w:pPr>
              <w:spacing w:after="0"/>
              <w:rPr>
                <w:sz w:val="11"/>
                <w:szCs w:val="11"/>
                <w:color w:val="auto"/>
              </w:rPr>
            </w:pPr>
          </w:p>
        </w:tc>
        <w:tc>
          <w:tcPr>
            <w:tcW w:w="78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80" w:type="dxa"/>
            <w:vAlign w:val="bottom"/>
          </w:tcPr>
          <w:p>
            <w:pPr>
              <w:spacing w:after="0"/>
              <w:rPr>
                <w:sz w:val="11"/>
                <w:szCs w:val="11"/>
                <w:color w:val="auto"/>
              </w:rPr>
            </w:pPr>
          </w:p>
        </w:tc>
        <w:tc>
          <w:tcPr>
            <w:tcW w:w="74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through</w:t>
            </w: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2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20" w:type="dxa"/>
            <w:vAlign w:val="bottom"/>
            <w:shd w:val="clear" w:color="auto" w:fill="000000"/>
          </w:tcPr>
          <w:p>
            <w:pPr>
              <w:spacing w:after="0"/>
              <w:rPr>
                <w:sz w:val="11"/>
                <w:szCs w:val="11"/>
                <w:color w:val="auto"/>
              </w:rPr>
            </w:pPr>
          </w:p>
        </w:tc>
        <w:tc>
          <w:tcPr>
            <w:tcW w:w="78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20" w:type="dxa"/>
            <w:vAlign w:val="bottom"/>
            <w:gridSpan w:val="2"/>
          </w:tcPr>
          <w:p>
            <w:pPr>
              <w:jc w:val="center"/>
              <w:ind w:left="10"/>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left="31"/>
              <w:spacing w:after="0"/>
              <w:rPr>
                <w:sz w:val="20"/>
                <w:szCs w:val="20"/>
                <w:color w:val="auto"/>
              </w:rPr>
            </w:pPr>
            <w:r>
              <w:rPr>
                <w:rFonts w:ascii="Arial" w:cs="Arial" w:eastAsia="Arial" w:hAnsi="Arial"/>
                <w:sz w:val="12"/>
                <w:szCs w:val="12"/>
                <w:b w:val="1"/>
                <w:bCs w:val="1"/>
                <w:color w:val="auto"/>
                <w:w w:val="82"/>
              </w:rPr>
              <w:t>2018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5"/>
                <w:szCs w:val="15"/>
                <w:color w:val="auto"/>
              </w:rPr>
              <w:t>Aircraft fuel</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w w:val="95"/>
              </w:rPr>
              <w:t>$165,666</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w w:val="99"/>
              </w:rPr>
              <w:t>$119,553</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45,790</w:t>
            </w: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140,739</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90,263</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36,964</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5"/>
                <w:szCs w:val="15"/>
                <w:color w:val="auto"/>
              </w:rPr>
              <w:t>Aircraft rent</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49,908</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rPr>
              <w:t>36,831</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Maintenance</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35,286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15,491</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5"/>
                <w:szCs w:val="15"/>
                <w:color w:val="auto"/>
              </w:rPr>
              <w:t>Sales and marketing</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35,388</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rPr>
              <w:t>17,180</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14,405</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5"/>
                <w:szCs w:val="15"/>
                <w:color w:val="auto"/>
              </w:rPr>
              <w:t>Ground handling</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41,719</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rPr>
              <w:t>23,828</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Landing fees and airport rent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44,400</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25,977</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220"/>
        </w:trPr>
        <w:tc>
          <w:tcPr>
            <w:tcW w:w="4200" w:type="dxa"/>
            <w:vAlign w:val="bottom"/>
            <w:gridSpan w:val="2"/>
          </w:tcPr>
          <w:p>
            <w:pPr>
              <w:spacing w:after="0"/>
              <w:rPr>
                <w:sz w:val="20"/>
                <w:szCs w:val="20"/>
                <w:color w:val="auto"/>
              </w:rPr>
            </w:pPr>
            <w:r>
              <w:rPr>
                <w:rFonts w:ascii="Arial" w:cs="Arial" w:eastAsia="Arial" w:hAnsi="Arial"/>
                <w:sz w:val="15"/>
                <w:szCs w:val="15"/>
                <w:color w:val="auto"/>
              </w:rPr>
              <w:t>Special items, net</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7,092</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5"/>
                <w:szCs w:val="15"/>
                <w:color w:val="auto"/>
              </w:rPr>
              <w:t>(6,706)</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operating</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68,187</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40,877</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17,994</w:t>
            </w:r>
          </w:p>
        </w:tc>
        <w:tc>
          <w:tcPr>
            <w:tcW w:w="0" w:type="dxa"/>
            <w:vAlign w:val="bottom"/>
          </w:tcPr>
          <w:p>
            <w:pPr>
              <w:spacing w:after="0"/>
              <w:rPr>
                <w:sz w:val="1"/>
                <w:szCs w:val="1"/>
                <w:color w:val="auto"/>
              </w:rPr>
            </w:pPr>
          </w:p>
        </w:tc>
      </w:tr>
      <w:tr>
        <w:trPr>
          <w:trHeight w:val="251"/>
        </w:trPr>
        <w:tc>
          <w:tcPr>
            <w:tcW w:w="420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$623,262</w:t>
            </w:r>
          </w:p>
        </w:tc>
        <w:tc>
          <w:tcPr>
            <w:tcW w:w="16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5"/>
                <w:szCs w:val="15"/>
                <w:color w:val="auto"/>
                <w:w w:val="99"/>
              </w:rPr>
              <w:t>$377,699</w:t>
            </w:r>
          </w:p>
        </w:tc>
        <w:tc>
          <w:tcPr>
            <w:tcW w:w="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171,336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-1659890</wp:posOffset>
            </wp:positionV>
            <wp:extent cx="10477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-1659890</wp:posOffset>
            </wp:positionV>
            <wp:extent cx="11176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-1659890</wp:posOffset>
            </wp:positionV>
            <wp:extent cx="11176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67"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Fuel</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Aircraft fuel expense was $165.7 million for the year ended December 31, 2019,</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$119.6 million for the Successor 2018 period and $45.8 million for the Predecessor 2018 period. The change</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in aircraft fuel expense was primarily due to an increase in fuel gallons consumed of 20% due to our</w:t>
      </w:r>
    </w:p>
    <w:p>
      <w:pPr>
        <w:ind w:left="1160"/>
        <w:spacing w:after="0"/>
        <w:rPr>
          <w:sz w:val="20"/>
          <w:szCs w:val="20"/>
          <w:color w:val="auto"/>
        </w:rPr>
      </w:pPr>
      <w:r>
        <w:rPr>
          <w:rFonts w:ascii="Arial" w:cs="Arial" w:eastAsia="Arial" w:hAnsi="Arial"/>
          <w:sz w:val="14"/>
          <w:szCs w:val="14"/>
          <w:color w:val="auto"/>
        </w:rPr>
        <w:t>increased level of operations, as measured by an increase of 18% in block hours, partially offset by a</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decrease in average price per gallon of fuel of 3%. Aircraft fuel expense also includes mark-to-market gains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or losses from fuel derivative contracts associated with our economic fuel hedges. We recognized a mark-to-</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market gain of $10.8 million in the year ended December 31, 2019 compared to a loss of $12.0 million in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Successor 2018 period, and none for the Predecessor 2018 period.</w:t>
      </w:r>
    </w:p>
    <w:p>
      <w:pPr>
        <w:spacing w:after="0" w:line="90"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i w:val="1"/>
          <w:iCs w:val="1"/>
          <w:color w:val="auto"/>
        </w:rPr>
        <w:t>Salaries</w:t>
      </w:r>
      <w:r>
        <w:rPr>
          <w:rFonts w:ascii="Arial" w:cs="Arial" w:eastAsia="Arial" w:hAnsi="Arial"/>
          <w:sz w:val="14"/>
          <w:szCs w:val="14"/>
          <w:color w:val="auto"/>
        </w:rPr>
        <w:t>,</w:t>
      </w:r>
      <w:r>
        <w:rPr>
          <w:rFonts w:ascii="Arial" w:cs="Arial" w:eastAsia="Arial" w:hAnsi="Arial"/>
          <w:sz w:val="14"/>
          <w:szCs w:val="14"/>
          <w:i w:val="1"/>
          <w:iCs w:val="1"/>
          <w:color w:val="auto"/>
        </w:rPr>
        <w:t xml:space="preserve"> Wages and Benefits</w:t>
      </w:r>
      <w:r>
        <w:rPr>
          <w:rFonts w:ascii="Arial" w:cs="Arial" w:eastAsia="Arial" w:hAnsi="Arial"/>
          <w:sz w:val="14"/>
          <w:szCs w:val="14"/>
          <w:color w:val="auto"/>
        </w:rPr>
        <w:t>. Salaries, wages and benefits expense was $140.7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$90.3 million for the Successor 2018 period and $37.0 million for the Predecessor 2018 period. The increase was primarily due to higher costs and increased headcount for our pilots and flight attendants resulting from contractual rate increases and expanded operations, and higher general and administration staffing along with the full year impact of the management bonus and stock compensation plans introduced in November 2018. These increases were partially offset by a reduction in ground handling personnel as a result of the outsourcing of MSP ground operations in May 2018, which are reflected as an increase in ground handling expenses.</w:t>
      </w:r>
    </w:p>
    <w:p>
      <w:pPr>
        <w:spacing w:after="0" w:line="92" w:lineRule="exact"/>
        <w:rPr>
          <w:sz w:val="20"/>
          <w:szCs w:val="20"/>
          <w:color w:val="auto"/>
        </w:rPr>
      </w:pPr>
    </w:p>
    <w:p>
      <w:pPr>
        <w:ind w:left="1460"/>
        <w:spacing w:after="0"/>
        <w:tabs>
          <w:tab w:leader="none" w:pos="2380" w:val="left"/>
        </w:tabs>
        <w:rPr>
          <w:sz w:val="20"/>
          <w:szCs w:val="20"/>
          <w:color w:val="auto"/>
        </w:rPr>
      </w:pPr>
      <w:r>
        <w:rPr>
          <w:rFonts w:ascii="Arial" w:cs="Arial" w:eastAsia="Arial" w:hAnsi="Arial"/>
          <w:sz w:val="15"/>
          <w:szCs w:val="15"/>
          <w:i w:val="1"/>
          <w:iCs w:val="1"/>
          <w:color w:val="auto"/>
        </w:rPr>
        <w:t>Aircraft Rent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Aircraft rent expense was $50.0 million for the year ended December 31, 2019,</w:t>
      </w:r>
    </w:p>
    <w:p>
      <w:pPr>
        <w:spacing w:after="0" w:line="4" w:lineRule="exact"/>
        <w:rPr>
          <w:sz w:val="20"/>
          <w:szCs w:val="20"/>
          <w:color w:val="auto"/>
        </w:rPr>
      </w:pPr>
    </w:p>
    <w:p>
      <w:pPr>
        <w:ind w:left="1160" w:right="1199"/>
        <w:spacing w:after="0" w:line="245" w:lineRule="auto"/>
        <w:rPr>
          <w:sz w:val="20"/>
          <w:szCs w:val="20"/>
          <w:color w:val="auto"/>
        </w:rPr>
      </w:pPr>
      <w:r>
        <w:rPr>
          <w:rFonts w:ascii="Arial" w:cs="Arial" w:eastAsia="Arial" w:hAnsi="Arial"/>
          <w:sz w:val="14"/>
          <w:szCs w:val="14"/>
          <w:color w:val="auto"/>
        </w:rPr>
        <w:t>$36.8 million for the Successor 2018 period and $28.3 million for the Predecessor 2018 period. Aircraft rent expense decreased primarily due to a change in the composition of our aircraft fleet between aircraft under operating lease (for which expense is recorded within aircraft rent) and owned aircraft and aircraft under finance lease (for which expense is recorded within depreciation and amortization). The</w:t>
      </w:r>
    </w:p>
    <w:p>
      <w:pPr>
        <w:spacing w:after="0" w:line="2" w:lineRule="exact"/>
        <w:rPr>
          <w:sz w:val="20"/>
          <w:szCs w:val="20"/>
          <w:color w:val="auto"/>
        </w:rPr>
      </w:pPr>
    </w:p>
    <w:p>
      <w:pPr>
        <w:ind w:left="1160" w:right="1179"/>
        <w:spacing w:after="0" w:line="232" w:lineRule="auto"/>
        <w:rPr>
          <w:sz w:val="20"/>
          <w:szCs w:val="20"/>
          <w:color w:val="auto"/>
        </w:rPr>
      </w:pPr>
      <w:r>
        <w:rPr>
          <w:rFonts w:ascii="Arial" w:cs="Arial" w:eastAsia="Arial" w:hAnsi="Arial"/>
          <w:sz w:val="15"/>
          <w:szCs w:val="15"/>
          <w:color w:val="auto"/>
        </w:rPr>
        <w:t>decrease was primarily a result of purchasing one aircraft previously on an operating lease, returning three leased 737-700 aircraft during the year ended December 31, 2019, and reducing seasonal aircraft by one. Aircraft rent expense for the year ended December 31, 2019 and Successor 2018 period was further decreased by the amortization of over-market liabilities recorded as a result of acquisition accounting for the acquisition by the Apollo Funds.</w:t>
      </w:r>
    </w:p>
    <w:p>
      <w:pPr>
        <w:spacing w:after="0" w:line="88" w:lineRule="exact"/>
        <w:rPr>
          <w:sz w:val="20"/>
          <w:szCs w:val="20"/>
          <w:color w:val="auto"/>
        </w:rPr>
      </w:pPr>
    </w:p>
    <w:p>
      <w:pPr>
        <w:ind w:left="1160" w:right="1259" w:firstLine="293"/>
        <w:spacing w:after="0" w:line="276" w:lineRule="auto"/>
        <w:rPr>
          <w:sz w:val="20"/>
          <w:szCs w:val="20"/>
          <w:color w:val="auto"/>
        </w:rPr>
      </w:pPr>
      <w:r>
        <w:rPr>
          <w:rFonts w:ascii="Arial" w:cs="Arial" w:eastAsia="Arial" w:hAnsi="Arial"/>
          <w:sz w:val="13"/>
          <w:szCs w:val="13"/>
          <w:i w:val="1"/>
          <w:iCs w:val="1"/>
          <w:color w:val="auto"/>
        </w:rPr>
        <w:t>Maintenance</w:t>
      </w:r>
      <w:r>
        <w:rPr>
          <w:rFonts w:ascii="Arial" w:cs="Arial" w:eastAsia="Arial" w:hAnsi="Arial"/>
          <w:sz w:val="13"/>
          <w:szCs w:val="13"/>
          <w:color w:val="auto"/>
        </w:rPr>
        <w:t>. Maintenance materials and repair expense was $35.3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2019, $15.5 million for the Successor 2018 period and $9.5 million for the Predecessor 2018 period. The increase was primarily due to the timing and number of maintenance events, including two additional engine overhauls and four additional heavy checks in the year ended December 31, 2019. The overall increase in maintenance materials expense was partially offset by reduced expenses under our outsourced parts supply agreement and by top-off credits received from lessors for repairs performed by us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49" w:lineRule="auto"/>
        <w:rPr>
          <w:sz w:val="20"/>
          <w:szCs w:val="20"/>
          <w:color w:val="auto"/>
        </w:rPr>
      </w:pPr>
      <w:r>
        <w:rPr>
          <w:rFonts w:ascii="Arial" w:cs="Arial" w:eastAsia="Arial" w:hAnsi="Arial"/>
          <w:sz w:val="15"/>
          <w:szCs w:val="15"/>
          <w:color w:val="auto"/>
        </w:rPr>
        <w:t>but related to utilization by the prior lessee. The increase in maintenance expense was also partially offset in the year ended December 31, 2019 and the Successor 2018 period by the reduction of the maintenance liability (or contra-asset) that was recorded as a result of acquisition accounting for the acquisition by the Apollo Funds. The maintenance liability (or contra-asset) is reduced as reimbursable maintenance events are performed and maintenance expense is incurred.</w:t>
      </w:r>
    </w:p>
    <w:p>
      <w:pPr>
        <w:spacing w:after="0" w:line="105" w:lineRule="exact"/>
        <w:rPr>
          <w:sz w:val="20"/>
          <w:szCs w:val="20"/>
          <w:color w:val="auto"/>
        </w:rPr>
      </w:pPr>
    </w:p>
    <w:p>
      <w:pPr>
        <w:ind w:left="1460"/>
        <w:spacing w:after="0"/>
        <w:tabs>
          <w:tab w:leader="none" w:pos="2860" w:val="left"/>
        </w:tabs>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Sales and marketing expense was $35.4 million for the year ended</w:t>
      </w:r>
    </w:p>
    <w:p>
      <w:pPr>
        <w:spacing w:after="0" w:line="14" w:lineRule="exact"/>
        <w:rPr>
          <w:sz w:val="20"/>
          <w:szCs w:val="20"/>
          <w:color w:val="auto"/>
        </w:rPr>
      </w:pPr>
    </w:p>
    <w:p>
      <w:pPr>
        <w:ind w:left="1160" w:right="1199"/>
        <w:spacing w:after="0" w:line="245" w:lineRule="auto"/>
        <w:rPr>
          <w:sz w:val="20"/>
          <w:szCs w:val="20"/>
          <w:color w:val="auto"/>
        </w:rPr>
      </w:pPr>
      <w:r>
        <w:rPr>
          <w:rFonts w:ascii="Arial" w:cs="Arial" w:eastAsia="Arial" w:hAnsi="Arial"/>
          <w:sz w:val="15"/>
          <w:szCs w:val="15"/>
          <w:color w:val="auto"/>
        </w:rPr>
        <w:t>December 31, 2019, $17.2 million for the Successor 2018 period and $10.9 million for the Predecessor 2018 period. The increase was primarily due to higher sales that directly drove higher credit card fees, partially offset by a decrease in booking fees as a result of a higher proportion of bookings on our redesigned website, as our website is our lowest cost distribution channel, and more favorable terms in renegotiated contracts with third-party distribution channels.</w:t>
      </w:r>
    </w:p>
    <w:p>
      <w:pPr>
        <w:spacing w:after="0" w:line="98"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was $34.9 million for the year</w:t>
      </w:r>
      <w:r>
        <w:rPr>
          <w:rFonts w:ascii="Arial" w:cs="Arial" w:eastAsia="Arial" w:hAnsi="Arial"/>
          <w:sz w:val="14"/>
          <w:szCs w:val="14"/>
          <w:i w:val="1"/>
          <w:iCs w:val="1"/>
          <w:color w:val="auto"/>
        </w:rPr>
        <w:t xml:space="preserve"> </w:t>
      </w:r>
      <w:r>
        <w:rPr>
          <w:rFonts w:ascii="Arial" w:cs="Arial" w:eastAsia="Arial" w:hAnsi="Arial"/>
          <w:sz w:val="14"/>
          <w:szCs w:val="14"/>
          <w:color w:val="auto"/>
        </w:rPr>
        <w:t>ended December 31, 2019, $14.4 million for the Successor 2018 period and $2.5 million for the Predecessor 2018 period. The increase was primarily due to the impact of a change in the composition of the fleet from primarily operating leased aircraft to an increased number of owned aircraft and aircraft under finance leases, and the impact of acquisition accounting and the resulting increase to the book value of our assets. We added four aircraft to our fleet under finance leases, purchased one aircraft previously on an operating lease, converted one operating lease to a finance lease and purchased one incremental aircraft and we returned three leased 737-700 aircraft during the year ended December 31, 2019. In addition, depreciation and amortization increased due to the recognition of a definite lived intangible asset recorded as a result of acquisition accounting for the acquisition by the Apollo Funds. The definite lived intangible asset is amortized on a straight-line basis over a useful life of 12 years.</w:t>
      </w:r>
    </w:p>
    <w:p>
      <w:pPr>
        <w:spacing w:after="0" w:line="99" w:lineRule="exact"/>
        <w:rPr>
          <w:sz w:val="20"/>
          <w:szCs w:val="20"/>
          <w:color w:val="auto"/>
        </w:rPr>
      </w:pPr>
    </w:p>
    <w:p>
      <w:pPr>
        <w:ind w:left="1160" w:right="1239" w:firstLine="293"/>
        <w:spacing w:after="0" w:line="297" w:lineRule="auto"/>
        <w:rPr>
          <w:sz w:val="20"/>
          <w:szCs w:val="20"/>
          <w:color w:val="auto"/>
        </w:rPr>
      </w:pPr>
      <w:r>
        <w:rPr>
          <w:rFonts w:ascii="Arial" w:cs="Arial" w:eastAsia="Arial" w:hAnsi="Arial"/>
          <w:sz w:val="13"/>
          <w:szCs w:val="13"/>
          <w:i w:val="1"/>
          <w:iCs w:val="1"/>
          <w:color w:val="auto"/>
        </w:rPr>
        <w:t>Ground Handling</w:t>
      </w:r>
      <w:r>
        <w:rPr>
          <w:rFonts w:ascii="Arial" w:cs="Arial" w:eastAsia="Arial" w:hAnsi="Arial"/>
          <w:sz w:val="13"/>
          <w:szCs w:val="13"/>
          <w:color w:val="auto"/>
        </w:rPr>
        <w:t>. Ground handling expense was $41.7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2019, $23.8 million for the Successor 2018 period and $8.6 million for the Predecessor 2018 period. The increase was due to the increase in departures and additional airports in our route network for both our scheduled service and charter operations. We outsourced MSP ground handling services in May 2018, contributing to a reduction in salaries, wages and benefits but resulting in higher ground handling expenses.</w:t>
      </w:r>
    </w:p>
    <w:p>
      <w:pPr>
        <w:spacing w:after="0" w:line="75" w:lineRule="exact"/>
        <w:rPr>
          <w:sz w:val="20"/>
          <w:szCs w:val="20"/>
          <w:color w:val="auto"/>
        </w:rPr>
      </w:pPr>
    </w:p>
    <w:p>
      <w:pPr>
        <w:ind w:left="1160" w:right="1199" w:firstLine="293"/>
        <w:spacing w:after="0" w:line="311" w:lineRule="auto"/>
        <w:rPr>
          <w:sz w:val="20"/>
          <w:szCs w:val="20"/>
          <w:color w:val="auto"/>
        </w:rPr>
      </w:pPr>
      <w:r>
        <w:rPr>
          <w:rFonts w:ascii="Arial" w:cs="Arial" w:eastAsia="Arial" w:hAnsi="Arial"/>
          <w:sz w:val="13"/>
          <w:szCs w:val="13"/>
          <w:i w:val="1"/>
          <w:iCs w:val="1"/>
          <w:color w:val="auto"/>
        </w:rPr>
        <w:t>Landing Fees and Airport Rent</w:t>
      </w:r>
      <w:r>
        <w:rPr>
          <w:rFonts w:ascii="Arial" w:cs="Arial" w:eastAsia="Arial" w:hAnsi="Arial"/>
          <w:sz w:val="13"/>
          <w:szCs w:val="13"/>
          <w:color w:val="auto"/>
        </w:rPr>
        <w:t>. Landing fees and airport rent was $44.4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2019, $26.0 million for the Successor 2018 period and $10.5 million for the Predecessor 2018 period. The increase was due to the increase in departures and additional airports in our route network.</w:t>
      </w:r>
    </w:p>
    <w:p>
      <w:pPr>
        <w:spacing w:after="0" w:line="56" w:lineRule="exact"/>
        <w:rPr>
          <w:sz w:val="20"/>
          <w:szCs w:val="20"/>
          <w:color w:val="auto"/>
        </w:rPr>
      </w:pPr>
    </w:p>
    <w:p>
      <w:pPr>
        <w:ind w:left="1460"/>
        <w:spacing w:after="0"/>
        <w:tabs>
          <w:tab w:leader="none" w:pos="2680" w:val="left"/>
        </w:tabs>
        <w:rPr>
          <w:sz w:val="20"/>
          <w:szCs w:val="20"/>
          <w:color w:val="auto"/>
        </w:rPr>
      </w:pPr>
      <w:r>
        <w:rPr>
          <w:rFonts w:ascii="Arial" w:cs="Arial" w:eastAsia="Arial" w:hAnsi="Arial"/>
          <w:sz w:val="15"/>
          <w:szCs w:val="15"/>
          <w:i w:val="1"/>
          <w:iCs w:val="1"/>
          <w:color w:val="auto"/>
        </w:rPr>
        <w:t>Special Items,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Special items, net was an expense of $7.1 million for the year ended December 31,</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2019, income of $6.7 million for the Successor 2018 period and an expense of $0.3 million for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Predecessor 2018 period. Special items, net for the year ended December 31, 2019 include a charge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$7.6 million related to contractual obligations for retired technology. In connection with implementing our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new reservations systems, we incurred obligations under the contracts for our existing systems that were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being phased out ahead of their scheduled contract terms, creating an expense that is not reflective of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normal operations of the company. This expense was partially offset by $1.2 million of proceeds from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sale of unused airport slot rights. We are not in the business of buying and selling operating rights and we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do not hold any other remaining airport slot rights, therefore this gain does not reflect our core business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operations. Special items, net recognized in the Successor 2018 period include the impact of changes to the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terms of our rewards program implemented in the fourth quarter of 2018. The program changes included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net reduction in expenses of $8.5 million due to the earlier expiration of outstanding points, partially offset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by an increase in expense as a result of improved terms for members’ redemption of points. We also</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recognized an expense of $1.7 million for the Successor 2018 period and $0.3 million for the Predecessor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2018 period related to early-out and employee separation expenses incurred in connection with outsourcing</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certain operations and other employee initiatives. These efforts were primarily related to airport station,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flight attendants and ground handling employees.</w:t>
      </w:r>
    </w:p>
    <w:p>
      <w:pPr>
        <w:spacing w:after="0" w:line="113" w:lineRule="exact"/>
        <w:rPr>
          <w:sz w:val="20"/>
          <w:szCs w:val="20"/>
          <w:color w:val="auto"/>
        </w:rPr>
      </w:pPr>
    </w:p>
    <w:p>
      <w:pPr>
        <w:ind w:left="1460"/>
        <w:spacing w:after="0"/>
        <w:tabs>
          <w:tab w:leader="none" w:pos="2880" w:val="left"/>
        </w:tabs>
        <w:rPr>
          <w:sz w:val="20"/>
          <w:szCs w:val="20"/>
          <w:color w:val="auto"/>
        </w:rPr>
      </w:pPr>
      <w:r>
        <w:rPr>
          <w:rFonts w:ascii="Arial" w:cs="Arial" w:eastAsia="Arial" w:hAnsi="Arial"/>
          <w:sz w:val="15"/>
          <w:szCs w:val="15"/>
          <w:i w:val="1"/>
          <w:iCs w:val="1"/>
          <w:color w:val="auto"/>
        </w:rPr>
        <w:t>Other Operating, net</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Other operating, net expense was $68.2 million for the year ended</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December 31, 2019, $40.9 million for the Successor 2018 period and $18.0 million for the Predecessor 2018</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period. The increase was primarily due to our higher level of operations.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Non-operating Income (Expense)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Successor</w:t>
            </w: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4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4"/>
              </w:rPr>
              <w:t>For the period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6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36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720" w:type="dxa"/>
            <w:vAlign w:val="bottom"/>
            <w:tcBorders>
              <w:right w:val="single" w:sz="8" w:color="auto"/>
            </w:tcBorders>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88"/>
              </w:rPr>
              <w:t>through</w:t>
            </w:r>
          </w:p>
        </w:tc>
        <w:tc>
          <w:tcPr>
            <w:tcW w:w="6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4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60" w:type="dxa"/>
            <w:vAlign w:val="bottom"/>
          </w:tcPr>
          <w:p>
            <w:pPr>
              <w:spacing w:after="0"/>
              <w:rPr>
                <w:sz w:val="11"/>
                <w:szCs w:val="11"/>
                <w:color w:val="auto"/>
              </w:rPr>
            </w:pPr>
          </w:p>
        </w:tc>
        <w:tc>
          <w:tcPr>
            <w:tcW w:w="720" w:type="dxa"/>
            <w:vAlign w:val="bottom"/>
            <w:gridSpan w:val="4"/>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11"/>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2018</w:t>
            </w:r>
          </w:p>
        </w:tc>
        <w:tc>
          <w:tcPr>
            <w:tcW w:w="1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3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937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(17,170)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(6,060)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14"/>
        </w:trPr>
        <w:tc>
          <w:tcPr>
            <w:tcW w:w="402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88"/>
              </w:rPr>
              <w:t>(1,636)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non-operating expense,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(17,962)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8"/>
              </w:rPr>
              <w:t>(7,438)</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Arial" w:cs="Arial" w:eastAsia="Arial" w:hAnsi="Arial"/>
                <w:sz w:val="15"/>
                <w:szCs w:val="15"/>
                <w:color w:val="auto"/>
              </w:rPr>
              <w:t>Income (loss) before income tax</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60,160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25,910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20" w:type="dxa"/>
            <w:vAlign w:val="bottom"/>
          </w:tcPr>
          <w:p>
            <w:pPr>
              <w:spacing w:after="0"/>
              <w:rPr>
                <w:sz w:val="20"/>
                <w:szCs w:val="20"/>
                <w:color w:val="auto"/>
              </w:rPr>
            </w:pPr>
            <w:r>
              <w:rPr>
                <w:rFonts w:ascii="Arial" w:cs="Arial" w:eastAsia="Arial" w:hAnsi="Arial"/>
                <w:sz w:val="15"/>
                <w:szCs w:val="15"/>
                <w:color w:val="auto"/>
              </w:rPr>
              <w:t>Net income (loss)</w:t>
            </w:r>
          </w:p>
        </w:tc>
        <w:tc>
          <w:tcPr>
            <w:tcW w:w="260" w:type="dxa"/>
            <w:vAlign w:val="bottom"/>
            <w:gridSpan w:val="2"/>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5"/>
              </w:rPr>
              <w:t>46,072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0"/>
                <w:szCs w:val="20"/>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25,910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-320040</wp:posOffset>
            </wp:positionV>
            <wp:extent cx="7683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85127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5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-599440</wp:posOffset>
            </wp:positionV>
            <wp:extent cx="76835"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-599440</wp:posOffset>
            </wp:positionV>
            <wp:extent cx="385127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51275"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-1143635</wp:posOffset>
            </wp:positionV>
            <wp:extent cx="10477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-1143635</wp:posOffset>
            </wp:positionV>
            <wp:extent cx="11176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-1143635</wp:posOffset>
            </wp:positionV>
            <wp:extent cx="11176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6" w:lineRule="exact"/>
        <w:rPr>
          <w:sz w:val="20"/>
          <w:szCs w:val="20"/>
          <w:color w:val="auto"/>
        </w:rPr>
      </w:pPr>
    </w:p>
    <w:p>
      <w:pPr>
        <w:ind w:left="1160" w:right="1879" w:firstLine="293"/>
        <w:spacing w:after="0" w:line="248" w:lineRule="auto"/>
        <w:rPr>
          <w:sz w:val="20"/>
          <w:szCs w:val="20"/>
          <w:color w:val="auto"/>
        </w:rPr>
      </w:pPr>
      <w:r>
        <w:rPr>
          <w:rFonts w:ascii="Arial" w:cs="Arial" w:eastAsia="Arial" w:hAnsi="Arial"/>
          <w:sz w:val="15"/>
          <w:szCs w:val="15"/>
          <w:i w:val="1"/>
          <w:iCs w:val="1"/>
          <w:color w:val="auto"/>
        </w:rPr>
        <w:t>Interest Income</w:t>
      </w:r>
      <w:r>
        <w:rPr>
          <w:rFonts w:ascii="Arial" w:cs="Arial" w:eastAsia="Arial" w:hAnsi="Arial"/>
          <w:sz w:val="15"/>
          <w:szCs w:val="15"/>
          <w:color w:val="auto"/>
        </w:rPr>
        <w:t>. Interest income increased in the Successor 2018 period and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2019 related to higher average cash balances.</w:t>
      </w:r>
    </w:p>
    <w:p>
      <w:pPr>
        <w:spacing w:after="0" w:line="94" w:lineRule="exact"/>
        <w:rPr>
          <w:sz w:val="20"/>
          <w:szCs w:val="20"/>
          <w:color w:val="auto"/>
        </w:rPr>
      </w:pPr>
    </w:p>
    <w:p>
      <w:pPr>
        <w:ind w:left="1460"/>
        <w:spacing w:after="0"/>
        <w:tabs>
          <w:tab w:leader="none" w:pos="2600" w:val="left"/>
        </w:tabs>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Interest expense was $17.2 million for the year ended December 31, 2019,</w:t>
      </w:r>
    </w:p>
    <w:p>
      <w:pPr>
        <w:spacing w:after="0" w:line="4" w:lineRule="exact"/>
        <w:rPr>
          <w:sz w:val="20"/>
          <w:szCs w:val="20"/>
          <w:color w:val="auto"/>
        </w:rPr>
      </w:pPr>
    </w:p>
    <w:p>
      <w:pPr>
        <w:ind w:left="1160" w:right="1179"/>
        <w:spacing w:after="0" w:line="232" w:lineRule="auto"/>
        <w:rPr>
          <w:sz w:val="20"/>
          <w:szCs w:val="20"/>
          <w:color w:val="auto"/>
        </w:rPr>
      </w:pPr>
      <w:r>
        <w:rPr>
          <w:rFonts w:ascii="Arial" w:cs="Arial" w:eastAsia="Arial" w:hAnsi="Arial"/>
          <w:sz w:val="15"/>
          <w:szCs w:val="15"/>
          <w:color w:val="auto"/>
        </w:rPr>
        <w:t>$6.1 million for the Successor 2018 period and $0.3 million for the Predecessor 2018 period. The increase was primarily due to new finance leases and debt issued for the acquisition of new aircraft and spare engines during the year ended December 31, 2019 and the Successor 2018 period, including new debt incurred in connection with the 2019-1 EETC.</w:t>
      </w:r>
    </w:p>
    <w:p>
      <w:pPr>
        <w:spacing w:after="0" w:line="101" w:lineRule="exact"/>
        <w:rPr>
          <w:sz w:val="20"/>
          <w:szCs w:val="20"/>
          <w:color w:val="auto"/>
        </w:rPr>
      </w:pPr>
    </w:p>
    <w:p>
      <w:pPr>
        <w:ind w:left="1160" w:right="1239" w:firstLine="293"/>
        <w:spacing w:after="0" w:line="279" w:lineRule="auto"/>
        <w:rPr>
          <w:sz w:val="20"/>
          <w:szCs w:val="20"/>
          <w:color w:val="auto"/>
        </w:rPr>
      </w:pPr>
      <w:r>
        <w:rPr>
          <w:rFonts w:ascii="Arial" w:cs="Arial" w:eastAsia="Arial" w:hAnsi="Arial"/>
          <w:sz w:val="13"/>
          <w:szCs w:val="13"/>
          <w:i w:val="1"/>
          <w:iCs w:val="1"/>
          <w:color w:val="auto"/>
        </w:rPr>
        <w:t>Other, net</w:t>
      </w:r>
      <w:r>
        <w:rPr>
          <w:rFonts w:ascii="Arial" w:cs="Arial" w:eastAsia="Arial" w:hAnsi="Arial"/>
          <w:sz w:val="13"/>
          <w:szCs w:val="13"/>
          <w:color w:val="auto"/>
        </w:rPr>
        <w:t>. Other, net was an expense of $1.7 million for the year ended December 31, 2019, expense</w:t>
      </w:r>
      <w:r>
        <w:rPr>
          <w:rFonts w:ascii="Arial" w:cs="Arial" w:eastAsia="Arial" w:hAnsi="Arial"/>
          <w:sz w:val="13"/>
          <w:szCs w:val="13"/>
          <w:i w:val="1"/>
          <w:iCs w:val="1"/>
          <w:color w:val="auto"/>
        </w:rPr>
        <w:t xml:space="preserve"> </w:t>
      </w:r>
      <w:r>
        <w:rPr>
          <w:rFonts w:ascii="Arial" w:cs="Arial" w:eastAsia="Arial" w:hAnsi="Arial"/>
          <w:sz w:val="13"/>
          <w:szCs w:val="13"/>
          <w:color w:val="auto"/>
        </w:rPr>
        <w:t>of $ 1.6 million in the Successor 2018 period and income of $37 thousand for the Predecessor 2018 period. For the year ended December 31, 2019, the expense was primarily related to professional fees related to our planned offering that cannot be capitalized. For the Successor 2018 period, the expense was primarily related to severance payments to various executives in connection with our transformation initiatives.</w:t>
      </w:r>
    </w:p>
    <w:p>
      <w:pPr>
        <w:spacing w:after="0" w:line="65"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In the year ended December 31, 2019, our effective tax rate was 23.5%. In the</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2018 period, our effective tax rate was (77.9%) due to the impact of certain nondeductible items. Our tax rate can vary depending on the amount of income we earn in each state and 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Non-GAAP Financial Measures</w:t>
      </w:r>
    </w:p>
    <w:p>
      <w:pPr>
        <w:spacing w:after="0" w:line="128"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 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Adjusted Operating Income Margin, Adjusted Net Income and Adjusted EBITDAR</w:t>
      </w:r>
    </w:p>
    <w:p>
      <w:pPr>
        <w:spacing w:after="0" w:line="124"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64" w:lineRule="auto"/>
        <w:rPr>
          <w:sz w:val="20"/>
          <w:szCs w:val="20"/>
          <w:color w:val="auto"/>
        </w:rPr>
      </w:pPr>
      <w:r>
        <w:rPr>
          <w:rFonts w:ascii="Arial" w:cs="Arial" w:eastAsia="Arial" w:hAnsi="Arial"/>
          <w:sz w:val="14"/>
          <w:szCs w:val="14"/>
          <w:color w:val="auto"/>
        </w:rPr>
        <w:t>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01"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Adjusted Operating Income Margin, Adjusted Net Income and Adjusted EBITDAR have limitations as analytical tools. Some of the limitations applicable to these measures include: Adjusted Operating Income Margin,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Margin, Adjusted Net Income and Adjusted EBITDAR differently than we do, limiting each measure’s usefulness as a comparative measure. Because of these limitations, Adjusted Operating Income Margin, Adjusted Net Income and Adjusted EBITDAR should not be considered in isolation or as a substitute for performance measures calculated in accordance with GAAP.</w:t>
      </w:r>
    </w:p>
    <w:p>
      <w:pPr>
        <w:spacing w:after="0" w:line="92" w:lineRule="exact"/>
        <w:rPr>
          <w:sz w:val="20"/>
          <w:szCs w:val="20"/>
          <w:color w:val="auto"/>
        </w:rPr>
      </w:pPr>
    </w:p>
    <w:p>
      <w:pPr>
        <w:ind w:left="1160" w:right="1179" w:firstLine="293"/>
        <w:spacing w:after="0" w:line="267" w:lineRule="auto"/>
        <w:rPr>
          <w:sz w:val="20"/>
          <w:szCs w:val="20"/>
          <w:color w:val="auto"/>
        </w:rPr>
      </w:pPr>
      <w:r>
        <w:rPr>
          <w:rFonts w:ascii="Arial" w:cs="Arial" w:eastAsia="Arial" w:hAnsi="Arial"/>
          <w:sz w:val="14"/>
          <w:szCs w:val="14"/>
          <w:color w:val="auto"/>
        </w:rPr>
        <w:t>As derivations of Adjusted Operating Income Margin, Adjusted Net Income and Adjusted EBITDAR are not determined in accordance with GAAP, such measures are susceptible to varying calculations and not all companies calculate the measures in the same manner. As a result, derivations of net income, including Adjusted Operating Income Margin, Adjusted Net Income and Adjusted EBITDAR, as presented may not be directly comparable to similarly titled measures presented by other companies. For the foregoing reasons, each of Adjusted Operating Income Margin, Adjusted Net Income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19" w:firstLine="293"/>
        <w:spacing w:after="0" w:line="264" w:lineRule="auto"/>
        <w:rPr>
          <w:sz w:val="20"/>
          <w:szCs w:val="20"/>
          <w:color w:val="auto"/>
        </w:rPr>
      </w:pPr>
      <w:r>
        <w:rPr>
          <w:rFonts w:ascii="Arial" w:cs="Arial" w:eastAsia="Arial" w:hAnsi="Arial"/>
          <w:sz w:val="15"/>
          <w:szCs w:val="15"/>
          <w:color w:val="auto"/>
        </w:rPr>
        <w:t>The following table presents the reconciliation of operating income to Adjusted Operating Income Margin for the periods presented below.</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jc w:val="right"/>
              <w:ind w:right="360"/>
              <w:spacing w:after="0"/>
              <w:rPr>
                <w:sz w:val="20"/>
                <w:szCs w:val="20"/>
                <w:color w:val="auto"/>
              </w:rPr>
            </w:pPr>
            <w:r>
              <w:rPr>
                <w:rFonts w:ascii="Arial" w:cs="Arial" w:eastAsia="Arial" w:hAnsi="Arial"/>
                <w:sz w:val="12"/>
                <w:szCs w:val="12"/>
                <w:b w:val="1"/>
                <w:bCs w:val="1"/>
                <w:color w:val="auto"/>
                <w:w w:val="84"/>
              </w:rPr>
              <w:t>For the three months</w:t>
            </w:r>
          </w:p>
        </w:tc>
        <w:tc>
          <w:tcPr>
            <w:tcW w:w="80" w:type="dxa"/>
            <w:vAlign w:val="bottom"/>
          </w:tcPr>
          <w:p>
            <w:pPr>
              <w:spacing w:after="0"/>
              <w:rPr>
                <w:sz w:val="12"/>
                <w:szCs w:val="12"/>
                <w:color w:val="auto"/>
              </w:rPr>
            </w:pPr>
          </w:p>
        </w:tc>
        <w:tc>
          <w:tcPr>
            <w:tcW w:w="134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w w:val="91"/>
              </w:rPr>
              <w:t>For the year ended</w:t>
            </w:r>
          </w:p>
        </w:tc>
      </w:tr>
      <w:tr>
        <w:trPr>
          <w:trHeight w:val="150"/>
        </w:trPr>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w w:val="99"/>
              </w:rPr>
              <w:t>ended March 31,</w:t>
            </w:r>
          </w:p>
        </w:tc>
        <w:tc>
          <w:tcPr>
            <w:tcW w:w="80" w:type="dxa"/>
            <w:vAlign w:val="bottom"/>
          </w:tcPr>
          <w:p>
            <w:pPr>
              <w:spacing w:after="0"/>
              <w:rPr>
                <w:sz w:val="13"/>
                <w:szCs w:val="13"/>
                <w:color w:val="auto"/>
              </w:rPr>
            </w:pPr>
          </w:p>
        </w:tc>
        <w:tc>
          <w:tcPr>
            <w:tcW w:w="134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39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r>
      <w:tr>
        <w:trPr>
          <w:trHeight w:val="21"/>
        </w:trPr>
        <w:tc>
          <w:tcPr>
            <w:tcW w:w="3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Adjusted Operating Income Margin reconciliation</w:t>
            </w: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3900" w:type="dxa"/>
            <w:vAlign w:val="bottom"/>
            <w:gridSpan w:val="2"/>
          </w:tcPr>
          <w:p>
            <w:pPr>
              <w:spacing w:after="0"/>
              <w:rPr>
                <w:sz w:val="20"/>
                <w:szCs w:val="20"/>
                <w:color w:val="auto"/>
              </w:rPr>
            </w:pPr>
            <w:r>
              <w:rPr>
                <w:rFonts w:ascii="Arial" w:cs="Arial" w:eastAsia="Arial" w:hAnsi="Arial"/>
                <w:sz w:val="15"/>
                <w:szCs w:val="15"/>
                <w:color w:val="auto"/>
              </w:rPr>
              <w:t>Operating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81"/>
              </w:rPr>
              <w:t>127,611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180,330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401,486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701,384</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24,933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15,230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17,385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78,122</w:t>
            </w:r>
          </w:p>
        </w:tc>
        <w:tc>
          <w:tcPr>
            <w:tcW w:w="120" w:type="dxa"/>
            <w:vAlign w:val="bottom"/>
          </w:tcPr>
          <w:p>
            <w:pPr>
              <w:spacing w:after="0"/>
              <w:rPr>
                <w:sz w:val="15"/>
                <w:szCs w:val="15"/>
                <w:color w:val="auto"/>
              </w:rPr>
            </w:pPr>
          </w:p>
        </w:tc>
      </w:tr>
      <w:tr>
        <w:trPr>
          <w:trHeight w:val="209"/>
        </w:trPr>
        <w:tc>
          <w:tcPr>
            <w:tcW w:w="3900" w:type="dxa"/>
            <w:vAlign w:val="bottom"/>
            <w:gridSpan w:val="2"/>
          </w:tcPr>
          <w:p>
            <w:pPr>
              <w:ind w:left="160"/>
              <w:spacing w:after="0"/>
              <w:rPr>
                <w:sz w:val="20"/>
                <w:szCs w:val="20"/>
                <w:color w:val="auto"/>
              </w:rPr>
            </w:pPr>
            <w:r>
              <w:rPr>
                <w:rFonts w:ascii="Arial" w:cs="Arial" w:eastAsia="Arial" w:hAnsi="Arial"/>
                <w:sz w:val="15"/>
                <w:szCs w:val="15"/>
                <w:color w:val="auto"/>
              </w:rPr>
              <w:t>Stock compensation expense .</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2,870</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369</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2,110</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1,888</w:t>
            </w:r>
          </w:p>
        </w:tc>
      </w:tr>
      <w:tr>
        <w:trPr>
          <w:trHeight w:val="220"/>
        </w:trPr>
        <w:tc>
          <w:tcPr>
            <w:tcW w:w="3900" w:type="dxa"/>
            <w:vAlign w:val="bottom"/>
            <w:tcBorders>
              <w:right w:val="single" w:sz="8" w:color="CCEEFF"/>
            </w:tcBorders>
            <w:gridSpan w:val="2"/>
            <w:shd w:val="clear" w:color="auto" w:fill="CCEEFF"/>
          </w:tcPr>
          <w:p>
            <w:pPr>
              <w:ind w:left="16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(26,871)</w:t>
            </w: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(64,563)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7,092</w:t>
            </w:r>
          </w:p>
        </w:tc>
        <w:tc>
          <w:tcPr>
            <w:tcW w:w="120" w:type="dxa"/>
            <w:vAlign w:val="bottom"/>
          </w:tcPr>
          <w:p>
            <w:pPr>
              <w:spacing w:after="0"/>
              <w:rPr>
                <w:sz w:val="19"/>
                <w:szCs w:val="19"/>
                <w:color w:val="auto"/>
              </w:rPr>
            </w:pPr>
          </w:p>
        </w:tc>
      </w:tr>
      <w:tr>
        <w:trPr>
          <w:trHeight w:val="220"/>
        </w:trPr>
        <w:tc>
          <w:tcPr>
            <w:tcW w:w="3900" w:type="dxa"/>
            <w:vAlign w:val="bottom"/>
            <w:gridSpan w:val="2"/>
          </w:tcPr>
          <w:p>
            <w:pPr>
              <w:ind w:left="160"/>
              <w:spacing w:after="0" w:line="220" w:lineRule="exact"/>
              <w:rPr>
                <w:sz w:val="20"/>
                <w:szCs w:val="20"/>
                <w:color w:val="auto"/>
              </w:rPr>
            </w:pPr>
            <w:r>
              <w:rPr>
                <w:rFonts w:ascii="Arial" w:cs="Arial" w:eastAsia="Arial" w:hAnsi="Arial"/>
                <w:sz w:val="15"/>
                <w:szCs w:val="15"/>
                <w:color w:val="auto"/>
              </w:rPr>
              <w:t>Income tax receivable agreement expense</w:t>
            </w:r>
            <w:r>
              <w:rPr>
                <w:rFonts w:ascii="Arial" w:cs="Arial" w:eastAsia="Arial" w:hAnsi="Arial"/>
                <w:sz w:val="21"/>
                <w:szCs w:val="21"/>
                <w:color w:val="auto"/>
                <w:vertAlign w:val="superscript"/>
              </w:rPr>
              <w:t>(b)</w:t>
            </w:r>
          </w:p>
        </w:tc>
        <w:tc>
          <w:tcPr>
            <w:tcW w:w="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264</w:t>
            </w: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31"/>
        </w:trPr>
        <w:tc>
          <w:tcPr>
            <w:tcW w:w="3700" w:type="dxa"/>
            <w:vAlign w:val="bottom"/>
            <w:shd w:val="clear" w:color="auto" w:fill="CCEEFF"/>
          </w:tcPr>
          <w:p>
            <w:pPr>
              <w:ind w:left="160"/>
              <w:spacing w:after="0" w:line="231"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(a)</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20" w:type="dxa"/>
            <w:vAlign w:val="bottom"/>
          </w:tcPr>
          <w:p>
            <w:pPr>
              <w:spacing w:after="0"/>
              <w:rPr>
                <w:sz w:val="20"/>
                <w:szCs w:val="20"/>
                <w:color w:val="auto"/>
              </w:rPr>
            </w:pPr>
          </w:p>
        </w:tc>
      </w:tr>
      <w:tr>
        <w:trPr>
          <w:trHeight w:val="20"/>
        </w:trPr>
        <w:tc>
          <w:tcPr>
            <w:tcW w:w="37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3900" w:type="dxa"/>
            <w:vAlign w:val="bottom"/>
            <w:gridSpan w:val="2"/>
          </w:tcPr>
          <w:p>
            <w:pPr>
              <w:spacing w:after="0"/>
              <w:rPr>
                <w:sz w:val="20"/>
                <w:szCs w:val="20"/>
                <w:color w:val="auto"/>
              </w:rPr>
            </w:pPr>
            <w:r>
              <w:rPr>
                <w:rFonts w:ascii="Arial" w:cs="Arial" w:eastAsia="Arial" w:hAnsi="Arial"/>
                <w:sz w:val="15"/>
                <w:szCs w:val="15"/>
                <w:color w:val="auto"/>
              </w:rPr>
              <w:t>Adjusted 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1,196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15,599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(45,068)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87,328</w:t>
            </w:r>
          </w:p>
        </w:tc>
      </w:tr>
      <w:tr>
        <w:trPr>
          <w:trHeight w:val="44"/>
        </w:trPr>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3900" w:type="dxa"/>
            <w:vAlign w:val="bottom"/>
            <w:gridSpan w:val="2"/>
          </w:tcPr>
          <w:p>
            <w:pPr>
              <w:spacing w:after="0"/>
              <w:rPr>
                <w:sz w:val="20"/>
                <w:szCs w:val="20"/>
                <w:color w:val="auto"/>
              </w:rPr>
            </w:pPr>
            <w:r>
              <w:rPr>
                <w:rFonts w:ascii="Arial" w:cs="Arial" w:eastAsia="Arial" w:hAnsi="Arial"/>
                <w:sz w:val="15"/>
                <w:szCs w:val="15"/>
                <w:color w:val="auto"/>
              </w:rPr>
              <w:t>Operating Income Margin</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19.5%</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11.1%</w:t>
            </w:r>
          </w:p>
        </w:tc>
      </w:tr>
      <w:tr>
        <w:trPr>
          <w:trHeight w:val="209"/>
        </w:trPr>
        <w:tc>
          <w:tcPr>
            <w:tcW w:w="3900" w:type="dxa"/>
            <w:vAlign w:val="bottom"/>
            <w:gridSpan w:val="2"/>
          </w:tcPr>
          <w:p>
            <w:pPr>
              <w:spacing w:after="0"/>
              <w:rPr>
                <w:sz w:val="20"/>
                <w:szCs w:val="20"/>
                <w:color w:val="auto"/>
              </w:rPr>
            </w:pPr>
            <w:r>
              <w:rPr>
                <w:rFonts w:ascii="Arial" w:cs="Arial" w:eastAsia="Arial" w:hAnsi="Arial"/>
                <w:sz w:val="15"/>
                <w:szCs w:val="15"/>
                <w:color w:val="auto"/>
              </w:rPr>
              <w:t>Adjusted Operating Income Margin</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-271780</wp:posOffset>
            </wp:positionV>
            <wp:extent cx="4241800" cy="1397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-1422400</wp:posOffset>
            </wp:positionV>
            <wp:extent cx="11176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-1422400</wp:posOffset>
            </wp:positionV>
            <wp:extent cx="11176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-1422400</wp:posOffset>
            </wp:positionV>
            <wp:extent cx="11176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-1422400</wp:posOffset>
            </wp:positionV>
            <wp:extent cx="11176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6" w:lineRule="exact"/>
        <w:rPr>
          <w:sz w:val="20"/>
          <w:szCs w:val="20"/>
          <w:color w:val="auto"/>
        </w:rPr>
      </w:pPr>
    </w:p>
    <w:p>
      <w:pPr>
        <w:ind w:left="1460" w:right="1239" w:hanging="296"/>
        <w:spacing w:after="0" w:line="236" w:lineRule="auto"/>
        <w:tabs>
          <w:tab w:leader="none" w:pos="1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the year ended December 31, 2020, the adjustment includes employee relocation and costs to exit Sun Country’s prior headquarters building included in Special items, net within the Company’s Consolidated Statement of Operations. For the year ended December 31, 2019, the adjustments include employee relocation and costs to exit Sun Country’s prior headquarters and base closures, contractual obligations for retired technology, and a gain on the sale of an airport slot that are included in Special items, net within the Company’s Consolidated Statement of Operations, as well as an additional adjustment for expenses incurred in terminating work on a planned new crew base.</w:t>
      </w:r>
    </w:p>
    <w:p>
      <w:pPr>
        <w:spacing w:after="0" w:line="23" w:lineRule="exact"/>
        <w:rPr>
          <w:rFonts w:ascii="Arial" w:cs="Arial" w:eastAsia="Arial" w:hAnsi="Arial"/>
          <w:sz w:val="14"/>
          <w:szCs w:val="14"/>
          <w:color w:val="auto"/>
        </w:rPr>
      </w:pPr>
    </w:p>
    <w:p>
      <w:pPr>
        <w:jc w:val="both"/>
        <w:ind w:left="1460" w:right="1579" w:hanging="296"/>
        <w:spacing w:after="0" w:line="229" w:lineRule="auto"/>
        <w:tabs>
          <w:tab w:leader="none" w:pos="1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the one-time costs to establish the income tax receivable agreement with our pre-IPO stockholders. See Note 10 to our unaudited condensed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5"/>
          <w:szCs w:val="15"/>
          <w:color w:val="auto"/>
        </w:rPr>
        <w:t>The following tables present the reconciliation of Net Income (Loss) to Adjusted Net Income (Loss) for the periods presented below.</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Successor</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8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780" w:type="dxa"/>
            <w:vAlign w:val="bottom"/>
            <w:tcBorders>
              <w:right w:val="single" w:sz="8" w:color="auto"/>
            </w:tcBorders>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5"/>
              </w:rPr>
              <w:t>April 11, 2018</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88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84"/>
              </w:rPr>
              <w:t>ended</w:t>
            </w:r>
          </w:p>
        </w:tc>
        <w:tc>
          <w:tcPr>
            <w:tcW w:w="100" w:type="dxa"/>
            <w:vAlign w:val="bottom"/>
          </w:tcPr>
          <w:p>
            <w:pPr>
              <w:spacing w:after="0"/>
              <w:rPr>
                <w:sz w:val="11"/>
                <w:szCs w:val="11"/>
                <w:color w:val="auto"/>
              </w:rPr>
            </w:pPr>
          </w:p>
        </w:tc>
        <w:tc>
          <w:tcPr>
            <w:tcW w:w="68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4"/>
              </w:rPr>
              <w:t>ended</w:t>
            </w:r>
          </w:p>
        </w:tc>
        <w:tc>
          <w:tcPr>
            <w:tcW w:w="120" w:type="dxa"/>
            <w:vAlign w:val="bottom"/>
          </w:tcPr>
          <w:p>
            <w:pPr>
              <w:spacing w:after="0"/>
              <w:rPr>
                <w:sz w:val="11"/>
                <w:szCs w:val="11"/>
                <w:color w:val="auto"/>
              </w:rPr>
            </w:pPr>
          </w:p>
        </w:tc>
        <w:tc>
          <w:tcPr>
            <w:tcW w:w="660" w:type="dxa"/>
            <w:vAlign w:val="bottom"/>
            <w:tcBorders>
              <w:right w:val="single" w:sz="8" w:color="auto"/>
            </w:tcBorders>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through</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center"/>
              <w:ind w:right="10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8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78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gridSpan w:val="4"/>
          </w:tcPr>
          <w:p>
            <w:pPr>
              <w:jc w:val="center"/>
              <w:ind w:right="12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780" w:type="dxa"/>
            <w:vAlign w:val="bottom"/>
            <w:tcBorders>
              <w:right w:val="single" w:sz="8" w:color="auto"/>
            </w:tcBorders>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17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8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6"/>
              </w:rPr>
              <w:t>March 31, 2021</w:t>
            </w:r>
          </w:p>
        </w:tc>
        <w:tc>
          <w:tcPr>
            <w:tcW w:w="8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8"/>
              </w:rPr>
              <w:t>March 31, 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ind w:right="69"/>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3"/>
                <w:szCs w:val="13"/>
                <w:color w:val="auto"/>
              </w:rPr>
            </w:pPr>
          </w:p>
        </w:tc>
        <w:tc>
          <w:tcPr>
            <w:tcW w:w="580" w:type="dxa"/>
            <w:vAlign w:val="bottom"/>
            <w:gridSpan w:val="2"/>
          </w:tcPr>
          <w:p>
            <w:pPr>
              <w:jc w:val="center"/>
              <w:ind w:left="51"/>
              <w:spacing w:after="0"/>
              <w:rPr>
                <w:sz w:val="20"/>
                <w:szCs w:val="20"/>
                <w:color w:val="auto"/>
              </w:rPr>
            </w:pPr>
            <w:r>
              <w:rPr>
                <w:rFonts w:ascii="Arial" w:cs="Arial" w:eastAsia="Arial" w:hAnsi="Arial"/>
                <w:sz w:val="12"/>
                <w:szCs w:val="12"/>
                <w:b w:val="1"/>
                <w:bCs w:val="1"/>
                <w:color w:val="auto"/>
                <w:w w:val="82"/>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12,416</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$7,251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(3,904)</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$46,072</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80" w:type="dxa"/>
            <w:vAlign w:val="bottom"/>
            <w:gridSpan w:val="2"/>
          </w:tcPr>
          <w:p>
            <w:pPr>
              <w:ind w:left="160"/>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5"/>
                <w:szCs w:val="15"/>
                <w:color w:val="auto"/>
                <w:w w:val="85"/>
              </w:rPr>
              <w:t>(26,871)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85"/>
              </w:rPr>
              <w:t>(64,563)</w:t>
            </w: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7,092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88"/>
              </w:rPr>
              <w:t>(6,706)</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Stock compensation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expense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2,870</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369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2,110</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1,888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1780" w:type="dxa"/>
            <w:vAlign w:val="bottom"/>
            <w:gridSpan w:val="2"/>
          </w:tcPr>
          <w:p>
            <w:pPr>
              <w:ind w:left="160"/>
              <w:spacing w:after="0"/>
              <w:rPr>
                <w:sz w:val="20"/>
                <w:szCs w:val="20"/>
                <w:color w:val="auto"/>
              </w:rPr>
            </w:pPr>
            <w:r>
              <w:rPr>
                <w:rFonts w:ascii="Arial" w:cs="Arial" w:eastAsia="Arial" w:hAnsi="Arial"/>
                <w:sz w:val="15"/>
                <w:szCs w:val="15"/>
                <w:color w:val="auto"/>
              </w:rPr>
              <w:t>Loss (gain) on asset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80" w:type="dxa"/>
            <w:vAlign w:val="bottom"/>
            <w:gridSpan w:val="2"/>
          </w:tcPr>
          <w:p>
            <w:pPr>
              <w:ind w:left="300"/>
              <w:spacing w:after="0"/>
              <w:rPr>
                <w:sz w:val="20"/>
                <w:szCs w:val="20"/>
                <w:color w:val="auto"/>
              </w:rPr>
            </w:pPr>
            <w:r>
              <w:rPr>
                <w:rFonts w:ascii="Arial" w:cs="Arial" w:eastAsia="Arial" w:hAnsi="Arial"/>
                <w:sz w:val="15"/>
                <w:szCs w:val="15"/>
                <w:color w:val="auto"/>
              </w:rPr>
              <w:t>transactions, net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413</w:t>
            </w:r>
          </w:p>
        </w:tc>
        <w:tc>
          <w:tcPr>
            <w:tcW w:w="100" w:type="dxa"/>
            <w:vAlign w:val="bottom"/>
          </w:tcPr>
          <w:p>
            <w:pPr>
              <w:spacing w:after="0"/>
              <w:rPr>
                <w:sz w:val="16"/>
                <w:szCs w:val="16"/>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745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(811)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7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Early repayment of</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CARES Act Loan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1780" w:type="dxa"/>
            <w:vAlign w:val="bottom"/>
            <w:gridSpan w:val="2"/>
          </w:tcPr>
          <w:p>
            <w:pPr>
              <w:ind w:left="160"/>
              <w:spacing w:after="0"/>
              <w:rPr>
                <w:sz w:val="20"/>
                <w:szCs w:val="20"/>
                <w:color w:val="auto"/>
              </w:rPr>
            </w:pPr>
            <w:r>
              <w:rPr>
                <w:rFonts w:ascii="Arial" w:cs="Arial" w:eastAsia="Arial" w:hAnsi="Arial"/>
                <w:sz w:val="15"/>
                <w:szCs w:val="15"/>
                <w:color w:val="auto"/>
              </w:rPr>
              <w:t>Income tax receivable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80" w:type="dxa"/>
            <w:vAlign w:val="bottom"/>
            <w:gridSpan w:val="2"/>
          </w:tcPr>
          <w:p>
            <w:pPr>
              <w:ind w:left="300"/>
              <w:spacing w:after="0"/>
              <w:rPr>
                <w:sz w:val="20"/>
                <w:szCs w:val="20"/>
                <w:color w:val="auto"/>
              </w:rPr>
            </w:pPr>
            <w:r>
              <w:rPr>
                <w:rFonts w:ascii="Arial" w:cs="Arial" w:eastAsia="Arial" w:hAnsi="Arial"/>
                <w:sz w:val="15"/>
                <w:szCs w:val="15"/>
                <w:color w:val="auto"/>
              </w:rPr>
              <w:t>agreement expense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264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7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3"/>
              </w:rPr>
              <w:t>Loss on refinancing credit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facility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1780" w:type="dxa"/>
            <w:vAlign w:val="bottom"/>
            <w:gridSpan w:val="2"/>
          </w:tcPr>
          <w:p>
            <w:pPr>
              <w:ind w:left="160"/>
              <w:spacing w:after="0" w:line="220"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4,881</w:t>
            </w: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78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rPr>
              <w:t>Income tax effect of</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80" w:type="dxa"/>
            <w:vAlign w:val="bottom"/>
            <w:gridSpan w:val="2"/>
            <w:shd w:val="clear" w:color="auto" w:fill="CCEEFF"/>
          </w:tcPr>
          <w:p>
            <w:pPr>
              <w:ind w:left="300"/>
              <w:spacing w:after="0" w:line="238" w:lineRule="exact"/>
              <w:rPr>
                <w:sz w:val="20"/>
                <w:szCs w:val="20"/>
                <w:color w:val="auto"/>
              </w:rPr>
            </w:pPr>
            <w:r>
              <w:rPr>
                <w:rFonts w:ascii="Arial" w:cs="Arial" w:eastAsia="Arial" w:hAnsi="Arial"/>
                <w:sz w:val="15"/>
                <w:szCs w:val="15"/>
                <w:color w:val="auto"/>
              </w:rPr>
              <w:t>adjusting items, net</w:t>
            </w:r>
            <w:r>
              <w:rPr>
                <w:rFonts w:ascii="Arial" w:cs="Arial" w:eastAsia="Arial" w:hAnsi="Arial"/>
                <w:sz w:val="21"/>
                <w:szCs w:val="21"/>
                <w:color w:val="auto"/>
                <w:vertAlign w:val="superscript"/>
              </w:rPr>
              <w:t>(c)</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5,178</w:t>
            </w:r>
          </w:p>
        </w:tc>
        <w:tc>
          <w:tcPr>
            <w:tcW w:w="8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13,147</w:t>
            </w: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(2,289)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1,640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780" w:type="dxa"/>
            <w:vAlign w:val="bottom"/>
            <w:gridSpan w:val="2"/>
          </w:tcPr>
          <w:p>
            <w:pPr>
              <w:spacing w:after="0"/>
              <w:rPr>
                <w:sz w:val="20"/>
                <w:szCs w:val="20"/>
                <w:color w:val="auto"/>
              </w:rPr>
            </w:pPr>
            <w:r>
              <w:rPr>
                <w:rFonts w:ascii="Arial" w:cs="Arial" w:eastAsia="Arial" w:hAnsi="Arial"/>
                <w:sz w:val="15"/>
                <w:szCs w:val="15"/>
                <w:color w:val="auto"/>
              </w:rPr>
              <w:t>Adjusted Net Income</w:t>
            </w:r>
          </w:p>
        </w:tc>
        <w:tc>
          <w:tcPr>
            <w:tcW w:w="200" w:type="dxa"/>
            <w:vAlign w:val="bottom"/>
            <w:gridSpan w:val="2"/>
            <w:vMerge w:val="restart"/>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(4,919)</w:t>
            </w:r>
          </w:p>
        </w:tc>
        <w:tc>
          <w:tcPr>
            <w:tcW w:w="80" w:type="dxa"/>
            <w:vAlign w:val="bottom"/>
          </w:tcPr>
          <w:p>
            <w:pPr>
              <w:spacing w:after="0"/>
              <w:rPr>
                <w:sz w:val="15"/>
                <w:szCs w:val="15"/>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$7,591</w:t>
            </w:r>
          </w:p>
        </w:tc>
        <w:tc>
          <w:tcPr>
            <w:tcW w:w="10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w w:val="85"/>
              </w:rPr>
              <w:t>(47,916)</w:t>
            </w:r>
          </w:p>
        </w:tc>
        <w:tc>
          <w:tcPr>
            <w:tcW w:w="100" w:type="dxa"/>
            <w:vAlign w:val="bottom"/>
          </w:tcPr>
          <w:p>
            <w:pPr>
              <w:spacing w:after="0"/>
              <w:rPr>
                <w:sz w:val="15"/>
                <w:szCs w:val="15"/>
                <w:color w:val="auto"/>
              </w:rPr>
            </w:pPr>
          </w:p>
        </w:tc>
        <w:tc>
          <w:tcPr>
            <w:tcW w:w="68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$53,734</w:t>
            </w:r>
          </w:p>
        </w:tc>
        <w:tc>
          <w:tcPr>
            <w:tcW w:w="10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5"/>
                <w:szCs w:val="15"/>
                <w:color w:val="auto"/>
                <w:w w:val="88"/>
              </w:rPr>
              <w:t>(5,871)</w:t>
            </w:r>
          </w:p>
        </w:tc>
        <w:tc>
          <w:tcPr>
            <w:tcW w:w="620" w:type="dxa"/>
            <w:vAlign w:val="bottom"/>
            <w:gridSpan w:val="3"/>
            <w:vMerge w:val="restart"/>
          </w:tcPr>
          <w:p>
            <w:pPr>
              <w:jc w:val="right"/>
              <w:spacing w:after="0"/>
              <w:rPr>
                <w:sz w:val="20"/>
                <w:szCs w:val="20"/>
                <w:color w:val="auto"/>
              </w:rPr>
            </w:pPr>
            <w:r>
              <w:rPr>
                <w:rFonts w:ascii="Arial" w:cs="Arial" w:eastAsia="Arial" w:hAnsi="Arial"/>
                <w:sz w:val="15"/>
                <w:szCs w:val="15"/>
                <w:color w:val="auto"/>
              </w:rPr>
              <w:t>$26,181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80" w:type="dxa"/>
            <w:vAlign w:val="bottom"/>
            <w:gridSpan w:val="2"/>
          </w:tcPr>
          <w:p>
            <w:pPr>
              <w:ind w:left="160"/>
              <w:spacing w:after="0"/>
              <w:rPr>
                <w:sz w:val="20"/>
                <w:szCs w:val="20"/>
                <w:color w:val="auto"/>
              </w:rPr>
            </w:pPr>
            <w:r>
              <w:rPr>
                <w:rFonts w:ascii="Arial" w:cs="Arial" w:eastAsia="Arial" w:hAnsi="Arial"/>
                <w:sz w:val="15"/>
                <w:szCs w:val="15"/>
                <w:color w:val="auto"/>
              </w:rPr>
              <w:t>(Loss) .</w:t>
            </w:r>
          </w:p>
        </w:tc>
        <w:tc>
          <w:tcPr>
            <w:tcW w:w="20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580" w:type="dxa"/>
            <w:vAlign w:val="bottom"/>
            <w:tcBorders>
              <w:right w:val="single" w:sz="8" w:color="auto"/>
            </w:tcBorders>
            <w:gridSpan w:val="2"/>
            <w:vMerge w:val="continue"/>
          </w:tcPr>
          <w:p>
            <w:pPr>
              <w:spacing w:after="0"/>
              <w:rPr>
                <w:sz w:val="20"/>
                <w:szCs w:val="20"/>
                <w:color w:val="auto"/>
              </w:rPr>
            </w:pPr>
          </w:p>
        </w:tc>
        <w:tc>
          <w:tcPr>
            <w:tcW w:w="62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70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-2245995</wp:posOffset>
            </wp:positionV>
            <wp:extent cx="4889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-2245995</wp:posOffset>
            </wp:positionV>
            <wp:extent cx="5588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-2245995</wp:posOffset>
            </wp:positionV>
            <wp:extent cx="5588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-2245995</wp:posOffset>
            </wp:positionV>
            <wp:extent cx="5588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-2245995</wp:posOffset>
            </wp:positionV>
            <wp:extent cx="5588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-2245995</wp:posOffset>
            </wp:positionV>
            <wp:extent cx="5588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68" w:lineRule="exact"/>
        <w:rPr>
          <w:sz w:val="20"/>
          <w:szCs w:val="20"/>
          <w:color w:val="auto"/>
        </w:rPr>
      </w:pPr>
    </w:p>
    <w:p>
      <w:pPr>
        <w:jc w:val="both"/>
        <w:ind w:left="1460" w:right="1339" w:hanging="296"/>
        <w:spacing w:after="0" w:line="229"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2" w:lineRule="exact"/>
        <w:rPr>
          <w:rFonts w:ascii="Arial" w:cs="Arial" w:eastAsia="Arial" w:hAnsi="Arial"/>
          <w:sz w:val="15"/>
          <w:szCs w:val="15"/>
          <w:color w:val="auto"/>
        </w:rPr>
      </w:pPr>
    </w:p>
    <w:p>
      <w:pPr>
        <w:ind w:left="1460" w:right="1259" w:hanging="296"/>
        <w:spacing w:after="0" w:line="223"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22" w:lineRule="exact"/>
        <w:rPr>
          <w:rFonts w:ascii="Arial" w:cs="Arial" w:eastAsia="Arial" w:hAnsi="Arial"/>
          <w:sz w:val="15"/>
          <w:szCs w:val="15"/>
          <w:color w:val="auto"/>
        </w:rPr>
      </w:pPr>
    </w:p>
    <w:p>
      <w:pPr>
        <w:ind w:left="1460" w:right="1419" w:hanging="296"/>
        <w:spacing w:after="0" w:line="236" w:lineRule="auto"/>
        <w:tabs>
          <w:tab w:leader="none" w:pos="1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The following tables present the reconciliation of Net Income (Loss) to Adjusted EBITDAR for the periods presented below.</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Successor</w:t>
            </w: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6"/>
              </w:rPr>
              <w:t>For the period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7"/>
              </w:rPr>
              <w:t>For the year</w:t>
            </w:r>
          </w:p>
        </w:tc>
        <w:tc>
          <w:tcPr>
            <w:tcW w:w="720" w:type="dxa"/>
            <w:vAlign w:val="bottom"/>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For the year</w:t>
            </w:r>
          </w:p>
        </w:tc>
        <w:tc>
          <w:tcPr>
            <w:tcW w:w="100" w:type="dxa"/>
            <w:vAlign w:val="bottom"/>
          </w:tcPr>
          <w:p>
            <w:pPr>
              <w:spacing w:after="0"/>
              <w:rPr>
                <w:sz w:val="11"/>
                <w:szCs w:val="11"/>
                <w:color w:val="auto"/>
              </w:rPr>
            </w:pPr>
          </w:p>
        </w:tc>
        <w:tc>
          <w:tcPr>
            <w:tcW w:w="680" w:type="dxa"/>
            <w:vAlign w:val="bottom"/>
            <w:tcBorders>
              <w:right w:val="single" w:sz="8" w:color="auto"/>
            </w:tcBorders>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April 11,</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For the three</w:t>
            </w:r>
          </w:p>
        </w:tc>
        <w:tc>
          <w:tcPr>
            <w:tcW w:w="840" w:type="dxa"/>
            <w:vAlign w:val="bottom"/>
            <w:gridSpan w:val="5"/>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For the three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320"/>
              <w:spacing w:after="0" w:line="132" w:lineRule="exact"/>
              <w:rPr>
                <w:sz w:val="20"/>
                <w:szCs w:val="20"/>
                <w:color w:val="auto"/>
              </w:rPr>
            </w:pPr>
            <w:r>
              <w:rPr>
                <w:rFonts w:ascii="Arial" w:cs="Arial" w:eastAsia="Arial" w:hAnsi="Arial"/>
                <w:sz w:val="12"/>
                <w:szCs w:val="12"/>
                <w:b w:val="1"/>
                <w:bCs w:val="1"/>
                <w:color w:val="auto"/>
                <w:w w:val="79"/>
              </w:rPr>
              <w:t>ended</w:t>
            </w:r>
          </w:p>
        </w:tc>
        <w:tc>
          <w:tcPr>
            <w:tcW w:w="80" w:type="dxa"/>
            <w:vAlign w:val="bottom"/>
          </w:tcPr>
          <w:p>
            <w:pPr>
              <w:spacing w:after="0"/>
              <w:rPr>
                <w:sz w:val="11"/>
                <w:szCs w:val="11"/>
                <w:color w:val="auto"/>
              </w:rPr>
            </w:pPr>
          </w:p>
        </w:tc>
        <w:tc>
          <w:tcPr>
            <w:tcW w:w="64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84"/>
              </w:rPr>
              <w:t>ended</w:t>
            </w:r>
          </w:p>
        </w:tc>
        <w:tc>
          <w:tcPr>
            <w:tcW w:w="780" w:type="dxa"/>
            <w:vAlign w:val="bottom"/>
            <w:tcBorders>
              <w:right w:val="single" w:sz="8" w:color="auto"/>
            </w:tcBorders>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2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tcPr>
          <w:p>
            <w:pPr>
              <w:jc w:val="center"/>
              <w:ind w:right="100"/>
              <w:spacing w:after="0" w:line="132" w:lineRule="exact"/>
              <w:rPr>
                <w:sz w:val="20"/>
                <w:szCs w:val="20"/>
                <w:color w:val="auto"/>
              </w:rPr>
            </w:pPr>
            <w:r>
              <w:rPr>
                <w:rFonts w:ascii="Arial" w:cs="Arial" w:eastAsia="Arial" w:hAnsi="Arial"/>
                <w:sz w:val="12"/>
                <w:szCs w:val="12"/>
                <w:b w:val="1"/>
                <w:bCs w:val="1"/>
                <w:color w:val="auto"/>
                <w:w w:val="82"/>
              </w:rPr>
              <w:t>months ended</w:t>
            </w:r>
          </w:p>
        </w:tc>
        <w:tc>
          <w:tcPr>
            <w:tcW w:w="840" w:type="dxa"/>
            <w:vAlign w:val="bottom"/>
            <w:gridSpan w:val="5"/>
          </w:tcPr>
          <w:p>
            <w:pPr>
              <w:jc w:val="center"/>
              <w:ind w:right="100"/>
              <w:spacing w:after="0" w:line="132" w:lineRule="exact"/>
              <w:rPr>
                <w:sz w:val="20"/>
                <w:szCs w:val="20"/>
                <w:color w:val="auto"/>
              </w:rPr>
            </w:pPr>
            <w:r>
              <w:rPr>
                <w:rFonts w:ascii="Arial" w:cs="Arial" w:eastAsia="Arial" w:hAnsi="Arial"/>
                <w:sz w:val="12"/>
                <w:szCs w:val="12"/>
                <w:b w:val="1"/>
                <w:bCs w:val="1"/>
                <w:color w:val="auto"/>
                <w:w w:val="80"/>
              </w:rPr>
              <w:t>months ended</w:t>
            </w:r>
          </w:p>
        </w:tc>
        <w:tc>
          <w:tcPr>
            <w:tcW w:w="840" w:type="dxa"/>
            <w:vAlign w:val="bottom"/>
            <w:gridSpan w:val="5"/>
          </w:tcPr>
          <w:p>
            <w:pPr>
              <w:jc w:val="center"/>
              <w:ind w:right="16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720" w:type="dxa"/>
            <w:vAlign w:val="bottom"/>
            <w:gridSpan w:val="3"/>
          </w:tcPr>
          <w:p>
            <w:pPr>
              <w:jc w:val="center"/>
              <w:ind w:right="120"/>
              <w:spacing w:after="0" w:line="132" w:lineRule="exact"/>
              <w:rPr>
                <w:sz w:val="20"/>
                <w:szCs w:val="20"/>
                <w:color w:val="auto"/>
              </w:rPr>
            </w:pPr>
            <w:r>
              <w:rPr>
                <w:rFonts w:ascii="Arial" w:cs="Arial" w:eastAsia="Arial" w:hAnsi="Arial"/>
                <w:sz w:val="12"/>
                <w:szCs w:val="12"/>
                <w:b w:val="1"/>
                <w:bCs w:val="1"/>
                <w:color w:val="auto"/>
                <w:w w:val="76"/>
              </w:rPr>
              <w:t>December 31,</w:t>
            </w:r>
          </w:p>
        </w:tc>
        <w:tc>
          <w:tcPr>
            <w:tcW w:w="780" w:type="dxa"/>
            <w:vAlign w:val="bottom"/>
            <w:tcBorders>
              <w:right w:val="single" w:sz="8" w:color="auto"/>
            </w:tcBorders>
            <w:gridSpan w:val="4"/>
          </w:tcPr>
          <w:p>
            <w:pPr>
              <w:jc w:val="center"/>
              <w:ind w:right="8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20" w:type="dxa"/>
            <w:vAlign w:val="bottom"/>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184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60" w:type="dxa"/>
            <w:vAlign w:val="bottom"/>
          </w:tcPr>
          <w:p>
            <w:pPr>
              <w:spacing w:after="0"/>
              <w:rPr>
                <w:sz w:val="13"/>
                <w:szCs w:val="13"/>
                <w:color w:val="auto"/>
              </w:rPr>
            </w:pPr>
          </w:p>
        </w:tc>
        <w:tc>
          <w:tcPr>
            <w:tcW w:w="86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86"/>
              </w:rPr>
              <w:t>March 31, 2021</w:t>
            </w:r>
          </w:p>
        </w:tc>
        <w:tc>
          <w:tcPr>
            <w:tcW w:w="8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6"/>
              </w:rPr>
              <w:t>March 31, 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ind w:right="9"/>
              <w:spacing w:after="0"/>
              <w:rPr>
                <w:sz w:val="20"/>
                <w:szCs w:val="20"/>
                <w:color w:val="auto"/>
              </w:rPr>
            </w:pPr>
            <w:r>
              <w:rPr>
                <w:rFonts w:ascii="Arial" w:cs="Arial" w:eastAsia="Arial" w:hAnsi="Arial"/>
                <w:sz w:val="12"/>
                <w:szCs w:val="12"/>
                <w:b w:val="1"/>
                <w:bCs w:val="1"/>
                <w:color w:val="auto"/>
                <w:w w:val="82"/>
              </w:rPr>
              <w:t>2020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49"/>
              <w:spacing w:after="0"/>
              <w:rPr>
                <w:sz w:val="20"/>
                <w:szCs w:val="20"/>
                <w:color w:val="auto"/>
              </w:rPr>
            </w:pPr>
            <w:r>
              <w:rPr>
                <w:rFonts w:ascii="Arial" w:cs="Arial" w:eastAsia="Arial" w:hAnsi="Arial"/>
                <w:sz w:val="12"/>
                <w:szCs w:val="12"/>
                <w:b w:val="1"/>
                <w:bCs w:val="1"/>
                <w:color w:val="auto"/>
                <w:w w:val="82"/>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$ 12,416</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7,251</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(3,904)</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46,072</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$25,910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840" w:type="dxa"/>
            <w:vAlign w:val="bottom"/>
            <w:gridSpan w:val="2"/>
          </w:tcPr>
          <w:p>
            <w:pPr>
              <w:spacing w:after="0" w:line="220" w:lineRule="exact"/>
              <w:rPr>
                <w:sz w:val="20"/>
                <w:szCs w:val="20"/>
                <w:color w:val="auto"/>
              </w:rPr>
            </w:pPr>
            <w:r>
              <w:rPr>
                <w:rFonts w:ascii="Arial" w:cs="Arial" w:eastAsia="Arial" w:hAnsi="Arial"/>
                <w:sz w:val="15"/>
                <w:szCs w:val="15"/>
                <w:color w:val="auto"/>
              </w:rPr>
              <w:t>Special items, net</w:t>
            </w:r>
            <w:r>
              <w:rPr>
                <w:rFonts w:ascii="Arial" w:cs="Arial" w:eastAsia="Arial" w:hAnsi="Arial"/>
                <w:sz w:val="21"/>
                <w:szCs w:val="21"/>
                <w:color w:val="auto"/>
                <w:vertAlign w:val="superscript"/>
              </w:rPr>
              <w:t>(a)</w:t>
            </w:r>
          </w:p>
        </w:tc>
        <w:tc>
          <w:tcPr>
            <w:tcW w:w="840" w:type="dxa"/>
            <w:vAlign w:val="bottom"/>
            <w:gridSpan w:val="4"/>
          </w:tcPr>
          <w:p>
            <w:pPr>
              <w:jc w:val="right"/>
              <w:ind w:right="60"/>
              <w:spacing w:after="0"/>
              <w:rPr>
                <w:sz w:val="20"/>
                <w:szCs w:val="20"/>
                <w:color w:val="auto"/>
              </w:rPr>
            </w:pPr>
            <w:r>
              <w:rPr>
                <w:rFonts w:ascii="Arial" w:cs="Arial" w:eastAsia="Arial" w:hAnsi="Arial"/>
                <w:sz w:val="15"/>
                <w:szCs w:val="15"/>
                <w:color w:val="auto"/>
              </w:rPr>
              <w:t>(26,871)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(64,563)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7,092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92"/>
              </w:rPr>
              <w:t>(6,706)</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7,121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5,616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22,073</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6,060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840" w:type="dxa"/>
            <w:vAlign w:val="bottom"/>
            <w:gridSpan w:val="2"/>
          </w:tcPr>
          <w:p>
            <w:pPr>
              <w:spacing w:after="0"/>
              <w:rPr>
                <w:sz w:val="20"/>
                <w:szCs w:val="20"/>
                <w:color w:val="auto"/>
              </w:rPr>
            </w:pPr>
            <w:r>
              <w:rPr>
                <w:rFonts w:ascii="Arial" w:cs="Arial" w:eastAsia="Arial" w:hAnsi="Arial"/>
                <w:sz w:val="15"/>
                <w:szCs w:val="15"/>
                <w:color w:val="auto"/>
              </w:rPr>
              <w:t>Stock compensation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40" w:type="dxa"/>
            <w:vAlign w:val="bottom"/>
            <w:gridSpan w:val="2"/>
          </w:tcPr>
          <w:p>
            <w:pPr>
              <w:ind w:left="160"/>
              <w:spacing w:after="0"/>
              <w:rPr>
                <w:sz w:val="20"/>
                <w:szCs w:val="20"/>
                <w:color w:val="auto"/>
              </w:rPr>
            </w:pPr>
            <w:r>
              <w:rPr>
                <w:rFonts w:ascii="Arial" w:cs="Arial" w:eastAsia="Arial" w:hAnsi="Arial"/>
                <w:sz w:val="15"/>
                <w:szCs w:val="15"/>
                <w:color w:val="auto"/>
              </w:rPr>
              <w:t>expense</w:t>
            </w:r>
          </w:p>
        </w:tc>
        <w:tc>
          <w:tcPr>
            <w:tcW w:w="840" w:type="dxa"/>
            <w:vAlign w:val="bottom"/>
            <w:gridSpan w:val="4"/>
          </w:tcPr>
          <w:p>
            <w:pPr>
              <w:jc w:val="right"/>
              <w:ind w:right="120"/>
              <w:spacing w:after="0"/>
              <w:rPr>
                <w:sz w:val="20"/>
                <w:szCs w:val="20"/>
                <w:color w:val="auto"/>
              </w:rPr>
            </w:pPr>
            <w:r>
              <w:rPr>
                <w:rFonts w:ascii="Arial" w:cs="Arial" w:eastAsia="Arial" w:hAnsi="Arial"/>
                <w:sz w:val="15"/>
                <w:szCs w:val="15"/>
                <w:color w:val="auto"/>
              </w:rPr>
              <w:t>2,870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369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2,110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373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Loss (gain) on asset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transactions, net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413</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1840" w:type="dxa"/>
            <w:vAlign w:val="bottom"/>
            <w:gridSpan w:val="2"/>
          </w:tcPr>
          <w:p>
            <w:pPr>
              <w:spacing w:after="0" w:line="220" w:lineRule="exact"/>
              <w:rPr>
                <w:sz w:val="20"/>
                <w:szCs w:val="20"/>
                <w:color w:val="auto"/>
              </w:rPr>
            </w:pPr>
            <w:r>
              <w:rPr>
                <w:rFonts w:ascii="Arial" w:cs="Arial" w:eastAsia="Arial" w:hAnsi="Arial"/>
                <w:sz w:val="15"/>
                <w:szCs w:val="15"/>
                <w:color w:val="auto"/>
              </w:rPr>
              <w:t>Other adjustments</w:t>
            </w:r>
            <w:r>
              <w:rPr>
                <w:rFonts w:ascii="Arial" w:cs="Arial" w:eastAsia="Arial" w:hAnsi="Arial"/>
                <w:sz w:val="21"/>
                <w:szCs w:val="21"/>
                <w:color w:val="auto"/>
                <w:vertAlign w:val="superscript"/>
              </w:rPr>
              <w:t>(b)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4,881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(377)</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(258)</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9"/>
        </w:trPr>
        <w:tc>
          <w:tcPr>
            <w:tcW w:w="1840" w:type="dxa"/>
            <w:vAlign w:val="bottom"/>
            <w:gridSpan w:val="2"/>
          </w:tcPr>
          <w:p>
            <w:pPr>
              <w:spacing w:after="0"/>
              <w:rPr>
                <w:sz w:val="20"/>
                <w:szCs w:val="20"/>
                <w:color w:val="auto"/>
              </w:rPr>
            </w:pPr>
            <w:r>
              <w:rPr>
                <w:rFonts w:ascii="Arial" w:cs="Arial" w:eastAsia="Arial" w:hAnsi="Arial"/>
                <w:sz w:val="15"/>
                <w:szCs w:val="15"/>
                <w:color w:val="auto"/>
              </w:rPr>
              <w:t>Provision for income taxes</w:t>
            </w:r>
          </w:p>
        </w:tc>
        <w:tc>
          <w:tcPr>
            <w:tcW w:w="840" w:type="dxa"/>
            <w:vAlign w:val="bottom"/>
            <w:gridSpan w:val="4"/>
          </w:tcPr>
          <w:p>
            <w:pPr>
              <w:jc w:val="right"/>
              <w:ind w:right="120"/>
              <w:spacing w:after="0"/>
              <w:rPr>
                <w:sz w:val="20"/>
                <w:szCs w:val="20"/>
                <w:color w:val="auto"/>
              </w:rPr>
            </w:pPr>
            <w:r>
              <w:rPr>
                <w:rFonts w:ascii="Arial" w:cs="Arial" w:eastAsia="Arial" w:hAnsi="Arial"/>
                <w:sz w:val="15"/>
                <w:szCs w:val="15"/>
                <w:color w:val="auto"/>
              </w:rPr>
              <w:t>5,406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2,445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14,088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161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and</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amortization</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12,615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10,527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48,086</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34,877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2"/>
              </w:rPr>
              <w:t>14,405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40" w:type="dxa"/>
            <w:vAlign w:val="bottom"/>
            <w:gridSpan w:val="2"/>
          </w:tcPr>
          <w:p>
            <w:pPr>
              <w:spacing w:after="0"/>
              <w:rPr>
                <w:sz w:val="20"/>
                <w:szCs w:val="20"/>
                <w:color w:val="auto"/>
              </w:rPr>
            </w:pPr>
            <w:r>
              <w:rPr>
                <w:rFonts w:ascii="Arial" w:cs="Arial" w:eastAsia="Arial" w:hAnsi="Arial"/>
                <w:sz w:val="15"/>
                <w:szCs w:val="15"/>
                <w:color w:val="auto"/>
              </w:rPr>
              <w:t>Aircraft rent</w:t>
            </w:r>
          </w:p>
        </w:tc>
        <w:tc>
          <w:tcPr>
            <w:tcW w:w="840" w:type="dxa"/>
            <w:vAlign w:val="bottom"/>
            <w:gridSpan w:val="4"/>
          </w:tcPr>
          <w:p>
            <w:pPr>
              <w:jc w:val="right"/>
              <w:ind w:right="120"/>
              <w:spacing w:after="0"/>
              <w:rPr>
                <w:sz w:val="20"/>
                <w:szCs w:val="20"/>
                <w:color w:val="auto"/>
              </w:rPr>
            </w:pPr>
            <w:r>
              <w:rPr>
                <w:rFonts w:ascii="Arial" w:cs="Arial" w:eastAsia="Arial" w:hAnsi="Arial"/>
                <w:sz w:val="15"/>
                <w:szCs w:val="15"/>
                <w:color w:val="auto"/>
              </w:rPr>
              <w:t>5,599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w w:val="82"/>
              </w:rPr>
              <w:t>11,032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30,989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49,908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82"/>
              </w:rPr>
              <w:t>36,831</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28,329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receivable</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agreement expense</w:t>
            </w: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840" w:type="dxa"/>
            <w:vAlign w:val="bottom"/>
            <w:gridSpan w:val="2"/>
          </w:tcPr>
          <w:p>
            <w:pPr>
              <w:spacing w:after="0"/>
              <w:rPr>
                <w:sz w:val="20"/>
                <w:szCs w:val="20"/>
                <w:color w:val="auto"/>
              </w:rPr>
            </w:pPr>
            <w:r>
              <w:rPr>
                <w:rFonts w:ascii="Arial" w:cs="Arial" w:eastAsia="Arial" w:hAnsi="Arial"/>
                <w:sz w:val="15"/>
                <w:szCs w:val="15"/>
                <w:color w:val="auto"/>
              </w:rPr>
              <w:t>Adjusted EBITDAR</w:t>
            </w:r>
          </w:p>
        </w:tc>
        <w:tc>
          <w:tcPr>
            <w:tcW w:w="180" w:type="dxa"/>
            <w:vAlign w:val="bottom"/>
            <w:gridSpan w:val="2"/>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w w:val="88"/>
              </w:rPr>
              <w:t>$ 19,405</w:t>
            </w:r>
          </w:p>
        </w:tc>
        <w:tc>
          <w:tcPr>
            <w:tcW w:w="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w w:val="82"/>
              </w:rPr>
              <w:t>37,061</w:t>
            </w:r>
          </w:p>
        </w:tc>
        <w:tc>
          <w:tcPr>
            <w:tcW w:w="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38,930</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84"/>
              </w:rPr>
              <w:t>171,129</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82"/>
              </w:rPr>
              <w:t>49,688</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$57,279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-2183130</wp:posOffset>
            </wp:positionV>
            <wp:extent cx="4889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-2183130</wp:posOffset>
            </wp:positionV>
            <wp:extent cx="5588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-2183130</wp:posOffset>
            </wp:positionV>
            <wp:extent cx="4889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-2183130</wp:posOffset>
            </wp:positionV>
            <wp:extent cx="4191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-2183130</wp:posOffset>
            </wp:positionV>
            <wp:extent cx="4191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-2183130</wp:posOffset>
            </wp:positionV>
            <wp:extent cx="4191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1910" cy="6985"/>
                    </a:xfrm>
                    <a:prstGeom prst="rect">
                      <a:avLst/>
                    </a:prstGeom>
                    <a:noFill/>
                  </pic:spPr>
                </pic:pic>
              </a:graphicData>
            </a:graphic>
          </wp:anchor>
        </w:drawing>
      </w:r>
    </w:p>
    <w:p>
      <w:pPr>
        <w:spacing w:after="0" w:line="46" w:lineRule="exact"/>
        <w:rPr>
          <w:sz w:val="20"/>
          <w:szCs w:val="20"/>
          <w:color w:val="auto"/>
        </w:rPr>
      </w:pPr>
    </w:p>
    <w:p>
      <w:pPr>
        <w:jc w:val="both"/>
        <w:ind w:left="1460" w:right="1339" w:hanging="296"/>
        <w:spacing w:after="0" w:line="229" w:lineRule="auto"/>
        <w:tabs>
          <w:tab w:leader="none" w:pos="1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2" w:lineRule="exact"/>
        <w:rPr>
          <w:rFonts w:ascii="Arial" w:cs="Arial" w:eastAsia="Arial" w:hAnsi="Arial"/>
          <w:sz w:val="15"/>
          <w:szCs w:val="15"/>
          <w:color w:val="auto"/>
        </w:rPr>
      </w:pPr>
    </w:p>
    <w:p>
      <w:pPr>
        <w:ind w:left="1460" w:right="1259" w:hanging="296"/>
        <w:spacing w:after="0" w:line="223" w:lineRule="auto"/>
        <w:tabs>
          <w:tab w:leader="none" w:pos="1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Other adjustments for the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CASM and Adjusted CASM</w:t>
      </w:r>
    </w:p>
    <w:p>
      <w:pPr>
        <w:spacing w:after="0" w:line="124"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CASM is a key airline cost metric defined as operating expenses divided by total available seat miles. Adjusted CASM is a non- 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95"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Adjusted CASM excludes fuel costs. By excluding volatile fuel expenses that are outside of our control from our unit metrics, we believe that we have better visibility into the results of operations and our non - 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100"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9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presents the reconciliation of CASM to Adjusted CASM.</w:t>
      </w:r>
    </w:p>
    <w:p>
      <w:pPr>
        <w:spacing w:after="0" w:line="161"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9"/>
          </w:tcPr>
          <w:p>
            <w:pPr>
              <w:ind w:left="120"/>
              <w:spacing w:after="0"/>
              <w:rPr>
                <w:sz w:val="20"/>
                <w:szCs w:val="20"/>
                <w:color w:val="auto"/>
              </w:rPr>
            </w:pPr>
            <w:r>
              <w:rPr>
                <w:rFonts w:ascii="Arial" w:cs="Arial" w:eastAsia="Arial" w:hAnsi="Arial"/>
                <w:sz w:val="12"/>
                <w:szCs w:val="12"/>
                <w:b w:val="1"/>
                <w:bCs w:val="1"/>
                <w:color w:val="auto"/>
                <w:w w:val="99"/>
              </w:rPr>
              <w:t>For the three months ended March 31,</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40" w:type="dxa"/>
            <w:vAlign w:val="bottom"/>
            <w:gridSpan w:val="8"/>
          </w:tcPr>
          <w:p>
            <w:pPr>
              <w:jc w:val="center"/>
              <w:ind w:right="260"/>
              <w:spacing w:after="0"/>
              <w:rPr>
                <w:sz w:val="20"/>
                <w:szCs w:val="20"/>
                <w:color w:val="auto"/>
              </w:rPr>
            </w:pPr>
            <w:r>
              <w:rPr>
                <w:rFonts w:ascii="Arial" w:cs="Arial" w:eastAsia="Arial" w:hAnsi="Arial"/>
                <w:sz w:val="12"/>
                <w:szCs w:val="12"/>
                <w:b w:val="1"/>
                <w:bCs w:val="1"/>
                <w:color w:val="auto"/>
                <w:w w:val="84"/>
              </w:rPr>
              <w:t>For the year ended December 31,</w:t>
            </w:r>
          </w:p>
        </w:tc>
        <w:tc>
          <w:tcPr>
            <w:tcW w:w="48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480" w:type="dxa"/>
            <w:vAlign w:val="bottom"/>
          </w:tcPr>
          <w:p>
            <w:pPr>
              <w:spacing w:after="0"/>
              <w:rPr>
                <w:sz w:val="13"/>
                <w:szCs w:val="13"/>
                <w:color w:val="auto"/>
              </w:rPr>
            </w:pPr>
          </w:p>
        </w:tc>
      </w:tr>
      <w:tr>
        <w:trPr>
          <w:trHeight w:val="21"/>
        </w:trPr>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38"/>
        </w:trPr>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Per ASM</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Per ASM</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Per ASM</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5"/>
              </w:rPr>
              <w:t>Per ASM</w:t>
            </w:r>
          </w:p>
        </w:tc>
      </w:tr>
      <w:tr>
        <w:trPr>
          <w:trHeight w:val="150"/>
        </w:trPr>
        <w:tc>
          <w:tcPr>
            <w:tcW w:w="1140" w:type="dxa"/>
            <w:vAlign w:val="bottom"/>
          </w:tcPr>
          <w:p>
            <w:pPr>
              <w:spacing w:after="0"/>
              <w:rPr>
                <w:sz w:val="13"/>
                <w:szCs w:val="13"/>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79"/>
              </w:rPr>
              <w:t>(in thousands)</w:t>
            </w:r>
          </w:p>
        </w:tc>
        <w:tc>
          <w:tcPr>
            <w:tcW w:w="5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2"/>
              </w:rPr>
              <w:t>(in thousands)</w:t>
            </w:r>
          </w:p>
        </w:tc>
        <w:tc>
          <w:tcPr>
            <w:tcW w:w="5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2"/>
              </w:rPr>
              <w:t>(in cents)</w:t>
            </w:r>
          </w:p>
        </w:tc>
        <w:tc>
          <w:tcPr>
            <w:tcW w:w="7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79"/>
              </w:rPr>
              <w:t>(in thousands)</w:t>
            </w:r>
          </w:p>
        </w:tc>
        <w:tc>
          <w:tcPr>
            <w:tcW w:w="5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2"/>
              </w:rPr>
              <w:t>(in cents)</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w w:val="84"/>
              </w:rPr>
              <w:t>(in thousands)</w:t>
            </w:r>
          </w:p>
        </w:tc>
        <w:tc>
          <w:tcPr>
            <w:tcW w:w="5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2"/>
              </w:rPr>
              <w:t>(in cents)</w:t>
            </w:r>
          </w:p>
        </w:tc>
        <w:tc>
          <w:tcPr>
            <w:tcW w:w="7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79"/>
              </w:rPr>
              <w:t>(in thousands)</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2"/>
              </w:rPr>
              <w:t>(in cents)</w:t>
            </w:r>
          </w:p>
        </w:tc>
      </w:tr>
      <w:tr>
        <w:trPr>
          <w:trHeight w:val="21"/>
        </w:trPr>
        <w:tc>
          <w:tcPr>
            <w:tcW w:w="1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9"/>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CASM</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82"/>
              </w:rPr>
              <w:t>102,678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7.46</w:t>
            </w: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$165,100</w:t>
            </w: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9.40</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$384,101</w:t>
            </w: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8.91</w:t>
            </w: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$623,262</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8.82</w:t>
            </w: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$549,035</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10.05</w:t>
            </w:r>
          </w:p>
        </w:tc>
      </w:tr>
      <w:tr>
        <w:trPr>
          <w:trHeight w:val="193"/>
        </w:trPr>
        <w:tc>
          <w:tcPr>
            <w:tcW w:w="1140" w:type="dxa"/>
            <w:vAlign w:val="bottom"/>
          </w:tcPr>
          <w:p>
            <w:pPr>
              <w:spacing w:after="0"/>
              <w:rPr>
                <w:sz w:val="20"/>
                <w:szCs w:val="20"/>
                <w:color w:val="auto"/>
              </w:rPr>
            </w:pPr>
            <w:r>
              <w:rPr>
                <w:rFonts w:ascii="Arial" w:cs="Arial" w:eastAsia="Arial" w:hAnsi="Arial"/>
                <w:sz w:val="12"/>
                <w:szCs w:val="12"/>
                <w:color w:val="auto"/>
              </w:rPr>
              <w:t>Aircraft fuel</w:t>
            </w:r>
          </w:p>
        </w:tc>
        <w:tc>
          <w:tcPr>
            <w:tcW w:w="180" w:type="dxa"/>
            <w:vAlign w:val="bottom"/>
          </w:tcPr>
          <w:p>
            <w:pPr>
              <w:spacing w:after="0"/>
              <w:rPr>
                <w:sz w:val="16"/>
                <w:szCs w:val="16"/>
                <w:color w:val="auto"/>
              </w:rPr>
            </w:pPr>
          </w:p>
        </w:tc>
        <w:tc>
          <w:tcPr>
            <w:tcW w:w="500" w:type="dxa"/>
            <w:vAlign w:val="bottom"/>
          </w:tcPr>
          <w:p>
            <w:pPr>
              <w:jc w:val="right"/>
              <w:ind w:right="61"/>
              <w:spacing w:after="0"/>
              <w:rPr>
                <w:sz w:val="20"/>
                <w:szCs w:val="20"/>
                <w:color w:val="auto"/>
              </w:rPr>
            </w:pPr>
            <w:r>
              <w:rPr>
                <w:rFonts w:ascii="Arial" w:cs="Arial" w:eastAsia="Arial" w:hAnsi="Arial"/>
                <w:sz w:val="12"/>
                <w:szCs w:val="12"/>
                <w:color w:val="auto"/>
                <w:w w:val="97"/>
              </w:rPr>
              <w:t>24,274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1.76</w:t>
            </w:r>
          </w:p>
        </w:tc>
        <w:tc>
          <w:tcPr>
            <w:tcW w:w="20" w:type="dxa"/>
            <w:vAlign w:val="bottom"/>
          </w:tcPr>
          <w:p>
            <w:pPr>
              <w:spacing w:after="0"/>
              <w:rPr>
                <w:sz w:val="16"/>
                <w:szCs w:val="16"/>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55,561</w:t>
            </w:r>
          </w:p>
        </w:tc>
        <w:tc>
          <w:tcPr>
            <w:tcW w:w="40" w:type="dxa"/>
            <w:vAlign w:val="bottom"/>
          </w:tcPr>
          <w:p>
            <w:pPr>
              <w:spacing w:after="0"/>
              <w:rPr>
                <w:sz w:val="16"/>
                <w:szCs w:val="16"/>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3.17</w:t>
            </w:r>
          </w:p>
        </w:tc>
        <w:tc>
          <w:tcPr>
            <w:tcW w:w="40" w:type="dxa"/>
            <w:vAlign w:val="bottom"/>
          </w:tcPr>
          <w:p>
            <w:pPr>
              <w:spacing w:after="0"/>
              <w:rPr>
                <w:sz w:val="16"/>
                <w:szCs w:val="16"/>
                <w:color w:val="auto"/>
              </w:rPr>
            </w:pP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83,392</w:t>
            </w:r>
          </w:p>
        </w:tc>
        <w:tc>
          <w:tcPr>
            <w:tcW w:w="40" w:type="dxa"/>
            <w:vAlign w:val="bottom"/>
          </w:tcPr>
          <w:p>
            <w:pPr>
              <w:spacing w:after="0"/>
              <w:rPr>
                <w:sz w:val="16"/>
                <w:szCs w:val="16"/>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1.93</w:t>
            </w:r>
          </w:p>
        </w:tc>
        <w:tc>
          <w:tcPr>
            <w:tcW w:w="6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165,666</w:t>
            </w:r>
          </w:p>
        </w:tc>
        <w:tc>
          <w:tcPr>
            <w:tcW w:w="40" w:type="dxa"/>
            <w:vAlign w:val="bottom"/>
          </w:tcPr>
          <w:p>
            <w:pPr>
              <w:spacing w:after="0"/>
              <w:rPr>
                <w:sz w:val="16"/>
                <w:szCs w:val="16"/>
                <w:color w:val="auto"/>
              </w:rPr>
            </w:pPr>
          </w:p>
        </w:tc>
        <w:tc>
          <w:tcPr>
            <w:tcW w:w="500" w:type="dxa"/>
            <w:vAlign w:val="bottom"/>
          </w:tcPr>
          <w:p>
            <w:pPr>
              <w:jc w:val="right"/>
              <w:ind w:right="101"/>
              <w:spacing w:after="0"/>
              <w:rPr>
                <w:sz w:val="20"/>
                <w:szCs w:val="20"/>
                <w:color w:val="auto"/>
              </w:rPr>
            </w:pPr>
            <w:r>
              <w:rPr>
                <w:rFonts w:ascii="Arial" w:cs="Arial" w:eastAsia="Arial" w:hAnsi="Arial"/>
                <w:sz w:val="12"/>
                <w:szCs w:val="12"/>
                <w:color w:val="auto"/>
              </w:rPr>
              <w:t>2.35</w:t>
            </w:r>
          </w:p>
        </w:tc>
        <w:tc>
          <w:tcPr>
            <w:tcW w:w="4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165,343</w:t>
            </w:r>
          </w:p>
        </w:tc>
        <w:tc>
          <w:tcPr>
            <w:tcW w:w="60" w:type="dxa"/>
            <w:vAlign w:val="bottom"/>
          </w:tcPr>
          <w:p>
            <w:pPr>
              <w:spacing w:after="0"/>
              <w:rPr>
                <w:sz w:val="16"/>
                <w:szCs w:val="16"/>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3.03</w:t>
            </w:r>
          </w:p>
        </w:tc>
      </w:tr>
      <w:tr>
        <w:trPr>
          <w:trHeight w:val="203"/>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Cargo expenses</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97"/>
              </w:rPr>
              <w:t>17,195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1.25</w:t>
            </w:r>
          </w:p>
        </w:tc>
        <w:tc>
          <w:tcPr>
            <w:tcW w:w="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31,429</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0.73</w:t>
            </w: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1140" w:type="dxa"/>
            <w:vAlign w:val="bottom"/>
          </w:tcPr>
          <w:p>
            <w:pPr>
              <w:spacing w:after="0"/>
              <w:rPr>
                <w:sz w:val="20"/>
                <w:szCs w:val="20"/>
                <w:color w:val="auto"/>
              </w:rPr>
            </w:pPr>
            <w:r>
              <w:rPr>
                <w:rFonts w:ascii="Arial" w:cs="Arial" w:eastAsia="Arial" w:hAnsi="Arial"/>
                <w:sz w:val="12"/>
                <w:szCs w:val="12"/>
                <w:color w:val="auto"/>
              </w:rPr>
              <w:t>Sun Country</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7"/>
        </w:trPr>
        <w:tc>
          <w:tcPr>
            <w:tcW w:w="1140" w:type="dxa"/>
            <w:vAlign w:val="bottom"/>
          </w:tcPr>
          <w:p>
            <w:pPr>
              <w:ind w:left="100"/>
              <w:spacing w:after="0"/>
              <w:rPr>
                <w:sz w:val="20"/>
                <w:szCs w:val="20"/>
                <w:color w:val="auto"/>
              </w:rPr>
            </w:pPr>
            <w:r>
              <w:rPr>
                <w:rFonts w:ascii="Arial" w:cs="Arial" w:eastAsia="Arial" w:hAnsi="Arial"/>
                <w:sz w:val="12"/>
                <w:szCs w:val="12"/>
                <w:color w:val="auto"/>
              </w:rPr>
              <w:t>Vacations</w:t>
            </w:r>
          </w:p>
        </w:tc>
        <w:tc>
          <w:tcPr>
            <w:tcW w:w="180" w:type="dxa"/>
            <w:vAlign w:val="bottom"/>
          </w:tcPr>
          <w:p>
            <w:pPr>
              <w:spacing w:after="0"/>
              <w:rPr>
                <w:sz w:val="12"/>
                <w:szCs w:val="12"/>
                <w:color w:val="auto"/>
              </w:rPr>
            </w:pPr>
          </w:p>
        </w:tc>
        <w:tc>
          <w:tcPr>
            <w:tcW w:w="500" w:type="dxa"/>
            <w:vAlign w:val="bottom"/>
          </w:tcPr>
          <w:p>
            <w:pPr>
              <w:jc w:val="right"/>
              <w:ind w:right="61"/>
              <w:spacing w:after="0"/>
              <w:rPr>
                <w:sz w:val="20"/>
                <w:szCs w:val="20"/>
                <w:color w:val="auto"/>
              </w:rPr>
            </w:pPr>
            <w:r>
              <w:rPr>
                <w:rFonts w:ascii="Arial" w:cs="Arial" w:eastAsia="Arial" w:hAnsi="Arial"/>
                <w:sz w:val="12"/>
                <w:szCs w:val="12"/>
                <w:color w:val="auto"/>
              </w:rPr>
              <w:t>214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0.02</w:t>
            </w:r>
          </w:p>
        </w:tc>
        <w:tc>
          <w:tcPr>
            <w:tcW w:w="20" w:type="dxa"/>
            <w:vAlign w:val="bottom"/>
          </w:tcPr>
          <w:p>
            <w:pPr>
              <w:spacing w:after="0"/>
              <w:rPr>
                <w:sz w:val="12"/>
                <w:szCs w:val="12"/>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188</w:t>
            </w:r>
          </w:p>
        </w:tc>
        <w:tc>
          <w:tcPr>
            <w:tcW w:w="40" w:type="dxa"/>
            <w:vAlign w:val="bottom"/>
          </w:tcPr>
          <w:p>
            <w:pPr>
              <w:spacing w:after="0"/>
              <w:rPr>
                <w:sz w:val="12"/>
                <w:szCs w:val="12"/>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0.01</w:t>
            </w:r>
          </w:p>
        </w:tc>
        <w:tc>
          <w:tcPr>
            <w:tcW w:w="40" w:type="dxa"/>
            <w:vAlign w:val="bottom"/>
          </w:tcPr>
          <w:p>
            <w:pPr>
              <w:spacing w:after="0"/>
              <w:rPr>
                <w:sz w:val="12"/>
                <w:szCs w:val="12"/>
                <w:color w:val="auto"/>
              </w:rPr>
            </w:pP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589</w:t>
            </w:r>
          </w:p>
        </w:tc>
        <w:tc>
          <w:tcPr>
            <w:tcW w:w="40" w:type="dxa"/>
            <w:vAlign w:val="bottom"/>
          </w:tcPr>
          <w:p>
            <w:pPr>
              <w:spacing w:after="0"/>
              <w:rPr>
                <w:sz w:val="12"/>
                <w:szCs w:val="12"/>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0.01</w:t>
            </w:r>
          </w:p>
        </w:tc>
        <w:tc>
          <w:tcPr>
            <w:tcW w:w="60" w:type="dxa"/>
            <w:vAlign w:val="bottom"/>
          </w:tcPr>
          <w:p>
            <w:pPr>
              <w:spacing w:after="0"/>
              <w:rPr>
                <w:sz w:val="12"/>
                <w:szCs w:val="12"/>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2,448</w:t>
            </w:r>
          </w:p>
        </w:tc>
        <w:tc>
          <w:tcPr>
            <w:tcW w:w="40" w:type="dxa"/>
            <w:vAlign w:val="bottom"/>
          </w:tcPr>
          <w:p>
            <w:pPr>
              <w:spacing w:after="0"/>
              <w:rPr>
                <w:sz w:val="12"/>
                <w:szCs w:val="12"/>
                <w:color w:val="auto"/>
              </w:rPr>
            </w:pPr>
          </w:p>
        </w:tc>
        <w:tc>
          <w:tcPr>
            <w:tcW w:w="500" w:type="dxa"/>
            <w:vAlign w:val="bottom"/>
          </w:tcPr>
          <w:p>
            <w:pPr>
              <w:jc w:val="right"/>
              <w:ind w:right="101"/>
              <w:spacing w:after="0"/>
              <w:rPr>
                <w:sz w:val="20"/>
                <w:szCs w:val="20"/>
                <w:color w:val="auto"/>
              </w:rPr>
            </w:pPr>
            <w:r>
              <w:rPr>
                <w:rFonts w:ascii="Arial" w:cs="Arial" w:eastAsia="Arial" w:hAnsi="Arial"/>
                <w:sz w:val="12"/>
                <w:szCs w:val="12"/>
                <w:color w:val="auto"/>
              </w:rPr>
              <w:t>0.03</w:t>
            </w:r>
          </w:p>
        </w:tc>
        <w:tc>
          <w:tcPr>
            <w:tcW w:w="40" w:type="dxa"/>
            <w:vAlign w:val="bottom"/>
          </w:tcPr>
          <w:p>
            <w:pPr>
              <w:spacing w:after="0"/>
              <w:rPr>
                <w:sz w:val="12"/>
                <w:szCs w:val="12"/>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4,543</w:t>
            </w:r>
          </w:p>
        </w:tc>
        <w:tc>
          <w:tcPr>
            <w:tcW w:w="60" w:type="dxa"/>
            <w:vAlign w:val="bottom"/>
          </w:tcPr>
          <w:p>
            <w:pPr>
              <w:spacing w:after="0"/>
              <w:rPr>
                <w:sz w:val="12"/>
                <w:szCs w:val="12"/>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0.08</w:t>
            </w:r>
          </w:p>
        </w:tc>
      </w:tr>
      <w:tr>
        <w:trPr>
          <w:trHeight w:val="198"/>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Special items, net</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(26,871)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(1.95)</w:t>
            </w:r>
          </w:p>
        </w:tc>
        <w:tc>
          <w:tcPr>
            <w:tcW w:w="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(64,563)</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(1.50)</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7,092</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0.10</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(6,435)</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(0.12)</w:t>
            </w:r>
          </w:p>
        </w:tc>
      </w:tr>
      <w:tr>
        <w:trPr>
          <w:trHeight w:val="182"/>
        </w:trPr>
        <w:tc>
          <w:tcPr>
            <w:tcW w:w="1140" w:type="dxa"/>
            <w:vAlign w:val="bottom"/>
          </w:tcPr>
          <w:p>
            <w:pPr>
              <w:spacing w:after="0"/>
              <w:rPr>
                <w:sz w:val="20"/>
                <w:szCs w:val="20"/>
                <w:color w:val="auto"/>
              </w:rPr>
            </w:pPr>
            <w:r>
              <w:rPr>
                <w:rFonts w:ascii="Arial" w:cs="Arial" w:eastAsia="Arial" w:hAnsi="Arial"/>
                <w:sz w:val="12"/>
                <w:szCs w:val="12"/>
                <w:color w:val="auto"/>
              </w:rPr>
              <w:t>Stock compensation</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47"/>
        </w:trPr>
        <w:tc>
          <w:tcPr>
            <w:tcW w:w="1140" w:type="dxa"/>
            <w:vAlign w:val="bottom"/>
          </w:tcPr>
          <w:p>
            <w:pPr>
              <w:ind w:left="100"/>
              <w:spacing w:after="0"/>
              <w:rPr>
                <w:sz w:val="20"/>
                <w:szCs w:val="20"/>
                <w:color w:val="auto"/>
              </w:rPr>
            </w:pPr>
            <w:r>
              <w:rPr>
                <w:rFonts w:ascii="Arial" w:cs="Arial" w:eastAsia="Arial" w:hAnsi="Arial"/>
                <w:sz w:val="12"/>
                <w:szCs w:val="12"/>
                <w:color w:val="auto"/>
              </w:rPr>
              <w:t>expense</w:t>
            </w:r>
          </w:p>
        </w:tc>
        <w:tc>
          <w:tcPr>
            <w:tcW w:w="180" w:type="dxa"/>
            <w:vAlign w:val="bottom"/>
          </w:tcPr>
          <w:p>
            <w:pPr>
              <w:spacing w:after="0"/>
              <w:rPr>
                <w:sz w:val="12"/>
                <w:szCs w:val="12"/>
                <w:color w:val="auto"/>
              </w:rPr>
            </w:pPr>
          </w:p>
        </w:tc>
        <w:tc>
          <w:tcPr>
            <w:tcW w:w="500" w:type="dxa"/>
            <w:vAlign w:val="bottom"/>
          </w:tcPr>
          <w:p>
            <w:pPr>
              <w:jc w:val="right"/>
              <w:ind w:right="61"/>
              <w:spacing w:after="0"/>
              <w:rPr>
                <w:sz w:val="20"/>
                <w:szCs w:val="20"/>
                <w:color w:val="auto"/>
              </w:rPr>
            </w:pPr>
            <w:r>
              <w:rPr>
                <w:rFonts w:ascii="Arial" w:cs="Arial" w:eastAsia="Arial" w:hAnsi="Arial"/>
                <w:sz w:val="12"/>
                <w:szCs w:val="12"/>
                <w:color w:val="auto"/>
              </w:rPr>
              <w:t>2,870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0.21</w:t>
            </w:r>
          </w:p>
        </w:tc>
        <w:tc>
          <w:tcPr>
            <w:tcW w:w="20" w:type="dxa"/>
            <w:vAlign w:val="bottom"/>
          </w:tcPr>
          <w:p>
            <w:pPr>
              <w:spacing w:after="0"/>
              <w:rPr>
                <w:sz w:val="12"/>
                <w:szCs w:val="12"/>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369</w:t>
            </w:r>
          </w:p>
        </w:tc>
        <w:tc>
          <w:tcPr>
            <w:tcW w:w="40" w:type="dxa"/>
            <w:vAlign w:val="bottom"/>
          </w:tcPr>
          <w:p>
            <w:pPr>
              <w:spacing w:after="0"/>
              <w:rPr>
                <w:sz w:val="12"/>
                <w:szCs w:val="12"/>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0.02</w:t>
            </w:r>
          </w:p>
        </w:tc>
        <w:tc>
          <w:tcPr>
            <w:tcW w:w="40" w:type="dxa"/>
            <w:vAlign w:val="bottom"/>
          </w:tcPr>
          <w:p>
            <w:pPr>
              <w:spacing w:after="0"/>
              <w:rPr>
                <w:sz w:val="12"/>
                <w:szCs w:val="12"/>
                <w:color w:val="auto"/>
              </w:rPr>
            </w:pP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2,110</w:t>
            </w:r>
          </w:p>
        </w:tc>
        <w:tc>
          <w:tcPr>
            <w:tcW w:w="40" w:type="dxa"/>
            <w:vAlign w:val="bottom"/>
          </w:tcPr>
          <w:p>
            <w:pPr>
              <w:spacing w:after="0"/>
              <w:rPr>
                <w:sz w:val="12"/>
                <w:szCs w:val="12"/>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0.05</w:t>
            </w:r>
          </w:p>
        </w:tc>
        <w:tc>
          <w:tcPr>
            <w:tcW w:w="60" w:type="dxa"/>
            <w:vAlign w:val="bottom"/>
          </w:tcPr>
          <w:p>
            <w:pPr>
              <w:spacing w:after="0"/>
              <w:rPr>
                <w:sz w:val="12"/>
                <w:szCs w:val="12"/>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1,888</w:t>
            </w:r>
          </w:p>
        </w:tc>
        <w:tc>
          <w:tcPr>
            <w:tcW w:w="40" w:type="dxa"/>
            <w:vAlign w:val="bottom"/>
          </w:tcPr>
          <w:p>
            <w:pPr>
              <w:spacing w:after="0"/>
              <w:rPr>
                <w:sz w:val="12"/>
                <w:szCs w:val="12"/>
                <w:color w:val="auto"/>
              </w:rPr>
            </w:pPr>
          </w:p>
        </w:tc>
        <w:tc>
          <w:tcPr>
            <w:tcW w:w="500" w:type="dxa"/>
            <w:vAlign w:val="bottom"/>
          </w:tcPr>
          <w:p>
            <w:pPr>
              <w:jc w:val="right"/>
              <w:ind w:right="101"/>
              <w:spacing w:after="0"/>
              <w:rPr>
                <w:sz w:val="20"/>
                <w:szCs w:val="20"/>
                <w:color w:val="auto"/>
              </w:rPr>
            </w:pPr>
            <w:r>
              <w:rPr>
                <w:rFonts w:ascii="Arial" w:cs="Arial" w:eastAsia="Arial" w:hAnsi="Arial"/>
                <w:sz w:val="12"/>
                <w:szCs w:val="12"/>
                <w:color w:val="auto"/>
              </w:rPr>
              <w:t>0.03</w:t>
            </w:r>
          </w:p>
        </w:tc>
        <w:tc>
          <w:tcPr>
            <w:tcW w:w="40" w:type="dxa"/>
            <w:vAlign w:val="bottom"/>
          </w:tcPr>
          <w:p>
            <w:pPr>
              <w:spacing w:after="0"/>
              <w:rPr>
                <w:sz w:val="12"/>
                <w:szCs w:val="12"/>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373</w:t>
            </w:r>
          </w:p>
        </w:tc>
        <w:tc>
          <w:tcPr>
            <w:tcW w:w="60" w:type="dxa"/>
            <w:vAlign w:val="bottom"/>
          </w:tcPr>
          <w:p>
            <w:pPr>
              <w:spacing w:after="0"/>
              <w:rPr>
                <w:sz w:val="12"/>
                <w:szCs w:val="12"/>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0.01</w:t>
            </w:r>
          </w:p>
        </w:tc>
      </w:tr>
      <w:tr>
        <w:trPr>
          <w:trHeight w:val="182"/>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w w:val="95"/>
              </w:rPr>
              <w:t>Income tax receivable</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2"/>
        </w:trPr>
        <w:tc>
          <w:tcPr>
            <w:tcW w:w="1140" w:type="dxa"/>
            <w:vAlign w:val="bottom"/>
            <w:shd w:val="clear" w:color="auto" w:fill="CCEEFF"/>
          </w:tcPr>
          <w:p>
            <w:pPr>
              <w:ind w:left="100"/>
              <w:spacing w:after="0" w:line="132" w:lineRule="exact"/>
              <w:rPr>
                <w:sz w:val="20"/>
                <w:szCs w:val="20"/>
                <w:color w:val="auto"/>
              </w:rPr>
            </w:pPr>
            <w:r>
              <w:rPr>
                <w:rFonts w:ascii="Arial" w:cs="Arial" w:eastAsia="Arial" w:hAnsi="Arial"/>
                <w:sz w:val="12"/>
                <w:szCs w:val="12"/>
                <w:color w:val="auto"/>
              </w:rPr>
              <w:t>agreement</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147"/>
        </w:trPr>
        <w:tc>
          <w:tcPr>
            <w:tcW w:w="1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expense</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0.03</w:t>
            </w:r>
          </w:p>
        </w:tc>
        <w:tc>
          <w:tcPr>
            <w:tcW w:w="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204"/>
        </w:trPr>
        <w:tc>
          <w:tcPr>
            <w:tcW w:w="1140" w:type="dxa"/>
            <w:vAlign w:val="bottom"/>
          </w:tcPr>
          <w:p>
            <w:pPr>
              <w:spacing w:after="0"/>
              <w:rPr>
                <w:sz w:val="20"/>
                <w:szCs w:val="20"/>
                <w:color w:val="auto"/>
              </w:rPr>
            </w:pPr>
            <w:r>
              <w:rPr>
                <w:rFonts w:ascii="Arial" w:cs="Arial" w:eastAsia="Arial" w:hAnsi="Arial"/>
                <w:sz w:val="12"/>
                <w:szCs w:val="12"/>
                <w:color w:val="auto"/>
              </w:rPr>
              <w:t>Other adjustments .</w:t>
            </w:r>
          </w:p>
        </w:tc>
        <w:tc>
          <w:tcPr>
            <w:tcW w:w="180" w:type="dxa"/>
            <w:vAlign w:val="bottom"/>
          </w:tcPr>
          <w:p>
            <w:pPr>
              <w:spacing w:after="0"/>
              <w:rPr>
                <w:sz w:val="17"/>
                <w:szCs w:val="17"/>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4,881</w:t>
            </w:r>
          </w:p>
        </w:tc>
        <w:tc>
          <w:tcPr>
            <w:tcW w:w="40" w:type="dxa"/>
            <w:vAlign w:val="bottom"/>
          </w:tcPr>
          <w:p>
            <w:pPr>
              <w:spacing w:after="0"/>
              <w:rPr>
                <w:sz w:val="17"/>
                <w:szCs w:val="17"/>
                <w:color w:val="auto"/>
              </w:rPr>
            </w:pP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0.12</w:t>
            </w:r>
          </w:p>
        </w:tc>
        <w:tc>
          <w:tcPr>
            <w:tcW w:w="6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2"/>
                <w:szCs w:val="12"/>
                <w:color w:val="auto"/>
              </w:rPr>
              <w:t>226</w:t>
            </w:r>
          </w:p>
        </w:tc>
        <w:tc>
          <w:tcPr>
            <w:tcW w:w="4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214"/>
        </w:trPr>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Adjusted CASM</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97"/>
              </w:rPr>
              <w:t>84,732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6.15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$108,982</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6.20</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$326,263</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7.57</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$445,942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6.31</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$385,211</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-1478280</wp:posOffset>
            </wp:positionV>
            <wp:extent cx="2794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-1478280</wp:posOffset>
            </wp:positionV>
            <wp:extent cx="2794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-1478280</wp:posOffset>
            </wp:positionV>
            <wp:extent cx="2794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-1478280</wp:posOffset>
            </wp:positionV>
            <wp:extent cx="2794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-1478280</wp:posOffset>
            </wp:positionV>
            <wp:extent cx="2794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-1478280</wp:posOffset>
            </wp:positionV>
            <wp:extent cx="2794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-1478280</wp:posOffset>
            </wp:positionV>
            <wp:extent cx="2095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-1478280</wp:posOffset>
            </wp:positionV>
            <wp:extent cx="1397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1680845</wp:posOffset>
            </wp:positionH>
            <wp:positionV relativeFrom="paragraph">
              <wp:posOffset>-1478280</wp:posOffset>
            </wp:positionV>
            <wp:extent cx="1397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1234440</wp:posOffset>
            </wp:positionH>
            <wp:positionV relativeFrom="paragraph">
              <wp:posOffset>-1478280</wp:posOffset>
            </wp:positionV>
            <wp:extent cx="698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and Capital Resources</w:t>
      </w:r>
    </w:p>
    <w:p>
      <w:pPr>
        <w:spacing w:after="0" w:line="128"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equityholders’ capital contributions, the issuance of promissory notes and our 2019-1 EETC financing.</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primary sources of liquidity as of March 31, 2021 included our existing cash and equivalents of</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$269.6 million and short-term investments of $5.8 million, our expected cash generated from operations and</w:t>
      </w:r>
    </w:p>
    <w:p>
      <w:pPr>
        <w:ind w:left="1160"/>
        <w:spacing w:after="0" w:line="234" w:lineRule="auto"/>
        <w:rPr>
          <w:sz w:val="20"/>
          <w:szCs w:val="20"/>
          <w:color w:val="auto"/>
        </w:rPr>
      </w:pPr>
      <w:r>
        <w:rPr>
          <w:rFonts w:ascii="Arial" w:cs="Arial" w:eastAsia="Arial" w:hAnsi="Arial"/>
          <w:sz w:val="15"/>
          <w:szCs w:val="15"/>
          <w:color w:val="auto"/>
        </w:rPr>
        <w:t>our $25.0 million Revolving Credit Facility, which had availability of $25.0 as of March 31, 2021. In</w:t>
      </w:r>
    </w:p>
    <w:p>
      <w:pPr>
        <w:ind w:left="1160"/>
        <w:spacing w:after="0"/>
        <w:rPr>
          <w:sz w:val="20"/>
          <w:szCs w:val="20"/>
          <w:color w:val="auto"/>
        </w:rPr>
      </w:pPr>
      <w:r>
        <w:rPr>
          <w:rFonts w:ascii="Arial" w:cs="Arial" w:eastAsia="Arial" w:hAnsi="Arial"/>
          <w:sz w:val="15"/>
          <w:szCs w:val="15"/>
          <w:color w:val="auto"/>
        </w:rPr>
        <w:t>addition, we had restricted cash of $6.0 million as of March 31, 2021, which consists of cash received as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94" w:lineRule="auto"/>
        <w:rPr>
          <w:sz w:val="20"/>
          <w:szCs w:val="20"/>
          <w:color w:val="auto"/>
        </w:rPr>
      </w:pPr>
      <w:r>
        <w:rPr>
          <w:rFonts w:ascii="Arial" w:cs="Arial" w:eastAsia="Arial" w:hAnsi="Arial"/>
          <w:sz w:val="13"/>
          <w:szCs w:val="13"/>
          <w:color w:val="auto"/>
        </w:rPr>
        <w:t>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66"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have been and will continue to be used for general corporate purposes, including to acquire additional aircraft.</w:t>
      </w:r>
    </w:p>
    <w:p>
      <w:pPr>
        <w:spacing w:after="0" w:line="89"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We received a total of $62.3 million in assistance from Treasury in 2020 as part of the Payroll Support Program under the CARES Act in response to the extensive impact of the COVID-19 pandemic on the U.S. airline industry.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We also recognized $2.3 million in tax credits related to employee retention under the CARES Act in the year ended December 31, 2020. In addition, we have taken measures to reduce operating costs and improve our liquidity condition, including a temporary reduction of scheduled departures, deferring non- essential capital projects, placing a hiring freeze, negotiating the deferral of aircraft rent payments, and deferring payment of the employer portion of Social Security taxes as permitted under the CARES Act.</w:t>
      </w:r>
    </w:p>
    <w:p>
      <w:pPr>
        <w:spacing w:after="0" w:line="96" w:lineRule="exact"/>
        <w:rPr>
          <w:sz w:val="20"/>
          <w:szCs w:val="20"/>
          <w:color w:val="auto"/>
        </w:rPr>
      </w:pPr>
    </w:p>
    <w:p>
      <w:pPr>
        <w:ind w:left="1160" w:right="1339" w:firstLine="293"/>
        <w:spacing w:after="0" w:line="233" w:lineRule="auto"/>
        <w:rPr>
          <w:sz w:val="20"/>
          <w:szCs w:val="20"/>
          <w:color w:val="auto"/>
        </w:rPr>
      </w:pPr>
      <w:r>
        <w:rPr>
          <w:rFonts w:ascii="Arial" w:cs="Arial" w:eastAsia="Arial" w:hAnsi="Arial"/>
          <w:sz w:val="15"/>
          <w:szCs w:val="15"/>
          <w:color w:val="auto"/>
        </w:rPr>
        <w:t>On January 22, 2021, we were informed by Treasury that we would receive a grant of $32.2 million under the Payroll Support Program Extension under the Consolidated Appropriations Act, 2021. We received $ 16.1 million on February 2, 2021, an additional $16.1 million on March 26, 2021 and an additional $4.8 million in grants on April 22, 2021. Further, we were notified on April 15, 2021 that we would receive an additional grant of approximately $34.5 million, of which $17.3 million was received on April 29, 2021 and the remaining $17.2 million was received on May 27, 2021. All funds provided by Treasury to Payroll Support Program Extension participants may only be used for the continuation of payment of employee wages, salaries, and benefits.</w:t>
      </w:r>
    </w:p>
    <w:p>
      <w:pPr>
        <w:spacing w:after="0" w:line="100"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In October 2020, we were awarded a $45.0 million loan from Treasury under the CARES Act Loan Agreement, which is secured by our loyalty program and certain cash deposits. The loan bears interest at a rate per annum equal to the LIBO rate as adjusted under the CARES Act Loan Agreement plus 3.50% in cash and 3.00% paid-in-kind and is to be repaid on the earlier of (i) October 24, 2025 or (ii) six months prior to the expiration of any material loyalty program securing the loan. As a result of the timing of the expiration of our loyalty program, we expect to begin making repayments approximately January 2023. During the term of the loan, we must maintain aggregate liquidity above $10.0 million measured as of the close of each business day, and there are provisions that may accelerate payment if certain debt service coverage ratios are not met. Further, the CARES Act Loan Agreement includes affirmative and negative covenants that restrict our ability to, among other things, merge, consolidate, sell or otherwise dispose of certain assets, create liens on certain assets, make certain investments or pay certain dividends and make certain other restricted payments. In March 2021, we repaid the CARES Act Loan in full using the proceeds from our initial public offering.</w:t>
      </w:r>
    </w:p>
    <w:p>
      <w:pPr>
        <w:spacing w:after="0" w:line="90"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On February 10, 2021, Sun Country, Inc. (formerly known as MN Airlines, LLC), our wholly-owned subsidiary (the “Borrower”), entered into the Credit Agreement, which provides for a $25.0 million Revolving Credit Facility and a $90.0 million Delayed Draw Term Loan Facility, which we refer to collectively as the “Credit Facilities,” and repaid in full all borrowings outstanding under the ABL Facility. The Revolving Credit Facility matures on the earlier of (i) February 10, 2026 and (ii) to the extent the sum of (x) the amount</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439"/>
        <w:spacing w:after="0" w:line="264" w:lineRule="auto"/>
        <w:rPr>
          <w:sz w:val="20"/>
          <w:szCs w:val="20"/>
          <w:color w:val="auto"/>
        </w:rPr>
      </w:pPr>
      <w:r>
        <w:rPr>
          <w:rFonts w:ascii="Arial" w:cs="Arial" w:eastAsia="Arial" w:hAnsi="Arial"/>
          <w:sz w:val="14"/>
          <w:szCs w:val="14"/>
          <w:color w:val="auto"/>
        </w:rPr>
        <w:t>unused commitments under the Delayed Draw Term Loan Facility and (y) the amount of loans under the Delayed Draw Term Loan Facility exceeds $ 25.0 million on such date, the date that is 180 days prior to February 10, 2026. The Delayed Draw Term Loan Facility matures on February 10, 2026.</w:t>
      </w:r>
    </w:p>
    <w:p>
      <w:pPr>
        <w:spacing w:after="0" w:line="8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Borrowings under the Credit Facilities bear interest, at the Borrower’s option, at either (a) the LIBO Rate determined by reference to the costs of funds for Eurodollar deposits for the interest period relevant to such borrowing, adjusted for certain additional costs (“Adjusted LIBOR”) with a floor of 1.00%, or (b) a base rate determined by reference to the highest of (i) the federal funds rate plus 0.50% per annum, (ii) the prime rate published by The Wall Street Journal, (iii) one month Adjusted LIBOR plus 1.00% per annum and (iv) 2.00% (“ABR”), in each case, plus the applicable margin of (x) with respect to the Delayed Draw Term Loan Facility, 5.00% per annum for Adjusted LIBOR loans and 4.00% per annum for ABR loans and</w:t>
      </w:r>
    </w:p>
    <w:p>
      <w:pPr>
        <w:spacing w:after="0" w:line="1" w:lineRule="exact"/>
        <w:rPr>
          <w:sz w:val="20"/>
          <w:szCs w:val="20"/>
          <w:color w:val="auto"/>
        </w:rPr>
      </w:pPr>
    </w:p>
    <w:p>
      <w:pPr>
        <w:ind w:left="1160" w:right="1379" w:firstLine="4"/>
        <w:spacing w:after="0" w:line="236" w:lineRule="auto"/>
        <w:tabs>
          <w:tab w:leader="none" w:pos="1379" w:val="left"/>
        </w:tabs>
        <w:numPr>
          <w:ilvl w:val="0"/>
          <w:numId w:val="47"/>
        </w:numPr>
        <w:rPr>
          <w:rFonts w:ascii="Arial" w:cs="Arial" w:eastAsia="Arial" w:hAnsi="Arial"/>
          <w:sz w:val="15"/>
          <w:szCs w:val="15"/>
          <w:color w:val="auto"/>
        </w:rPr>
      </w:pPr>
      <w:r>
        <w:rPr>
          <w:rFonts w:ascii="Arial" w:cs="Arial" w:eastAsia="Arial" w:hAnsi="Arial"/>
          <w:sz w:val="15"/>
          <w:szCs w:val="15"/>
          <w:color w:val="auto"/>
        </w:rPr>
        <w:t>with respect to the Revolving Credit Facility, 5.00% per annum for Adjusted LIBOR loans and 4.00% per annum for ABR loans.</w:t>
      </w:r>
    </w:p>
    <w:p>
      <w:pPr>
        <w:spacing w:after="0" w:line="88"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addition, the Borrower is required to pay a commitment fee to the lenders in respect of the unutilized commitments under the Revolving Credit Facility at a rate equal to 0.50% per annum and in respect of the unutilized commitments under the Delayed Draw Term Loan Facility, (w) prior to the date that is 12 months after the closing date, 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as well as customary letter of credit fees and customary agency fees. The obligations of the Borrower under the Credit Facilities are unconditionally guaranteed by SCA Acquisition, LLC on a limited-recourse basis.</w:t>
      </w:r>
    </w:p>
    <w:p>
      <w:pPr>
        <w:spacing w:after="0" w:line="101"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The Borrower may only use borrowings under the Delayed Draw Term Facility to finance the acquisition of aircraft or engines and related fees and expenses. In March 2021 and April 2021, we borrowed $68.0 million and $12.5 million, respectively, under the Delayed Draw Term Loan Facility for the purpose of financing the acquisition of six additional aircraft that we previously leased, all of which have been acquired. The Borrower may use borrowings under the Revolving Credit Facility for general corporate purposes.</w:t>
      </w:r>
    </w:p>
    <w:p>
      <w:pPr>
        <w:spacing w:after="0" w:line="101"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The Credit Facilities require the Borrower to comply with financial maintenance covenants that require that the Borrower maintain (i) as of the last day of each fiscal quarter a minimum EBITDAR (as defined in the Credit Agreement) of at least $62.1 million for the quarter ending September 31, 2021, $78.1 million for the quarter ending December 31, 2021, and $87.7 million for the quarter ending March 31, 2022 and each quarter thereafter and (ii) an aggregate amount of Liquidity (as defined in the Credit Agreement) at the close of any business day of at least $30.0 million.</w:t>
      </w:r>
    </w:p>
    <w:p>
      <w:pPr>
        <w:spacing w:after="0" w:line="90" w:lineRule="exact"/>
        <w:rPr>
          <w:sz w:val="20"/>
          <w:szCs w:val="20"/>
          <w:color w:val="auto"/>
        </w:rPr>
      </w:pPr>
    </w:p>
    <w:p>
      <w:pPr>
        <w:ind w:left="1160" w:right="1359" w:firstLine="293"/>
        <w:spacing w:after="0" w:line="239" w:lineRule="auto"/>
        <w:rPr>
          <w:sz w:val="20"/>
          <w:szCs w:val="20"/>
          <w:color w:val="auto"/>
        </w:rPr>
      </w:pPr>
      <w:r>
        <w:rPr>
          <w:rFonts w:ascii="Arial" w:cs="Arial" w:eastAsia="Arial" w:hAnsi="Arial"/>
          <w:sz w:val="15"/>
          <w:szCs w:val="15"/>
          <w:color w:val="auto"/>
        </w:rPr>
        <w:t>The Credit Agreement contains certain customary affirmative covenants and negative covenants, including a limitation on the Borrower’s ability to pay dividends on or make distributions in respect of its capital stock or make other restricted payments.</w:t>
      </w:r>
    </w:p>
    <w:p>
      <w:pPr>
        <w:spacing w:after="0" w:line="100"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The Credit Agreement contains certain customary events of default, including relating to a change of control. If an event of default occurs, the lenders under the Credit Facilities are entitled to take various actions, including the acceleration of amounts due under the Credit Facilities and all actions permitted to be taken by a secured creditor in respect of the collateral securing the Credit Facilities.</w:t>
      </w:r>
    </w:p>
    <w:p>
      <w:pPr>
        <w:spacing w:after="0" w:line="88" w:lineRule="exact"/>
        <w:rPr>
          <w:sz w:val="20"/>
          <w:szCs w:val="20"/>
          <w:color w:val="auto"/>
        </w:rPr>
      </w:pPr>
    </w:p>
    <w:p>
      <w:pPr>
        <w:ind w:left="1160" w:right="1259" w:firstLine="293"/>
        <w:spacing w:after="0" w:line="236" w:lineRule="auto"/>
        <w:rPr>
          <w:sz w:val="20"/>
          <w:szCs w:val="20"/>
          <w:color w:val="auto"/>
        </w:rPr>
      </w:pPr>
      <w:r>
        <w:rPr>
          <w:rFonts w:ascii="Arial" w:cs="Arial" w:eastAsia="Arial" w:hAnsi="Arial"/>
          <w:sz w:val="15"/>
          <w:szCs w:val="15"/>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91"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In December 2019, we arranged for the issuance of Class A, Class B and Class C pass through trust certificates, Series 2019-1 (the “2019-1 EETC”), in an aggregate face amount of $248.6 million (the “Certificates”) for the purpose of financing or refinancing 13 used aircraft. In December of 2019, we purchased one aircraft new to our fleet under the 2019-1 EETC. In the first quarter of 2020, under the 2019-1 EETC, we purchased two additional aircraft new to our fleet, one previously under operating lease, and refinanced three aircraft previously owned and financed. The purchase of the remaining six aircraft previously under operating or finance leases occurred in June 2020. The total appraised value of the 13 aircraft is</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approximately $292.5 million. The Certificates were issued to certain institutional investors, and the 2019-1 EETC face amount of the Certificates were funded by the purchase price paid by such investors for its Certificates on four funding dates from December 2019 to June 2020. On the first funding date in December 2019, $102.7 million of the $248.6 million face amount was funded from payment of the purchase price of the Certificates and placed in escrow. Subsequently in December 2019, we used</w:t>
      </w:r>
    </w:p>
    <w:p>
      <w:pPr>
        <w:spacing w:after="0" w:line="1"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$28.3 million of such escrowed funds to finance the purchase of one of the 13 aircraft. In January and February of 2020, we used $53.5 million of the escrowed funds and drew an additional $55.3 million to complete the refinancing of three owned aircraft, the purchase of two additional aircraft for our fleet and to buy one aircraft previously under an operating lease. The Certificates bear interest at the following rates per annum: Class A, 4.13% relating to seven of the financed aircraft and 4.25% relating to six of the financed aircraft; Class B, 4.66% relating to seven of the financed aircraft and 4.78% relating to six of the financed aircraft; and Class C, 6.95%. The expected maturity date of the Class A is December 15, 2027, the Class B is December 15, 2025 and the Class C is December 15, 2023.</w:t>
      </w:r>
    </w:p>
    <w:p>
      <w:pPr>
        <w:spacing w:after="0" w:line="94"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 xml:space="preserve">We recently executed leases for three additional Boeing 737-800 aircraft, in line with our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 </w:t>
      </w:r>
      <w:r>
        <w:rPr>
          <w:rFonts w:ascii="Arial" w:cs="Arial" w:eastAsia="Arial" w:hAnsi="Arial"/>
          <w:sz w:val="15"/>
          <w:szCs w:val="15"/>
          <w:i w:val="1"/>
          <w:iCs w:val="1"/>
          <w:color w:val="auto"/>
        </w:rPr>
        <w:t>Contractual</w:t>
      </w:r>
      <w:r>
        <w:rPr>
          <w:rFonts w:ascii="Arial" w:cs="Arial" w:eastAsia="Arial" w:hAnsi="Arial"/>
          <w:sz w:val="15"/>
          <w:szCs w:val="15"/>
          <w:color w:val="auto"/>
        </w:rPr>
        <w:t xml:space="preserve"> </w:t>
      </w:r>
      <w:r>
        <w:rPr>
          <w:rFonts w:ascii="Arial" w:cs="Arial" w:eastAsia="Arial" w:hAnsi="Arial"/>
          <w:sz w:val="15"/>
          <w:szCs w:val="15"/>
          <w:i w:val="1"/>
          <w:iCs w:val="1"/>
          <w:color w:val="auto"/>
        </w:rPr>
        <w:t>Obligations and Commitments</w:t>
      </w:r>
      <w:r>
        <w:rPr>
          <w:rFonts w:ascii="Arial" w:cs="Arial" w:eastAsia="Arial" w:hAnsi="Arial"/>
          <w:sz w:val="15"/>
          <w:szCs w:val="15"/>
          <w:color w:val="auto"/>
        </w:rPr>
        <w:t>” below.</w:t>
      </w:r>
    </w:p>
    <w:p>
      <w:pPr>
        <w:spacing w:after="0" w:line="95" w:lineRule="exact"/>
        <w:rPr>
          <w:sz w:val="20"/>
          <w:szCs w:val="20"/>
          <w:color w:val="auto"/>
        </w:rPr>
      </w:pPr>
    </w:p>
    <w:p>
      <w:pPr>
        <w:ind w:left="1160" w:right="1199" w:firstLine="293"/>
        <w:spacing w:after="0" w:line="271" w:lineRule="auto"/>
        <w:rPr>
          <w:sz w:val="20"/>
          <w:szCs w:val="20"/>
          <w:color w:val="auto"/>
        </w:rPr>
      </w:pPr>
      <w:r>
        <w:rPr>
          <w:rFonts w:ascii="Arial" w:cs="Arial" w:eastAsia="Arial" w:hAnsi="Arial"/>
          <w:sz w:val="14"/>
          <w:szCs w:val="14"/>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91" w:lineRule="exact"/>
        <w:rPr>
          <w:sz w:val="20"/>
          <w:szCs w:val="20"/>
          <w:color w:val="auto"/>
        </w:rPr>
      </w:pPr>
    </w:p>
    <w:p>
      <w:pPr>
        <w:ind w:left="1160" w:right="1519" w:firstLine="293"/>
        <w:spacing w:after="0" w:line="266" w:lineRule="auto"/>
        <w:rPr>
          <w:sz w:val="20"/>
          <w:szCs w:val="20"/>
          <w:color w:val="auto"/>
        </w:rPr>
      </w:pPr>
      <w:r>
        <w:rPr>
          <w:rFonts w:ascii="Arial" w:cs="Arial" w:eastAsia="Arial" w:hAnsi="Arial"/>
          <w:sz w:val="14"/>
          <w:szCs w:val="14"/>
          <w:color w:val="auto"/>
        </w:rPr>
        <w:t>In the years ended December 31, 2020 and December 31, 2019, the Successor 2018 period and the Predecessor 2018 period, we expensed $8.7 million, $18.6 million, $12.8 million and $6.0 million, respectively, of maintenance reserve payments to our lessors. As of December 31, 2020, we had $25.7 million in recoverable aircraft maintenance deposits on our consolidated balance sheet, and</w:t>
      </w:r>
    </w:p>
    <w:p>
      <w:pPr>
        <w:ind w:left="1160" w:right="1179"/>
        <w:spacing w:after="0" w:line="249" w:lineRule="auto"/>
        <w:rPr>
          <w:sz w:val="20"/>
          <w:szCs w:val="20"/>
          <w:color w:val="auto"/>
        </w:rPr>
      </w:pPr>
      <w:r>
        <w:rPr>
          <w:rFonts w:ascii="Arial" w:cs="Arial" w:eastAsia="Arial" w:hAnsi="Arial"/>
          <w:sz w:val="15"/>
          <w:szCs w:val="15"/>
          <w:color w:val="auto"/>
        </w:rPr>
        <w:t>$2.2 million in accounts receivable as the eligible maintenance had been performed and reimbursement from the lessor is pending.</w:t>
      </w:r>
    </w:p>
    <w:p>
      <w:pPr>
        <w:spacing w:after="0" w:line="104"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82"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In our cash and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major indicators of financial condition and liquidity:</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9"/>
              </w:rPr>
              <w:t>As of</w:t>
            </w: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9"/>
              </w:rPr>
              <w:t>As of</w:t>
            </w: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As of</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79"/>
              </w:rPr>
              <w:t>As of</w:t>
            </w:r>
          </w:p>
        </w:tc>
      </w:tr>
      <w:tr>
        <w:trPr>
          <w:trHeight w:val="132"/>
        </w:trPr>
        <w:tc>
          <w:tcPr>
            <w:tcW w:w="3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90"/>
              </w:rPr>
              <w:t>March 31,</w:t>
            </w:r>
          </w:p>
        </w:tc>
        <w:tc>
          <w:tcPr>
            <w:tcW w:w="88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8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6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5"/>
              </w:rPr>
              <w:t>December31,</w:t>
            </w:r>
          </w:p>
        </w:tc>
      </w:tr>
      <w:tr>
        <w:trPr>
          <w:trHeight w:val="150"/>
        </w:trPr>
        <w:tc>
          <w:tcPr>
            <w:tcW w:w="354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debt to capital amounts)</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2"/>
              </w:rPr>
              <w:t>2021</w:t>
            </w: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2"/>
              </w:rPr>
              <w:t>2020</w:t>
            </w:r>
          </w:p>
        </w:tc>
        <w:tc>
          <w:tcPr>
            <w:tcW w:w="1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1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equivalents .</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9"/>
              </w:rPr>
              <w:t>$269,599</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$ 62,028</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$ 51,006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$ 29,600</w:t>
            </w:r>
          </w:p>
        </w:tc>
      </w:tr>
      <w:tr>
        <w:trPr>
          <w:trHeight w:val="209"/>
        </w:trPr>
        <w:tc>
          <w:tcPr>
            <w:tcW w:w="3540" w:type="dxa"/>
            <w:vAlign w:val="bottom"/>
            <w:gridSpan w:val="2"/>
          </w:tcPr>
          <w:p>
            <w:pPr>
              <w:spacing w:after="0"/>
              <w:rPr>
                <w:sz w:val="20"/>
                <w:szCs w:val="20"/>
                <w:color w:val="auto"/>
              </w:rPr>
            </w:pPr>
            <w:r>
              <w:rPr>
                <w:rFonts w:ascii="Arial" w:cs="Arial" w:eastAsia="Arial" w:hAnsi="Arial"/>
                <w:sz w:val="15"/>
                <w:szCs w:val="15"/>
                <w:color w:val="auto"/>
              </w:rPr>
              <w:t>Investments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5,777</w:t>
            </w:r>
          </w:p>
        </w:tc>
        <w:tc>
          <w:tcPr>
            <w:tcW w:w="700" w:type="dxa"/>
            <w:vAlign w:val="bottom"/>
          </w:tcPr>
          <w:p>
            <w:pPr>
              <w:jc w:val="right"/>
              <w:spacing w:after="0"/>
              <w:rPr>
                <w:sz w:val="20"/>
                <w:szCs w:val="20"/>
                <w:color w:val="auto"/>
              </w:rPr>
            </w:pPr>
            <w:r>
              <w:rPr>
                <w:rFonts w:ascii="Arial" w:cs="Arial" w:eastAsia="Arial" w:hAnsi="Arial"/>
                <w:sz w:val="15"/>
                <w:szCs w:val="15"/>
                <w:color w:val="auto"/>
              </w:rPr>
              <w:t>5,624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5,694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5,947</w:t>
            </w:r>
          </w:p>
        </w:tc>
      </w:tr>
      <w:tr>
        <w:trPr>
          <w:trHeight w:val="209"/>
        </w:trPr>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274,109</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256,345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73,720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49,823</w:t>
            </w:r>
          </w:p>
        </w:tc>
      </w:tr>
      <w:tr>
        <w:trPr>
          <w:trHeight w:val="209"/>
        </w:trPr>
        <w:tc>
          <w:tcPr>
            <w:tcW w:w="3540" w:type="dxa"/>
            <w:vAlign w:val="bottom"/>
            <w:gridSpan w:val="2"/>
          </w:tcPr>
          <w:p>
            <w:pPr>
              <w:spacing w:after="0"/>
              <w:rPr>
                <w:sz w:val="20"/>
                <w:szCs w:val="20"/>
                <w:color w:val="auto"/>
              </w:rPr>
            </w:pPr>
            <w:r>
              <w:rPr>
                <w:rFonts w:ascii="Arial" w:cs="Arial" w:eastAsia="Arial" w:hAnsi="Arial"/>
                <w:sz w:val="15"/>
                <w:szCs w:val="15"/>
                <w:color w:val="auto"/>
              </w:rPr>
              <w:t>Stockholders’ equity.</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409,960</w:t>
            </w:r>
          </w:p>
        </w:tc>
        <w:tc>
          <w:tcPr>
            <w:tcW w:w="700" w:type="dxa"/>
            <w:vAlign w:val="bottom"/>
          </w:tcPr>
          <w:p>
            <w:pPr>
              <w:jc w:val="right"/>
              <w:spacing w:after="0"/>
              <w:rPr>
                <w:sz w:val="20"/>
                <w:szCs w:val="20"/>
                <w:color w:val="auto"/>
              </w:rPr>
            </w:pPr>
            <w:r>
              <w:rPr>
                <w:rFonts w:ascii="Arial" w:cs="Arial" w:eastAsia="Arial" w:hAnsi="Arial"/>
                <w:sz w:val="15"/>
                <w:szCs w:val="15"/>
                <w:color w:val="auto"/>
              </w:rPr>
              <w:t>283,817</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283,724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235,647</w:t>
            </w:r>
          </w:p>
        </w:tc>
      </w:tr>
      <w:tr>
        <w:trPr>
          <w:trHeight w:val="169"/>
        </w:trPr>
        <w:tc>
          <w:tcPr>
            <w:tcW w:w="35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Debt-to-capital including aircraft operating and</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38"/>
        </w:trPr>
        <w:tc>
          <w:tcPr>
            <w:tcW w:w="3540" w:type="dxa"/>
            <w:vAlign w:val="bottom"/>
            <w:gridSpan w:val="2"/>
            <w:shd w:val="clear" w:color="auto" w:fill="CCEEFF"/>
          </w:tcPr>
          <w:p>
            <w:pPr>
              <w:ind w:left="160"/>
              <w:spacing w:after="0" w:line="238" w:lineRule="exact"/>
              <w:rPr>
                <w:sz w:val="20"/>
                <w:szCs w:val="20"/>
                <w:color w:val="auto"/>
              </w:rPr>
            </w:pPr>
            <w:r>
              <w:rPr>
                <w:rFonts w:ascii="Arial" w:cs="Arial" w:eastAsia="Arial" w:hAnsi="Arial"/>
                <w:sz w:val="15"/>
                <w:szCs w:val="15"/>
                <w:color w:val="auto"/>
              </w:rPr>
              <w:t>finance lease obligations</w:t>
            </w:r>
            <w:r>
              <w:rPr>
                <w:rFonts w:ascii="Arial" w:cs="Arial" w:eastAsia="Arial" w:hAnsi="Arial"/>
                <w:sz w:val="21"/>
                <w:szCs w:val="21"/>
                <w:color w:val="auto"/>
                <w:vertAlign w:val="superscript"/>
              </w:rPr>
              <w:t>(1)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0.55</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0.65</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0.62</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-794385</wp:posOffset>
            </wp:positionV>
            <wp:extent cx="11176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-794385</wp:posOffset>
            </wp:positionV>
            <wp:extent cx="11176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-794385</wp:posOffset>
            </wp:positionV>
            <wp:extent cx="11176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-794385</wp:posOffset>
            </wp:positionV>
            <wp:extent cx="11176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4" w:lineRule="exact"/>
        <w:rPr>
          <w:sz w:val="20"/>
          <w:szCs w:val="20"/>
          <w:color w:val="auto"/>
        </w:rPr>
      </w:pPr>
    </w:p>
    <w:p>
      <w:pPr>
        <w:ind w:left="1460" w:right="1339" w:hanging="296"/>
        <w:spacing w:after="0" w:line="221" w:lineRule="auto"/>
        <w:tabs>
          <w:tab w:leader="none" w:pos="1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Calculated using the present value of remaining aircraft lease payments for aircraft that are in our operating fleet as of the balance sheet date. In 2019, following the adoption of ASC 842, this calculation will be performed utilizing the operating lease obligations as capitalized on our balance sheet. It is not expected to significantly change the ratio. Finance lease obligations were formerly referred to as capital lease obligations prior to our adoption of the new leasing standard on January 1, 2019.</w:t>
      </w:r>
    </w:p>
    <w:p>
      <w:pPr>
        <w:spacing w:after="0" w:line="12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Cash Flows</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three months ended March 31, 2021 and 2020</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presents information regarding our cash flows the three months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March 31, 2021 and 2020:</w:t>
      </w:r>
    </w:p>
    <w:p>
      <w:pPr>
        <w:spacing w:after="0" w:line="12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w w:val="93"/>
              </w:rPr>
              <w:t>For the three months</w:t>
            </w:r>
          </w:p>
        </w:tc>
      </w:tr>
      <w:tr>
        <w:trPr>
          <w:trHeight w:val="150"/>
        </w:trPr>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ended March 31,</w:t>
            </w:r>
          </w:p>
        </w:tc>
      </w:tr>
      <w:tr>
        <w:trPr>
          <w:trHeight w:val="21"/>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3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580" w:type="dxa"/>
            <w:vAlign w:val="bottom"/>
          </w:tcPr>
          <w:p>
            <w:pPr>
              <w:jc w:val="right"/>
              <w:ind w:right="114"/>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1"/>
        </w:trPr>
        <w:tc>
          <w:tcPr>
            <w:tcW w:w="5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$ 15,839</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$ 13,858</w:t>
            </w:r>
          </w:p>
        </w:tc>
        <w:tc>
          <w:tcPr>
            <w:tcW w:w="60" w:type="dxa"/>
            <w:vAlign w:val="bottom"/>
          </w:tcPr>
          <w:p>
            <w:pPr>
              <w:spacing w:after="0"/>
              <w:rPr>
                <w:sz w:val="17"/>
                <w:szCs w:val="17"/>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(54,552)</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(75,048)</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243,968</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54,855</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-403860</wp:posOffset>
            </wp:positionV>
            <wp:extent cx="11176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-403860</wp:posOffset>
            </wp:positionV>
            <wp:extent cx="11176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Operating activities in the three months ended March 31, 2021 provided $15.8 million compared to providing $13.9 million in the three months ended March 31, 2020.</w:t>
      </w:r>
    </w:p>
    <w:p>
      <w:pPr>
        <w:spacing w:after="0" w:line="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operating cash flow is primarily impacted by the following factors:</w:t>
      </w:r>
    </w:p>
    <w:p>
      <w:pPr>
        <w:spacing w:after="0" w:line="124"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i w:val="1"/>
          <w:iCs w:val="1"/>
          <w:color w:val="auto"/>
        </w:rPr>
        <w:t>Seasonality of Advance Ticket Sales</w:t>
      </w:r>
      <w:r>
        <w:rPr>
          <w:rFonts w:ascii="Arial" w:cs="Arial" w:eastAsia="Arial" w:hAnsi="Arial"/>
          <w:sz w:val="14"/>
          <w:szCs w:val="14"/>
          <w:color w:val="auto"/>
        </w:rPr>
        <w:t>. We sell tickets for air travel in advance of the customer’s travel</w:t>
      </w:r>
      <w:r>
        <w:rPr>
          <w:rFonts w:ascii="Arial" w:cs="Arial" w:eastAsia="Arial" w:hAnsi="Arial"/>
          <w:sz w:val="14"/>
          <w:szCs w:val="14"/>
          <w:i w:val="1"/>
          <w:iCs w:val="1"/>
          <w:color w:val="auto"/>
        </w:rPr>
        <w:t xml:space="preserve"> </w:t>
      </w:r>
      <w:r>
        <w:rPr>
          <w:rFonts w:ascii="Arial" w:cs="Arial" w:eastAsia="Arial" w:hAnsi="Arial"/>
          <w:sz w:val="14"/>
          <w:szCs w:val="14"/>
          <w:color w:val="auto"/>
        </w:rPr>
        <w:t>date. When we receive a cash payment at the time of sale, we record the cash received on advance sales as deferred revenue in air traffic liabilities. Air traffic liabilities typically increase during the winter and spring months as advanced ticket sales grow prior to the summer peak travel season and decrease during the summer and fall months. The outlook for the remainder of the year is unclear, but we are currently planning for modest demand recovery to continue in the fourth quarter of 2021.</w:t>
      </w:r>
    </w:p>
    <w:p>
      <w:pPr>
        <w:spacing w:after="0" w:line="91"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i w:val="1"/>
          <w:iCs w:val="1"/>
          <w:color w:val="auto"/>
        </w:rPr>
        <w:t>Fuel</w:t>
      </w:r>
      <w:r>
        <w:rPr>
          <w:rFonts w:ascii="Arial" w:cs="Arial" w:eastAsia="Arial" w:hAnsi="Arial"/>
          <w:sz w:val="15"/>
          <w:szCs w:val="15"/>
          <w:color w:val="auto"/>
        </w:rPr>
        <w:t>. Fuel expense represented approximately 24% and 34% of our total operating expense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and 2020, respectively. The market price for jet fuel is volatile, which can impact the comparability of our periodic cash flows from operations. We expect fuel consumption to increase through the end of 2021 compared to prior year periods consistent with increased passengers as the impact of the pandemic subsides.</w:t>
      </w:r>
    </w:p>
    <w:p>
      <w:pPr>
        <w:spacing w:after="0" w:line="8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i w:val="1"/>
          <w:iCs w:val="1"/>
          <w:color w:val="auto"/>
        </w:rPr>
        <w:t>CARES Act</w:t>
      </w:r>
      <w:r>
        <w:rPr>
          <w:rFonts w:ascii="Arial" w:cs="Arial" w:eastAsia="Arial" w:hAnsi="Arial"/>
          <w:sz w:val="15"/>
          <w:szCs w:val="15"/>
          <w:color w:val="auto"/>
        </w:rPr>
        <w:t>. During the three months ended March 31, 2021 we received $32.2 million in CARES Act</w:t>
      </w:r>
      <w:r>
        <w:rPr>
          <w:rFonts w:ascii="Arial" w:cs="Arial" w:eastAsia="Arial" w:hAnsi="Arial"/>
          <w:sz w:val="15"/>
          <w:szCs w:val="15"/>
          <w:i w:val="1"/>
          <w:iCs w:val="1"/>
          <w:color w:val="auto"/>
        </w:rPr>
        <w:t xml:space="preserve"> </w:t>
      </w:r>
      <w:r>
        <w:rPr>
          <w:rFonts w:ascii="Arial" w:cs="Arial" w:eastAsia="Arial" w:hAnsi="Arial"/>
          <w:sz w:val="15"/>
          <w:szCs w:val="15"/>
          <w:color w:val="auto"/>
        </w:rPr>
        <w:t>grants. We did not receive a grant in the first quarter of 2020.</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24" w:lineRule="exact"/>
        <w:rPr>
          <w:sz w:val="20"/>
          <w:szCs w:val="20"/>
          <w:color w:val="auto"/>
        </w:rPr>
      </w:pPr>
    </w:p>
    <w:p>
      <w:pPr>
        <w:ind w:left="1160" w:right="1819" w:firstLine="293"/>
        <w:spacing w:after="0" w:line="239" w:lineRule="auto"/>
        <w:rPr>
          <w:sz w:val="20"/>
          <w:szCs w:val="20"/>
          <w:color w:val="auto"/>
        </w:rPr>
      </w:pPr>
      <w:r>
        <w:rPr>
          <w:rFonts w:ascii="Arial" w:cs="Arial" w:eastAsia="Arial" w:hAnsi="Arial"/>
          <w:sz w:val="15"/>
          <w:szCs w:val="15"/>
          <w:i w:val="1"/>
          <w:iCs w:val="1"/>
          <w:color w:val="auto"/>
        </w:rPr>
        <w:t>Capital Expenditures</w:t>
      </w:r>
      <w:r>
        <w:rPr>
          <w:rFonts w:ascii="Arial" w:cs="Arial" w:eastAsia="Arial" w:hAnsi="Arial"/>
          <w:sz w:val="15"/>
          <w:szCs w:val="15"/>
          <w:color w:val="auto"/>
        </w:rPr>
        <w:t>. Our capital expenditures were $54.4 million and $75.3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March 31, 2021 and 2020, respectively. Our capital expenditures during the three months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spacing w:after="0" w:line="239" w:lineRule="auto"/>
        <w:rPr>
          <w:sz w:val="20"/>
          <w:szCs w:val="20"/>
          <w:color w:val="auto"/>
        </w:rPr>
      </w:pPr>
      <w:r>
        <w:rPr>
          <w:rFonts w:ascii="Arial" w:cs="Arial" w:eastAsia="Arial" w:hAnsi="Arial"/>
          <w:sz w:val="15"/>
          <w:szCs w:val="15"/>
          <w:color w:val="auto"/>
        </w:rPr>
        <w:t>ended March 31, 2021 were primarily related to the purchases of aircraft and technology enhancements. We invested $52.8 million to purchase five aircraft in the first quarter of 2021 as compared to investing $72.5 million on three aircraft and one engine in the first quarter of 2020.</w:t>
      </w:r>
    </w:p>
    <w:p>
      <w:pPr>
        <w:spacing w:after="0" w:line="100" w:lineRule="exact"/>
        <w:rPr>
          <w:sz w:val="20"/>
          <w:szCs w:val="20"/>
          <w:color w:val="auto"/>
        </w:rPr>
      </w:pPr>
    </w:p>
    <w:p>
      <w:pPr>
        <w:jc w:val="both"/>
        <w:ind w:left="1160" w:right="1479" w:firstLine="293"/>
        <w:spacing w:after="0" w:line="239" w:lineRule="auto"/>
        <w:rPr>
          <w:sz w:val="20"/>
          <w:szCs w:val="20"/>
          <w:color w:val="auto"/>
        </w:rPr>
      </w:pPr>
      <w:r>
        <w:rPr>
          <w:rFonts w:ascii="Arial" w:cs="Arial" w:eastAsia="Arial" w:hAnsi="Arial"/>
          <w:sz w:val="15"/>
          <w:szCs w:val="15"/>
          <w:color w:val="auto"/>
        </w:rPr>
        <w:t>As of March 31, 2021, we were in the process of closing on the purchase of one additional aircraft, which closed on April 6, 2021. To finance this purchase, we drew down an additional $12.5 million the Delayed Draw Term Loan Facility.</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113"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i w:val="1"/>
          <w:iCs w:val="1"/>
          <w:color w:val="auto"/>
        </w:rPr>
        <w:t>IPO</w:t>
      </w:r>
      <w:r>
        <w:rPr>
          <w:rFonts w:ascii="Arial" w:cs="Arial" w:eastAsia="Arial" w:hAnsi="Arial"/>
          <w:sz w:val="14"/>
          <w:szCs w:val="14"/>
          <w:color w:val="auto"/>
        </w:rPr>
        <w:t>. On March 19, 2021, the Company issued 9,090,909 shares of common stock to the public at</w:t>
      </w:r>
      <w:r>
        <w:rPr>
          <w:rFonts w:ascii="Arial" w:cs="Arial" w:eastAsia="Arial" w:hAnsi="Arial"/>
          <w:sz w:val="14"/>
          <w:szCs w:val="14"/>
          <w:i w:val="1"/>
          <w:iCs w:val="1"/>
          <w:color w:val="auto"/>
        </w:rPr>
        <w:t xml:space="preserve"> </w:t>
      </w:r>
      <w:r>
        <w:rPr>
          <w:rFonts w:ascii="Arial" w:cs="Arial" w:eastAsia="Arial" w:hAnsi="Arial"/>
          <w:sz w:val="14"/>
          <w:szCs w:val="14"/>
          <w:color w:val="auto"/>
        </w:rPr>
        <w:t>$24.00 per share. The underwriters had an option to purchase an additional 1,363,636 shares from the Company at the public offering price, which they exercised in full and which also closed on March 19, 2021. In total, all 10,454,545 shares were issued and the net proceeds to the Company were $224.7 million after deducting underwriting discounts and commissions, and other offering expenses.</w:t>
      </w:r>
    </w:p>
    <w:p>
      <w:pPr>
        <w:spacing w:after="0" w:line="90" w:lineRule="exact"/>
        <w:rPr>
          <w:sz w:val="20"/>
          <w:szCs w:val="20"/>
          <w:color w:val="auto"/>
        </w:rPr>
      </w:pPr>
    </w:p>
    <w:p>
      <w:pPr>
        <w:jc w:val="both"/>
        <w:ind w:left="1160" w:right="1259" w:firstLine="293"/>
        <w:spacing w:after="0" w:line="235" w:lineRule="auto"/>
        <w:rPr>
          <w:sz w:val="20"/>
          <w:szCs w:val="20"/>
          <w:color w:val="auto"/>
        </w:rPr>
      </w:pPr>
      <w:r>
        <w:rPr>
          <w:rFonts w:ascii="Arial" w:cs="Arial" w:eastAsia="Arial" w:hAnsi="Arial"/>
          <w:sz w:val="15"/>
          <w:szCs w:val="15"/>
          <w:i w:val="1"/>
          <w:iCs w:val="1"/>
          <w:color w:val="auto"/>
        </w:rPr>
        <w:t>Debt</w:t>
      </w:r>
      <w:r>
        <w:rPr>
          <w:rFonts w:ascii="Arial" w:cs="Arial" w:eastAsia="Arial" w:hAnsi="Arial"/>
          <w:sz w:val="15"/>
          <w:szCs w:val="15"/>
          <w:color w:val="auto"/>
        </w:rPr>
        <w:t>. In the three months ended March 31, 2021, we incurred $ 68.0 million in new debt, primarily to</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five aircraft. In the first quarter of 2020 we incurred $108.8 million in debt, primarily to purchase three aircraft and to refinance three others. In the first quarter of 2021, we repaid the $45.0 million CARES Act Loan, plus interest. In the first quarter of 2020 we repaid $47.3 million in debt, primarily related to the refinancing of three aircraft.</w:t>
      </w:r>
    </w:p>
    <w:p>
      <w:pPr>
        <w:spacing w:after="0" w:line="100" w:lineRule="exact"/>
        <w:rPr>
          <w:sz w:val="20"/>
          <w:szCs w:val="20"/>
          <w:color w:val="auto"/>
        </w:rPr>
      </w:pPr>
    </w:p>
    <w:p>
      <w:pPr>
        <w:ind w:left="1160" w:right="1699" w:firstLine="293"/>
        <w:spacing w:after="0" w:line="283" w:lineRule="auto"/>
        <w:rPr>
          <w:sz w:val="20"/>
          <w:szCs w:val="20"/>
          <w:color w:val="auto"/>
        </w:rPr>
      </w:pPr>
      <w:r>
        <w:rPr>
          <w:rFonts w:ascii="Arial" w:cs="Arial" w:eastAsia="Arial" w:hAnsi="Arial"/>
          <w:sz w:val="14"/>
          <w:szCs w:val="14"/>
          <w:color w:val="auto"/>
        </w:rPr>
        <w:t>For additional information regarding these financing arrangements, see Note 7 to our unaudited condensed consolidated financial statements included elsewhere in this prospectus.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For the years ended December 31, 2020 and 2019</w:t>
      </w:r>
    </w:p>
    <w:p>
      <w:pPr>
        <w:spacing w:after="0" w:line="113"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The following table presents information regarding our cash flows the years ended December 31, 2020 and 2019:</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w w:val="91"/>
              </w:rPr>
              <w:t>For the year ended</w:t>
            </w:r>
          </w:p>
        </w:tc>
      </w:tr>
      <w:tr>
        <w:trPr>
          <w:trHeight w:val="150"/>
        </w:trPr>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3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3"/>
                <w:szCs w:val="13"/>
                <w:color w:val="auto"/>
              </w:rPr>
            </w:pPr>
          </w:p>
        </w:tc>
        <w:tc>
          <w:tcPr>
            <w:tcW w:w="480" w:type="dxa"/>
            <w:vAlign w:val="bottom"/>
          </w:tcPr>
          <w:p>
            <w:pPr>
              <w:jc w:val="right"/>
              <w:ind w:right="11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374</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$ 63,272</w:t>
            </w:r>
          </w:p>
        </w:tc>
        <w:tc>
          <w:tcPr>
            <w:tcW w:w="60" w:type="dxa"/>
            <w:vAlign w:val="bottom"/>
          </w:tcPr>
          <w:p>
            <w:pPr>
              <w:spacing w:after="0"/>
              <w:rPr>
                <w:sz w:val="17"/>
                <w:szCs w:val="17"/>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(96,028)</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(69,564)</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101,539</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27,329</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-403860</wp:posOffset>
            </wp:positionV>
            <wp:extent cx="11176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-403860</wp:posOffset>
            </wp:positionV>
            <wp:extent cx="11176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3"/>
          <w:szCs w:val="13"/>
          <w:color w:val="auto"/>
        </w:rPr>
        <w:t>For the year ended December 31, 2020, net cash provided by operating activities was $0.4 million, due to a net loss of $3.9 million. Non-cash expenses included in net loss were depreciation and amortization of $48.1 million related to additional owned and finance leased aircraft, reduction in operating lease right-of-use assets of $25.9 million related to our aircraft under operating leases and mark-to -market losses on fuel derivatives of $12.2 million due to our fuel price hedging activity. Non-cash income included in net loss was amortization of over-market liabilities of $ 10.4 million related to acquisition accounting. These factors were largely offset by cash payments related to a decrease in our operating lease liabilities of $28.4 million, a decrease in air traffic liabilities of $15.6 million, a decrease in accrued transportation taxes of</w:t>
      </w:r>
    </w:p>
    <w:p>
      <w:pPr>
        <w:spacing w:after="0" w:line="5" w:lineRule="exact"/>
        <w:rPr>
          <w:sz w:val="20"/>
          <w:szCs w:val="20"/>
          <w:color w:val="auto"/>
        </w:rPr>
      </w:pPr>
    </w:p>
    <w:p>
      <w:pPr>
        <w:ind w:left="1160" w:right="1339"/>
        <w:spacing w:after="0" w:line="245" w:lineRule="auto"/>
        <w:rPr>
          <w:sz w:val="20"/>
          <w:szCs w:val="20"/>
          <w:color w:val="auto"/>
        </w:rPr>
      </w:pPr>
      <w:r>
        <w:rPr>
          <w:rFonts w:ascii="Arial" w:cs="Arial" w:eastAsia="Arial" w:hAnsi="Arial"/>
          <w:sz w:val="14"/>
          <w:szCs w:val="14"/>
          <w:color w:val="auto"/>
        </w:rPr>
        <w:t>$7.8 million, a decrease in accounts payable of $7.2 million, an increase in lessor maintenance deposits of $9.4 million, an increase in other assets of $5.4 million and an increase in accounts receivable of</w:t>
      </w:r>
    </w:p>
    <w:p>
      <w:pPr>
        <w:spacing w:after="0" w:line="1" w:lineRule="exact"/>
        <w:rPr>
          <w:sz w:val="20"/>
          <w:szCs w:val="20"/>
          <w:color w:val="auto"/>
        </w:rPr>
      </w:pPr>
    </w:p>
    <w:p>
      <w:pPr>
        <w:ind w:left="1160" w:right="1199"/>
        <w:spacing w:after="0" w:line="231" w:lineRule="auto"/>
        <w:rPr>
          <w:sz w:val="20"/>
          <w:szCs w:val="20"/>
          <w:color w:val="auto"/>
        </w:rPr>
      </w:pPr>
      <w:r>
        <w:rPr>
          <w:rFonts w:ascii="Arial" w:cs="Arial" w:eastAsia="Arial" w:hAnsi="Arial"/>
          <w:sz w:val="15"/>
          <w:szCs w:val="15"/>
          <w:color w:val="auto"/>
        </w:rPr>
        <w:t>$6.3 million. Included in net loss was $62.3 million of cash proceeds from a Treasury grant as part of the CARES Act under the Payroll Support Program, which are recognized as a contra-expense as the salaries, wages and benefit expenses the grant is intended to offset are incurred, and $2.3 million in credit recognized under the CARES Act Employee Retention Credit. Furthermore, as a result of the COVID-19 pandemic, we negotiated rent payment deferrals of $7.6 million with a majority of our aircraft lessors, which are expected to be paid by the second half of 2021.</w:t>
      </w:r>
    </w:p>
    <w:p>
      <w:pPr>
        <w:spacing w:after="0" w:line="102" w:lineRule="exact"/>
        <w:rPr>
          <w:sz w:val="20"/>
          <w:szCs w:val="20"/>
          <w:color w:val="auto"/>
        </w:rPr>
      </w:pPr>
    </w:p>
    <w:p>
      <w:pPr>
        <w:ind w:left="1160" w:right="1419" w:firstLine="293"/>
        <w:spacing w:after="0" w:line="323" w:lineRule="auto"/>
        <w:rPr>
          <w:sz w:val="20"/>
          <w:szCs w:val="20"/>
          <w:color w:val="auto"/>
        </w:rPr>
      </w:pPr>
      <w:r>
        <w:rPr>
          <w:rFonts w:ascii="Arial" w:cs="Arial" w:eastAsia="Arial" w:hAnsi="Arial"/>
          <w:sz w:val="13"/>
          <w:szCs w:val="13"/>
          <w:color w:val="auto"/>
        </w:rPr>
        <w:t>For the year ended December 31, 2019, net cash provided by operating activities was $63.3 million, primarily due to net income of $46.1 million, depreciation and amortization of $34.9 million related to</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39"/>
        <w:spacing w:after="0" w:line="251" w:lineRule="auto"/>
        <w:rPr>
          <w:sz w:val="20"/>
          <w:szCs w:val="20"/>
          <w:color w:val="auto"/>
        </w:rPr>
      </w:pPr>
      <w:r>
        <w:rPr>
          <w:rFonts w:ascii="Arial" w:cs="Arial" w:eastAsia="Arial" w:hAnsi="Arial"/>
          <w:sz w:val="14"/>
          <w:szCs w:val="14"/>
          <w:color w:val="auto"/>
        </w:rPr>
        <w:t>additional owned and finance leased aircraft, deferred income taxes of $14.0 million, an increase in air traffic liabilities of $11.3 million, a decrease in prepaid expenses of $2.3 million, and an increase in accounts payable of $9.0 million, partially offset by mark-to-market gains on fuel derivatives of</w:t>
      </w:r>
    </w:p>
    <w:p>
      <w:pPr>
        <w:spacing w:after="0" w:line="1" w:lineRule="exact"/>
        <w:rPr>
          <w:sz w:val="20"/>
          <w:szCs w:val="20"/>
          <w:color w:val="auto"/>
        </w:rPr>
      </w:pPr>
    </w:p>
    <w:p>
      <w:pPr>
        <w:jc w:val="both"/>
        <w:ind w:left="1160" w:right="1259"/>
        <w:spacing w:after="0" w:line="255" w:lineRule="auto"/>
        <w:rPr>
          <w:sz w:val="20"/>
          <w:szCs w:val="20"/>
          <w:color w:val="auto"/>
        </w:rPr>
      </w:pPr>
      <w:r>
        <w:rPr>
          <w:rFonts w:ascii="Arial" w:cs="Arial" w:eastAsia="Arial" w:hAnsi="Arial"/>
          <w:sz w:val="14"/>
          <w:szCs w:val="14"/>
          <w:color w:val="auto"/>
        </w:rPr>
        <w:t>$10.8 million due to our fuel price hedging activity, $14.1 million in amortization of over-market liabilities related to acquisition accounting, an increase in accounts receivable of $11.4 million, an increase in lessor maintenance deposits of $17.5 million and a decrease in loyalty program liabilities of $5.9 million.</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24"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For the year ended December 31, 2020, net cash used in investing activities was $96.0 million, primarily due to purchases of property and equipment of $96.3 million related to investments in our fleet, partially offset by proceeds from the sale of property and equipment of $0.2 million and net proceeds of the sale of investments of $0.1 million.</w:t>
      </w:r>
    </w:p>
    <w:p>
      <w:pPr>
        <w:spacing w:after="0" w:line="91" w:lineRule="exact"/>
        <w:rPr>
          <w:sz w:val="20"/>
          <w:szCs w:val="20"/>
          <w:color w:val="auto"/>
        </w:rPr>
      </w:pPr>
    </w:p>
    <w:p>
      <w:pPr>
        <w:ind w:left="1160" w:right="1379" w:firstLine="293"/>
        <w:spacing w:after="0" w:line="264"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from the sale of investments of $0.2 million.</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Financing Activities.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For the year ended December 31, 2020, net cash provided by financing activities was $101.5 million,</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primarily due to $220.3 million in proceeds from borrowings in connection with the 2019-1 EETC for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purchase of nine aircraft, including seven previously under operating or finance leases, and the refinance of</w:t>
      </w:r>
    </w:p>
    <w:p>
      <w:pPr>
        <w:ind w:left="1160"/>
        <w:spacing w:after="0" w:line="234" w:lineRule="auto"/>
        <w:rPr>
          <w:sz w:val="20"/>
          <w:szCs w:val="20"/>
          <w:color w:val="auto"/>
        </w:rPr>
      </w:pPr>
      <w:r>
        <w:rPr>
          <w:rFonts w:ascii="Arial" w:cs="Arial" w:eastAsia="Arial" w:hAnsi="Arial"/>
          <w:sz w:val="15"/>
          <w:szCs w:val="15"/>
          <w:color w:val="auto"/>
        </w:rPr>
        <w:t>three owned aircraft, $45.0 million in borrowings related to the CARES Act Loan, partially offset by</w:t>
      </w:r>
    </w:p>
    <w:p>
      <w:pPr>
        <w:ind w:left="1160"/>
        <w:spacing w:after="0"/>
        <w:rPr>
          <w:sz w:val="20"/>
          <w:szCs w:val="20"/>
          <w:color w:val="auto"/>
        </w:rPr>
      </w:pPr>
      <w:r>
        <w:rPr>
          <w:rFonts w:ascii="Arial" w:cs="Arial" w:eastAsia="Arial" w:hAnsi="Arial"/>
          <w:sz w:val="14"/>
          <w:szCs w:val="14"/>
          <w:color w:val="auto"/>
        </w:rPr>
        <w:t>$89.7 million of principal payments related to our finance leases, $69.9 million in debt repayments related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refinancing of three owned aircraft, and payment of debt issuance costs of $4.2 million.</w:t>
      </w:r>
    </w:p>
    <w:p>
      <w:pPr>
        <w:spacing w:after="0" w:line="101" w:lineRule="exact"/>
        <w:rPr>
          <w:sz w:val="20"/>
          <w:szCs w:val="20"/>
          <w:color w:val="auto"/>
        </w:rPr>
      </w:pPr>
    </w:p>
    <w:p>
      <w:pPr>
        <w:ind w:left="1160" w:right="1419" w:firstLine="293"/>
        <w:spacing w:after="0" w:line="274" w:lineRule="auto"/>
        <w:rPr>
          <w:sz w:val="20"/>
          <w:szCs w:val="20"/>
          <w:color w:val="auto"/>
        </w:rPr>
      </w:pPr>
      <w:r>
        <w:rPr>
          <w:rFonts w:ascii="Arial" w:cs="Arial" w:eastAsia="Arial" w:hAnsi="Arial"/>
          <w:sz w:val="13"/>
          <w:szCs w:val="13"/>
          <w:color w:val="auto"/>
        </w:rPr>
        <w:t>For the year ended December 31, 2019, net cash provided by financing activities was $27.3 million, primarily due $41.6 million in proceeds from borrowings in connection with the 2019-1 EETC and</w:t>
      </w:r>
    </w:p>
    <w:p>
      <w:pPr>
        <w:ind w:left="1160" w:right="1299"/>
        <w:spacing w:after="0" w:line="233" w:lineRule="auto"/>
        <w:rPr>
          <w:sz w:val="20"/>
          <w:szCs w:val="20"/>
          <w:color w:val="auto"/>
        </w:rPr>
      </w:pPr>
      <w:r>
        <w:rPr>
          <w:rFonts w:ascii="Arial" w:cs="Arial" w:eastAsia="Arial" w:hAnsi="Arial"/>
          <w:sz w:val="15"/>
          <w:szCs w:val="15"/>
          <w:color w:val="auto"/>
        </w:rPr>
        <w:t>$4.7 million of proceeds received for the vesting of warrants issued in connection with the ATSA, partially offset by $8.3 million of principal payments related to our finance leases and $10.2 million in debt repayments.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Year ended December 31, 2019 and Successor and Predecessor 2018 periods</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presents information regarding our cash flows for the year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31, 2019 and the Successor 2018 and Predecessor 2018 periods:</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gridSpan w:val="4"/>
            <w:vMerge w:val="restart"/>
          </w:tcPr>
          <w:p>
            <w:pPr>
              <w:ind w:left="560"/>
              <w:spacing w:after="0"/>
              <w:rPr>
                <w:sz w:val="20"/>
                <w:szCs w:val="20"/>
                <w:color w:val="auto"/>
              </w:rPr>
            </w:pPr>
            <w:r>
              <w:rPr>
                <w:rFonts w:ascii="Arial" w:cs="Arial" w:eastAsia="Arial" w:hAnsi="Arial"/>
                <w:sz w:val="12"/>
                <w:szCs w:val="12"/>
                <w:b w:val="1"/>
                <w:bCs w:val="1"/>
                <w:color w:val="auto"/>
              </w:rPr>
              <w:t>Successor</w:t>
            </w:r>
          </w:p>
        </w:tc>
        <w:tc>
          <w:tcPr>
            <w:tcW w:w="20" w:type="dxa"/>
            <w:vAlign w:val="bottom"/>
          </w:tcPr>
          <w:p>
            <w:pPr>
              <w:spacing w:after="0"/>
              <w:rPr>
                <w:sz w:val="2"/>
                <w:szCs w:val="2"/>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4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For the period</w:t>
            </w:r>
          </w:p>
        </w:tc>
        <w:tc>
          <w:tcPr>
            <w:tcW w:w="20" w:type="dxa"/>
            <w:vAlign w:val="bottom"/>
            <w:shd w:val="clear" w:color="auto" w:fill="000000"/>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For the year</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7"/>
              </w:rPr>
              <w:t>April 11, 2018</w:t>
            </w:r>
          </w:p>
        </w:tc>
        <w:tc>
          <w:tcPr>
            <w:tcW w:w="20" w:type="dxa"/>
            <w:vAlign w:val="bottom"/>
            <w:shd w:val="clear" w:color="auto" w:fill="000000"/>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ended</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8"/>
              </w:rPr>
              <w:t>through</w:t>
            </w:r>
          </w:p>
        </w:tc>
        <w:tc>
          <w:tcPr>
            <w:tcW w:w="20" w:type="dxa"/>
            <w:vAlign w:val="bottom"/>
            <w:shd w:val="clear" w:color="auto" w:fill="000000"/>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132"/>
        </w:trPr>
        <w:tc>
          <w:tcPr>
            <w:tcW w:w="4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8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December 31,</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1"/>
              </w:rPr>
              <w:t>December 31,</w:t>
            </w:r>
          </w:p>
        </w:tc>
        <w:tc>
          <w:tcPr>
            <w:tcW w:w="20" w:type="dxa"/>
            <w:vAlign w:val="bottom"/>
            <w:shd w:val="clear" w:color="auto" w:fill="000000"/>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2018 through</w:t>
            </w:r>
          </w:p>
        </w:tc>
        <w:tc>
          <w:tcPr>
            <w:tcW w:w="0" w:type="dxa"/>
            <w:vAlign w:val="bottom"/>
          </w:tcPr>
          <w:p>
            <w:pPr>
              <w:spacing w:after="0"/>
              <w:rPr>
                <w:sz w:val="1"/>
                <w:szCs w:val="1"/>
                <w:color w:val="auto"/>
              </w:rPr>
            </w:pPr>
          </w:p>
        </w:tc>
      </w:tr>
      <w:tr>
        <w:trPr>
          <w:trHeight w:val="150"/>
        </w:trPr>
        <w:tc>
          <w:tcPr>
            <w:tcW w:w="4200" w:type="dxa"/>
            <w:vAlign w:val="bottom"/>
            <w:gridSpan w:val="2"/>
            <w:vMerge w:val="continue"/>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2"/>
              </w:rPr>
              <w:t>2019</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2"/>
              </w:rPr>
              <w:t>2018</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$ 63,272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rPr>
              <w:t>$ 13,764</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80" w:type="dxa"/>
            <w:vAlign w:val="bottom"/>
            <w:tcBorders>
              <w:left w:val="single" w:sz="8" w:color="CCEEFF"/>
            </w:tcBorders>
            <w:shd w:val="clear" w:color="auto" w:fill="CCEEFF"/>
          </w:tcPr>
          <w:p>
            <w:pPr>
              <w:jc w:val="right"/>
              <w:ind w:right="36"/>
              <w:spacing w:after="0"/>
              <w:rPr>
                <w:sz w:val="20"/>
                <w:szCs w:val="20"/>
                <w:color w:val="auto"/>
              </w:rPr>
            </w:pPr>
            <w:r>
              <w:rPr>
                <w:rFonts w:ascii="Arial" w:cs="Arial" w:eastAsia="Arial" w:hAnsi="Arial"/>
                <w:sz w:val="15"/>
                <w:szCs w:val="15"/>
                <w:color w:val="auto"/>
              </w:rPr>
              <w:t>$  4,583</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5"/>
                <w:szCs w:val="15"/>
                <w:color w:val="auto"/>
              </w:rPr>
              <w:t>Net cash used in investing activities.</w:t>
            </w:r>
          </w:p>
        </w:tc>
        <w:tc>
          <w:tcPr>
            <w:tcW w:w="700" w:type="dxa"/>
            <w:vAlign w:val="bottom"/>
          </w:tcPr>
          <w:p>
            <w:pPr>
              <w:jc w:val="right"/>
              <w:spacing w:after="0"/>
              <w:rPr>
                <w:sz w:val="20"/>
                <w:szCs w:val="20"/>
                <w:color w:val="auto"/>
              </w:rPr>
            </w:pPr>
            <w:r>
              <w:rPr>
                <w:rFonts w:ascii="Arial" w:cs="Arial" w:eastAsia="Arial" w:hAnsi="Arial"/>
                <w:sz w:val="15"/>
                <w:szCs w:val="15"/>
                <w:color w:val="auto"/>
              </w:rPr>
              <w:t>(69,564)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(80,823)</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cash provided by (used in) financing activities.</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27,329</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rPr>
              <w:t>102,193</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-410845</wp:posOffset>
            </wp:positionV>
            <wp:extent cx="10477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-410845</wp:posOffset>
            </wp:positionV>
            <wp:extent cx="11176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-410845</wp:posOffset>
            </wp:positionV>
            <wp:extent cx="11176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Operating Activities.</w:t>
      </w:r>
    </w:p>
    <w:p>
      <w:pPr>
        <w:spacing w:after="0" w:line="124"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For the year ended December 31, 2019, net cash provided by operating activities was $ 63.3 million, primarily due to net income of $46.1 million, increased by depreciation and amortization of $34.9 million related to additional owned and finance leased aircraft, deferred income taxes of $14.0 million, an increase in air traffic liabilities of $11.3 million, and an increase in accounts payable of $9.0 million, partially offset by $14.1 million in amortization of over-market liabilities related to acquisition accounting, an increase in accounts receivable of $ 11.4 million, an increase in lessor maintenance deposits of $17.5 million and mark-to-market losses on fuel derivatives of $10.8 million due to our fuel price hedging activity.</w:t>
      </w:r>
    </w:p>
    <w:p>
      <w:pPr>
        <w:spacing w:after="0" w:line="91" w:lineRule="exact"/>
        <w:rPr>
          <w:sz w:val="20"/>
          <w:szCs w:val="20"/>
          <w:color w:val="auto"/>
        </w:rPr>
      </w:pPr>
    </w:p>
    <w:p>
      <w:pPr>
        <w:ind w:left="1160" w:right="1179" w:firstLine="293"/>
        <w:spacing w:after="0" w:line="323" w:lineRule="auto"/>
        <w:rPr>
          <w:sz w:val="20"/>
          <w:szCs w:val="20"/>
          <w:color w:val="auto"/>
        </w:rPr>
      </w:pPr>
      <w:r>
        <w:rPr>
          <w:rFonts w:ascii="Arial" w:cs="Arial" w:eastAsia="Arial" w:hAnsi="Arial"/>
          <w:sz w:val="13"/>
          <w:szCs w:val="13"/>
          <w:color w:val="auto"/>
        </w:rPr>
        <w:t>For the Successor 2018 period, net cash provided by operating activities was $13.8 million, due to a net loss of $0.4 million, increased by depreciation and amortization of $14.4 million related to additional owned</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49" w:lineRule="auto"/>
        <w:rPr>
          <w:sz w:val="20"/>
          <w:szCs w:val="20"/>
          <w:color w:val="auto"/>
        </w:rPr>
      </w:pPr>
      <w:r>
        <w:rPr>
          <w:rFonts w:ascii="Arial" w:cs="Arial" w:eastAsia="Arial" w:hAnsi="Arial"/>
          <w:sz w:val="14"/>
          <w:szCs w:val="14"/>
          <w:color w:val="auto"/>
        </w:rPr>
        <w:t>and finance leased aircraft, mark-to-market losses on fuel derivatives of $12.0 million due to our fuel price hedging activity, a decrease in accounts receivable of $20.7 million driven by a one- time recovery of amounts held by our credit card processor, and an increase in air traffic liabilities of $33.5 million due to increased operations and higher forward bookings, largely offset by $17.3 million in amortization of over-market liabilities related to acquisition accounting, an increase in lessor maintenance deposits of</w:t>
      </w:r>
    </w:p>
    <w:p>
      <w:pPr>
        <w:spacing w:after="0" w:line="1" w:lineRule="exact"/>
        <w:rPr>
          <w:sz w:val="20"/>
          <w:szCs w:val="20"/>
          <w:color w:val="auto"/>
        </w:rPr>
      </w:pPr>
    </w:p>
    <w:p>
      <w:pPr>
        <w:ind w:left="1160" w:right="1919"/>
        <w:spacing w:after="0" w:line="236" w:lineRule="auto"/>
        <w:rPr>
          <w:sz w:val="20"/>
          <w:szCs w:val="20"/>
          <w:color w:val="auto"/>
        </w:rPr>
      </w:pPr>
      <w:r>
        <w:rPr>
          <w:rFonts w:ascii="Arial" w:cs="Arial" w:eastAsia="Arial" w:hAnsi="Arial"/>
          <w:sz w:val="15"/>
          <w:szCs w:val="15"/>
          <w:color w:val="auto"/>
        </w:rPr>
        <w:t>$14.2 million, a decrease in accounts payable of $9.7 million, an increase in prepaid expenses of $6.2 million and a decrease in other liabilities of $5.5 million.</w:t>
      </w:r>
    </w:p>
    <w:p>
      <w:pPr>
        <w:spacing w:after="0" w:line="99"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For the Predecessor 2018 period, net cash provided by operating activities was $4.6 million, primarily due to net income of $25.9 million, increased by $2.5 million related to depreciation and amortization, an increase in accounts payable of $21.7 million, a decrease in accounts receivable of $8.1 million, and largely offset by a decrease in air traffic liabilities of $ 34.0 million, an increase in receivable due from the predecessor parent of $7.4 million, an increase in prepaid expenses of $5.5 million and an increase in lessor maintenance deposits of $3.1 million.</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Used In Investing Activities.</w:t>
      </w:r>
    </w:p>
    <w:p>
      <w:pPr>
        <w:spacing w:after="0" w:line="102" w:lineRule="exact"/>
        <w:rPr>
          <w:sz w:val="20"/>
          <w:szCs w:val="20"/>
          <w:color w:val="auto"/>
        </w:rPr>
      </w:pPr>
    </w:p>
    <w:p>
      <w:pPr>
        <w:ind w:left="1160" w:right="1299" w:firstLine="293"/>
        <w:spacing w:after="0" w:line="258" w:lineRule="auto"/>
        <w:rPr>
          <w:sz w:val="20"/>
          <w:szCs w:val="20"/>
          <w:color w:val="auto"/>
        </w:rPr>
      </w:pPr>
      <w:r>
        <w:rPr>
          <w:rFonts w:ascii="Arial" w:cs="Arial" w:eastAsia="Arial" w:hAnsi="Arial"/>
          <w:sz w:val="14"/>
          <w:szCs w:val="14"/>
          <w:color w:val="auto"/>
        </w:rPr>
        <w:t>For the year ended December 31, 2019, net cash used in investing activities was $69.6 million, primarily due to purchases of property and equipment of $69.8 million related to investments in our fleet, partially offset by net proceeds of the sale of investments of $0.2 million due to funding of letters of credit and surety bonds associated with our operations at various airports.</w:t>
      </w:r>
    </w:p>
    <w:p>
      <w:pPr>
        <w:spacing w:after="0" w:line="88"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For the Successor 2018 period, net cash used in investing activities was $80.8 million, primarily due to purchases of property and equipment of $ 78.7 million related to investments in our fleet and other assets during 2018 driven by our transformation plan, including the purchase of three aircraft, and net purchases of investments of $2.1 million.</w:t>
      </w:r>
    </w:p>
    <w:p>
      <w:pPr>
        <w:spacing w:after="0" w:line="102"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For the Predecessor 2018 period, net cash used in investing activities was $2.6 million, primarily due to purchases of property and equipment of $2.6 million.</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Cash Provided By (Used In) Financing Activities.</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For the year ended December 31, 2019, net cash provided by financing activities was $27.3 million,</w:t>
      </w:r>
    </w:p>
    <w:p>
      <w:pPr>
        <w:ind w:left="1160"/>
        <w:spacing w:after="0" w:line="235" w:lineRule="auto"/>
        <w:rPr>
          <w:sz w:val="20"/>
          <w:szCs w:val="20"/>
          <w:color w:val="auto"/>
        </w:rPr>
      </w:pPr>
      <w:r>
        <w:rPr>
          <w:rFonts w:ascii="Arial" w:cs="Arial" w:eastAsia="Arial" w:hAnsi="Arial"/>
          <w:sz w:val="15"/>
          <w:szCs w:val="15"/>
          <w:color w:val="auto"/>
        </w:rPr>
        <w:t>primarily due to $41.6 million in proceeds from borrowings in connection with the 2019-1 EETC and</w:t>
      </w:r>
    </w:p>
    <w:p>
      <w:pPr>
        <w:ind w:left="1160"/>
        <w:spacing w:after="0" w:line="229" w:lineRule="auto"/>
        <w:rPr>
          <w:sz w:val="20"/>
          <w:szCs w:val="20"/>
          <w:color w:val="auto"/>
        </w:rPr>
      </w:pPr>
      <w:r>
        <w:rPr>
          <w:rFonts w:ascii="Arial" w:cs="Arial" w:eastAsia="Arial" w:hAnsi="Arial"/>
          <w:sz w:val="15"/>
          <w:szCs w:val="15"/>
          <w:color w:val="auto"/>
        </w:rPr>
        <w:t>$4.7 million of proceeds received for the vesting of warrants issued in connection with the ATSA, partially</w:t>
      </w:r>
    </w:p>
    <w:p>
      <w:pPr>
        <w:ind w:left="1160"/>
        <w:spacing w:after="0" w:line="229" w:lineRule="auto"/>
        <w:rPr>
          <w:sz w:val="20"/>
          <w:szCs w:val="20"/>
          <w:color w:val="auto"/>
        </w:rPr>
      </w:pPr>
      <w:r>
        <w:rPr>
          <w:rFonts w:ascii="Arial" w:cs="Arial" w:eastAsia="Arial" w:hAnsi="Arial"/>
          <w:sz w:val="15"/>
          <w:szCs w:val="15"/>
          <w:color w:val="auto"/>
        </w:rPr>
        <w:t>offset by $8.3 million of principal payments related to our finance leases and $10.2 million in debt</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repayments.</w:t>
      </w:r>
    </w:p>
    <w:p>
      <w:pPr>
        <w:spacing w:after="0" w:line="101" w:lineRule="exact"/>
        <w:rPr>
          <w:sz w:val="20"/>
          <w:szCs w:val="20"/>
          <w:color w:val="auto"/>
        </w:rPr>
      </w:pPr>
    </w:p>
    <w:p>
      <w:pPr>
        <w:ind w:left="1160" w:right="1259" w:firstLine="293"/>
        <w:spacing w:after="0" w:line="236" w:lineRule="auto"/>
        <w:rPr>
          <w:sz w:val="20"/>
          <w:szCs w:val="20"/>
          <w:color w:val="auto"/>
        </w:rPr>
      </w:pPr>
      <w:r>
        <w:rPr>
          <w:rFonts w:ascii="Arial" w:cs="Arial" w:eastAsia="Arial" w:hAnsi="Arial"/>
          <w:sz w:val="15"/>
          <w:szCs w:val="15"/>
          <w:color w:val="auto"/>
        </w:rPr>
        <w:t>For the Successor 2018 period, net cash provided by financing activities was $102.2 million, primarily due to SCA common stockholders’ capital contributions of $47.9 million and $63.3 million in proceeds from borrowings, partially offset by $3.2 million of principal repayments of capital lease liabilities and $5.9 million in debt repayments.</w:t>
      </w:r>
    </w:p>
    <w:p>
      <w:pPr>
        <w:spacing w:after="0" w:line="91"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For the Predecessor 2018 period, net cash used in financing activities was $10.7 million, primarily due to cash distributions to SCA common stockholders of $10.5 million.</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Commitments and Contractual Obligations</w:t>
      </w:r>
    </w:p>
    <w:p>
      <w:pPr>
        <w:spacing w:after="0" w:line="117"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We have contractual obligations comprised of aircraft leases and supplemental maintenance reserves, payment of debt and interest and other lease arrangements. As of March 31, 2021 we also have a contractual obligation to pay our pre -IPO stockholders under the terms of the income tax receivable agreement. The following table includes our contractual obligations as of December 31, 2020 for the periods in which payments are due:</w:t>
      </w:r>
    </w:p>
    <w:p>
      <w:pPr>
        <w:spacing w:after="0" w:line="105"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2022–2023</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2024– 2025</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Thereafter</w:t>
            </w:r>
          </w:p>
        </w:tc>
        <w:tc>
          <w:tcPr>
            <w:tcW w:w="1580" w:type="dxa"/>
            <w:vAlign w:val="bottom"/>
            <w:gridSpan w:val="2"/>
          </w:tcPr>
          <w:p>
            <w:pPr>
              <w:jc w:val="right"/>
              <w:ind w:right="1180"/>
              <w:spacing w:after="0"/>
              <w:rPr>
                <w:sz w:val="20"/>
                <w:szCs w:val="20"/>
                <w:color w:val="auto"/>
              </w:rPr>
            </w:pPr>
            <w:r>
              <w:rPr>
                <w:rFonts w:ascii="Arial" w:cs="Arial" w:eastAsia="Arial" w:hAnsi="Arial"/>
                <w:sz w:val="12"/>
                <w:szCs w:val="12"/>
                <w:b w:val="1"/>
                <w:bCs w:val="1"/>
                <w:color w:val="auto"/>
              </w:rPr>
              <w:t>Total</w:t>
            </w:r>
          </w:p>
        </w:tc>
      </w:tr>
      <w:tr>
        <w:trPr>
          <w:trHeight w:val="21"/>
        </w:trPr>
        <w:tc>
          <w:tcPr>
            <w:tcW w:w="10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3120" w:type="dxa"/>
            <w:vAlign w:val="bottom"/>
            <w:gridSpan w:val="2"/>
            <w:shd w:val="clear" w:color="auto" w:fill="CCEEFF"/>
          </w:tcPr>
          <w:p>
            <w:pPr>
              <w:spacing w:after="0" w:line="189" w:lineRule="exact"/>
              <w:rPr>
                <w:sz w:val="20"/>
                <w:szCs w:val="20"/>
                <w:color w:val="auto"/>
              </w:rPr>
            </w:pPr>
            <w:r>
              <w:rPr>
                <w:rFonts w:ascii="Arial" w:cs="Arial" w:eastAsia="Arial" w:hAnsi="Arial"/>
                <w:sz w:val="15"/>
                <w:szCs w:val="15"/>
                <w:color w:val="auto"/>
              </w:rPr>
              <w:t>Current and long-term debt</w:t>
            </w:r>
            <w:r>
              <w:rPr>
                <w:rFonts w:ascii="Arial" w:cs="Arial" w:eastAsia="Arial" w:hAnsi="Arial"/>
                <w:sz w:val="21"/>
                <w:szCs w:val="21"/>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26,928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72,665</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$132,469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53,739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$285,801</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3120" w:type="dxa"/>
            <w:vAlign w:val="bottom"/>
            <w:gridSpan w:val="2"/>
          </w:tcPr>
          <w:p>
            <w:pPr>
              <w:spacing w:after="0" w:line="198" w:lineRule="exact"/>
              <w:rPr>
                <w:sz w:val="20"/>
                <w:szCs w:val="20"/>
                <w:color w:val="auto"/>
              </w:rPr>
            </w:pPr>
            <w:r>
              <w:rPr>
                <w:rFonts w:ascii="Arial" w:cs="Arial" w:eastAsia="Arial" w:hAnsi="Arial"/>
                <w:sz w:val="15"/>
                <w:szCs w:val="15"/>
                <w:color w:val="auto"/>
              </w:rPr>
              <w:t>Interest obligations</w:t>
            </w:r>
            <w:r>
              <w:rPr>
                <w:rFonts w:ascii="Arial" w:cs="Arial" w:eastAsia="Arial" w:hAnsi="Arial"/>
                <w:sz w:val="21"/>
                <w:szCs w:val="21"/>
                <w:color w:val="auto"/>
                <w:vertAlign w:val="superscript"/>
              </w:rPr>
              <w:t>(2)</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14,678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25,651</w:t>
            </w: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12,737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3,146</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rPr>
              <w:t>56,212</w:t>
            </w:r>
          </w:p>
        </w:tc>
      </w:tr>
      <w:tr>
        <w:trPr>
          <w:trHeight w:val="198"/>
        </w:trPr>
        <w:tc>
          <w:tcPr>
            <w:tcW w:w="1020" w:type="dxa"/>
            <w:vAlign w:val="bottom"/>
          </w:tcPr>
          <w:p>
            <w:pPr>
              <w:spacing w:after="0"/>
              <w:rPr>
                <w:sz w:val="17"/>
                <w:szCs w:val="17"/>
                <w:color w:val="auto"/>
              </w:rPr>
            </w:pPr>
          </w:p>
        </w:tc>
        <w:tc>
          <w:tcPr>
            <w:tcW w:w="3120" w:type="dxa"/>
            <w:vAlign w:val="bottom"/>
            <w:gridSpan w:val="2"/>
            <w:shd w:val="clear" w:color="auto" w:fill="CCEEFF"/>
          </w:tcPr>
          <w:p>
            <w:pPr>
              <w:spacing w:after="0" w:line="198" w:lineRule="exact"/>
              <w:rPr>
                <w:sz w:val="20"/>
                <w:szCs w:val="20"/>
                <w:color w:val="auto"/>
              </w:rPr>
            </w:pPr>
            <w:r>
              <w:rPr>
                <w:rFonts w:ascii="Arial" w:cs="Arial" w:eastAsia="Arial" w:hAnsi="Arial"/>
                <w:sz w:val="15"/>
                <w:szCs w:val="15"/>
                <w:color w:val="auto"/>
              </w:rPr>
              <w:t>Operating lease obligations</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41,969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71,082</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37,038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13,293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163,382</w:t>
            </w:r>
          </w:p>
        </w:tc>
        <w:tc>
          <w:tcPr>
            <w:tcW w:w="1020" w:type="dxa"/>
            <w:vAlign w:val="bottom"/>
          </w:tcPr>
          <w:p>
            <w:pPr>
              <w:spacing w:after="0"/>
              <w:rPr>
                <w:sz w:val="17"/>
                <w:szCs w:val="17"/>
                <w:color w:val="auto"/>
              </w:rPr>
            </w:pPr>
          </w:p>
        </w:tc>
      </w:tr>
      <w:tr>
        <w:trPr>
          <w:trHeight w:val="198"/>
        </w:trPr>
        <w:tc>
          <w:tcPr>
            <w:tcW w:w="10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17,572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30,920</w:t>
            </w: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37,666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52,949</w:t>
            </w:r>
          </w:p>
        </w:tc>
        <w:tc>
          <w:tcPr>
            <w:tcW w:w="1580" w:type="dxa"/>
            <w:vAlign w:val="bottom"/>
            <w:gridSpan w:val="2"/>
          </w:tcPr>
          <w:p>
            <w:pPr>
              <w:jc w:val="right"/>
              <w:ind w:right="1020"/>
              <w:spacing w:after="0"/>
              <w:rPr>
                <w:sz w:val="20"/>
                <w:szCs w:val="20"/>
                <w:color w:val="auto"/>
              </w:rPr>
            </w:pPr>
            <w:r>
              <w:rPr>
                <w:rFonts w:ascii="Arial" w:cs="Arial" w:eastAsia="Arial" w:hAnsi="Arial"/>
                <w:sz w:val="15"/>
                <w:szCs w:val="15"/>
                <w:color w:val="auto"/>
                <w:w w:val="99"/>
              </w:rPr>
              <w:t>139,107</w:t>
            </w:r>
          </w:p>
        </w:tc>
      </w:tr>
      <w:tr>
        <w:trPr>
          <w:trHeight w:val="251"/>
        </w:trPr>
        <w:tc>
          <w:tcPr>
            <w:tcW w:w="1020" w:type="dxa"/>
            <w:vAlign w:val="bottom"/>
          </w:tcPr>
          <w:p>
            <w:pPr>
              <w:spacing w:after="0"/>
              <w:rPr>
                <w:sz w:val="21"/>
                <w:szCs w:val="21"/>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101,147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200,318</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$219,910</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123,127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$644,502</w:t>
            </w:r>
          </w:p>
        </w:tc>
        <w:tc>
          <w:tcPr>
            <w:tcW w:w="102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8"/>
        </w:trPr>
        <w:tc>
          <w:tcPr>
            <w:tcW w:w="1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169"/>
              <w:spacing w:after="0"/>
              <w:rPr>
                <w:sz w:val="20"/>
                <w:szCs w:val="20"/>
                <w:color w:val="auto"/>
              </w:rPr>
            </w:pPr>
            <w:r>
              <w:rPr>
                <w:rFonts w:ascii="Arial" w:cs="Arial" w:eastAsia="Arial" w:hAnsi="Arial"/>
                <w:sz w:val="15"/>
                <w:szCs w:val="15"/>
                <w:color w:val="auto"/>
                <w:w w:val="87"/>
              </w:rPr>
              <w:t>101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2"/>
        </w:trPr>
        <w:tc>
          <w:tcPr>
            <w:tcW w:w="10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-1220470</wp:posOffset>
            </wp:positionV>
            <wp:extent cx="11176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-1220470</wp:posOffset>
            </wp:positionV>
            <wp:extent cx="11176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-1220470</wp:posOffset>
            </wp:positionV>
            <wp:extent cx="11176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-1220470</wp:posOffset>
            </wp:positionV>
            <wp:extent cx="11176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-1220470</wp:posOffset>
            </wp:positionV>
            <wp:extent cx="11176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74295</wp:posOffset>
            </wp:positionV>
            <wp:extent cx="44640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85" w:lineRule="exact"/>
        <w:rPr>
          <w:sz w:val="20"/>
          <w:szCs w:val="20"/>
          <w:color w:val="auto"/>
        </w:rPr>
      </w:pPr>
    </w:p>
    <w:p>
      <w:pPr>
        <w:ind w:left="1460" w:hanging="296"/>
        <w:spacing w:after="0"/>
        <w:tabs>
          <w:tab w:leader="none" w:pos="1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principal portion only, exclusive of deferred financing costs.</w:t>
      </w:r>
    </w:p>
    <w:p>
      <w:pPr>
        <w:spacing w:after="0" w:line="58" w:lineRule="exact"/>
        <w:rPr>
          <w:rFonts w:ascii="Arial" w:cs="Arial" w:eastAsia="Arial" w:hAnsi="Arial"/>
          <w:sz w:val="15"/>
          <w:szCs w:val="15"/>
          <w:color w:val="auto"/>
        </w:rPr>
      </w:pPr>
    </w:p>
    <w:p>
      <w:pPr>
        <w:ind w:left="1460" w:hanging="296"/>
        <w:spacing w:after="0"/>
        <w:tabs>
          <w:tab w:leader="none" w:pos="1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Represents interest on current and long-term debt.</w:t>
      </w:r>
    </w:p>
    <w:p>
      <w:pPr>
        <w:spacing w:after="0" w:line="36" w:lineRule="exact"/>
        <w:rPr>
          <w:rFonts w:ascii="Arial" w:cs="Arial" w:eastAsia="Arial" w:hAnsi="Arial"/>
          <w:sz w:val="15"/>
          <w:szCs w:val="15"/>
          <w:color w:val="auto"/>
        </w:rPr>
      </w:pPr>
    </w:p>
    <w:p>
      <w:pPr>
        <w:ind w:left="1460" w:right="1439" w:hanging="296"/>
        <w:spacing w:after="0" w:line="236" w:lineRule="auto"/>
        <w:tabs>
          <w:tab w:leader="none" w:pos="1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Represents non-cancelable contractual payment commitments for aircraft and engines, and includes non-aircraft operating lease obligations.</w:t>
      </w:r>
    </w:p>
    <w:p>
      <w:pPr>
        <w:spacing w:after="0" w:line="100"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color w:val="auto"/>
        </w:rPr>
        <w:t>In connection with our initial public offering, we entered into an income tax receivable agreement with our pre-IPO stockholders. The agreement provides for the payment by the Company to the pre-IPO stockholders of 85% of the amount of cash savings, if any, in U.S. federal, state, local, and foreign income tax that the Company realizes.</w:t>
      </w:r>
    </w:p>
    <w:p>
      <w:pPr>
        <w:spacing w:after="0" w:line="102"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As of the date of this prospectus, we estimate our obligation for maintenance reserve payments to be $159 million in total, including $16 million in 2021, $48 million for 2022 and 2023, $ 42 million for 2024 and 2025, and $54 million thereafter. We used a portion of the proceeds from our initial public offering to repay in full all amounts outstanding under the CARES Act Loan on March 24, 2021.</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Off Balance Sheet Arrangements</w:t>
      </w:r>
    </w:p>
    <w:p>
      <w:pPr>
        <w:spacing w:after="0" w:line="117"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i w:val="1"/>
          <w:iCs w:val="1"/>
          <w:color w:val="auto"/>
        </w:rPr>
        <w:t>Indemnities</w:t>
      </w:r>
      <w:r>
        <w:rPr>
          <w:rFonts w:ascii="Arial" w:cs="Arial" w:eastAsia="Arial" w:hAnsi="Arial"/>
          <w:sz w:val="14"/>
          <w:szCs w:val="14"/>
          <w:color w:val="auto"/>
        </w:rPr>
        <w:t>. Our aircraft, equipment and other leases and certain operating agreements typically</w:t>
      </w:r>
      <w:r>
        <w:rPr>
          <w:rFonts w:ascii="Arial" w:cs="Arial" w:eastAsia="Arial" w:hAnsi="Arial"/>
          <w:sz w:val="14"/>
          <w:szCs w:val="14"/>
          <w:i w:val="1"/>
          <w:iCs w:val="1"/>
          <w:color w:val="auto"/>
        </w:rPr>
        <w:t xml:space="preserve"> </w:t>
      </w:r>
      <w:r>
        <w:rPr>
          <w:rFonts w:ascii="Arial" w:cs="Arial" w:eastAsia="Arial" w:hAnsi="Arial"/>
          <w:sz w:val="14"/>
          <w:szCs w:val="14"/>
          <w:color w:val="auto"/>
        </w:rPr>
        <w:t>contain 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90" w:lineRule="exact"/>
        <w:rPr>
          <w:sz w:val="20"/>
          <w:szCs w:val="20"/>
          <w:color w:val="auto"/>
        </w:rPr>
      </w:pPr>
    </w:p>
    <w:p>
      <w:pPr>
        <w:ind w:left="1160" w:right="1259" w:firstLine="293"/>
        <w:spacing w:after="0" w:line="235" w:lineRule="auto"/>
        <w:rPr>
          <w:sz w:val="20"/>
          <w:szCs w:val="20"/>
          <w:color w:val="auto"/>
        </w:rPr>
      </w:pPr>
      <w:r>
        <w:rPr>
          <w:rFonts w:ascii="Arial" w:cs="Arial" w:eastAsia="Arial" w:hAnsi="Arial"/>
          <w:sz w:val="15"/>
          <w:szCs w:val="15"/>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100"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89" w:lineRule="exact"/>
        <w:rPr>
          <w:sz w:val="20"/>
          <w:szCs w:val="20"/>
          <w:color w:val="auto"/>
        </w:rPr>
      </w:pPr>
    </w:p>
    <w:p>
      <w:pPr>
        <w:ind w:left="1160" w:right="1239" w:firstLine="293"/>
        <w:spacing w:after="0" w:line="270" w:lineRule="auto"/>
        <w:rPr>
          <w:sz w:val="20"/>
          <w:szCs w:val="20"/>
          <w:color w:val="auto"/>
        </w:rPr>
      </w:pPr>
      <w:r>
        <w:rPr>
          <w:rFonts w:ascii="Arial" w:cs="Arial" w:eastAsia="Arial" w:hAnsi="Arial"/>
          <w:sz w:val="13"/>
          <w:szCs w:val="13"/>
          <w:i w:val="1"/>
          <w:iCs w:val="1"/>
          <w:color w:val="auto"/>
        </w:rPr>
        <w:t>Pass-Through Trusts</w:t>
      </w:r>
      <w:r>
        <w:rPr>
          <w:rFonts w:ascii="Arial" w:cs="Arial" w:eastAsia="Arial" w:hAnsi="Arial"/>
          <w:sz w:val="13"/>
          <w:szCs w:val="13"/>
          <w:color w:val="auto"/>
        </w:rPr>
        <w:t>. We have equipment notes outstanding issued under the 2019-1 EETC.</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the 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 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 because the proceeds held by the depositary are not our assets. We record the debt obligation upon issuance of the equipment notes rather than upon the initial issuance of the pass-through certificates.</w:t>
      </w:r>
    </w:p>
    <w:p>
      <w:pPr>
        <w:spacing w:after="0" w:line="84" w:lineRule="exact"/>
        <w:rPr>
          <w:sz w:val="20"/>
          <w:szCs w:val="20"/>
          <w:color w:val="auto"/>
        </w:rPr>
      </w:pPr>
    </w:p>
    <w:p>
      <w:pPr>
        <w:ind w:left="1160" w:right="1219" w:firstLine="293"/>
        <w:spacing w:after="0" w:line="276" w:lineRule="auto"/>
        <w:rPr>
          <w:sz w:val="20"/>
          <w:szCs w:val="20"/>
          <w:color w:val="auto"/>
        </w:rPr>
      </w:pPr>
      <w:r>
        <w:rPr>
          <w:rFonts w:ascii="Arial" w:cs="Arial" w:eastAsia="Arial" w:hAnsi="Arial"/>
          <w:sz w:val="13"/>
          <w:szCs w:val="13"/>
          <w:i w:val="1"/>
          <w:iCs w:val="1"/>
          <w:color w:val="auto"/>
        </w:rPr>
        <w:t>Fuel Consortia</w:t>
      </w:r>
      <w:r>
        <w:rPr>
          <w:rFonts w:ascii="Arial" w:cs="Arial" w:eastAsia="Arial" w:hAnsi="Arial"/>
          <w:sz w:val="13"/>
          <w:szCs w:val="13"/>
          <w:color w:val="auto"/>
        </w:rPr>
        <w:t>. We currently participate in fuel consortia at Minneapolis-Saint Paul International</w:t>
      </w:r>
      <w:r>
        <w:rPr>
          <w:rFonts w:ascii="Arial" w:cs="Arial" w:eastAsia="Arial" w:hAnsi="Arial"/>
          <w:sz w:val="13"/>
          <w:szCs w:val="13"/>
          <w:i w:val="1"/>
          <w:iCs w:val="1"/>
          <w:color w:val="auto"/>
        </w:rPr>
        <w:t xml:space="preserve"> </w:t>
      </w:r>
      <w:r>
        <w:rPr>
          <w:rFonts w:ascii="Arial" w:cs="Arial" w:eastAsia="Arial" w:hAnsi="Arial"/>
          <w:sz w:val="13"/>
          <w:szCs w:val="13"/>
          <w:color w:val="auto"/>
        </w:rPr>
        <w:t>Airport, Las 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8" w:lineRule="auto"/>
        <w:rPr>
          <w:sz w:val="20"/>
          <w:szCs w:val="20"/>
          <w:color w:val="auto"/>
        </w:rPr>
      </w:pPr>
      <w:r>
        <w:rPr>
          <w:rFonts w:ascii="Arial" w:cs="Arial" w:eastAsia="Arial" w:hAnsi="Arial"/>
          <w:sz w:val="14"/>
          <w:szCs w:val="14"/>
          <w:color w:val="auto"/>
        </w:rPr>
        <w:t>incurred by such fuel consortia above insured amounts, where applicable, could also have an adverse impact on our business, results of operations and financial condition.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Our participation generally represents a small percentage of the overall fuel consortia interests, so our exposure would be limited to our proportional share of the fuel consortia’s overall costs; therefore, no liabilities related to any guarantees were recorded at the time the indirect guarantees were made. There are no assets or liabilities on our balance sheets related to these VIEs, since our participation is limited to purchasing aircraft fuel. Our maximum exposure to loss cannot be quantified but would be immaterial, given our minor proportional share of the fuel consortia’s overall costs. Third parties have not made any guarantees, liquidity arrangements or other commitment that impact our interests in the fuel VIEs. Additionally, we may withdraw from the agreements at any time, subject to compliance with certain provisions of the agreements.</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have no other off-balance sheet arrangements.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17" w:lineRule="exact"/>
        <w:rPr>
          <w:sz w:val="20"/>
          <w:szCs w:val="20"/>
          <w:color w:val="auto"/>
        </w:rPr>
      </w:pPr>
    </w:p>
    <w:p>
      <w:pPr>
        <w:ind w:left="1160" w:right="1459" w:firstLine="293"/>
        <w:spacing w:after="0" w:line="274" w:lineRule="auto"/>
        <w:rPr>
          <w:sz w:val="20"/>
          <w:szCs w:val="20"/>
          <w:color w:val="auto"/>
        </w:rPr>
      </w:pPr>
      <w:r>
        <w:rPr>
          <w:rFonts w:ascii="Arial" w:cs="Arial" w:eastAsia="Arial" w:hAnsi="Arial"/>
          <w:sz w:val="13"/>
          <w:szCs w:val="13"/>
          <w:color w:val="auto"/>
        </w:rPr>
        <w:t>Our financial position and results of operations are affected by significant judgments and estimates made by management in accordance with GAAP. These estimates are based on historical experience and varying 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2 to our audited consolidated financial statements included elsewhere in this prospectus for additional information.</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24" w:lineRule="exact"/>
        <w:rPr>
          <w:sz w:val="20"/>
          <w:szCs w:val="20"/>
          <w:color w:val="auto"/>
        </w:rPr>
      </w:pPr>
    </w:p>
    <w:p>
      <w:pPr>
        <w:ind w:left="1160" w:right="1219" w:firstLine="293"/>
        <w:spacing w:after="0" w:line="252" w:lineRule="auto"/>
        <w:rPr>
          <w:sz w:val="20"/>
          <w:szCs w:val="20"/>
          <w:color w:val="auto"/>
        </w:rPr>
      </w:pPr>
      <w:r>
        <w:rPr>
          <w:rFonts w:ascii="Arial" w:cs="Arial" w:eastAsia="Arial" w:hAnsi="Arial"/>
          <w:sz w:val="14"/>
          <w:szCs w:val="14"/>
          <w:i w:val="1"/>
          <w:iCs w:val="1"/>
          <w:color w:val="auto"/>
        </w:rPr>
        <w:t>Scheduled Service and Ancillary Revenue</w:t>
      </w:r>
      <w:r>
        <w:rPr>
          <w:rFonts w:ascii="Arial" w:cs="Arial" w:eastAsia="Arial" w:hAnsi="Arial"/>
          <w:sz w:val="14"/>
          <w:szCs w:val="14"/>
          <w:color w:val="auto"/>
        </w:rPr>
        <w:t>. We generate the majority of our revenue from sales of</w:t>
      </w:r>
      <w:r>
        <w:rPr>
          <w:rFonts w:ascii="Arial" w:cs="Arial" w:eastAsia="Arial" w:hAnsi="Arial"/>
          <w:sz w:val="14"/>
          <w:szCs w:val="14"/>
          <w:i w:val="1"/>
          <w:iCs w:val="1"/>
          <w:color w:val="auto"/>
        </w:rPr>
        <w:t xml:space="preserve"> </w:t>
      </w:r>
      <w:r>
        <w:rPr>
          <w:rFonts w:ascii="Arial" w:cs="Arial" w:eastAsia="Arial" w:hAnsi="Arial"/>
          <w:sz w:val="14"/>
          <w:szCs w:val="14"/>
          <w:color w:val="auto"/>
        </w:rPr>
        <w:t>passenger tickets and ancillary services along with charter sales. We initially defer ticket sales as an air traffic liability and recognize revenue when the passenger flight occurs. An unused nonrefundable ticket expires at the date of scheduled travel. Customers may elect to change their itinerary prior to departure. The amount remaining after deducting any applicable change fee is a credit that can currently be used towards the purchase of a new ticket for up to 12 months after the date of original purchase. The recorded value of the credit is calculated based on the original value less the change fee.</w:t>
      </w:r>
    </w:p>
    <w:p>
      <w:pPr>
        <w:spacing w:after="0" w:line="91"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We estimate and record breakage for unused tickets (where the ticket is not used and not extended, the customer is deemed a “no show” and the ticket is no longer valid) and travel credits we expect will expire unused. Estimating the amount of breakage involves subjectivity and judgment. These estimates are based on our historical experience of no-show tickets and travel credits and consider other facts, such as recent aging trends, program changes and modifications that could affect the ultimate usage patterns of tickets and travel credits.</w:t>
      </w:r>
    </w:p>
    <w:p>
      <w:pPr>
        <w:spacing w:after="0" w:line="90" w:lineRule="exact"/>
        <w:rPr>
          <w:sz w:val="20"/>
          <w:szCs w:val="20"/>
          <w:color w:val="auto"/>
        </w:rPr>
      </w:pPr>
    </w:p>
    <w:p>
      <w:pPr>
        <w:ind w:left="1160" w:right="1179" w:firstLine="293"/>
        <w:spacing w:after="0" w:line="236" w:lineRule="auto"/>
        <w:rPr>
          <w:sz w:val="20"/>
          <w:szCs w:val="20"/>
          <w:color w:val="auto"/>
        </w:rPr>
      </w:pPr>
      <w:r>
        <w:rPr>
          <w:rFonts w:ascii="Arial" w:cs="Arial" w:eastAsia="Arial" w:hAnsi="Arial"/>
          <w:sz w:val="15"/>
          <w:szCs w:val="15"/>
          <w:color w:val="auto"/>
        </w:rPr>
        <w:t>We estimate and record breakage for travel credits we expect will expire unused. Estimating the amount of breakage involves subjectivity and judgment. These estimates are based on our historical experience of unused travel credits and consider other factors, such as recent aging trends, program changes and modifications that could affect the ultimate usage patterns of travel credits.</w:t>
      </w:r>
    </w:p>
    <w:p>
      <w:pPr>
        <w:spacing w:after="0" w:line="102"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 xml:space="preserve">Effective January 1, 2019, we adopted Accounting Standards Update (“ASU”) 2014-09,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 (Topic 606)</w:t>
      </w:r>
      <w:r>
        <w:rPr>
          <w:rFonts w:ascii="Arial" w:cs="Arial" w:eastAsia="Arial" w:hAnsi="Arial"/>
          <w:sz w:val="15"/>
          <w:szCs w:val="15"/>
          <w:color w:val="auto"/>
        </w:rPr>
        <w:t>. The adoption of ASC 606 impacts the timing of recognition of</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fees and changes our accounting for outstanding loyalty points earned through travel by Sun Country Reward loyalty program members. There is no change in accounting for loyalty points transferred to our co-branded card partner as these have historically been reported in accordance with ASC 606. Through December 31, 2018, we used the incremental cost method to account for the portion of the loyalty program liability related to points earned through travel, which were valued based on the estimated incremental cost of carrying one additional passenger. ASC 606 required us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79" w:firstLine="293"/>
        <w:spacing w:after="0" w:line="239" w:lineRule="auto"/>
        <w:rPr>
          <w:sz w:val="20"/>
          <w:szCs w:val="20"/>
          <w:color w:val="auto"/>
        </w:rPr>
      </w:pPr>
      <w:r>
        <w:rPr>
          <w:rFonts w:ascii="Arial" w:cs="Arial" w:eastAsia="Arial" w:hAnsi="Arial"/>
          <w:sz w:val="15"/>
          <w:szCs w:val="15"/>
          <w:color w:val="auto"/>
        </w:rPr>
        <w:t>Upon adoption of ASC 606, we reclassified certain ancillary revenues from Other Revenue to Passenger Revenue. In addition, certain fees previously recognized when incurred by the customer are deferred and recognized as revenue when passenger travel is provided.</w:t>
      </w:r>
    </w:p>
    <w:p>
      <w:pPr>
        <w:spacing w:after="0" w:line="100" w:lineRule="exact"/>
        <w:rPr>
          <w:sz w:val="20"/>
          <w:szCs w:val="20"/>
          <w:color w:val="auto"/>
        </w:rPr>
      </w:pPr>
    </w:p>
    <w:p>
      <w:pPr>
        <w:ind w:left="1160" w:right="1239" w:firstLine="293"/>
        <w:spacing w:after="0" w:line="253" w:lineRule="auto"/>
        <w:rPr>
          <w:sz w:val="20"/>
          <w:szCs w:val="20"/>
          <w:color w:val="auto"/>
        </w:rPr>
      </w:pPr>
      <w:r>
        <w:rPr>
          <w:rFonts w:ascii="Arial" w:cs="Arial" w:eastAsia="Arial" w:hAnsi="Arial"/>
          <w:sz w:val="14"/>
          <w:szCs w:val="14"/>
          <w:color w:val="auto"/>
        </w:rPr>
        <w:t xml:space="preserve">We recognize ancillary revenue for baggage fees, seat selection fees, and on-board sales when the associated flight occurs. Prior to adoption of ASC 606, we recognized change fees as the transactions occurred. Under ASC 606, change fees are deferred and recognized when the passenger travel is provided. Fees sold in advance of the flight date are initially recorded as an air traffic liability. Ancillary revenue also includes services not directly related to providing transportation, such as revenue from our Sun Country Rewards program, as described below in “— </w:t>
      </w:r>
      <w:r>
        <w:rPr>
          <w:rFonts w:ascii="Arial" w:cs="Arial" w:eastAsia="Arial" w:hAnsi="Arial"/>
          <w:sz w:val="14"/>
          <w:szCs w:val="14"/>
          <w:i w:val="1"/>
          <w:iCs w:val="1"/>
          <w:color w:val="auto"/>
        </w:rPr>
        <w:t>Frequent Flyer Program</w:t>
      </w:r>
      <w:r>
        <w:rPr>
          <w:rFonts w:ascii="Arial" w:cs="Arial" w:eastAsia="Arial" w:hAnsi="Arial"/>
          <w:sz w:val="14"/>
          <w:szCs w:val="14"/>
          <w:color w:val="auto"/>
        </w:rPr>
        <w:t>.”</w:t>
      </w:r>
    </w:p>
    <w:p>
      <w:pPr>
        <w:spacing w:after="0" w:line="80"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i w:val="1"/>
          <w:iCs w:val="1"/>
          <w:color w:val="auto"/>
        </w:rPr>
        <w:t>Charter Service Revenue</w:t>
      </w:r>
      <w:r>
        <w:rPr>
          <w:rFonts w:ascii="Arial" w:cs="Arial" w:eastAsia="Arial" w:hAnsi="Arial"/>
          <w:sz w:val="15"/>
          <w:szCs w:val="15"/>
          <w:color w:val="auto"/>
        </w:rPr>
        <w:t>. Charter revenue is recognized at the time of departure when transportation</w:t>
      </w:r>
      <w:r>
        <w:rPr>
          <w:rFonts w:ascii="Arial" w:cs="Arial" w:eastAsia="Arial" w:hAnsi="Arial"/>
          <w:sz w:val="15"/>
          <w:szCs w:val="15"/>
          <w:i w:val="1"/>
          <w:iCs w:val="1"/>
          <w:color w:val="auto"/>
        </w:rPr>
        <w:t xml:space="preserve"> </w:t>
      </w:r>
      <w:r>
        <w:rPr>
          <w:rFonts w:ascii="Arial" w:cs="Arial" w:eastAsia="Arial" w:hAnsi="Arial"/>
          <w:sz w:val="15"/>
          <w:szCs w:val="15"/>
          <w:color w:val="auto"/>
        </w:rPr>
        <w:t>is provided.</w:t>
      </w:r>
    </w:p>
    <w:p>
      <w:pPr>
        <w:spacing w:after="0" w:line="94"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i w:val="1"/>
          <w:iCs w:val="1"/>
          <w:color w:val="auto"/>
        </w:rPr>
        <w:t>Cargo</w:t>
      </w:r>
      <w:r>
        <w:rPr>
          <w:rFonts w:ascii="Arial" w:cs="Arial" w:eastAsia="Arial" w:hAnsi="Arial"/>
          <w:sz w:val="15"/>
          <w:szCs w:val="15"/>
          <w:color w:val="auto"/>
        </w:rPr>
        <w:t>. Revenue for cargo services is typically recognized based on hours flown and the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aircraft operated during a reporting period. Revenues for certain performance obligations that are reimbursed through airline service agreements, including consumption of aircraft fuel, are generally recognized net of the related costs incurred. Under the ATSA, $5.6 million of start-up cost payments are being amortized on a pro rata basis into revenue over the term of the ATSA. The value of warrants issued to Amazon in December 2019 and expected to vest under this agreement are included in the transaction price of the ATSA and recognized as a reduction to gross revenue based on the pro-rata amortization of the estimated value.</w:t>
      </w:r>
    </w:p>
    <w:p>
      <w:pPr>
        <w:spacing w:after="0" w:line="100"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3"/>
          <w:szCs w:val="13"/>
          <w:i w:val="1"/>
          <w:iCs w:val="1"/>
          <w:color w:val="auto"/>
        </w:rPr>
        <w:t>Frequent Flyer Program</w:t>
      </w:r>
      <w:r>
        <w:rPr>
          <w:rFonts w:ascii="Arial" w:cs="Arial" w:eastAsia="Arial" w:hAnsi="Arial"/>
          <w:sz w:val="13"/>
          <w:szCs w:val="13"/>
          <w:color w:val="auto"/>
        </w:rPr>
        <w:t>. The Sun Country Rewards program provides frequent flyer rewards to</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members based on accumulated loyalty points. Loyalty points are earned as a result of travel and purchases using our co-branded credit card. The program terms include expiration of loyalty points after</w:t>
      </w:r>
    </w:p>
    <w:p>
      <w:pPr>
        <w:spacing w:after="0" w:line="2" w:lineRule="exact"/>
        <w:rPr>
          <w:sz w:val="20"/>
          <w:szCs w:val="20"/>
          <w:color w:val="auto"/>
        </w:rPr>
      </w:pPr>
    </w:p>
    <w:p>
      <w:pPr>
        <w:jc w:val="both"/>
        <w:ind w:left="1160" w:right="1219"/>
        <w:spacing w:after="0" w:line="284" w:lineRule="auto"/>
        <w:rPr>
          <w:sz w:val="20"/>
          <w:szCs w:val="20"/>
          <w:color w:val="auto"/>
        </w:rPr>
      </w:pPr>
      <w:r>
        <w:rPr>
          <w:rFonts w:ascii="Arial" w:cs="Arial" w:eastAsia="Arial" w:hAnsi="Arial"/>
          <w:sz w:val="13"/>
          <w:szCs w:val="13"/>
          <w:color w:val="auto"/>
        </w:rPr>
        <w:t>36 months from the date they were earned, except members who are holders of the Sun Country co -branded credit card are not subject to the expiration terms. For loyalty points earned under the Sun Country Rewards program, we have an obligation to provide future services when these loyalty points are redeemed.</w:t>
      </w:r>
    </w:p>
    <w:p>
      <w:pPr>
        <w:spacing w:after="0" w:line="62" w:lineRule="exact"/>
        <w:rPr>
          <w:sz w:val="20"/>
          <w:szCs w:val="20"/>
          <w:color w:val="auto"/>
        </w:rPr>
      </w:pPr>
    </w:p>
    <w:p>
      <w:pPr>
        <w:ind w:left="1160" w:right="1279" w:firstLine="293"/>
        <w:spacing w:after="0" w:line="232" w:lineRule="auto"/>
        <w:rPr>
          <w:sz w:val="20"/>
          <w:szCs w:val="20"/>
          <w:color w:val="auto"/>
        </w:rPr>
      </w:pPr>
      <w:r>
        <w:rPr>
          <w:rFonts w:ascii="Arial" w:cs="Arial" w:eastAsia="Arial" w:hAnsi="Arial"/>
          <w:sz w:val="15"/>
          <w:szCs w:val="15"/>
          <w:color w:val="auto"/>
        </w:rPr>
        <w:t>With respect to loyalty points earned as a result of travel, prior to adoption of ASC 606 we recognized a loyalty program liability and a corresponding sales and marketing expense as the loyalty points were earned and redeemed by loyalty program members, representing the incremental cost associated with the obligation to provide travel in the future. The incremental cost for loyalty points to be redeemed on our flights was estimated based on historical costs, which include the cost of aircraft fuel, insurance, security, ticketing and reservation costs. We adjusted our liability for outstanding points to fair value in connection with acquisition accounting and in the Successor 2018 period. Upon adoption of ASC 606, we adjusted the liability to fair value as of the adoption date and we now account for the earning and redemption of loyalty points based on the deferred revenue method and the relative standalone selling price including expected breakage.</w:t>
      </w:r>
    </w:p>
    <w:p>
      <w:pPr>
        <w:spacing w:after="0" w:line="101"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We estimate breakage for loyalty points that are not likely to be redeemed. A change in assumptions as to the period over which loyalty points are expected to be redeemed, the actual redemption activity or the estimated fair value of loyalty points expected to be redeemed could have an impact on revenues in the year in which the change occurs and in future years. Current and future changes to the loyalty points expiration policy or the program rules and program redemption opportunities may result in material changes to the loyalty program liability balance, as well as revenue recognized from the program.</w:t>
      </w:r>
    </w:p>
    <w:p>
      <w:pPr>
        <w:spacing w:after="0" w:line="91"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i w:val="1"/>
          <w:iCs w:val="1"/>
          <w:color w:val="auto"/>
        </w:rPr>
        <w:t>Co-Brand Credit Card Program</w:t>
      </w:r>
      <w:r>
        <w:rPr>
          <w:rFonts w:ascii="Arial" w:cs="Arial" w:eastAsia="Arial" w:hAnsi="Arial"/>
          <w:sz w:val="15"/>
          <w:szCs w:val="15"/>
          <w:color w:val="auto"/>
        </w:rPr>
        <w:t>. Our co-branded credit card with First Bank, a division of First</w:t>
      </w:r>
      <w:r>
        <w:rPr>
          <w:rFonts w:ascii="Arial" w:cs="Arial" w:eastAsia="Arial" w:hAnsi="Arial"/>
          <w:sz w:val="15"/>
          <w:szCs w:val="15"/>
          <w:i w:val="1"/>
          <w:iCs w:val="1"/>
          <w:color w:val="auto"/>
        </w:rPr>
        <w:t xml:space="preserve"> </w:t>
      </w:r>
      <w:r>
        <w:rPr>
          <w:rFonts w:ascii="Arial" w:cs="Arial" w:eastAsia="Arial" w:hAnsi="Arial"/>
          <w:sz w:val="15"/>
          <w:szCs w:val="15"/>
          <w:color w:val="auto"/>
        </w:rPr>
        <w:t>National Bank of Omaha, provides members with benefits which include a 50% discount on seat selection and bag fees (for the first checked bag), priority boarding, free premium drink during flight, and protection from their points expiring. We account for funds received for the advertising and marketing of the co-branded credit card and delivery of loyalty points as a multiple-deliverable arrangement. Funds received are allocated based on relative selling price. For the selling price of travel awards, we considered the terms for redemption under the Sun Country Rewards program that determine how loyalty points are applied to purchase Sun Country services.</w:t>
      </w:r>
    </w:p>
    <w:p>
      <w:pPr>
        <w:spacing w:after="0" w:line="89" w:lineRule="exact"/>
        <w:rPr>
          <w:sz w:val="20"/>
          <w:szCs w:val="20"/>
          <w:color w:val="auto"/>
        </w:rPr>
      </w:pPr>
    </w:p>
    <w:p>
      <w:pPr>
        <w:ind w:left="1160" w:right="1239" w:firstLine="293"/>
        <w:spacing w:after="0" w:line="294" w:lineRule="auto"/>
        <w:rPr>
          <w:sz w:val="20"/>
          <w:szCs w:val="20"/>
          <w:color w:val="auto"/>
        </w:rPr>
      </w:pPr>
      <w:r>
        <w:rPr>
          <w:rFonts w:ascii="Arial" w:cs="Arial" w:eastAsia="Arial" w:hAnsi="Arial"/>
          <w:sz w:val="13"/>
          <w:szCs w:val="13"/>
          <w:color w:val="auto"/>
        </w:rPr>
        <w:t>Prior to adoption of ASC 606, we applied a multiple element approach, and, in connection with our adoption of ASC 606, we updated the relative standalone selling prices of the marketing, passenger benefits and future transportation elements. Consideration allocated to reward credits is deferred and recognized</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99"/>
        <w:spacing w:after="0" w:line="323" w:lineRule="auto"/>
        <w:rPr>
          <w:sz w:val="20"/>
          <w:szCs w:val="20"/>
          <w:color w:val="auto"/>
        </w:rPr>
      </w:pPr>
      <w:r>
        <w:rPr>
          <w:rFonts w:ascii="Arial" w:cs="Arial" w:eastAsia="Arial" w:hAnsi="Arial"/>
          <w:sz w:val="13"/>
          <w:szCs w:val="13"/>
          <w:color w:val="auto"/>
        </w:rPr>
        <w:t>as passenger revenue as reward credit points are redeemed for travel. Consideration allocated to the marketing and advertising element is earned as the co-branded card is used and recorded in Other revenue.</w:t>
      </w:r>
    </w:p>
    <w:p>
      <w:pPr>
        <w:spacing w:after="0" w:line="10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Aircraft Maintenance</w:t>
      </w:r>
    </w:p>
    <w:p>
      <w:pPr>
        <w:spacing w:after="0" w:line="124" w:lineRule="exact"/>
        <w:rPr>
          <w:sz w:val="20"/>
          <w:szCs w:val="20"/>
          <w:color w:val="auto"/>
        </w:rPr>
      </w:pPr>
    </w:p>
    <w:p>
      <w:pPr>
        <w:ind w:left="1160" w:right="1339" w:firstLine="293"/>
        <w:spacing w:after="0" w:line="234" w:lineRule="auto"/>
        <w:rPr>
          <w:sz w:val="20"/>
          <w:szCs w:val="20"/>
          <w:color w:val="auto"/>
        </w:rPr>
      </w:pPr>
      <w:r>
        <w:rPr>
          <w:rFonts w:ascii="Arial" w:cs="Arial" w:eastAsia="Arial" w:hAnsi="Arial"/>
          <w:sz w:val="15"/>
          <w:szCs w:val="15"/>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 overhauls, limited life parts replacement and overhauls to major components. Certain maintenance functions are performed by third-party specialists under contracts that require payment based on a utilization measure such as flight hours.</w:t>
      </w:r>
    </w:p>
    <w:p>
      <w:pPr>
        <w:spacing w:after="0" w:line="90"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 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96" w:lineRule="exact"/>
        <w:rPr>
          <w:sz w:val="20"/>
          <w:szCs w:val="20"/>
          <w:color w:val="auto"/>
        </w:rPr>
      </w:pPr>
    </w:p>
    <w:p>
      <w:pPr>
        <w:ind w:left="1160" w:right="1199" w:firstLine="293"/>
        <w:spacing w:after="0" w:line="252" w:lineRule="auto"/>
        <w:rPr>
          <w:sz w:val="20"/>
          <w:szCs w:val="20"/>
          <w:color w:val="auto"/>
        </w:rPr>
      </w:pPr>
      <w:r>
        <w:rPr>
          <w:rFonts w:ascii="Arial" w:cs="Arial" w:eastAsia="Arial" w:hAnsi="Arial"/>
          <w:sz w:val="14"/>
          <w:szCs w:val="14"/>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91"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For leased aircraft, we expense maintenance as incurred. Routine cost for maintaining the airframes and engines and line maintenance are charged to maintenance expense as performed.</w:t>
      </w:r>
    </w:p>
    <w:p>
      <w:pPr>
        <w:spacing w:after="0" w:line="83"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3"/>
          <w:szCs w:val="13"/>
          <w:i w:val="1"/>
          <w:iCs w:val="1"/>
          <w:color w:val="auto"/>
        </w:rPr>
        <w:t>Maintenance Reserves</w:t>
      </w:r>
      <w:r>
        <w:rPr>
          <w:rFonts w:ascii="Arial" w:cs="Arial" w:eastAsia="Arial" w:hAnsi="Arial"/>
          <w:sz w:val="13"/>
          <w:szCs w:val="13"/>
          <w:color w:val="auto"/>
        </w:rPr>
        <w:t>. Our aircraft lease agreements provide that we pay maintenance reserves to</w:t>
      </w:r>
      <w:r>
        <w:rPr>
          <w:rFonts w:ascii="Arial" w:cs="Arial" w:eastAsia="Arial" w:hAnsi="Arial"/>
          <w:sz w:val="13"/>
          <w:szCs w:val="13"/>
          <w:i w:val="1"/>
          <w:iCs w:val="1"/>
          <w:color w:val="auto"/>
        </w:rPr>
        <w:t xml:space="preserve"> </w:t>
      </w:r>
      <w:r>
        <w:rPr>
          <w:rFonts w:ascii="Arial" w:cs="Arial" w:eastAsia="Arial" w:hAnsi="Arial"/>
          <w:sz w:val="13"/>
          <w:szCs w:val="13"/>
          <w:color w:val="auto"/>
        </w:rPr>
        <w:t>aircraft lessors to be held as collateral in advance of our required performance of significant maintenance events. Our lease agreements with maintenance reserve requirements provide that maintenance reserves are reimbursable to us upon completion of the maintenance event in an amount equal to the lesser of either</w:t>
      </w:r>
    </w:p>
    <w:p>
      <w:pPr>
        <w:spacing w:after="0" w:line="1" w:lineRule="exact"/>
        <w:rPr>
          <w:sz w:val="20"/>
          <w:szCs w:val="20"/>
          <w:color w:val="auto"/>
        </w:rPr>
      </w:pPr>
    </w:p>
    <w:p>
      <w:pPr>
        <w:ind w:left="1160" w:right="1239" w:firstLine="4"/>
        <w:spacing w:after="0" w:line="232" w:lineRule="auto"/>
        <w:tabs>
          <w:tab w:leader="none" w:pos="1379"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101"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101"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prospective basis.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Goodwill and Indefinite-Lived Intangible Assets</w:t>
      </w:r>
    </w:p>
    <w:p>
      <w:pPr>
        <w:spacing w:after="0" w:line="113" w:lineRule="exact"/>
        <w:rPr>
          <w:sz w:val="20"/>
          <w:szCs w:val="20"/>
          <w:color w:val="auto"/>
        </w:rPr>
      </w:pPr>
    </w:p>
    <w:p>
      <w:pPr>
        <w:ind w:left="1160" w:right="1499" w:firstLine="293"/>
        <w:spacing w:after="0" w:line="323" w:lineRule="auto"/>
        <w:rPr>
          <w:sz w:val="20"/>
          <w:szCs w:val="20"/>
          <w:color w:val="auto"/>
        </w:rPr>
      </w:pPr>
      <w:r>
        <w:rPr>
          <w:rFonts w:ascii="Arial" w:cs="Arial" w:eastAsia="Arial" w:hAnsi="Arial"/>
          <w:sz w:val="13"/>
          <w:szCs w:val="13"/>
          <w:color w:val="auto"/>
        </w:rPr>
        <w:t>We apply a fair value based impairment test to the carrying value of goodwill and indefinite -lived intangible assets at least annually, or more frequently if certain events or circumstances indicate that an</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99"/>
        <w:spacing w:after="0" w:line="248" w:lineRule="auto"/>
        <w:rPr>
          <w:sz w:val="20"/>
          <w:szCs w:val="20"/>
          <w:color w:val="auto"/>
        </w:rPr>
      </w:pPr>
      <w:r>
        <w:rPr>
          <w:rFonts w:ascii="Arial" w:cs="Arial" w:eastAsia="Arial" w:hAnsi="Arial"/>
          <w:sz w:val="15"/>
          <w:szCs w:val="15"/>
          <w:color w:val="auto"/>
        </w:rPr>
        <w:t>impairment loss may have been incurred. We assess the value of goodwill and indefinite-lived assets under either a qualitative or, if necessary, a quantitative approach.</w:t>
      </w:r>
    </w:p>
    <w:p>
      <w:pPr>
        <w:spacing w:after="0" w:line="94"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3"/>
          <w:szCs w:val="13"/>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 limited to, (1) negative trends in our market capitalization, (2) reduced profitability resulting from lower passenger mile yields or higher input costs (primarily related to fuel and employees),</w:t>
      </w:r>
    </w:p>
    <w:p>
      <w:pPr>
        <w:spacing w:after="0" w:line="1" w:lineRule="exact"/>
        <w:rPr>
          <w:sz w:val="20"/>
          <w:szCs w:val="20"/>
          <w:color w:val="auto"/>
        </w:rPr>
      </w:pPr>
    </w:p>
    <w:p>
      <w:pPr>
        <w:ind w:left="1160" w:right="1539" w:firstLine="4"/>
        <w:spacing w:after="0" w:line="264" w:lineRule="auto"/>
        <w:tabs>
          <w:tab w:leader="none" w:pos="1379" w:val="left"/>
        </w:tabs>
        <w:numPr>
          <w:ilvl w:val="0"/>
          <w:numId w:val="51"/>
        </w:numPr>
        <w:rPr>
          <w:rFonts w:ascii="Arial" w:cs="Arial" w:eastAsia="Arial" w:hAnsi="Arial"/>
          <w:sz w:val="13"/>
          <w:szCs w:val="13"/>
          <w:color w:val="auto"/>
        </w:rPr>
      </w:pPr>
      <w:r>
        <w:rPr>
          <w:rFonts w:ascii="Arial" w:cs="Arial" w:eastAsia="Arial" w:hAnsi="Arial"/>
          <w:sz w:val="13"/>
          <w:szCs w:val="13"/>
          <w:color w:val="auto"/>
        </w:rPr>
        <w:t>lower passenger demand as a result of weakened U.S. and global economies, (4) interruption to our operations due to a prolonged employee strike, terrorist attack or other reasons, (5) changes to the regulatory environment (e.g., diminished slot access), (6) competitive changes by other airlines and</w:t>
      </w:r>
    </w:p>
    <w:p>
      <w:pPr>
        <w:spacing w:after="0" w:line="1" w:lineRule="exact"/>
        <w:rPr>
          <w:rFonts w:ascii="Arial" w:cs="Arial" w:eastAsia="Arial" w:hAnsi="Arial"/>
          <w:sz w:val="13"/>
          <w:szCs w:val="13"/>
          <w:color w:val="auto"/>
        </w:rPr>
      </w:pPr>
    </w:p>
    <w:p>
      <w:pPr>
        <w:ind w:left="1380" w:hanging="216"/>
        <w:spacing w:after="0"/>
        <w:tabs>
          <w:tab w:leader="none" w:pos="13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strategic changes to our operations leading to diminished utilization of the intangible assets.</w:t>
      </w:r>
    </w:p>
    <w:p>
      <w:pPr>
        <w:spacing w:after="0" w:line="90"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5"/>
          <w:szCs w:val="15"/>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101"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For either goodwill or indefinite-lived assets, if the carrying value of the asset exceeds its fair value calculated using the quantitative approach, an impairment charge is recorded for the difference in fair value and carrying value.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97"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We believe these assumptions are consistent with those a hypothetical market participant would use given circumstances that were present at the time the estimates were made.</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113" w:lineRule="exact"/>
        <w:rPr>
          <w:sz w:val="20"/>
          <w:szCs w:val="20"/>
          <w:color w:val="auto"/>
        </w:rPr>
      </w:pPr>
    </w:p>
    <w:p>
      <w:pPr>
        <w:ind w:left="1160" w:right="1359" w:firstLine="293"/>
        <w:spacing w:after="0" w:line="267" w:lineRule="auto"/>
        <w:rPr>
          <w:sz w:val="20"/>
          <w:szCs w:val="20"/>
          <w:color w:val="auto"/>
        </w:rPr>
      </w:pPr>
      <w:r>
        <w:rPr>
          <w:rFonts w:ascii="Arial" w:cs="Arial" w:eastAsia="Arial" w:hAnsi="Arial"/>
          <w:sz w:val="14"/>
          <w:szCs w:val="14"/>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 circumstances indicate the assets may be impaired. Indicators may include operating or cash flow losses, significant decreases in market value, or changes in technology.</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Equity Compensation Valuation</w:t>
      </w:r>
    </w:p>
    <w:p>
      <w:pPr>
        <w:spacing w:after="0" w:line="124" w:lineRule="exact"/>
        <w:rPr>
          <w:sz w:val="20"/>
          <w:szCs w:val="20"/>
          <w:color w:val="auto"/>
        </w:rPr>
      </w:pPr>
    </w:p>
    <w:p>
      <w:pPr>
        <w:ind w:left="1160" w:right="1279" w:firstLine="293"/>
        <w:spacing w:after="0" w:line="284" w:lineRule="auto"/>
        <w:rPr>
          <w:sz w:val="20"/>
          <w:szCs w:val="20"/>
          <w:color w:val="auto"/>
        </w:rPr>
      </w:pPr>
      <w:r>
        <w:rPr>
          <w:rFonts w:ascii="Arial" w:cs="Arial" w:eastAsia="Arial" w:hAnsi="Arial"/>
          <w:sz w:val="13"/>
          <w:szCs w:val="13"/>
          <w:color w:val="auto"/>
        </w:rPr>
        <w:t xml:space="preserve">Subsequent to granting options to certain members of our management team and the issuance of warrants in connection with the ATSA, the fair values of the shares of SCA common stock underlying our options and warrants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3"/>
          <w:szCs w:val="13"/>
          <w:i w:val="1"/>
          <w:iCs w:val="1"/>
          <w:color w:val="auto"/>
        </w:rPr>
        <w:t>Valuation of Privately-Held-Company Equity Securities Issued as Compensation</w:t>
      </w:r>
      <w:r>
        <w:rPr>
          <w:rFonts w:ascii="Arial" w:cs="Arial" w:eastAsia="Arial" w:hAnsi="Arial"/>
          <w:sz w:val="13"/>
          <w:szCs w:val="13"/>
          <w:color w:val="auto"/>
        </w:rPr>
        <w:t>, or the Practice Aid. Given the absence of a public</w:t>
      </w:r>
    </w:p>
    <w:p>
      <w:pPr>
        <w:spacing w:after="0" w:line="2" w:lineRule="exact"/>
        <w:rPr>
          <w:sz w:val="20"/>
          <w:szCs w:val="20"/>
          <w:color w:val="auto"/>
        </w:rPr>
      </w:pPr>
    </w:p>
    <w:p>
      <w:pPr>
        <w:ind w:left="1160" w:right="1319"/>
        <w:spacing w:after="0" w:line="249" w:lineRule="auto"/>
        <w:rPr>
          <w:sz w:val="20"/>
          <w:szCs w:val="20"/>
          <w:color w:val="auto"/>
        </w:rPr>
      </w:pPr>
      <w:r>
        <w:rPr>
          <w:rFonts w:ascii="Arial" w:cs="Arial" w:eastAsia="Arial" w:hAnsi="Arial"/>
          <w:sz w:val="15"/>
          <w:szCs w:val="15"/>
          <w:color w:val="auto"/>
        </w:rPr>
        <w:t>trading market of our capital stock, the assumptions used to determine the estimated fair value of our SCA common stock was based on a number of objective and subjective factors, including:</w:t>
      </w:r>
    </w:p>
    <w:p>
      <w:pPr>
        <w:spacing w:after="0" w:line="71" w:lineRule="exact"/>
        <w:rPr>
          <w:sz w:val="20"/>
          <w:szCs w:val="20"/>
          <w:color w:val="auto"/>
        </w:rPr>
      </w:pPr>
    </w:p>
    <w:p>
      <w:pPr>
        <w:ind w:left="4380" w:right="4419" w:hanging="2923"/>
        <w:spacing w:after="0" w:line="853" w:lineRule="auto"/>
        <w:tabs>
          <w:tab w:leader="none" w:pos="1612"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stage of development and business strategy;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-45085</wp:posOffset>
            </wp:positionV>
            <wp:extent cx="5564505"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219" w:hanging="143"/>
        <w:spacing w:after="0" w:line="26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our business, financial condition and results of operations, including related industry trends affecting our operations;</w:t>
      </w:r>
    </w:p>
    <w:p>
      <w:pPr>
        <w:spacing w:after="0" w:line="60" w:lineRule="exact"/>
        <w:rPr>
          <w:rFonts w:ascii="Arial" w:cs="Arial" w:eastAsia="Arial" w:hAnsi="Arial"/>
          <w:sz w:val="15"/>
          <w:szCs w:val="15"/>
          <w:color w:val="auto"/>
        </w:rPr>
      </w:pPr>
    </w:p>
    <w:p>
      <w:pPr>
        <w:ind w:left="1600" w:right="1799" w:hanging="143"/>
        <w:spacing w:after="0" w:line="264" w:lineRule="auto"/>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likelihood of achieving a liquidity event, such as an initial public offering or sale of our company, given prevailing market conditions;</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lack of marketability of our SCA common stock;</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market performance of comparable publicly traded companies; and</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U.S. and global economic and capital market conditions and outlook.</w:t>
      </w:r>
    </w:p>
    <w:p>
      <w:pPr>
        <w:spacing w:after="0" w:line="113" w:lineRule="exact"/>
        <w:rPr>
          <w:sz w:val="20"/>
          <w:szCs w:val="20"/>
          <w:color w:val="auto"/>
        </w:rPr>
      </w:pPr>
    </w:p>
    <w:p>
      <w:pPr>
        <w:ind w:left="1160" w:right="1319" w:firstLine="293"/>
        <w:spacing w:after="0" w:line="252" w:lineRule="auto"/>
        <w:rPr>
          <w:sz w:val="20"/>
          <w:szCs w:val="20"/>
          <w:color w:val="auto"/>
        </w:rPr>
      </w:pPr>
      <w:r>
        <w:rPr>
          <w:rFonts w:ascii="Arial" w:cs="Arial" w:eastAsia="Arial" w:hAnsi="Arial"/>
          <w:sz w:val="14"/>
          <w:szCs w:val="14"/>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 fact that stockholders of private companies do not have access to trading markets similar to those available to stockholders of public companies, which impacts liquidity.</w:t>
      </w:r>
    </w:p>
    <w:p>
      <w:pPr>
        <w:spacing w:after="0" w:line="91"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3"/>
          <w:szCs w:val="13"/>
          <w:color w:val="auto"/>
        </w:rPr>
        <w:t>The determination of the fair values of our non-public shares of SCA common stock and stock-based awards were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Future stock-based grant values will be based on quoted market prices.</w:t>
      </w:r>
    </w:p>
    <w:p>
      <w:pPr>
        <w:spacing w:after="0" w:line="101"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The fair value of the warrants issued in connection with the ATSA was determined using a Monte Carlo simulation which involves inputs such as expected volatility, the risk-free rate of return and the probability of achieving varying outcomes under the ATSA.</w:t>
      </w:r>
    </w:p>
    <w:p>
      <w:pPr>
        <w:spacing w:after="0" w:line="89"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The fair value of the time-based stock options granted during 2018, 2019 and 2020 was estimated using the Black-Scholes option-pricing model with expected term based on vesting criteria and time to expiration. The expected volatility was based on historical volatility of stock prices and assets of a public company peer group. The risk- free interest rate was based on the implied risk-free rate using the expected term and yields of U.S Treasury stock and S&amp;P bond yields.</w:t>
      </w:r>
    </w:p>
    <w:p>
      <w:pPr>
        <w:spacing w:after="0" w:line="10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The fair value of the performance-based stock options granted during 2018, 2019 and 2020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Quantitative and Qualitative Disclosure About Market Risk</w:t>
      </w:r>
    </w:p>
    <w:p>
      <w:pPr>
        <w:spacing w:after="0" w:line="128"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64"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i w:val="1"/>
          <w:iCs w:val="1"/>
          <w:color w:val="auto"/>
        </w:rPr>
        <w:t>Aircraft Fuel</w:t>
      </w:r>
      <w:r>
        <w:rPr>
          <w:rFonts w:ascii="Arial" w:cs="Arial" w:eastAsia="Arial" w:hAnsi="Arial"/>
          <w:sz w:val="14"/>
          <w:szCs w:val="14"/>
          <w:color w:val="auto"/>
        </w:rPr>
        <w:t>. Unexpected pricing changes of aircraft fuel could have a material adverse effect on our</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have hedges in place for approximately 37% of our projected fuel requirements for scheduled service operations in 2021, with all of our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2021 forecasted fuel consumption as of December 31, 2020, we estimate that a one cent per gallon increase in average aircraft fuel price would</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79"/>
        <w:spacing w:after="0" w:line="264" w:lineRule="auto"/>
        <w:rPr>
          <w:sz w:val="20"/>
          <w:szCs w:val="20"/>
          <w:color w:val="auto"/>
        </w:rPr>
      </w:pPr>
      <w:r>
        <w:rPr>
          <w:rFonts w:ascii="Arial" w:cs="Arial" w:eastAsia="Arial" w:hAnsi="Arial"/>
          <w:sz w:val="15"/>
          <w:szCs w:val="15"/>
          <w:color w:val="auto"/>
        </w:rPr>
        <w:t>increase our 2021 annual aircraft fuel expense by $0.6 million, excluding any impact associated with fuel derivative instruments held and reimbursed cargo fuel.</w:t>
      </w:r>
    </w:p>
    <w:p>
      <w:pPr>
        <w:spacing w:after="0" w:line="93"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Interest Rates</w:t>
      </w:r>
      <w:r>
        <w:rPr>
          <w:rFonts w:ascii="Arial" w:cs="Arial" w:eastAsia="Arial" w:hAnsi="Arial"/>
          <w:sz w:val="15"/>
          <w:szCs w:val="15"/>
          <w:color w:val="auto"/>
        </w:rPr>
        <w:t>. We have exposure to market risk associated with changes in interest rates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expense from our variable-rate debt. A change in market interest rates would impact interest expense under the Credit Facilities. Assuming the Credit Facilities are fully drawn, a 100 basis point increase in interest rates would result in a corresponding increase in interest expense of approximately $1.2 million annually.</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JOBS Act Accounting Election</w:t>
      </w:r>
    </w:p>
    <w:p>
      <w:pPr>
        <w:spacing w:after="0" w:line="117"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w:t>
      </w:r>
    </w:p>
    <w:p>
      <w:pPr>
        <w:spacing w:after="0" w:line="107" w:lineRule="exact"/>
        <w:rPr>
          <w:sz w:val="20"/>
          <w:szCs w:val="20"/>
          <w:color w:val="auto"/>
        </w:rPr>
      </w:pPr>
    </w:p>
    <w:p>
      <w:pPr>
        <w:ind w:left="1160" w:right="1279" w:firstLine="293"/>
        <w:spacing w:after="0" w:line="284" w:lineRule="auto"/>
        <w:rPr>
          <w:sz w:val="20"/>
          <w:szCs w:val="20"/>
          <w:color w:val="auto"/>
        </w:rPr>
      </w:pPr>
      <w:r>
        <w:rPr>
          <w:rFonts w:ascii="Arial" w:cs="Arial" w:eastAsia="Arial" w:hAnsi="Arial"/>
          <w:sz w:val="13"/>
          <w:szCs w:val="13"/>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w:t>
      </w:r>
    </w:p>
    <w:p>
      <w:pPr>
        <w:spacing w:after="0" w:line="2" w:lineRule="exact"/>
        <w:rPr>
          <w:sz w:val="20"/>
          <w:szCs w:val="20"/>
          <w:color w:val="auto"/>
        </w:rPr>
      </w:pPr>
    </w:p>
    <w:p>
      <w:pPr>
        <w:ind w:left="1160" w:right="1199" w:firstLine="4"/>
        <w:spacing w:after="0" w:line="265" w:lineRule="auto"/>
        <w:tabs>
          <w:tab w:leader="none" w:pos="1423" w:val="left"/>
        </w:tabs>
        <w:numPr>
          <w:ilvl w:val="0"/>
          <w:numId w:val="55"/>
        </w:numPr>
        <w:rPr>
          <w:rFonts w:ascii="Arial" w:cs="Arial" w:eastAsia="Arial" w:hAnsi="Arial"/>
          <w:sz w:val="14"/>
          <w:szCs w:val="14"/>
          <w:color w:val="auto"/>
        </w:rPr>
      </w:pPr>
      <w:r>
        <w:rPr>
          <w:rFonts w:ascii="Arial" w:cs="Arial" w:eastAsia="Arial" w:hAnsi="Arial"/>
          <w:sz w:val="14"/>
          <w:szCs w:val="14"/>
          <w:color w:val="auto"/>
        </w:rPr>
        <w:t>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ending December 31, 2026.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Recent Accounting Pronouncements</w:t>
      </w:r>
    </w:p>
    <w:p>
      <w:pPr>
        <w:spacing w:after="0" w:line="128"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color w:val="auto"/>
        </w:rPr>
        <w:t>See Note 2 to our audited consolidated financial statements included elsewhere in this prospectus for recently issued accounting pronouncements adopted in 2020 and 2019 or not yet adopted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INDUSTRY</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Scheduled Passenger</w:t>
      </w:r>
    </w:p>
    <w:p>
      <w:pPr>
        <w:spacing w:after="0" w:line="128"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4"/>
          <w:szCs w:val="14"/>
          <w:color w:val="auto"/>
        </w:rPr>
        <w:t>The U.S. passenger airline industry has consolidated significantly over the last two decades. In 2000, the four largest U.S. carriers controlled approximately 59% of the domestic market, based on number of available seats, and there were 11 additional airlines of significant size competing in a fragmented market. As a result of the consolidation in the sector, the four largest U.S. carriers controlled approximately 77% of the market as of 2019 and there are seven additional airlines of significant size competing in what is now a more consolidated market. This shift has been principally driven by a number of business combinations which have reshaped the domestic landscape: Delta Air Lines combined with Northwest Airlines in 2008, United Airlines combined with Continental Airlines in 2010, Southwest Airlines acquired AirTran Airlines in 2011, American Airlines (following its acquisition of Trans World Airlines in 2001) combined with</w:t>
      </w:r>
    </w:p>
    <w:p>
      <w:pPr>
        <w:spacing w:after="0" w:line="4" w:lineRule="exact"/>
        <w:rPr>
          <w:sz w:val="20"/>
          <w:szCs w:val="20"/>
          <w:color w:val="auto"/>
        </w:rPr>
      </w:pPr>
    </w:p>
    <w:p>
      <w:pPr>
        <w:ind w:left="1160" w:right="1379"/>
        <w:spacing w:after="0" w:line="252" w:lineRule="auto"/>
        <w:rPr>
          <w:sz w:val="20"/>
          <w:szCs w:val="20"/>
          <w:color w:val="auto"/>
        </w:rPr>
      </w:pPr>
      <w:r>
        <w:rPr>
          <w:rFonts w:ascii="Arial" w:cs="Arial" w:eastAsia="Arial" w:hAnsi="Arial"/>
          <w:sz w:val="14"/>
          <w:szCs w:val="14"/>
          <w:color w:val="auto"/>
        </w:rPr>
        <w:t>US Airways in 2013 (following its combination with America West Airlines in 2005) and Alaska Airlines acquired Virgin America in 2016. Consolidation has benefitted the U.S. airline sector, which has seen TRASM increase from 11.08 cents in 2000 to 15.03 cents in 2019. As a result, the U.S. airline industry recorded nearly $100 billion of cumulative net income from 2008 through 2019.</w:t>
      </w:r>
    </w:p>
    <w:p>
      <w:pPr>
        <w:spacing w:after="0" w:line="81"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U.S. passenger airlines can broadly be divided into three categories: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8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color w:val="auto"/>
        </w:rPr>
        <w:t>The legacy network airlines, including United Airlines, Delta Air Lines and American Airlines, serve a large business travel customer base and offer scheduled flights to the largest cities within the United States and abroad (directly or through membership in one of the global airline alliances) and also serve numerous smaller cities. These airlines operate predominantly through a “hub-and -spoke”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airlines to provide the gates, airport ground operations and maintenance facilities needed to support a hub-and-spoke operation are generally higher than those of a point- to-point network, typically operated by LCCs and ULCCs. Aircraft schedules at legacy network airlines also tend to be inefficient to meet the requirements of connecting banks of flights in hubs, resulting in lower aircraft and crew utilization. Serving a large number of markets of different sizes requires the legacy network airlines to have multiple fleets with multiple aircraft types along with the related complexities and additional costs for crew scheduling, crew training and maintenance. As a result, legacy network airlines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 Legacy network airlines are mainly focused on business travel, which historically has generated higher unit revenues and yields. Business travel is closely tied to economic cycles and has been more volatile than leisure and VFR travel during industry downturns, including during the current COVID-19 induced downturn.</w:t>
      </w:r>
    </w:p>
    <w:p>
      <w:pPr>
        <w:spacing w:after="0" w:line="10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In contrast, the LCC model focuses on operating a more simplified operation, providing point-to-point service without the high fixed costs and inefficiencies required for a hub-and- spoke system. The lower cost structure of LCCs enables them to offer flights to and from many of the same markets as the major airlines at lower fares, though LCCs sometimes serve major markets through secondary, lower-cost airports in the same region. Many LCCs provide only a single class of service, thereby avoiding the incremental cost of offering premium-class services. Finally, LCCs tend to operate fleets with very few aircraft families in order to maximize the utilization of flight crews across the fleet, to improve aircraft scheduling flexibility and to minimize inventory and aircraft maintenance costs. The major U.S. based airlines that define themselves as LCCs include Southwest Airlines and JetBlue Airways.</w:t>
      </w:r>
    </w:p>
    <w:p>
      <w:pPr>
        <w:spacing w:after="0" w:line="84" w:lineRule="exact"/>
        <w:rPr>
          <w:sz w:val="20"/>
          <w:szCs w:val="20"/>
          <w:color w:val="auto"/>
        </w:rPr>
      </w:pPr>
    </w:p>
    <w:p>
      <w:pPr>
        <w:ind w:left="1160" w:right="1279" w:firstLine="293"/>
        <w:spacing w:after="0" w:line="283" w:lineRule="auto"/>
        <w:rPr>
          <w:sz w:val="20"/>
          <w:szCs w:val="20"/>
          <w:color w:val="auto"/>
        </w:rPr>
      </w:pPr>
      <w:r>
        <w:rPr>
          <w:rFonts w:ascii="Arial" w:cs="Arial" w:eastAsia="Arial" w:hAnsi="Arial"/>
          <w:sz w:val="14"/>
          <w:szCs w:val="14"/>
          <w:color w:val="auto"/>
        </w:rPr>
        <w:t>The ULCC model, which was pioneered by Ryanair in Europe and Spirit Airlines in the United States, was built on the LCC model, but combined with a focus on increased aircraft utilization, increased seat</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19"/>
        <w:spacing w:after="0" w:line="271" w:lineRule="auto"/>
        <w:rPr>
          <w:sz w:val="20"/>
          <w:szCs w:val="20"/>
          <w:color w:val="auto"/>
        </w:rPr>
      </w:pPr>
      <w:r>
        <w:rPr>
          <w:rFonts w:ascii="Arial" w:cs="Arial" w:eastAsia="Arial" w:hAnsi="Arial"/>
          <w:sz w:val="14"/>
          <w:szCs w:val="14"/>
          <w:color w:val="auto"/>
        </w:rPr>
        <w:t>density and the unbundling of revenue sources aside from base ticket prices with multiple products and services offered for purchase by the customer at additional cost. ULCCs have lower unit costs than the legacy network airlines and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91"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The LCCs and ULCCs in the United States have grown faster than the legacy network airlines and typically have higher profit margins. Additionally, the high growth of LCCs and ULCCs has resulted in them taking market share from the legacy network airlines even as the industry has consolidated. The LCCs and ULCCs predominantly serve leisure and VFR travelers, who tend to be more price conscious than business travelers as they pay for the ticket at their own expense rather than through a corporate expense account. Leisure and VFR travel is more resilient than business travel, as proven during and following the 2008 financial crisis and more recently during the COVID-19 induced downturn where the rebound in air travel from the April 2020 trough has been largely driven by leisure and VFR travelers.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Charter</w:t>
      </w:r>
    </w:p>
    <w:p>
      <w:pPr>
        <w:spacing w:after="0" w:line="117"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Within the broader U.S. charter market, which includes business jets, widebody and narrowbody charters, Sun Country exclusively focuses on the narrowbody segment. The narrowbody charter segment has experienced steady growth over the recent years posting an estimated 6.1% compound annual growth rate over the 2013-2018 period and reaching an approximately $1.2 billion market size as of 2018, based on management estimates.</w:t>
      </w:r>
    </w:p>
    <w:p>
      <w:pPr>
        <w:spacing w:after="0" w:line="105" w:lineRule="exact"/>
        <w:rPr>
          <w:sz w:val="20"/>
          <w:szCs w:val="20"/>
          <w:color w:val="auto"/>
        </w:rPr>
      </w:pPr>
    </w:p>
    <w:p>
      <w:pPr>
        <w:ind w:left="1160" w:right="1179" w:firstLine="293"/>
        <w:spacing w:after="0" w:line="289" w:lineRule="auto"/>
        <w:rPr>
          <w:sz w:val="20"/>
          <w:szCs w:val="20"/>
          <w:color w:val="auto"/>
        </w:rPr>
      </w:pPr>
      <w:r>
        <w:rPr>
          <w:rFonts w:ascii="Arial" w:cs="Arial" w:eastAsia="Arial" w:hAnsi="Arial"/>
          <w:sz w:val="13"/>
          <w:szCs w:val="13"/>
          <w:color w:val="auto"/>
        </w:rPr>
        <w:t>On the demand side, key customer segments within the U.S. narrowbody charter market include casinos and tour groups, sports teams (both professional and college teams), the U.S. Department of Defense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long-term contracted) and resilient spend. The typical contract generally provides for the customer to pay a fixed charter fee, insurance, landing fees, navigation fees and most other operational fees and costs. Fuel costs are contractually passed through to the customer, enhancing margins and removing commodity risk from the operators.</w:t>
      </w:r>
    </w:p>
    <w:p>
      <w:pPr>
        <w:spacing w:after="0" w:line="83"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Cargo</w:t>
      </w:r>
    </w:p>
    <w:p>
      <w:pPr>
        <w:spacing w:after="0" w:line="117"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global air cargo industry transports over $6 trillion worth of goods per year, which accounts for approximately 35% of world trade by value. In 2019, global air cargo traffic was 264 billion revenue tonne-kilometers (“RTKs”), with North America making up 24% of that traffic. The highly fragmented industry is comprised of numerous players, including the large integrators such as UPS, FedEx and DHL, long-and medium-range carriers such as Air Transport Services Group, Inc. (“ATSG”) and Atlas Air, as well as a host of smaller regional operators.</w:t>
      </w:r>
    </w:p>
    <w:p>
      <w:pPr>
        <w:spacing w:after="0" w:line="106"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two options for air cargo transport are dedicated freighters and passenger aircraft lower holds, also referred to as passenger belly capacity. Freighters are particularly well suited for transporting high-value goods because they provide highly controlled transport, direct routing, reliability and unique capacity considerations. These distinct advantages allow freighter operators to offer a higher value of service and generate more than 90% of the total air cargo industry revenue. In 2019, estimated air cargo revenue globally was $106 billion, and global air cargo traffic is forecasted by Boeing to grow at a 4.0% compound annual</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99"/>
        <w:spacing w:after="0" w:line="248" w:lineRule="auto"/>
        <w:rPr>
          <w:sz w:val="20"/>
          <w:szCs w:val="20"/>
          <w:color w:val="auto"/>
        </w:rPr>
      </w:pPr>
      <w:r>
        <w:rPr>
          <w:rFonts w:ascii="Arial" w:cs="Arial" w:eastAsia="Arial" w:hAnsi="Arial"/>
          <w:sz w:val="15"/>
          <w:szCs w:val="15"/>
          <w:color w:val="auto"/>
        </w:rPr>
        <w:t>growth rate through 2039. The U.S. domestic air cargo market is more mature and expected by Boeing to grow at a 2.7% compound annual growth rate through 2039.</w:t>
      </w:r>
    </w:p>
    <w:p>
      <w:pPr>
        <w:spacing w:after="0" w:line="94"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color w:val="auto"/>
        </w:rPr>
        <w:t>One of the main drivers of air cargo growth is e -commerce, which has continued to grow significantly and drive demand for delivery services. Since 2015, global e-commerce retail sales have grown at over a 20% compound annual growth rate and are expected by Boeing to grow at over 15% per year from 2020 through 2023. In this context, Amazon formally launched Amazon Air in 2016 and expects to have a fleet of over 80 aircraft by the end of 2021. These aircraft are either owned or leased by Amazon and operated by select third-party partners, such as Sun Country.</w:t>
      </w:r>
    </w:p>
    <w:p>
      <w:pPr>
        <w:spacing w:after="0" w:line="90"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3"/>
          <w:szCs w:val="13"/>
          <w:color w:val="auto"/>
        </w:rPr>
        <w:t>Similar to Sun Country, ATSG and Atlas Air have contracts with Amazon to provide cargo services. ATSG and Atlas Air operate through numerous business lines including Aircraft Leasing, Aircraft, Crew, Maintenance and Insurance (“ACMI”) services, CMI services and other aviation support services, such as ground logistics. Under a typical ACMI agreement, the airline provides the aircraft, flight crews, aircraft maintenance and aircraft insurance while the customer typically covers most operating expenses, including fuel, landing fees, parking fees and ground and cargo handling expenses. Under a typical CMI agreement, the customer is responsible for providing the aircraft, in addition to covering the fuel and other operating expenses, and the airline provides the flight crews, aircraft insurance and line maintenance. The ATSA is a CMI agreement. The majority of aircraft that ATSG and Atlas Air operate on Amazon’s behalf under their respective ATSA’s are Boeing 767s. Since the beginning of their relationship with Amazon in 2016, both ATSG and Atlas Air have seen continued and substantial growth in their Amazon dedicated fleets. Unlike ATSG and Atlas Air, Sun Country only flies 737 aircraft for Amazon under our “asset-light” ATSA.</w:t>
      </w:r>
    </w:p>
    <w:p>
      <w:pPr>
        <w:spacing w:after="0" w:line="88" w:lineRule="exact"/>
        <w:rPr>
          <w:sz w:val="20"/>
          <w:szCs w:val="20"/>
          <w:color w:val="auto"/>
        </w:rPr>
      </w:pPr>
    </w:p>
    <w:p>
      <w:pPr>
        <w:ind w:left="1160" w:right="1279" w:firstLine="293"/>
        <w:spacing w:after="0" w:line="232" w:lineRule="auto"/>
        <w:rPr>
          <w:sz w:val="20"/>
          <w:szCs w:val="20"/>
          <w:color w:val="auto"/>
        </w:rPr>
      </w:pPr>
      <w:r>
        <w:rPr>
          <w:rFonts w:ascii="Arial" w:cs="Arial" w:eastAsia="Arial" w:hAnsi="Arial"/>
          <w:sz w:val="15"/>
          <w:szCs w:val="15"/>
          <w:color w:val="auto"/>
        </w:rPr>
        <w:t>We believe that Sun Country represents a new breed of hybrid air carrier that shares certain characteristics with Allegiant Travel Company, Southwest Airlines and ATSG. Sun Country’s model includes many of the low cost structure characteristics of ULCCs, such as an unbundled product, point-to-point service and a single aircraft family fleet, which allow us to maintain a cost base comparable to ULCCs. However, our superior product is more consistent with the higher quality product of LCCs. Furthermore, we fly a flexible “peak demand” network, similar to Allegiant Travel Company. However, Allegiant flies to different markets than we do with a lesser product, smaller charter business and limited ticket distribution network through its website (closed distribution) . Our CMI services arrangement under the ATSA with Amazon resembles ATSG’s. However, our ATSA is asset- light from a Sun Country perspective and does not require capital expenditures on aircraft for us to service and provides meaningful, stable and visible cash flows.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COVID-19 Impact on the Airline Industry</w:t>
      </w:r>
    </w:p>
    <w:p>
      <w:pPr>
        <w:spacing w:after="0" w:line="128"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 at home orders, with most occurring during the month of April. As a result, U.S. domestic passenger enplanements declined 96% in April 2020 when compared to April 2019. While U.S. domestic passenger volumes have increased from a total of 2.9 million passengers in April 2020 to</w:t>
      </w:r>
    </w:p>
    <w:p>
      <w:pPr>
        <w:spacing w:after="0" w:line="1" w:lineRule="exact"/>
        <w:rPr>
          <w:sz w:val="20"/>
          <w:szCs w:val="20"/>
          <w:color w:val="auto"/>
        </w:rPr>
      </w:pPr>
    </w:p>
    <w:p>
      <w:pPr>
        <w:ind w:left="1160" w:right="1179"/>
        <w:spacing w:after="0" w:line="230" w:lineRule="auto"/>
        <w:rPr>
          <w:sz w:val="20"/>
          <w:szCs w:val="20"/>
          <w:color w:val="auto"/>
        </w:rPr>
      </w:pPr>
      <w:r>
        <w:rPr>
          <w:rFonts w:ascii="Arial" w:cs="Arial" w:eastAsia="Arial" w:hAnsi="Arial"/>
          <w:sz w:val="15"/>
          <w:szCs w:val="15"/>
          <w:color w:val="auto"/>
        </w:rPr>
        <w:t>39.3 million passengers in March 2021, those levels are still down 44% when compared to the same time frame in 2019. The growth in the U.S. domestic air traffic since the trough in April 2020 has been led by leisure and VFR travelers as business travel remains more subdued with the majority of corporate workforces mandated to predominantly “work -from-home” and in-person meetings being replaced by videoconferencing and other virtual channels. Equity research analysts and other industry executives believe that the positive trends in leisure and VFR travel will continue as COVID-19 vaccines continue to become more widely distributed in 2021. COVID- 19 vaccines have become widely available in the United States with over 330 million doses administered and nearly 50% of the U.S. population fully vacinnated according to the CDC. The initial beneficiaries of the travel rebound are expected to be leisure and VFR focused LCCs and ULCCs, while the more international and business travel exposed legacy network airlines are expected to lag behind.</w:t>
      </w:r>
    </w:p>
    <w:p>
      <w:pPr>
        <w:spacing w:after="0" w:line="92" w:lineRule="exact"/>
        <w:rPr>
          <w:sz w:val="20"/>
          <w:szCs w:val="20"/>
          <w:color w:val="auto"/>
        </w:rPr>
      </w:pPr>
    </w:p>
    <w:p>
      <w:pPr>
        <w:ind w:left="1160" w:right="1239" w:firstLine="293"/>
        <w:spacing w:after="0" w:line="255" w:lineRule="auto"/>
        <w:rPr>
          <w:sz w:val="20"/>
          <w:szCs w:val="20"/>
          <w:color w:val="auto"/>
        </w:rPr>
      </w:pPr>
      <w:r>
        <w:rPr>
          <w:rFonts w:ascii="Arial" w:cs="Arial" w:eastAsia="Arial" w:hAnsi="Arial"/>
          <w:sz w:val="14"/>
          <w:szCs w:val="14"/>
          <w:color w:val="auto"/>
        </w:rPr>
        <w:t>As COVID-19 has spread globally, many countries imposed strict international travel restrictions and more recently enacted mandatory quarantines or COVID testing upon return from international travel to replace prior travel restrictions. As a result of these restrictive measures, U.S. international passenger enplanements declined by 99% in April 2020 when compared to April 2019, a more significant decline than U.S. domestic passenger enplanements. Given the continued international restrictions and quarantines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69" w:lineRule="auto"/>
        <w:rPr>
          <w:sz w:val="20"/>
          <w:szCs w:val="20"/>
          <w:color w:val="auto"/>
        </w:rPr>
      </w:pPr>
      <w:r>
        <w:rPr>
          <w:rFonts w:ascii="Arial" w:cs="Arial" w:eastAsia="Arial" w:hAnsi="Arial"/>
          <w:sz w:val="14"/>
          <w:szCs w:val="14"/>
          <w:color w:val="auto"/>
        </w:rPr>
        <w:t>across the world, U.S. international passenger volumes have recovered less than U.S. domestic passenger volumes since April 2020. For the period from January 1, 2021 to April 30, 2021, international capacity for U.S. airlines was down 60% compared to the same timeframe in 2019, whereas domestic capacity was down 32% for the same period. However, the U.S. market has recovered markedly faster than most other countries as a result of widespread vaccine distribution igniting the leisure travel recovery. Other U.S. airlines have commented that leisure demand levels in the United States are already above 2019 levels.</w:t>
      </w:r>
    </w:p>
    <w:p>
      <w:pPr>
        <w:spacing w:after="0" w:line="93" w:lineRule="exact"/>
        <w:rPr>
          <w:sz w:val="20"/>
          <w:szCs w:val="20"/>
          <w:color w:val="auto"/>
        </w:rPr>
      </w:pPr>
    </w:p>
    <w:p>
      <w:pPr>
        <w:ind w:left="1160" w:right="1199" w:firstLine="293"/>
        <w:spacing w:after="0" w:line="288" w:lineRule="auto"/>
        <w:rPr>
          <w:sz w:val="20"/>
          <w:szCs w:val="20"/>
          <w:color w:val="auto"/>
        </w:rPr>
      </w:pPr>
      <w:r>
        <w:rPr>
          <w:rFonts w:ascii="Arial" w:cs="Arial" w:eastAsia="Arial" w:hAnsi="Arial"/>
          <w:sz w:val="13"/>
          <w:szCs w:val="13"/>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restricted middle seat bookings and other limitations, in terms of maximum load factor per flight, to adhere to social distancing protocols while onboard. These measures have minimized the risk of infection while onboard and increased customer confidence in safely returning to fly. Pre-and post-flight COVID-19 rapid testing has recently been introduced as an additional tool to avoid mandatory quarantine periods for international and some domestic travel, and it is expected to, along with widely distributed vaccines, facilitate the recovery in air passenger traffic as travel restrictions are lifted across the globe.</w:t>
      </w:r>
    </w:p>
    <w:p>
      <w:pPr>
        <w:spacing w:after="0" w:line="74"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 Even when considering the reduction in available belly cargo space on commercial passenger flights, air cargo is expected to continue growing with e-commerce, which is expected to grow more than 15% per year for the next several years, and as the global economy rebounds from the COVID-19 induced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4"/>
          <w:szCs w:val="14"/>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Unique Business Model</w:t>
      </w:r>
    </w:p>
    <w:p>
      <w:pPr>
        <w:spacing w:after="0" w:line="11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b w:val="1"/>
          <w:bCs w:val="1"/>
          <w:i w:val="1"/>
          <w:iCs w:val="1"/>
          <w:color w:val="auto"/>
        </w:rPr>
        <w:t xml:space="preserve">Scheduled Service. </w:t>
      </w:r>
      <w:r>
        <w:rPr>
          <w:rFonts w:ascii="Arial" w:cs="Arial" w:eastAsia="Arial" w:hAnsi="Arial"/>
          <w:sz w:val="14"/>
          <w:szCs w:val="14"/>
          <w:color w:val="auto"/>
        </w:rPr>
        <w:t>Our scheduled service business combines low costs with a high quality product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generate 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 -to-point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9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3"/>
          <w:szCs w:val="13"/>
          <w:b w:val="1"/>
          <w:bCs w:val="1"/>
          <w:i w:val="1"/>
          <w:iCs w:val="1"/>
          <w:color w:val="auto"/>
        </w:rPr>
        <w:t>Charter</w:t>
      </w:r>
      <w:r>
        <w:rPr>
          <w:rFonts w:ascii="Arial" w:cs="Arial" w:eastAsia="Arial" w:hAnsi="Arial"/>
          <w:sz w:val="13"/>
          <w:szCs w:val="13"/>
          <w:color w:val="auto"/>
        </w:rPr>
        <w:t>. Our charter business, which is one of the largest narrow body charter operations in the United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 -term in nature. Our charter business has proven to be more resilient than our scheduled service business during the COVID-19 induced downturn, with charter revenue having declined less than scheduled service revenue on</w:t>
      </w:r>
    </w:p>
    <w:p>
      <w:pPr>
        <w:spacing w:after="0" w:line="154" w:lineRule="exact"/>
        <w:rPr>
          <w:sz w:val="20"/>
          <w:szCs w:val="20"/>
          <w:color w:val="auto"/>
        </w:rPr>
      </w:pPr>
    </w:p>
    <w:p>
      <w:pPr>
        <w:ind w:left="1160" w:right="1279"/>
        <w:spacing w:after="0" w:line="231" w:lineRule="auto"/>
        <w:rPr>
          <w:sz w:val="20"/>
          <w:szCs w:val="20"/>
          <w:color w:val="auto"/>
        </w:rPr>
      </w:pPr>
      <w:r>
        <w:rPr>
          <w:rFonts w:ascii="Arial" w:cs="Arial" w:eastAsia="Arial" w:hAnsi="Arial"/>
          <w:sz w:val="15"/>
          <w:szCs w:val="15"/>
          <w:color w:val="auto"/>
        </w:rPr>
        <w:t>a percentage basis in 2020 as compared to 2019. Additionally, our charter business complements our seasonal and day-of- 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58" w:lineRule="auto"/>
        <w:rPr>
          <w:sz w:val="20"/>
          <w:szCs w:val="20"/>
          <w:color w:val="auto"/>
        </w:rPr>
      </w:pPr>
      <w:r>
        <w:rPr>
          <w:rFonts w:ascii="Arial" w:cs="Arial" w:eastAsia="Arial" w:hAnsi="Arial"/>
          <w:sz w:val="14"/>
          <w:szCs w:val="14"/>
          <w:color w:val="auto"/>
        </w:rPr>
        <w:t>across the world. While our charter revenues were down as a result of COVID-19, they rebounded in the second half of 2020 and into the first quarter of 2021. In the first quarter of 2021, our charter revenues were 32.4% lower when compared to the first quarter of 2019. In comparison, combined U.S. passenger airline revenues were 61.7% lower during the first quarter of 2021 when compared to the first quarter of 2019.</w:t>
      </w:r>
    </w:p>
    <w:p>
      <w:pPr>
        <w:spacing w:after="0" w:line="84" w:lineRule="exact"/>
        <w:rPr>
          <w:sz w:val="20"/>
          <w:szCs w:val="20"/>
          <w:color w:val="auto"/>
        </w:rPr>
      </w:pPr>
    </w:p>
    <w:p>
      <w:pPr>
        <w:ind w:left="1460"/>
        <w:spacing w:after="0"/>
        <w:tabs>
          <w:tab w:leader="none" w:pos="1940" w:val="left"/>
        </w:tabs>
        <w:rPr>
          <w:sz w:val="20"/>
          <w:szCs w:val="20"/>
          <w:color w:val="auto"/>
        </w:rPr>
      </w:pPr>
      <w:r>
        <w:rPr>
          <w:rFonts w:ascii="Arial" w:cs="Arial" w:eastAsia="Arial" w:hAnsi="Arial"/>
          <w:sz w:val="15"/>
          <w:szCs w:val="15"/>
          <w:b w:val="1"/>
          <w:bCs w:val="1"/>
          <w:i w:val="1"/>
          <w:iCs w:val="1"/>
          <w:color w:val="auto"/>
        </w:rPr>
        <w:t>Cargo</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color w:val="auto"/>
        </w:rPr>
        <w:t>On December 13, 2019, we signed the ATSA with Amazon to provide air cargo services.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Flying under the ATSA began in May 2020 and, as of the date of this prospectus, we are flying 12 Boeing</w:t>
      </w:r>
    </w:p>
    <w:p>
      <w:pPr>
        <w:ind w:left="1160"/>
        <w:spacing w:after="0" w:line="234" w:lineRule="auto"/>
        <w:rPr>
          <w:sz w:val="20"/>
          <w:szCs w:val="20"/>
          <w:color w:val="auto"/>
        </w:rPr>
      </w:pPr>
      <w:r>
        <w:rPr>
          <w:rFonts w:ascii="Arial" w:cs="Arial" w:eastAsia="Arial" w:hAnsi="Arial"/>
          <w:sz w:val="15"/>
          <w:szCs w:val="15"/>
          <w:color w:val="auto"/>
        </w:rPr>
        <w:t>737-800 cargo aircraft for Amazon (having been awarded two additional aircraft in October and</w:t>
      </w:r>
    </w:p>
    <w:p>
      <w:pPr>
        <w:ind w:left="1160"/>
        <w:spacing w:after="0"/>
        <w:rPr>
          <w:sz w:val="20"/>
          <w:szCs w:val="20"/>
          <w:color w:val="auto"/>
        </w:rPr>
      </w:pPr>
      <w:r>
        <w:rPr>
          <w:rFonts w:ascii="Arial" w:cs="Arial" w:eastAsia="Arial" w:hAnsi="Arial"/>
          <w:sz w:val="14"/>
          <w:szCs w:val="14"/>
          <w:color w:val="auto"/>
        </w:rPr>
        <w:t>November 2020 after the initial contract for 10 aircraft). Our CMI service is asset-light from a Sun Country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perspective, as Amazon supplies the aircraft and covers many of the operating expenses, including fuel, and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provides all cargo loading and unloading services. We are responsible for flying the aircraft under our air</w:t>
      </w:r>
    </w:p>
    <w:p>
      <w:pPr>
        <w:ind w:left="1160"/>
        <w:spacing w:after="0" w:line="234" w:lineRule="auto"/>
        <w:rPr>
          <w:sz w:val="20"/>
          <w:szCs w:val="20"/>
          <w:color w:val="auto"/>
        </w:rPr>
      </w:pPr>
      <w:r>
        <w:rPr>
          <w:rFonts w:ascii="Arial" w:cs="Arial" w:eastAsia="Arial" w:hAnsi="Arial"/>
          <w:sz w:val="15"/>
          <w:szCs w:val="15"/>
          <w:color w:val="auto"/>
        </w:rPr>
        <w:t>carrier certificate, crew, aircraft line maintenance and insurance, all of which allow us to leverage our</w:t>
      </w:r>
    </w:p>
    <w:p>
      <w:pPr>
        <w:ind w:left="1160"/>
        <w:spacing w:after="0"/>
        <w:rPr>
          <w:sz w:val="20"/>
          <w:szCs w:val="20"/>
          <w:color w:val="auto"/>
        </w:rPr>
      </w:pPr>
      <w:r>
        <w:rPr>
          <w:rFonts w:ascii="Arial" w:cs="Arial" w:eastAsia="Arial" w:hAnsi="Arial"/>
          <w:sz w:val="14"/>
          <w:szCs w:val="14"/>
          <w:color w:val="auto"/>
        </w:rPr>
        <w:t>existing operational expertise from our scheduled service and charter businesses. The ATSA has generated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consistent, positive cash flows through the COVID-19 induced downturn. The ATSA offers potential future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growth opportunities by establishing a long-term partnership with Amazon. Our cargo business also enables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us to leverage certain assets, capabilities and fixed costs to enhance profitability and promote growth across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our company. For example, we believe that by deploying pilots across each of our business lines, we</w:t>
      </w:r>
    </w:p>
    <w:p>
      <w:pPr>
        <w:ind w:left="1160"/>
        <w:spacing w:after="0"/>
        <w:rPr>
          <w:sz w:val="20"/>
          <w:szCs w:val="20"/>
          <w:color w:val="auto"/>
        </w:rPr>
      </w:pPr>
      <w:r>
        <w:rPr>
          <w:rFonts w:ascii="Arial" w:cs="Arial" w:eastAsia="Arial" w:hAnsi="Arial"/>
          <w:sz w:val="15"/>
          <w:szCs w:val="15"/>
          <w:color w:val="auto"/>
        </w:rPr>
        <w:t>increase the efficiency of our operations.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Our Transformation</w:t>
      </w:r>
    </w:p>
    <w:p>
      <w:pPr>
        <w:spacing w:after="0" w:line="113" w:lineRule="exact"/>
        <w:rPr>
          <w:sz w:val="20"/>
          <w:szCs w:val="20"/>
          <w:color w:val="auto"/>
        </w:rPr>
      </w:pPr>
    </w:p>
    <w:p>
      <w:pPr>
        <w:ind w:left="1160" w:right="1279" w:firstLine="293"/>
        <w:spacing w:after="0" w:line="239" w:lineRule="auto"/>
        <w:rPr>
          <w:sz w:val="20"/>
          <w:szCs w:val="20"/>
          <w:color w:val="auto"/>
        </w:rPr>
      </w:pPr>
      <w:r>
        <w:rPr>
          <w:rFonts w:ascii="Arial" w:cs="Arial" w:eastAsia="Arial" w:hAnsi="Arial"/>
          <w:sz w:val="15"/>
          <w:szCs w:val="15"/>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67" w:lineRule="exact"/>
        <w:rPr>
          <w:sz w:val="20"/>
          <w:szCs w:val="20"/>
          <w:color w:val="auto"/>
        </w:rPr>
      </w:pPr>
    </w:p>
    <w:p>
      <w:pPr>
        <w:ind w:left="1600" w:right="1319" w:hanging="143"/>
        <w:spacing w:after="0" w:line="251" w:lineRule="auto"/>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69" w:lineRule="exact"/>
        <w:rPr>
          <w:rFonts w:ascii="Arial" w:cs="Arial" w:eastAsia="Arial" w:hAnsi="Arial"/>
          <w:sz w:val="15"/>
          <w:szCs w:val="15"/>
          <w:color w:val="auto"/>
        </w:rPr>
      </w:pPr>
    </w:p>
    <w:p>
      <w:pPr>
        <w:ind w:left="1600" w:right="1279" w:hanging="143"/>
        <w:spacing w:after="0" w:line="297" w:lineRule="auto"/>
        <w:tabs>
          <w:tab w:leader="none" w:pos="1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3"/>
          <w:szCs w:val="13"/>
          <w:i w:val="1"/>
          <w:iCs w:val="1"/>
          <w:color w:val="auto"/>
        </w:rPr>
        <w:t>Navitaire</w:t>
      </w:r>
      <w:r>
        <w:rPr>
          <w:rFonts w:ascii="Arial" w:cs="Arial" w:eastAsia="Arial" w:hAnsi="Arial"/>
          <w:sz w:val="13"/>
          <w:szCs w:val="13"/>
          <w:color w:val="auto"/>
        </w:rPr>
        <w:t>, rebranded our product along with our website and invested in improving the customer support experience. We consolidated our corporate headquarters into an on-airport hangar.</w:t>
      </w:r>
    </w:p>
    <w:p>
      <w:pPr>
        <w:spacing w:after="0" w:line="41" w:lineRule="exact"/>
        <w:rPr>
          <w:rFonts w:ascii="Arial" w:cs="Arial" w:eastAsia="Arial" w:hAnsi="Arial"/>
          <w:sz w:val="13"/>
          <w:szCs w:val="13"/>
          <w:color w:val="auto"/>
        </w:rPr>
      </w:pPr>
    </w:p>
    <w:p>
      <w:pPr>
        <w:ind w:left="1600" w:right="1219" w:hanging="143"/>
        <w:spacing w:after="0" w:line="254" w:lineRule="auto"/>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We greatly expanded our ancillary products and services, which consist of baggage fees, seat assignment fees and other fees, increasing average ancillary revenue per scheduled service passenger by 148% from 2017 to 2019.</w:t>
      </w:r>
    </w:p>
    <w:p>
      <w:pPr>
        <w:spacing w:after="0" w:line="56"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We launched and grew our asset light cargo business and fully integrated our pilot base across our scheduled service, charter and cargo businesses.</w:t>
      </w:r>
    </w:p>
    <w:p>
      <w:pPr>
        <w:spacing w:after="0" w:line="59"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02"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13"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39"/>
        <w:spacing w:after="0" w:line="254" w:lineRule="auto"/>
        <w:rPr>
          <w:sz w:val="20"/>
          <w:szCs w:val="20"/>
          <w:color w:val="auto"/>
        </w:rPr>
      </w:pPr>
      <w:r>
        <w:rPr>
          <w:rFonts w:ascii="Arial" w:cs="Arial" w:eastAsia="Arial" w:hAnsi="Arial"/>
          <w:sz w:val="15"/>
          <w:szCs w:val="15"/>
          <w:color w:val="auto"/>
        </w:rPr>
        <w:t>A portion of the proceeds was used to pay fees and expenses in connection with the initial public offering. The remaining net proceeds have been and will continue to be used for general corporate purposes, including to acquire additional aircraft.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COVID-19 Induced Downturn</w:t>
      </w:r>
    </w:p>
    <w:p>
      <w:pPr>
        <w:spacing w:after="0" w:line="12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On March 11, 2020, the World Health Organization declared COVID-19 a global pandemic and between March 1, 2020 and May 31, 2020, 42 U.S. states and territories, encompassing 73% of U.S. counties, issued mandatory stay-at-home orders, with most occurring during the month of April 2020. 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allowing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86"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also entered into the Credit Agreement. Further, we have received grants from Treasury through the Payroll Support Program and accepted the CARES Act Loan from Treasury through the CARES Act Loan Program, which has now been repaid in full, without issuing any warrants, unlike nearly all other carriers with whom we compete that received government assistance. We have also maintained our pre-COVID-19 corporate credit ratings throughout the downturn. COVID-19 vaccines have become widely available in the United States with over 330 million doses administered and nearly 50% of the U.S. population fully vacinnated according to the CDC. As vaccines continue to become more widely distributed in 2021, we believe the airline industry will continue to rebound into the back half of 2021 and normalize in 2022. Given our focus on low-cost domestic leisure travel, we believe we are rebounding faster than most other U.S. airlines.</w:t>
      </w:r>
    </w:p>
    <w:p>
      <w:pPr>
        <w:spacing w:after="0" w:line="95"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5"/>
          <w:szCs w:val="15"/>
          <w:i w:val="1"/>
          <w:iCs w:val="1"/>
          <w:color w:val="auto"/>
        </w:rPr>
        <w:t>Risk Factors</w:t>
      </w:r>
      <w:r>
        <w:rPr>
          <w:rFonts w:ascii="Arial" w:cs="Arial" w:eastAsia="Arial" w:hAnsi="Arial"/>
          <w:sz w:val="15"/>
          <w:szCs w:val="15"/>
          <w:color w:val="auto"/>
        </w:rPr>
        <w:t>.”</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Competitive Strengths</w:t>
      </w:r>
    </w:p>
    <w:p>
      <w:pPr>
        <w:spacing w:after="0" w:line="128" w:lineRule="exact"/>
        <w:rPr>
          <w:sz w:val="20"/>
          <w:szCs w:val="20"/>
          <w:color w:val="auto"/>
        </w:rPr>
      </w:pPr>
    </w:p>
    <w:p>
      <w:pPr>
        <w:ind w:left="1160" w:right="1439" w:firstLine="293"/>
        <w:spacing w:after="0" w:line="264" w:lineRule="auto"/>
        <w:rPr>
          <w:sz w:val="20"/>
          <w:szCs w:val="20"/>
          <w:color w:val="auto"/>
        </w:rPr>
      </w:pPr>
      <w:r>
        <w:rPr>
          <w:rFonts w:ascii="Arial" w:cs="Arial" w:eastAsia="Arial" w:hAnsi="Arial"/>
          <w:sz w:val="15"/>
          <w:szCs w:val="15"/>
          <w:color w:val="auto"/>
        </w:rPr>
        <w:t>We believe that the following key strengths allow us to compete successfully within the U.S. airline industry.</w:t>
      </w:r>
    </w:p>
    <w:p>
      <w:pPr>
        <w:spacing w:after="0" w:line="82"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b w:val="1"/>
          <w:bCs w:val="1"/>
          <w:i w:val="1"/>
          <w:iCs w:val="1"/>
          <w:color w:val="auto"/>
        </w:rPr>
        <w:t xml:space="preserve">Diversified and Resilient Business Model. </w:t>
      </w:r>
      <w:r>
        <w:rPr>
          <w:rFonts w:ascii="Arial" w:cs="Arial" w:eastAsia="Arial" w:hAnsi="Arial"/>
          <w:sz w:val="15"/>
          <w:szCs w:val="15"/>
          <w:color w:val="auto"/>
        </w:rPr>
        <w:t>Our diversified business model, which includes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leisure and 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 the U.S. Department of Defense and large university sports teams continued to fly in 2020, while our casino customers are subject to long-term contracts and began flying again</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79"/>
        <w:spacing w:after="0" w:line="283" w:lineRule="auto"/>
        <w:rPr>
          <w:sz w:val="20"/>
          <w:szCs w:val="20"/>
          <w:color w:val="auto"/>
        </w:rPr>
      </w:pPr>
      <w:r>
        <w:rPr>
          <w:rFonts w:ascii="Arial" w:cs="Arial" w:eastAsia="Arial" w:hAnsi="Arial"/>
          <w:sz w:val="14"/>
          <w:szCs w:val="14"/>
          <w:color w:val="auto"/>
        </w:rPr>
        <w:t>in June 2020. Our cargo business exhibited steady growth in 2020 and into the first half of 2021 as flying ramped up and demand remained strong, driven by underlying secular growth in e-commerce.</w:t>
      </w:r>
    </w:p>
    <w:p>
      <w:pPr>
        <w:spacing w:after="0" w:line="71"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3"/>
          <w:szCs w:val="13"/>
          <w:b w:val="1"/>
          <w:bCs w:val="1"/>
          <w:i w:val="1"/>
          <w:iCs w:val="1"/>
          <w:color w:val="auto"/>
        </w:rPr>
        <w:t xml:space="preserve">Agile Peak Demand Scheduling Strategy. </w:t>
      </w:r>
      <w:r>
        <w:rPr>
          <w:rFonts w:ascii="Arial" w:cs="Arial" w:eastAsia="Arial" w:hAnsi="Arial"/>
          <w:sz w:val="13"/>
          <w:szCs w:val="13"/>
          <w:color w:val="auto"/>
        </w:rPr>
        <w:t>We flex our capacity by day of the week, month of the year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line of business to capture what we believe are the most profitable flying opportunities available from both our 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179070</wp:posOffset>
            </wp:positionV>
            <wp:extent cx="4241800" cy="254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24180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4"/>
          <w:szCs w:val="14"/>
          <w:i w:val="1"/>
          <w:iCs w:val="1"/>
          <w:color w:val="auto"/>
        </w:rPr>
        <w:t>Power Patterns</w:t>
      </w:r>
      <w:r>
        <w:rPr>
          <w:rFonts w:ascii="Arial" w:cs="Arial" w:eastAsia="Arial" w:hAnsi="Arial"/>
          <w:sz w:val="14"/>
          <w:szCs w:val="14"/>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88" w:lineRule="exact"/>
        <w:rPr>
          <w:sz w:val="20"/>
          <w:szCs w:val="20"/>
          <w:color w:val="auto"/>
        </w:rPr>
      </w:pPr>
    </w:p>
    <w:p>
      <w:pPr>
        <w:ind w:left="1160" w:right="1259" w:firstLine="293"/>
        <w:spacing w:after="0" w:line="258" w:lineRule="auto"/>
        <w:rPr>
          <w:sz w:val="20"/>
          <w:szCs w:val="20"/>
          <w:color w:val="auto"/>
        </w:rPr>
      </w:pPr>
      <w:r>
        <w:rPr>
          <w:rFonts w:ascii="Arial" w:cs="Arial" w:eastAsia="Arial" w:hAnsi="Arial"/>
          <w:sz w:val="14"/>
          <w:szCs w:val="14"/>
          <w:b w:val="1"/>
          <w:bCs w:val="1"/>
          <w:i w:val="1"/>
          <w:iCs w:val="1"/>
          <w:color w:val="auto"/>
        </w:rPr>
        <w:t>Tactical Mid-Life Fleet with Flexible Operations</w:t>
      </w:r>
      <w:r>
        <w:rPr>
          <w:rFonts w:ascii="Arial" w:cs="Arial" w:eastAsia="Arial" w:hAnsi="Arial"/>
          <w:sz w:val="14"/>
          <w:szCs w:val="14"/>
          <w:color w:val="auto"/>
        </w:rPr>
        <w:t>. We maintain low aircraft ownership costs by acquiring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9" w:lineRule="auto"/>
        <w:rPr>
          <w:sz w:val="20"/>
          <w:szCs w:val="20"/>
          <w:color w:val="auto"/>
        </w:rPr>
      </w:pPr>
      <w:r>
        <w:rPr>
          <w:rFonts w:ascii="Arial" w:cs="Arial" w:eastAsia="Arial" w:hAnsi="Arial"/>
          <w:sz w:val="14"/>
          <w:szCs w:val="14"/>
          <w:color w:val="auto"/>
        </w:rPr>
        <w:t>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94" w:lineRule="exact"/>
        <w:rPr>
          <w:sz w:val="20"/>
          <w:szCs w:val="20"/>
          <w:color w:val="auto"/>
        </w:rPr>
      </w:pPr>
    </w:p>
    <w:p>
      <w:pPr>
        <w:jc w:val="both"/>
        <w:ind w:left="1160" w:right="1199" w:firstLine="293"/>
        <w:spacing w:after="0" w:line="294" w:lineRule="auto"/>
        <w:rPr>
          <w:sz w:val="20"/>
          <w:szCs w:val="20"/>
          <w:color w:val="auto"/>
        </w:rPr>
      </w:pPr>
      <w:r>
        <w:rPr>
          <w:rFonts w:ascii="Arial" w:cs="Arial" w:eastAsia="Arial" w:hAnsi="Arial"/>
          <w:sz w:val="13"/>
          <w:szCs w:val="13"/>
          <w:b w:val="1"/>
          <w:bCs w:val="1"/>
          <w:i w:val="1"/>
          <w:iCs w:val="1"/>
          <w:color w:val="auto"/>
        </w:rPr>
        <w:t>Superior Low-Cost Product and Brand</w:t>
      </w:r>
      <w:r>
        <w:rPr>
          <w:rFonts w:ascii="Arial" w:cs="Arial" w:eastAsia="Arial" w:hAnsi="Arial"/>
          <w:sz w:val="13"/>
          <w:szCs w:val="13"/>
          <w:color w:val="auto"/>
        </w:rPr>
        <w:t>. We have invested in numerous projects to create a well-regarded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 and brand that we believe is superior to ULCCs while maintaining lower fares than LCCs and larger full service carriers. Some of the reasons that we believe we have a superior brand to ULCCs include:</w:t>
      </w:r>
    </w:p>
    <w:p>
      <w:pPr>
        <w:spacing w:after="0" w:line="33" w:lineRule="exact"/>
        <w:rPr>
          <w:sz w:val="20"/>
          <w:szCs w:val="20"/>
          <w:color w:val="auto"/>
        </w:rPr>
      </w:pPr>
    </w:p>
    <w:p>
      <w:pPr>
        <w:ind w:left="1600" w:right="1179" w:hanging="143"/>
        <w:spacing w:after="0" w:line="247" w:lineRule="auto"/>
        <w:tabs>
          <w:tab w:leader="none" w:pos="160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Our Cabin Experience. </w:t>
      </w:r>
      <w:r>
        <w:rPr>
          <w:rFonts w:ascii="Arial" w:cs="Arial" w:eastAsia="Arial" w:hAnsi="Arial"/>
          <w:sz w:val="15"/>
          <w:szCs w:val="15"/>
          <w:color w:val="auto"/>
        </w:rPr>
        <w:t>All of our 737-800 aircraft have new state-of-the-art seats that comfortably</w:t>
      </w:r>
      <w:r>
        <w:rPr>
          <w:rFonts w:ascii="Arial" w:cs="Arial" w:eastAsia="Arial" w:hAnsi="Arial"/>
          <w:sz w:val="15"/>
          <w:szCs w:val="15"/>
          <w:i w:val="1"/>
          <w:iCs w:val="1"/>
          <w:color w:val="auto"/>
        </w:rPr>
        <w:t xml:space="preserve"> </w:t>
      </w:r>
      <w:r>
        <w:rPr>
          <w:rFonts w:ascii="Arial" w:cs="Arial" w:eastAsia="Arial" w:hAnsi="Arial"/>
          <w:sz w:val="15"/>
          <w:szCs w:val="15"/>
          <w:color w:val="auto"/>
        </w:rPr>
        <w:t>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64"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Our Digital Experience. </w:t>
      </w:r>
      <w:r>
        <w:rPr>
          <w:rFonts w:ascii="Arial" w:cs="Arial" w:eastAsia="Arial" w:hAnsi="Arial"/>
          <w:sz w:val="14"/>
          <w:szCs w:val="14"/>
          <w:color w:val="auto"/>
        </w:rPr>
        <w:t>We have significantly improved the buying experience for our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We overhauled our passenger service system in 2019 and transitioned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the premier passenger service system in the United States.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decreased our overall website session length, decreased the percentage of failures to complete a transaction after accessing our website on a mobile device and increased the percentage of visits to our website that result in an airfare purchase. The transition to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4"/>
          <w:szCs w:val="14"/>
          <w:i w:val="1"/>
          <w:iCs w:val="1"/>
          <w:color w:val="auto"/>
        </w:rPr>
        <w:t>Navitaire</w:t>
      </w:r>
      <w:r>
        <w:rPr>
          <w:rFonts w:ascii="Arial" w:cs="Arial" w:eastAsia="Arial" w:hAnsi="Arial"/>
          <w:sz w:val="14"/>
          <w:szCs w:val="14"/>
          <w:color w:val="auto"/>
        </w:rPr>
        <w:t xml:space="preserve"> transition, 72% of our Minneapolis originating passengers have checked in either online or at a kiosk. System wide over 67% of our passengers have checked in electronically. These tools increase the chances that the passenger can skip the check in counter, which we believe improves our customers’ experience while also reducing costs.</w:t>
      </w:r>
    </w:p>
    <w:p>
      <w:pPr>
        <w:spacing w:after="0" w:line="103"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94" w:lineRule="exact"/>
        <w:rPr>
          <w:sz w:val="20"/>
          <w:szCs w:val="20"/>
          <w:color w:val="auto"/>
        </w:rPr>
      </w:pPr>
    </w:p>
    <w:p>
      <w:pPr>
        <w:jc w:val="both"/>
        <w:ind w:left="1160" w:right="1179" w:firstLine="293"/>
        <w:spacing w:after="0" w:line="279" w:lineRule="auto"/>
        <w:rPr>
          <w:sz w:val="20"/>
          <w:szCs w:val="20"/>
          <w:color w:val="auto"/>
        </w:rPr>
      </w:pPr>
      <w:r>
        <w:rPr>
          <w:rFonts w:ascii="Arial" w:cs="Arial" w:eastAsia="Arial" w:hAnsi="Arial"/>
          <w:sz w:val="13"/>
          <w:szCs w:val="13"/>
          <w:b w:val="1"/>
          <w:bCs w:val="1"/>
          <w:i w:val="1"/>
          <w:iCs w:val="1"/>
          <w:color w:val="auto"/>
        </w:rPr>
        <w:t xml:space="preserve">Competitive Low Cost Structure. </w:t>
      </w:r>
      <w:r>
        <w:rPr>
          <w:rFonts w:ascii="Arial" w:cs="Arial" w:eastAsia="Arial" w:hAnsi="Arial"/>
          <w:sz w:val="13"/>
          <w:szCs w:val="13"/>
          <w:color w:val="auto"/>
        </w:rPr>
        <w:t>Our CASM declined from 10.09 cents for the year ended December 31,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2017 to 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52" w:lineRule="auto"/>
        <w:rPr>
          <w:sz w:val="20"/>
          <w:szCs w:val="20"/>
          <w:color w:val="auto"/>
        </w:rPr>
      </w:pPr>
      <w:r>
        <w:rPr>
          <w:rFonts w:ascii="Arial" w:cs="Arial" w:eastAsia="Arial" w:hAnsi="Arial"/>
          <w:sz w:val="14"/>
          <w:szCs w:val="14"/>
          <w:color w:val="auto"/>
        </w:rPr>
        <w:t>renegotiation of distribution contracts, consolidation of staff at headquarters on airport property and various other initiatives. Our CASM and Adjusted CASM for the year ended December 31, 2020 of 8.91 cents and 7.57 cents and for the three months ended March 31, 2021 of 7.46 cents and 6.15 cents, respectively, were adversely impacted due to the COVID-19 pandemic. While Adjusted CASM for all U.S. airlines increased in 2020 as a result of the COVID -19 induced downturn, we believe that our business model and strategy positions us well to maintain and improve our Adjusted CASM in the future, while maintaining lower utilization rates than many other U.S. passenger airlines.</w:t>
      </w:r>
    </w:p>
    <w:p>
      <w:pPr>
        <w:spacing w:after="0" w:line="91"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b w:val="1"/>
          <w:bCs w:val="1"/>
          <w:i w:val="1"/>
          <w:iCs w:val="1"/>
          <w:color w:val="auto"/>
        </w:rPr>
        <w:t xml:space="preserve">Strong Position in Our Profitable MSP Home Market. </w:t>
      </w:r>
      <w:r>
        <w:rPr>
          <w:rFonts w:ascii="Arial" w:cs="Arial" w:eastAsia="Arial" w:hAnsi="Arial"/>
          <w:sz w:val="14"/>
          <w:szCs w:val="14"/>
          <w:color w:val="auto"/>
        </w:rPr>
        <w:t>We have been based in the Minneapolis-St. Paul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area since our founding over 35 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86"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b w:val="1"/>
          <w:bCs w:val="1"/>
          <w:i w:val="1"/>
          <w:iCs w:val="1"/>
          <w:color w:val="auto"/>
        </w:rPr>
        <w:t xml:space="preserve">Seasoned Management Team. </w:t>
      </w:r>
      <w:r>
        <w:rPr>
          <w:rFonts w:ascii="Arial" w:cs="Arial" w:eastAsia="Arial" w:hAnsi="Arial"/>
          <w:sz w:val="14"/>
          <w:szCs w:val="14"/>
          <w:color w:val="auto"/>
        </w:rPr>
        <w:t>Our Chief Executive Officer, Jude Bricker, joined Sun Country Airlines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July 2017 and has over 17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Growth Strategy</w:t>
      </w:r>
    </w:p>
    <w:p>
      <w:pPr>
        <w:spacing w:after="0" w:line="128" w:lineRule="exact"/>
        <w:rPr>
          <w:sz w:val="20"/>
          <w:szCs w:val="20"/>
          <w:color w:val="auto"/>
        </w:rPr>
      </w:pPr>
    </w:p>
    <w:p>
      <w:pPr>
        <w:jc w:val="both"/>
        <w:ind w:left="1160" w:right="1579" w:firstLine="293"/>
        <w:spacing w:after="0" w:line="254" w:lineRule="auto"/>
        <w:rPr>
          <w:sz w:val="20"/>
          <w:szCs w:val="20"/>
          <w:color w:val="auto"/>
        </w:rPr>
      </w:pPr>
      <w:r>
        <w:rPr>
          <w:rFonts w:ascii="Arial" w:cs="Arial" w:eastAsia="Arial" w:hAnsi="Arial"/>
          <w:sz w:val="15"/>
          <w:szCs w:val="15"/>
          <w:color w:val="auto"/>
        </w:rPr>
        <w:t>Since 2018, we have established the infrastructure to support our significant long-term profitable growth strategy that we plan to continue once the U.S. air travel market rebounds from the COVID-19 induced downturn.</w:t>
      </w:r>
    </w:p>
    <w:p>
      <w:pPr>
        <w:spacing w:after="0" w:line="68" w:lineRule="exact"/>
        <w:rPr>
          <w:sz w:val="20"/>
          <w:szCs w:val="20"/>
          <w:color w:val="auto"/>
        </w:rPr>
      </w:pPr>
    </w:p>
    <w:p>
      <w:pPr>
        <w:ind w:left="1600" w:right="1319" w:hanging="143"/>
        <w:spacing w:after="0" w:line="251"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Network</w:t>
      </w:r>
      <w:r>
        <w:rPr>
          <w:rFonts w:ascii="Arial" w:cs="Arial" w:eastAsia="Arial" w:hAnsi="Arial"/>
          <w:sz w:val="15"/>
          <w:szCs w:val="15"/>
          <w:color w:val="auto"/>
        </w:rPr>
        <w:t>. We launched 64 new markets from 2018 through 2019 and developed a repeatable</w:t>
      </w:r>
      <w:r>
        <w:rPr>
          <w:rFonts w:ascii="Arial" w:cs="Arial" w:eastAsia="Arial" w:hAnsi="Arial"/>
          <w:sz w:val="15"/>
          <w:szCs w:val="15"/>
          <w:i w:val="1"/>
          <w:iCs w:val="1"/>
          <w:color w:val="auto"/>
        </w:rPr>
        <w:t xml:space="preserve"> </w:t>
      </w:r>
      <w:r>
        <w:rPr>
          <w:rFonts w:ascii="Arial" w:cs="Arial" w:eastAsia="Arial" w:hAnsi="Arial"/>
          <w:sz w:val="15"/>
          <w:szCs w:val="15"/>
          <w:color w:val="auto"/>
        </w:rPr>
        <w:t>network growth strategy. Since the start of 2021, we have announced 35 new markets. Our network strategy is expected to support passenger fleet growth to approximately 50 aircraft by the end of 2023.</w:t>
      </w:r>
    </w:p>
    <w:p>
      <w:pPr>
        <w:spacing w:after="0" w:line="69" w:lineRule="exact"/>
        <w:rPr>
          <w:rFonts w:ascii="Arial" w:cs="Arial" w:eastAsia="Arial" w:hAnsi="Arial"/>
          <w:sz w:val="15"/>
          <w:szCs w:val="15"/>
          <w:color w:val="auto"/>
        </w:rPr>
      </w:pPr>
    </w:p>
    <w:p>
      <w:pPr>
        <w:ind w:left="1600" w:right="1359" w:hanging="143"/>
        <w:spacing w:after="0" w:line="251"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Fleet</w:t>
      </w:r>
      <w:r>
        <w:rPr>
          <w:rFonts w:ascii="Arial" w:cs="Arial" w:eastAsia="Arial" w:hAnsi="Arial"/>
          <w:sz w:val="15"/>
          <w:szCs w:val="15"/>
          <w:color w:val="auto"/>
        </w:rPr>
        <w:t>. We restructured our fleet with a focus on ownership of Boeing 737-800s with no planned</w:t>
      </w:r>
      <w:r>
        <w:rPr>
          <w:rFonts w:ascii="Arial" w:cs="Arial" w:eastAsia="Arial" w:hAnsi="Arial"/>
          <w:sz w:val="15"/>
          <w:szCs w:val="15"/>
          <w:i w:val="1"/>
          <w:iCs w:val="1"/>
          <w:color w:val="auto"/>
        </w:rPr>
        <w:t xml:space="preserve"> </w:t>
      </w:r>
      <w:r>
        <w:rPr>
          <w:rFonts w:ascii="Arial" w:cs="Arial" w:eastAsia="Arial" w:hAnsi="Arial"/>
          <w:sz w:val="15"/>
          <w:szCs w:val="15"/>
          <w:color w:val="auto"/>
        </w:rPr>
        <w:t>lease redeliveries prior to 2024, allowing us to focus on growth with low capital commitments. We believe the current dislocation in the aircraft market will enable us to access new aircraft at an attractive cost relative to our peers.</w:t>
      </w:r>
    </w:p>
    <w:p>
      <w:pPr>
        <w:spacing w:after="0" w:line="69" w:lineRule="exact"/>
        <w:rPr>
          <w:rFonts w:ascii="Arial" w:cs="Arial" w:eastAsia="Arial" w:hAnsi="Arial"/>
          <w:sz w:val="15"/>
          <w:szCs w:val="15"/>
          <w:color w:val="auto"/>
        </w:rPr>
      </w:pPr>
    </w:p>
    <w:p>
      <w:pPr>
        <w:ind w:left="1600" w:right="1259" w:hanging="143"/>
        <w:spacing w:after="0" w:line="254"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Customer</w:t>
      </w:r>
      <w:r>
        <w:rPr>
          <w:rFonts w:ascii="Arial" w:cs="Arial" w:eastAsia="Arial" w:hAnsi="Arial"/>
          <w:sz w:val="15"/>
          <w:szCs w:val="15"/>
          <w:color w:val="auto"/>
        </w:rPr>
        <w:t>. We rebranded the airline around a leisure product with a significant ancillary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which we believe will allow us to stimulate demand during the rebound from COVID-19 earlier than airlines focused on business travelers.</w:t>
      </w:r>
    </w:p>
    <w:p>
      <w:pPr>
        <w:spacing w:after="0" w:line="67"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Culture</w:t>
      </w:r>
      <w:r>
        <w:rPr>
          <w:rFonts w:ascii="Arial" w:cs="Arial" w:eastAsia="Arial" w:hAnsi="Arial"/>
          <w:sz w:val="15"/>
          <w:szCs w:val="15"/>
          <w:color w:val="auto"/>
        </w:rPr>
        <w:t>. We installed a new management team with a cost-conscious ethos, which included moving</w:t>
      </w:r>
      <w:r>
        <w:rPr>
          <w:rFonts w:ascii="Arial" w:cs="Arial" w:eastAsia="Arial" w:hAnsi="Arial"/>
          <w:sz w:val="15"/>
          <w:szCs w:val="15"/>
          <w:i w:val="1"/>
          <w:iCs w:val="1"/>
          <w:color w:val="auto"/>
        </w:rPr>
        <w:t xml:space="preserve"> </w:t>
      </w:r>
      <w:r>
        <w:rPr>
          <w:rFonts w:ascii="Arial" w:cs="Arial" w:eastAsia="Arial" w:hAnsi="Arial"/>
          <w:sz w:val="15"/>
          <w:szCs w:val="15"/>
          <w:color w:val="auto"/>
        </w:rPr>
        <w:t>our headquarters into a hangar at MSP.</w:t>
      </w:r>
    </w:p>
    <w:p>
      <w:pPr>
        <w:spacing w:after="0" w:line="59" w:lineRule="exact"/>
        <w:rPr>
          <w:rFonts w:ascii="Arial" w:cs="Arial" w:eastAsia="Arial" w:hAnsi="Arial"/>
          <w:sz w:val="15"/>
          <w:szCs w:val="15"/>
          <w:color w:val="auto"/>
        </w:rPr>
      </w:pPr>
    </w:p>
    <w:p>
      <w:pPr>
        <w:ind w:left="1600" w:right="1819" w:hanging="143"/>
        <w:spacing w:after="0" w:line="264" w:lineRule="auto"/>
        <w:tabs>
          <w:tab w:leader="none" w:pos="16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Operations</w:t>
      </w:r>
      <w:r>
        <w:rPr>
          <w:rFonts w:ascii="Arial" w:cs="Arial" w:eastAsia="Arial" w:hAnsi="Arial"/>
          <w:sz w:val="15"/>
          <w:szCs w:val="15"/>
          <w:color w:val="auto"/>
        </w:rPr>
        <w:t>. We maintained high standards of operational performance, including a 99.8%</w:t>
      </w:r>
      <w:r>
        <w:rPr>
          <w:rFonts w:ascii="Arial" w:cs="Arial" w:eastAsia="Arial" w:hAnsi="Arial"/>
          <w:sz w:val="15"/>
          <w:szCs w:val="15"/>
          <w:i w:val="1"/>
          <w:iCs w:val="1"/>
          <w:color w:val="auto"/>
        </w:rPr>
        <w:t xml:space="preserve"> </w:t>
      </w:r>
      <w:r>
        <w:rPr>
          <w:rFonts w:ascii="Arial" w:cs="Arial" w:eastAsia="Arial" w:hAnsi="Arial"/>
          <w:sz w:val="15"/>
          <w:szCs w:val="15"/>
          <w:color w:val="auto"/>
        </w:rPr>
        <w:t>completion factor for the year ended December 31, 2019.</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We believe our initiatives have provided us with a platform to profitably grow our business. Key elements of our growth strategy include:</w:t>
      </w:r>
    </w:p>
    <w:p>
      <w:pPr>
        <w:spacing w:after="0" w:line="93"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b w:val="1"/>
          <w:bCs w:val="1"/>
          <w:i w:val="1"/>
          <w:iCs w:val="1"/>
          <w:color w:val="auto"/>
        </w:rPr>
        <w:t xml:space="preserve">Leverage the Expected Rebound in Our Passenger Business. </w:t>
      </w:r>
      <w:r>
        <w:rPr>
          <w:rFonts w:ascii="Arial" w:cs="Arial" w:eastAsia="Arial" w:hAnsi="Arial"/>
          <w:sz w:val="14"/>
          <w:szCs w:val="14"/>
          <w:color w:val="auto"/>
        </w:rPr>
        <w:t>The number of domestic LCC and ULCC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83"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b w:val="1"/>
          <w:bCs w:val="1"/>
          <w:i w:val="1"/>
          <w:iCs w:val="1"/>
          <w:color w:val="auto"/>
        </w:rPr>
        <w:t xml:space="preserve">Grow Our Cargo Business. </w:t>
      </w:r>
      <w:r>
        <w:rPr>
          <w:rFonts w:ascii="Arial" w:cs="Arial" w:eastAsia="Arial" w:hAnsi="Arial"/>
          <w:sz w:val="14"/>
          <w:szCs w:val="14"/>
          <w:color w:val="auto"/>
        </w:rPr>
        <w:t>In December 2019, we signed the ATSA with Amazon to provide air cargo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91"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b w:val="1"/>
          <w:bCs w:val="1"/>
          <w:i w:val="1"/>
          <w:iCs w:val="1"/>
          <w:color w:val="auto"/>
        </w:rPr>
        <w:t xml:space="preserve">Expand our Peak Demand Flying in Minneapolis and Beyond. </w:t>
      </w:r>
      <w:r>
        <w:rPr>
          <w:rFonts w:ascii="Arial" w:cs="Arial" w:eastAsia="Arial" w:hAnsi="Arial"/>
          <w:sz w:val="14"/>
          <w:szCs w:val="14"/>
          <w:color w:val="auto"/>
        </w:rPr>
        <w:t>Following a rebound in U.S. air travel,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intend to continue growing our 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95"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88" w:lineRule="exact"/>
        <w:rPr>
          <w:sz w:val="20"/>
          <w:szCs w:val="20"/>
          <w:color w:val="auto"/>
        </w:rPr>
      </w:pPr>
    </w:p>
    <w:p>
      <w:pPr>
        <w:ind w:left="1460"/>
        <w:spacing w:after="0"/>
        <w:tabs>
          <w:tab w:leader="none" w:pos="4820" w:val="left"/>
        </w:tabs>
        <w:rPr>
          <w:sz w:val="20"/>
          <w:szCs w:val="20"/>
          <w:color w:val="auto"/>
        </w:rPr>
      </w:pPr>
      <w:r>
        <w:rPr>
          <w:rFonts w:ascii="Arial" w:cs="Arial" w:eastAsia="Arial" w:hAnsi="Arial"/>
          <w:sz w:val="15"/>
          <w:szCs w:val="15"/>
          <w:b w:val="1"/>
          <w:bCs w:val="1"/>
          <w:i w:val="1"/>
          <w:iCs w:val="1"/>
          <w:color w:val="auto"/>
        </w:rPr>
        <w:t>Continue to Increase Our Margins and Free Cash Flow</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From December 31, 2017 through</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December 31, 2019, we reduced our CASM from 10.09 cents to 8.82 cents and our Adjusted CASM from</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7.80 cents to 6.31 cents, a level comparable to ULCCs. When combined with our TRASM, which remains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comparable to LCCs and higher than ULCCs, we generate highly competitive margins. Our period of</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investment in fleet renewal and transformative capital expenditures is largely behind us, and our focus,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following the end of the COVID-19 pandemic, will pivot to growth. We intend to continue to improve our</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leading margin and free cash flow profile through a variety of initiatives and measures. Key initiatives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include further conversion to an owned (versus leased) model for aircraft ownership, leveraging our fixed</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cost base as we continue to grow our passenger aircraft fleet to achieve economies of scale, continuous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optimization of our maintenance operations and completion of other ongoing strategic initiatives. As a</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result, we expect improvements in profit margins and free cash flow, which we define as operating cash</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flow minus non-aircraft capital expenditures, following a rebound in the U.S. air travel market to support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growth in the years ahead.</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Scheduled Service Business</w:t>
      </w:r>
    </w:p>
    <w:p>
      <w:pPr>
        <w:spacing w:after="0" w:line="128" w:lineRule="exact"/>
        <w:rPr>
          <w:sz w:val="20"/>
          <w:szCs w:val="20"/>
          <w:color w:val="auto"/>
        </w:rPr>
      </w:pPr>
    </w:p>
    <w:p>
      <w:pPr>
        <w:ind w:left="1160" w:right="1219" w:firstLine="293"/>
        <w:spacing w:after="0" w:line="270" w:lineRule="auto"/>
        <w:rPr>
          <w:sz w:val="20"/>
          <w:szCs w:val="20"/>
          <w:color w:val="auto"/>
        </w:rPr>
      </w:pPr>
      <w:r>
        <w:rPr>
          <w:rFonts w:ascii="Arial" w:cs="Arial" w:eastAsia="Arial" w:hAnsi="Arial"/>
          <w:sz w:val="14"/>
          <w:szCs w:val="14"/>
          <w:color w:val="auto"/>
        </w:rPr>
        <w:t>We provide low-fare passenger airline service primarily to leisure and VFR travelers. Our low fares are designed to stimulate demand from price-sensitive travelers seeking a superior product to ULCCs. For</w:t>
      </w:r>
    </w:p>
    <w:p>
      <w:pPr>
        <w:ind w:left="1160" w:right="1339"/>
        <w:spacing w:after="0" w:line="282" w:lineRule="auto"/>
        <w:rPr>
          <w:sz w:val="20"/>
          <w:szCs w:val="20"/>
          <w:color w:val="auto"/>
        </w:rPr>
      </w:pPr>
      <w:r>
        <w:rPr>
          <w:rFonts w:ascii="Arial" w:cs="Arial" w:eastAsia="Arial" w:hAnsi="Arial"/>
          <w:sz w:val="13"/>
          <w:szCs w:val="13"/>
          <w:color w:val="auto"/>
        </w:rPr>
        <w:t>the years ended December 31, 2019 and 2018, our average base fare (which excludes applicable taxes and governmental fees) was approximately $111.08 and $136.42, respectively, and our number of scheduled service passengers were approximately 3.6 million and 2.6 million, respectively. For the year ended December 31, 2020, our average base fare was approximately $114.96 and we served approximately</w:t>
      </w:r>
    </w:p>
    <w:p>
      <w:pPr>
        <w:spacing w:after="0" w:line="1" w:lineRule="exact"/>
        <w:rPr>
          <w:sz w:val="20"/>
          <w:szCs w:val="20"/>
          <w:color w:val="auto"/>
        </w:rPr>
      </w:pPr>
    </w:p>
    <w:p>
      <w:pPr>
        <w:jc w:val="both"/>
        <w:ind w:left="1160" w:right="1319"/>
        <w:spacing w:after="0" w:line="246" w:lineRule="auto"/>
        <w:rPr>
          <w:sz w:val="20"/>
          <w:szCs w:val="20"/>
          <w:color w:val="auto"/>
        </w:rPr>
      </w:pPr>
      <w:r>
        <w:rPr>
          <w:rFonts w:ascii="Arial" w:cs="Arial" w:eastAsia="Arial" w:hAnsi="Arial"/>
          <w:sz w:val="15"/>
          <w:szCs w:val="15"/>
          <w:color w:val="auto"/>
        </w:rPr>
        <w:t>1.7 million passengers, which was impacted dramatically by the COVID-19 pandemic. We believe that the year ended 2019 is a more useful indicator of our average base fare and passenger statistics during normal industry conditions.</w:t>
      </w:r>
    </w:p>
    <w:p>
      <w:pPr>
        <w:spacing w:after="0" w:line="96"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2019 and 2018, our average ancillary revenue per passenger was approximately $33.14 and $21.70, respectively. Our average ancillary revenue per passenger was $13.34 for the year ended December 31, 2017 and grew 148% from 2017 through 2019. While our average ancillary revenue for the year ended December 31, 2020 increased to $40.53 on a per passenger basis, overall ancillary revenues were impacted by the COVID-19 pandemic, which drove a decline in the number of passengers, and during which we ceased onboard sales, among other actions to reduce the spread of the virus. We believe that the year ended 2019 is a more useful indicator of our ancillary revenue per passenger during normal industry conditions.</w:t>
      </w:r>
    </w:p>
    <w:p>
      <w:pPr>
        <w:spacing w:after="0" w:line="103" w:lineRule="exact"/>
        <w:rPr>
          <w:sz w:val="20"/>
          <w:szCs w:val="20"/>
          <w:color w:val="auto"/>
        </w:rPr>
      </w:pPr>
    </w:p>
    <w:p>
      <w:pPr>
        <w:ind w:left="1160" w:right="1239" w:firstLine="293"/>
        <w:spacing w:after="0" w:line="288" w:lineRule="auto"/>
        <w:rPr>
          <w:sz w:val="20"/>
          <w:szCs w:val="20"/>
          <w:color w:val="auto"/>
        </w:rPr>
      </w:pPr>
      <w:r>
        <w:rPr>
          <w:rFonts w:ascii="Arial" w:cs="Arial" w:eastAsia="Arial" w:hAnsi="Arial"/>
          <w:sz w:val="13"/>
          <w:szCs w:val="13"/>
          <w:color w:val="auto"/>
        </w:rPr>
        <w:t>We also earn revenue from our Sun Country Vacations products, including commissions from the sale of third-party hotel rooms and rental cars. Our SCV products facilitate booking a flight and land package at a discounted price for our customers. As with many other carriers, we offer vacation products to promote “one stop shopping,” and, while a revenue source, this aspect of our business is not a key contributor to our growth strategy. In 2019, our bookings for SCV were temporarily reduced in connection with a delay in the functionality for these services during the transition to our new booking system. Our other revenue also includes revenue from the transportation of mail and cargo and our co-branded credit card. During 2020, revenue from these other items decreased substantially as a result of the COVID-19 pandemic. Despite this, we continued to develop the necessary functionality in our new booking system and we believe that we are well-positioned to capture SCV and other revenue opportunities when the COVID-19 pandemic recedes.</w:t>
      </w:r>
    </w:p>
    <w:p>
      <w:pPr>
        <w:spacing w:after="0" w:line="8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 xml:space="preserve">We also offer interline connectivity with international and domestic airlines. In mid-2019, prior to our transition to </w:t>
      </w:r>
      <w:r>
        <w:rPr>
          <w:rFonts w:ascii="Arial" w:cs="Arial" w:eastAsia="Arial" w:hAnsi="Arial"/>
          <w:sz w:val="15"/>
          <w:szCs w:val="15"/>
          <w:i w:val="1"/>
          <w:iCs w:val="1"/>
          <w:color w:val="auto"/>
        </w:rPr>
        <w:t>Navitaire</w:t>
      </w:r>
      <w:r>
        <w:rPr>
          <w:rFonts w:ascii="Arial" w:cs="Arial" w:eastAsia="Arial" w:hAnsi="Arial"/>
          <w:sz w:val="15"/>
          <w:szCs w:val="15"/>
          <w:color w:val="auto"/>
        </w:rPr>
        <w:t>, we offered interline connectivity with seven carriers. We have reestablished interline connectivity in our new booking system and have identified additional opportunities to grow our interline connectivity.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Charter Business</w:t>
      </w:r>
    </w:p>
    <w:p>
      <w:pPr>
        <w:spacing w:after="0" w:line="117"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Our charter business services a variety of customers. For the years ended December 31, 2020 and 2019, approximately 37% and 38% of our charter revenue was serviced under long-term contracts with casino operators. The remainder of our charter business consists largely of short-term or ad hoc arrangements with repeat customers with whom we have long-term relationships, including the U.S. Department of Defense and college and professional sports teams. Our charter business complements our scheduled service operations by filling in charter 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97"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Our charter business proved more resilient during the COVID-19 induced downturn by returning closer to pre-downturn levels more quickly than scheduled service. Our scheduled service revenue was down 59% in the fourth quarter of 2020, whereas our charter revenue was only down 24% for the same period.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4"/>
          <w:szCs w:val="14"/>
          <w:color w:val="auto"/>
        </w:rPr>
        <w:t>In addition to service revenue, certain costs may be passed directly to the customer. Fuel expense is typically incurred by us; however, revenue rates under our charter contracts are often adjusted for final fuel prices incurred, effectively shifting fuel price risk from us. Our charter revenue was approximately</w:t>
      </w:r>
    </w:p>
    <w:p>
      <w:pPr>
        <w:spacing w:after="0" w:line="1" w:lineRule="exact"/>
        <w:rPr>
          <w:sz w:val="20"/>
          <w:szCs w:val="20"/>
          <w:color w:val="auto"/>
        </w:rPr>
      </w:pPr>
    </w:p>
    <w:p>
      <w:pPr>
        <w:ind w:left="1160" w:right="1399"/>
        <w:spacing w:after="0" w:line="233" w:lineRule="auto"/>
        <w:rPr>
          <w:sz w:val="20"/>
          <w:szCs w:val="20"/>
          <w:color w:val="auto"/>
        </w:rPr>
      </w:pPr>
      <w:r>
        <w:rPr>
          <w:rFonts w:ascii="Arial" w:cs="Arial" w:eastAsia="Arial" w:hAnsi="Arial"/>
          <w:sz w:val="15"/>
          <w:szCs w:val="15"/>
          <w:color w:val="auto"/>
        </w:rPr>
        <w:t>$152 million in 2018, $175 million in 2019 and $98 million in 2020. Our charter revenue in 2020 was impacted dramatically by the COVID-19 pandemic. We believe that the year ended 2019 is a more useful indicator of our charter revenue during normal industry conditions.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Our Cargo Business</w:t>
      </w:r>
    </w:p>
    <w:p>
      <w:pPr>
        <w:spacing w:after="0" w:line="128"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On December 13, 2019, we signed the ATSA with Amazon to provide air cargo services. The ATSA is a six -year contract and includes two, two-year extensions exercisable at Amazon’s option, providing for a total term of ten years if both extension options are exercised. The option to renew the ATSA for two additional two- year terms is at Amazon’s sole discretion, subject to Amazon providing Sun Country with at least 180 days’ prior written notice before the expiration of the then-current term. Flying under the ATSA began in May 2020 and, as of today, we are flying 12 Boeing 737 -800 cargo aircraft for Amazon, which has already grown from our original agreement to fly 10 aircraft. The ATSA is asset-light from a Sun Country perspective, as Amazon supplies the aircraft and covers many of the flight expenses, including fuel, and is responsible for all cargo loading and unloading services. We are responsible for flying the aircraft under our air carrier operating certificate, crew, aircraft line maintenance and insurance, all of which allow us to leverage our existing operational expertise from our scheduled service and charter businesses. The ATSA has annual rate escalations, and the first rate increase occurred on December 13, 2020.</w:t>
      </w:r>
    </w:p>
    <w:p>
      <w:pPr>
        <w:spacing w:after="0" w:line="83"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We believe the ATSA delivers consistent, positive cash flows year-round, allowing us to more efficiently deploy pilots and other assets to more profitable flying during weaker passenger demand periods than would be available without our cargo business. For example, our cargo business delivered consistent positive cash flows through the COVID- 19 induced downturn, providing a baseline of operations and investment that we believe positions our other businesses to recapture demand following the COVID-19 downturn. While other airlines are furloughing pilots, we have restarted pilot hiring in order to support what we believe will be a robust rebound that will require additional pilots in order to ensure we can fly all of our aircraft during peak demand periods.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Route Network</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Our network strategy is optimized between four key segments: MSP, non-MSP, charter services and</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cargo services. As Minnesota’s hometown airline, a substantial portion of our business is serving markets</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originating or ending in MSP. Our MSP network has grown 14% since 2017, as measured by ASMs, and, in</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2019, we served approximately 52 markets from MSP. We served 51 markets from MSP in 2020, in spite of</w:t>
      </w:r>
    </w:p>
    <w:p>
      <w:pPr>
        <w:ind w:left="1160"/>
        <w:spacing w:after="0" w:line="234" w:lineRule="auto"/>
        <w:rPr>
          <w:sz w:val="20"/>
          <w:szCs w:val="20"/>
          <w:color w:val="auto"/>
        </w:rPr>
      </w:pPr>
      <w:r>
        <w:rPr>
          <w:rFonts w:ascii="Arial" w:cs="Arial" w:eastAsia="Arial" w:hAnsi="Arial"/>
          <w:sz w:val="15"/>
          <w:szCs w:val="15"/>
          <w:color w:val="auto"/>
        </w:rPr>
        <w:t>the COVID-19 downturn. We believe that our TRASM in our MSP network for the year ended</w:t>
      </w:r>
    </w:p>
    <w:p>
      <w:pPr>
        <w:ind w:left="1160"/>
        <w:spacing w:after="0"/>
        <w:rPr>
          <w:sz w:val="20"/>
          <w:szCs w:val="20"/>
          <w:color w:val="auto"/>
        </w:rPr>
      </w:pPr>
      <w:r>
        <w:rPr>
          <w:rFonts w:ascii="Arial" w:cs="Arial" w:eastAsia="Arial" w:hAnsi="Arial"/>
          <w:sz w:val="13"/>
          <w:szCs w:val="13"/>
          <w:color w:val="auto"/>
        </w:rPr>
        <w:t>December 31, 2019 was higher than any ULCC in its hub. We have a leading position at Terminal 2 in MSP,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which is preferred by many flyers because of its smaller layout, shorter security wait times, close parking</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relative to check-in and full suite of retail shops. We account for approximately 50% of the departures and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operate out of eight or more of Terminal 2’s 14 gates, as needed. We are the number two carrier at MSP by</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seat share. Moreover, we are the largest low-cost airline at MSP, with significant opportunity to continue to</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grow both seat share and destinations. If we successfully implement our strategy, we believe we can grow</w:t>
      </w:r>
    </w:p>
    <w:p>
      <w:pPr>
        <w:ind w:left="1160"/>
        <w:spacing w:after="0" w:line="234" w:lineRule="auto"/>
        <w:rPr>
          <w:sz w:val="20"/>
          <w:szCs w:val="20"/>
          <w:color w:val="auto"/>
        </w:rPr>
      </w:pPr>
      <w:r>
        <w:rPr>
          <w:rFonts w:ascii="Arial" w:cs="Arial" w:eastAsia="Arial" w:hAnsi="Arial"/>
          <w:sz w:val="15"/>
          <w:szCs w:val="15"/>
          <w:color w:val="auto"/>
        </w:rPr>
        <w:t>our seat share from 7.7% to 12.5%, which is roughly equivalent to what our competitors have in their</w:t>
      </w:r>
    </w:p>
    <w:p>
      <w:pPr>
        <w:ind w:left="1160"/>
        <w:spacing w:after="0"/>
        <w:rPr>
          <w:sz w:val="20"/>
          <w:szCs w:val="20"/>
          <w:color w:val="auto"/>
        </w:rPr>
      </w:pPr>
      <w:r>
        <w:rPr>
          <w:rFonts w:ascii="Arial" w:cs="Arial" w:eastAsia="Arial" w:hAnsi="Arial"/>
          <w:sz w:val="15"/>
          <w:szCs w:val="15"/>
          <w:color w:val="auto"/>
        </w:rPr>
        <w:t>primary hubs.</w:t>
      </w:r>
    </w:p>
    <w:p>
      <w:pPr>
        <w:spacing w:after="0" w:line="10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Non-MSP service is an increasingly significant portion of our business, having grown from eight non-MSP markets in 2017 to 52 in 2019. Non-MSP service was a source of significant growth from 2017 to 2019. During the COVID-19 pandemic, non- MSP growth plans were slowed. During normal industry conditions, we expect to continue to identify large demand markets where other airlines have been unable to respond to market needs during periods of seasonal demand. We have a successful history of opening and closing stations to meet seasonal demand. Since 2017, we have launched 64 new markets, 26 of which we have subsequently closed. As part of the on-going assessment of market opportunities, we continue to identify future growth opportunities, primarily from Midwest locations to warm weather leisure destinations and large markets with fragmented and seasonal demand peaks. Based on our break-even yield in 2020, we believe there are approximately 250 markets that we could address that would provide a profitable growth opportunity for us.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Below are maps of the routes we operated in 2017 and 2020 (including routes we operate on a seasonal basis):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106680</wp:posOffset>
            </wp:positionV>
            <wp:extent cx="4241800" cy="19462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2020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241800" cy="19462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2418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60" w:right="1279" w:firstLine="293"/>
        <w:spacing w:after="0" w:line="289" w:lineRule="auto"/>
        <w:rPr>
          <w:sz w:val="20"/>
          <w:szCs w:val="20"/>
          <w:color w:val="auto"/>
        </w:rPr>
      </w:pPr>
      <w:r>
        <w:rPr>
          <w:rFonts w:ascii="Arial" w:cs="Arial" w:eastAsia="Arial" w:hAnsi="Arial"/>
          <w:sz w:val="13"/>
          <w:szCs w:val="13"/>
          <w:color w:val="auto"/>
        </w:rPr>
        <w:t>Our charter business is a core and integral piece of our network strategy that leverages our highly flexible operating certificate and flexible labor force to serve markets worldwide. Charter service revenue constituted approximately 24% and 25% of revenue for the years ended December 31, 2020 and 2019, respectively. Charter service capacity, as measured by ASMs, grew approximately 32% from 2017 to 2019. In 2020, capacity was down 36% due to the COVID-19 pandemic, but during normal industry conditions,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72" w:lineRule="exact"/>
        <w:rPr>
          <w:sz w:val="20"/>
          <w:szCs w:val="20"/>
          <w:color w:val="auto"/>
        </w:rPr>
      </w:pPr>
    </w:p>
    <w:p>
      <w:pPr>
        <w:ind w:left="1160" w:right="1579" w:firstLine="293"/>
        <w:spacing w:after="0" w:line="300" w:lineRule="auto"/>
        <w:rPr>
          <w:sz w:val="20"/>
          <w:szCs w:val="20"/>
          <w:color w:val="auto"/>
        </w:rPr>
      </w:pPr>
      <w:r>
        <w:rPr>
          <w:rFonts w:ascii="Arial" w:cs="Arial" w:eastAsia="Arial" w:hAnsi="Arial"/>
          <w:sz w:val="14"/>
          <w:szCs w:val="14"/>
          <w:color w:val="auto"/>
        </w:rPr>
        <w:t>Our air carrier operating certificate, labor agreements and operating capabilities allow us to fly to numerous destinations worldwide, which we believe is a benefit to our charter service. We captured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47" w:lineRule="auto"/>
        <w:rPr>
          <w:sz w:val="20"/>
          <w:szCs w:val="20"/>
          <w:color w:val="auto"/>
        </w:rPr>
      </w:pPr>
      <w:r>
        <w:rPr>
          <w:rFonts w:ascii="Arial" w:cs="Arial" w:eastAsia="Arial" w:hAnsi="Arial"/>
          <w:sz w:val="15"/>
          <w:szCs w:val="15"/>
          <w:color w:val="auto"/>
        </w:rPr>
        <w:t>approximately 12.6% of approximately $1.2 billion spent on domestic, 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and leagues, third party charter brokers, VIP individuals, government, and leisure contracts. For example, we recently started regularly scheduled VIP charter service between LAX and KOA with an all first-class configuration. Additionally, we have longstanding relationships with our charter customers who continue to rely on us as their trusted charter provider.</w:t>
      </w:r>
    </w:p>
    <w:p>
      <w:pPr>
        <w:spacing w:after="0" w:line="107"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Competition</w:t>
      </w:r>
    </w:p>
    <w:p>
      <w:pPr>
        <w:spacing w:after="0" w:line="117" w:lineRule="exact"/>
        <w:rPr>
          <w:sz w:val="20"/>
          <w:szCs w:val="20"/>
          <w:color w:val="auto"/>
        </w:rPr>
      </w:pPr>
    </w:p>
    <w:p>
      <w:pPr>
        <w:jc w:val="both"/>
        <w:ind w:left="1160" w:right="1299" w:firstLine="293"/>
        <w:spacing w:after="0" w:line="251" w:lineRule="auto"/>
        <w:rPr>
          <w:sz w:val="20"/>
          <w:szCs w:val="20"/>
          <w:color w:val="auto"/>
        </w:rPr>
      </w:pPr>
      <w:r>
        <w:rPr>
          <w:rFonts w:ascii="Arial" w:cs="Arial" w:eastAsia="Arial" w:hAnsi="Arial"/>
          <w:sz w:val="15"/>
          <w:szCs w:val="15"/>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102"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106"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90" w:lineRule="exact"/>
        <w:rPr>
          <w:sz w:val="20"/>
          <w:szCs w:val="20"/>
          <w:color w:val="auto"/>
        </w:rPr>
      </w:pPr>
    </w:p>
    <w:p>
      <w:pPr>
        <w:ind w:left="1160" w:right="1319" w:firstLine="293"/>
        <w:spacing w:after="0" w:line="268" w:lineRule="auto"/>
        <w:rPr>
          <w:sz w:val="20"/>
          <w:szCs w:val="20"/>
          <w:color w:val="auto"/>
        </w:rPr>
      </w:pPr>
      <w:r>
        <w:rPr>
          <w:rFonts w:ascii="Arial" w:cs="Arial" w:eastAsia="Arial" w:hAnsi="Arial"/>
          <w:sz w:val="14"/>
          <w:szCs w:val="14"/>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w:t>
      </w:r>
    </w:p>
    <w:p>
      <w:pPr>
        <w:spacing w:after="0" w:line="93"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4"/>
          <w:szCs w:val="14"/>
          <w:color w:val="auto"/>
        </w:rPr>
        <w:t>Our cost initiatives have yielded significant improvements in CASM from 2017 to 2019.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93" w:lineRule="exact"/>
        <w:rPr>
          <w:sz w:val="20"/>
          <w:szCs w:val="20"/>
          <w:color w:val="auto"/>
        </w:rPr>
      </w:pPr>
    </w:p>
    <w:p>
      <w:pPr>
        <w:jc w:val="both"/>
        <w:ind w:left="1160" w:right="1359" w:firstLine="293"/>
        <w:spacing w:after="0" w:line="251" w:lineRule="auto"/>
        <w:rPr>
          <w:sz w:val="20"/>
          <w:szCs w:val="20"/>
          <w:color w:val="auto"/>
        </w:rPr>
      </w:pPr>
      <w:r>
        <w:rPr>
          <w:rFonts w:ascii="Arial" w:cs="Arial" w:eastAsia="Arial" w:hAnsi="Arial"/>
          <w:sz w:val="15"/>
          <w:szCs w:val="15"/>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91" w:lineRule="exact"/>
        <w:rPr>
          <w:sz w:val="20"/>
          <w:szCs w:val="20"/>
          <w:color w:val="auto"/>
        </w:rPr>
      </w:pPr>
    </w:p>
    <w:p>
      <w:pPr>
        <w:ind w:left="1160" w:right="1599" w:firstLine="293"/>
        <w:spacing w:after="0" w:line="281" w:lineRule="auto"/>
        <w:rPr>
          <w:sz w:val="20"/>
          <w:szCs w:val="20"/>
          <w:color w:val="auto"/>
        </w:rPr>
      </w:pPr>
      <w:r>
        <w:rPr>
          <w:rFonts w:ascii="Arial" w:cs="Arial" w:eastAsia="Arial" w:hAnsi="Arial"/>
          <w:sz w:val="14"/>
          <w:szCs w:val="14"/>
          <w:color w:val="auto"/>
        </w:rPr>
        <w:t xml:space="preserve">See also </w:t>
      </w:r>
      <w:r>
        <w:rPr>
          <w:rFonts w:ascii="Arial" w:cs="Arial" w:eastAsia="Arial" w:hAnsi="Arial"/>
          <w:sz w:val="14"/>
          <w:szCs w:val="14"/>
          <w:i w:val="1"/>
          <w:iCs w:val="1"/>
          <w:color w:val="auto"/>
        </w:rPr>
        <w:t>“Risk Factors—Risks Related to Our Industry—The airline industry is exceedingly</w:t>
      </w:r>
      <w:r>
        <w:rPr>
          <w:rFonts w:ascii="Arial" w:cs="Arial" w:eastAsia="Arial" w:hAnsi="Arial"/>
          <w:sz w:val="14"/>
          <w:szCs w:val="14"/>
          <w:color w:val="auto"/>
        </w:rPr>
        <w:t xml:space="preserve"> </w:t>
      </w:r>
      <w:r>
        <w:rPr>
          <w:rFonts w:ascii="Arial" w:cs="Arial" w:eastAsia="Arial" w:hAnsi="Arial"/>
          <w:sz w:val="14"/>
          <w:szCs w:val="14"/>
          <w:i w:val="1"/>
          <w:iCs w:val="1"/>
          <w:color w:val="auto"/>
        </w:rPr>
        <w:t>competitive, and we compete against LCCS, ULCCs and legacy network airlines; if we are not able to compete successfully in our markets, our business will be materially adversely affected.”</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Seasonality</w:t>
      </w:r>
    </w:p>
    <w:p>
      <w:pPr>
        <w:spacing w:after="0" w:line="128"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freighter operations will have the effect of mitigating seasonal troughs. For example, when our scheduled flying demand is lower during the fall and early December, our cargo service remains consistent and grows until Christmas.</w:t>
      </w:r>
    </w:p>
    <w:p>
      <w:pPr>
        <w:spacing w:after="0" w:line="82"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w:t>
      </w:r>
    </w:p>
    <w:p>
      <w:pPr>
        <w:spacing w:after="0" w:line="128"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89"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new </w:t>
      </w:r>
      <w:r>
        <w:rPr>
          <w:rFonts w:ascii="Arial" w:cs="Arial" w:eastAsia="Arial" w:hAnsi="Arial"/>
          <w:sz w:val="15"/>
          <w:szCs w:val="15"/>
          <w:i w:val="1"/>
          <w:iCs w:val="1"/>
          <w:color w:val="auto"/>
        </w:rPr>
        <w:t>Navitaire</w:t>
      </w:r>
      <w:r>
        <w:rPr>
          <w:rFonts w:ascii="Arial" w:cs="Arial" w:eastAsia="Arial" w:hAnsi="Arial"/>
          <w:sz w:val="15"/>
          <w:szCs w:val="15"/>
          <w:color w:val="auto"/>
        </w:rPr>
        <w:t>-based reservation system and website in June 2019, we have experienced a significant increase in the proportion of our bookings that are sold through direct channels. 2019 sales through direct channels accounted for 62% of our total passenger revenue, as compared to 59% in 2018. 2020 sales through direct channels accounted for 71.2% of our total passenger revenue.</w:t>
      </w:r>
    </w:p>
    <w:p>
      <w:pPr>
        <w:spacing w:after="0" w:line="98"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38% in 2019 from 42% in 2017. Sales through indirect channels accounted for 29% of our total passenger revenue in 2020.</w:t>
      </w:r>
    </w:p>
    <w:p>
      <w:pPr>
        <w:spacing w:after="0" w:line="93" w:lineRule="exact"/>
        <w:rPr>
          <w:sz w:val="20"/>
          <w:szCs w:val="20"/>
          <w:color w:val="auto"/>
        </w:rPr>
      </w:pPr>
    </w:p>
    <w:p>
      <w:pPr>
        <w:ind w:left="1160" w:right="1379" w:firstLine="293"/>
        <w:spacing w:after="0" w:line="297" w:lineRule="auto"/>
        <w:rPr>
          <w:sz w:val="20"/>
          <w:szCs w:val="20"/>
          <w:color w:val="auto"/>
        </w:rPr>
      </w:pPr>
      <w:r>
        <w:rPr>
          <w:rFonts w:ascii="Arial" w:cs="Arial" w:eastAsia="Arial" w:hAnsi="Arial"/>
          <w:sz w:val="13"/>
          <w:szCs w:val="13"/>
          <w:color w:val="auto"/>
        </w:rPr>
        <w:t>We sell our charter services through an internal, dedicated sales team that is focused on long-term relationships with key customers, brokers, organizations, and college and professional sports teams. We believe that our internal dedicated sales team delivers better results than relying purely on brokers. While our CMI service is presently dedicated to Amazon and governed by the ATSA, not our passenger sales distribution processes, we may expand our cargo business by marketing to new potential customers.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Marketing</w:t>
      </w:r>
    </w:p>
    <w:p>
      <w:pPr>
        <w:spacing w:after="0" w:line="128"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91"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Our marketing tools are our proprietary email distribution list consisting of over one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89" w:lineRule="exact"/>
        <w:rPr>
          <w:sz w:val="20"/>
          <w:szCs w:val="20"/>
          <w:color w:val="auto"/>
        </w:rPr>
      </w:pPr>
    </w:p>
    <w:p>
      <w:pPr>
        <w:ind w:left="1160" w:right="1359" w:firstLine="293"/>
        <w:spacing w:after="0" w:line="254" w:lineRule="auto"/>
        <w:rPr>
          <w:sz w:val="20"/>
          <w:szCs w:val="20"/>
          <w:color w:val="auto"/>
        </w:rPr>
      </w:pPr>
      <w:r>
        <w:rPr>
          <w:rFonts w:ascii="Arial" w:cs="Arial" w:eastAsia="Arial" w:hAnsi="Arial"/>
          <w:sz w:val="15"/>
          <w:szCs w:val="15"/>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We spent approximately 4.5%, 5.0% and 4.8% as a percentage of total revenues (excluding cargo) on marketing, brand and distribution for the years ended December 31, 2020, 2019 and 2018, respectively. In 2020, we substantially decreased marketing spending to save costs due to the COVID-19 pandemic. We believe that the year ended 2019 is a more useful indicator of our marketing spending during normal industry conditions.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2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maintains the card as active. Rewards are not available to charter or cargo customers.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Customers</w:t>
      </w:r>
    </w:p>
    <w:p>
      <w:pPr>
        <w:spacing w:after="0" w:line="117"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Mexico and the Caribbean. In the other times of the year, we focus on VFR travelers to major markets and also provide service in markets where leisure or price sensitive customer demand is strong.</w:t>
      </w:r>
    </w:p>
    <w:p>
      <w:pPr>
        <w:spacing w:after="0" w:line="77" w:lineRule="exact"/>
        <w:rPr>
          <w:sz w:val="20"/>
          <w:szCs w:val="20"/>
          <w:color w:val="auto"/>
        </w:rPr>
      </w:pPr>
    </w:p>
    <w:p>
      <w:pPr>
        <w:jc w:val="both"/>
        <w:ind w:left="1160" w:right="1399" w:firstLine="293"/>
        <w:spacing w:after="0" w:line="281" w:lineRule="auto"/>
        <w:rPr>
          <w:sz w:val="20"/>
          <w:szCs w:val="20"/>
          <w:color w:val="auto"/>
        </w:rPr>
      </w:pPr>
      <w:r>
        <w:rPr>
          <w:rFonts w:ascii="Arial" w:cs="Arial" w:eastAsia="Arial" w:hAnsi="Arial"/>
          <w:sz w:val="14"/>
          <w:szCs w:val="14"/>
          <w:color w:val="auto"/>
        </w:rPr>
        <w:t>We believe our product appeals to price-sensitive customers because we give them the choice to pay only for the products and services they want. Overall, our business model is designed to deliver what we believe our customers want: low fares and a high quality flight experience.</w:t>
      </w:r>
    </w:p>
    <w:p>
      <w:pPr>
        <w:spacing w:after="0" w:line="83"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94" w:lineRule="exact"/>
        <w:rPr>
          <w:sz w:val="20"/>
          <w:szCs w:val="20"/>
          <w:color w:val="auto"/>
        </w:rPr>
      </w:pPr>
    </w:p>
    <w:p>
      <w:pPr>
        <w:ind w:left="1160" w:right="1499" w:firstLine="293"/>
        <w:spacing w:after="0" w:line="254" w:lineRule="auto"/>
        <w:rPr>
          <w:sz w:val="20"/>
          <w:szCs w:val="20"/>
          <w:color w:val="auto"/>
        </w:rPr>
      </w:pPr>
      <w:r>
        <w:rPr>
          <w:rFonts w:ascii="Arial" w:cs="Arial" w:eastAsia="Arial" w:hAnsi="Arial"/>
          <w:sz w:val="15"/>
          <w:szCs w:val="15"/>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Operational Performance</w:t>
      </w:r>
    </w:p>
    <w:p>
      <w:pPr>
        <w:spacing w:after="0" w:line="128"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 completion factor and on-time arrival performance because most of our markets are operated less than daily. Our completion factor of 99.8% for the year ended December 31, 2019 was industry leading.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95250</wp:posOffset>
            </wp:positionV>
            <wp:extent cx="4241800" cy="24276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241800" cy="242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Source: US DOT Bureau of Transportation Statistics, scheduled passenger service</w:t>
      </w:r>
    </w:p>
    <w:p>
      <w:pPr>
        <w:spacing w:after="0" w:line="113" w:lineRule="exact"/>
        <w:rPr>
          <w:sz w:val="20"/>
          <w:szCs w:val="20"/>
          <w:color w:val="auto"/>
        </w:rPr>
      </w:pPr>
    </w:p>
    <w:p>
      <w:pPr>
        <w:ind w:left="1160" w:right="1259" w:firstLine="293"/>
        <w:spacing w:after="0" w:line="233" w:lineRule="auto"/>
        <w:rPr>
          <w:sz w:val="20"/>
          <w:szCs w:val="20"/>
          <w:color w:val="auto"/>
        </w:rPr>
      </w:pPr>
      <w:r>
        <w:rPr>
          <w:rFonts w:ascii="Arial" w:cs="Arial" w:eastAsia="Arial" w:hAnsi="Arial"/>
          <w:sz w:val="15"/>
          <w:szCs w:val="15"/>
          <w:color w:val="auto"/>
        </w:rPr>
        <w:t>During 2020, in order to appropriately respond to changing demand patterns and control costs, due to the COVID- 19 pandemic, we canceled many flights within seven days of scheduled departure date, which would drive down our completion factor based on DOT definitions. However, we believe creative cost savings, such as operating a “triangle rotation” among multiple Florida cities as opposed to multiple flights from MSP, enabled us to outperform the industry financially. Notably, exclusive of COVID-19 related cancellations, we only cancelled one flight for controllable reasons from April 1, 2020 to December 31, 2020. We believe that our results for 2019 are a more useful indicator of our completion factor during normal industry conditions.</w:t>
      </w:r>
    </w:p>
    <w:p>
      <w:pPr>
        <w:spacing w:after="0" w:line="100" w:lineRule="exact"/>
        <w:rPr>
          <w:sz w:val="20"/>
          <w:szCs w:val="20"/>
          <w:color w:val="auto"/>
        </w:rPr>
      </w:pPr>
    </w:p>
    <w:p>
      <w:pPr>
        <w:ind w:left="1160" w:right="1359" w:firstLine="293"/>
        <w:spacing w:after="0" w:line="233" w:lineRule="auto"/>
        <w:rPr>
          <w:sz w:val="20"/>
          <w:szCs w:val="20"/>
          <w:color w:val="auto"/>
        </w:rPr>
      </w:pPr>
      <w:r>
        <w:rPr>
          <w:rFonts w:ascii="Arial" w:cs="Arial" w:eastAsia="Arial" w:hAnsi="Arial"/>
          <w:sz w:val="15"/>
          <w:szCs w:val="15"/>
          <w:color w:val="auto"/>
        </w:rPr>
        <w:t>In addition to completion factor, we believe our improving on time performance metrics drive increased customer satisfaction. Our systemwide arrival performance within 14 minutes of schedule was 69.9% for the year ended December 31, 2019, which was last among our six ULCC and LCC competitors and 16.9 percentage points behind the top performer. During 2020, as a result of insourcing our ground operations at MSP in March 2020, we experienced markedly better performance. Our arrival performance was 90.5% for the period of April 1, 2020 through December 31, 2020, or an increase of 20.6 percentage points over 2019.</w:t>
      </w:r>
    </w:p>
    <w:p>
      <w:pPr>
        <w:spacing w:after="0" w:line="91" w:lineRule="exact"/>
        <w:rPr>
          <w:sz w:val="20"/>
          <w:szCs w:val="20"/>
          <w:color w:val="auto"/>
        </w:rPr>
      </w:pPr>
    </w:p>
    <w:p>
      <w:pPr>
        <w:ind w:left="1160" w:right="1239" w:firstLine="293"/>
        <w:spacing w:after="0" w:line="276" w:lineRule="auto"/>
        <w:rPr>
          <w:sz w:val="20"/>
          <w:szCs w:val="20"/>
          <w:color w:val="auto"/>
        </w:rPr>
      </w:pPr>
      <w:r>
        <w:rPr>
          <w:rFonts w:ascii="Arial" w:cs="Arial" w:eastAsia="Arial" w:hAnsi="Arial"/>
          <w:sz w:val="13"/>
          <w:szCs w:val="13"/>
          <w:color w:val="auto"/>
        </w:rPr>
        <w:t>Charter operations are an important part of our business. Our largest single customer is the U.S. Department of Defense. We consistently receive high marks for quality and schedule reliability. Our ratings from the Department of Defense for our charter flights for the year ended September 30, 2020 we achieved 100% for domestic quality, 100% for international quality, 99% for domestic schedule reliability and 97% for international schedule reliability. We are committed to serving not only our U.S. Department of Defense customers, but all of our charter customers, with the highest levels of safety, reliability, and performance.</w:t>
      </w:r>
    </w:p>
    <w:p>
      <w:pPr>
        <w:spacing w:after="0" w:line="78"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In addition to improving our arrival performance, since starting freighter operations in May 2020, our operations team successfully conformed 12 freighters to our operations specifications, an increase to our total fleet of 39%. Additionally, our arrival performance for our cargo business has never fallen below the monetary penalty threshold under the ATSA.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Fleet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We fly only Boeing 737-NG aircraft, which we believe provides us significant operational and cost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advantages compared to airlines that operate multiple fleet types. Flight crews are interchangeable across all</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spacing w:after="0" w:line="239" w:lineRule="auto"/>
        <w:rPr>
          <w:sz w:val="20"/>
          <w:szCs w:val="20"/>
          <w:color w:val="auto"/>
        </w:rPr>
      </w:pPr>
      <w:r>
        <w:rPr>
          <w:rFonts w:ascii="Arial" w:cs="Arial" w:eastAsia="Arial" w:hAnsi="Arial"/>
          <w:sz w:val="15"/>
          <w:szCs w:val="15"/>
          <w:color w:val="auto"/>
        </w:rPr>
        <w:t>of our aircraft, and maintenance, spare parts inventories and other operational support are highly simplified relative to more complex fleets. With the addition of CMI services, we expect that these efficiencies will remain intact.</w:t>
      </w:r>
    </w:p>
    <w:p>
      <w:pPr>
        <w:spacing w:after="0" w:line="100" w:lineRule="exact"/>
        <w:rPr>
          <w:sz w:val="20"/>
          <w:szCs w:val="20"/>
          <w:color w:val="auto"/>
        </w:rPr>
      </w:pPr>
    </w:p>
    <w:p>
      <w:pPr>
        <w:ind w:left="1160" w:right="1299" w:firstLine="293"/>
        <w:spacing w:after="0" w:line="270" w:lineRule="auto"/>
        <w:rPr>
          <w:sz w:val="20"/>
          <w:szCs w:val="20"/>
          <w:color w:val="auto"/>
        </w:rPr>
      </w:pPr>
      <w:r>
        <w:rPr>
          <w:rFonts w:ascii="Arial" w:cs="Arial" w:eastAsia="Arial" w:hAnsi="Arial"/>
          <w:sz w:val="13"/>
          <w:szCs w:val="13"/>
          <w:color w:val="auto"/>
        </w:rPr>
        <w:t>As of December 31, 2020, we operate a fleet of Boeing 737-NG aircraft, consisting of 30 Boeing 737-800s and 1 Boeing 737-700, for a total of 31 passenger aircraft. We also operate 737-NG freighters dedicated to our cargo business. The average age of the passenger aircraft in our fleet was approximately</w:t>
      </w:r>
    </w:p>
    <w:p>
      <w:pPr>
        <w:spacing w:after="0" w:line="2" w:lineRule="exact"/>
        <w:rPr>
          <w:sz w:val="20"/>
          <w:szCs w:val="20"/>
          <w:color w:val="auto"/>
        </w:rPr>
      </w:pPr>
    </w:p>
    <w:p>
      <w:pPr>
        <w:ind w:left="1160" w:right="1179"/>
        <w:spacing w:after="0" w:line="230" w:lineRule="auto"/>
        <w:rPr>
          <w:sz w:val="20"/>
          <w:szCs w:val="20"/>
          <w:color w:val="auto"/>
        </w:rPr>
      </w:pPr>
      <w:r>
        <w:rPr>
          <w:rFonts w:ascii="Arial" w:cs="Arial" w:eastAsia="Arial" w:hAnsi="Arial"/>
          <w:sz w:val="15"/>
          <w:szCs w:val="15"/>
          <w:color w:val="auto"/>
        </w:rPr>
        <w:t>15 years as of December 31, 2020. Our freighters average 18 years as of December 31, 2020. Of the aircraft, 17 were financed under operating or finance leases as of December 31, 2020. Of the remaining passenger aircraft, 13 were owned and financed through an EETC financing structure and 1 is owned and financed with another debt structure. The 2019-1 EETC was used to convert a portion of our leased aircraft to owned aircraft, as well as refinance some of our previously owned passenger aircraft during the fourth quarter of 2019 and first half of 2020. Due to this, the EETC reduced our financing costs. There are no scheduled aircraft lease redeliveries prior to 2024. Our current fleet plan calls for growth to an estimated 50 passenger aircraft by the end of 2023.</w:t>
      </w:r>
    </w:p>
    <w:p>
      <w:pPr>
        <w:spacing w:after="0" w:line="94"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color w:val="auto"/>
        </w:rPr>
        <w:t>Our fleet of 12 freighters is subleased directly from Amazon and we operate them pursuant to the ATSA. Based upon review of the ATSA, the sublease arrangement does not qualify as a lease under ASC 842, Leases, because we do not control the use of the aircraft. As such, no right -of- use asset and lease liability is recognized in our financial statements for the Amazon arrangement. We may expand our freighter fleet in order to serve additional cargo customers or provide additional service to Amazon.</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Fuel</w:t>
      </w:r>
    </w:p>
    <w:p>
      <w:pPr>
        <w:spacing w:after="0" w:line="128"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Aircraft fuel is generally our largest expense representing approximately 21.7%, 26.6% and 30.1% of our total operating costs for the years ended December 31, 2020, 2019 and 2018, respectively. The price and availability of jet fuel are volatile due to global economic and geopolitical factors as well as domestic and local supply factors. Our historical fuel consumption and costs were as follows: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840" w:type="dxa"/>
            <w:vAlign w:val="bottom"/>
          </w:tcPr>
          <w:p>
            <w:pPr>
              <w:spacing w:after="0"/>
              <w:rPr>
                <w:sz w:val="13"/>
                <w:szCs w:val="13"/>
                <w:color w:val="auto"/>
              </w:rPr>
            </w:pPr>
          </w:p>
        </w:tc>
        <w:tc>
          <w:tcPr>
            <w:tcW w:w="1840" w:type="dxa"/>
            <w:vAlign w:val="bottom"/>
            <w:gridSpan w:val="5"/>
          </w:tcPr>
          <w:p>
            <w:pPr>
              <w:jc w:val="right"/>
              <w:ind w:right="212"/>
              <w:spacing w:after="0"/>
              <w:rPr>
                <w:sz w:val="20"/>
                <w:szCs w:val="20"/>
                <w:color w:val="auto"/>
              </w:rPr>
            </w:pPr>
            <w:r>
              <w:rPr>
                <w:rFonts w:ascii="Arial" w:cs="Arial" w:eastAsia="Arial" w:hAnsi="Arial"/>
                <w:sz w:val="12"/>
                <w:szCs w:val="12"/>
                <w:b w:val="1"/>
                <w:bCs w:val="1"/>
                <w:color w:val="auto"/>
              </w:rPr>
              <w:t>Year Ended December 31,</w:t>
            </w:r>
          </w:p>
        </w:tc>
      </w:tr>
      <w:tr>
        <w:trPr>
          <w:trHeight w:val="21"/>
        </w:trPr>
        <w:tc>
          <w:tcPr>
            <w:tcW w:w="4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57"/>
        </w:trPr>
        <w:tc>
          <w:tcPr>
            <w:tcW w:w="4840" w:type="dxa"/>
            <w:vAlign w:val="bottom"/>
          </w:tcPr>
          <w:p>
            <w:pPr>
              <w:spacing w:after="0"/>
              <w:rPr>
                <w:sz w:val="13"/>
                <w:szCs w:val="13"/>
                <w:color w:val="auto"/>
              </w:rPr>
            </w:pPr>
          </w:p>
        </w:tc>
        <w:tc>
          <w:tcPr>
            <w:tcW w:w="500" w:type="dxa"/>
            <w:vAlign w:val="bottom"/>
          </w:tcPr>
          <w:p>
            <w:pPr>
              <w:jc w:val="right"/>
              <w:ind w:right="5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00" w:type="dxa"/>
            <w:vAlign w:val="bottom"/>
          </w:tcPr>
          <w:p>
            <w:pPr>
              <w:jc w:val="right"/>
              <w:ind w:right="7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500" w:type="dxa"/>
            <w:vAlign w:val="bottom"/>
          </w:tcPr>
          <w:p>
            <w:pPr>
              <w:jc w:val="right"/>
              <w:ind w:right="52"/>
              <w:spacing w:after="0"/>
              <w:rPr>
                <w:sz w:val="20"/>
                <w:szCs w:val="20"/>
                <w:color w:val="auto"/>
              </w:rPr>
            </w:pPr>
            <w:r>
              <w:rPr>
                <w:rFonts w:ascii="Arial" w:cs="Arial" w:eastAsia="Arial" w:hAnsi="Arial"/>
                <w:sz w:val="12"/>
                <w:szCs w:val="12"/>
                <w:b w:val="1"/>
                <w:bCs w:val="1"/>
                <w:color w:val="auto"/>
              </w:rPr>
              <w:t>2018</w:t>
            </w:r>
          </w:p>
        </w:tc>
      </w:tr>
      <w:tr>
        <w:trPr>
          <w:trHeight w:val="21"/>
        </w:trPr>
        <w:tc>
          <w:tcPr>
            <w:tcW w:w="4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0"/>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Gallons consumed (in thousands)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43,844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78,042</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64,981</w:t>
            </w:r>
          </w:p>
        </w:tc>
      </w:tr>
      <w:tr>
        <w:trPr>
          <w:trHeight w:val="209"/>
        </w:trPr>
        <w:tc>
          <w:tcPr>
            <w:tcW w:w="4840" w:type="dxa"/>
            <w:vAlign w:val="bottom"/>
          </w:tcPr>
          <w:p>
            <w:pPr>
              <w:spacing w:after="0"/>
              <w:rPr>
                <w:sz w:val="20"/>
                <w:szCs w:val="20"/>
                <w:color w:val="auto"/>
              </w:rPr>
            </w:pPr>
            <w:r>
              <w:rPr>
                <w:rFonts w:ascii="Arial" w:cs="Arial" w:eastAsia="Arial" w:hAnsi="Arial"/>
                <w:sz w:val="15"/>
                <w:szCs w:val="15"/>
                <w:color w:val="auto"/>
              </w:rPr>
              <w:t>Average price per gallon</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  1.60</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  2.26</w:t>
            </w:r>
          </w:p>
        </w:tc>
        <w:tc>
          <w:tcPr>
            <w:tcW w:w="500" w:type="dxa"/>
            <w:vAlign w:val="bottom"/>
          </w:tcPr>
          <w:p>
            <w:pPr>
              <w:jc w:val="right"/>
              <w:spacing w:after="0"/>
              <w:rPr>
                <w:sz w:val="20"/>
                <w:szCs w:val="20"/>
                <w:color w:val="auto"/>
              </w:rPr>
            </w:pPr>
            <w:r>
              <w:rPr>
                <w:rFonts w:ascii="Arial" w:cs="Arial" w:eastAsia="Arial" w:hAnsi="Arial"/>
                <w:sz w:val="15"/>
                <w:szCs w:val="15"/>
                <w:color w:val="auto"/>
              </w:rPr>
              <w:t>$  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-271780</wp:posOffset>
            </wp:positionV>
            <wp:extent cx="11176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-271780</wp:posOffset>
            </wp:positionV>
            <wp:extent cx="11176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-271780</wp:posOffset>
            </wp:positionV>
            <wp:extent cx="5588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Gallons consumed includes scheduled service and charter operations but does not include cargo.</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Average price per gallon includes related fuel fees and taxes but excludes fuel-hedging gains and losses.</w:t>
      </w:r>
    </w:p>
    <w:p>
      <w:pPr>
        <w:spacing w:after="0" w:line="102"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3"/>
          <w:szCs w:val="13"/>
          <w:color w:val="auto"/>
        </w:rPr>
        <w:t>From time to time, we may enter into fuel derivative contracts in order to mitigate the risk to our business from future volatility in fuel prices, but such contracts may not fully protect us from all related risks. The intention of our fuel hedging program is not to manage earnings but rather to protect our liquidity. As of December 31, 2020, we had hedges in place for approximately 37% of our projected fuel requirements for scheduled service operations in 2021, with all of our then existing options expected to be exercised or expire by the end of 2021. Generally speaking, our charter operations and the ATSA have pass- 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3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Technical Operations: Maintenance, Repairs and Overhaul</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100"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Line maintenance work is handled by our employees and maintenance contractors and consists of work performed between flights or overnight. Performing effective line maintenance is critical to maintaining a reliable operation and represents the majority of and most extensive maintenance we perform. Line</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99"/>
        <w:spacing w:after="0" w:line="236" w:lineRule="auto"/>
        <w:rPr>
          <w:sz w:val="20"/>
          <w:szCs w:val="20"/>
          <w:color w:val="auto"/>
        </w:rPr>
      </w:pPr>
      <w:r>
        <w:rPr>
          <w:rFonts w:ascii="Arial" w:cs="Arial" w:eastAsia="Arial" w:hAnsi="Arial"/>
          <w:sz w:val="15"/>
          <w:szCs w:val="15"/>
          <w:color w:val="auto"/>
        </w:rPr>
        <w:t>maintenance consists of routine daily and weekly scheduled maintenance checks on our aircraft. We maintain Sun Country technicians in Minneapolis, with limited line maintenance capabilities in Gulfport, Mississippi and Dallas-Fort Worth/Alliance Fort Worth, Texas. All other line maintenance is provided by third-party maintenance contractors as needed.</w:t>
      </w:r>
    </w:p>
    <w:p>
      <w:pPr>
        <w:spacing w:after="0" w:line="102"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freighter aircraft, heavy maintenance is a pass-through expense to our customer, Amazon.</w:t>
      </w:r>
    </w:p>
    <w:p>
      <w:pPr>
        <w:spacing w:after="0" w:line="89" w:lineRule="exact"/>
        <w:rPr>
          <w:sz w:val="20"/>
          <w:szCs w:val="20"/>
          <w:color w:val="auto"/>
        </w:rPr>
      </w:pPr>
    </w:p>
    <w:p>
      <w:pPr>
        <w:ind w:left="1160" w:right="1499" w:firstLine="293"/>
        <w:spacing w:after="0" w:line="236" w:lineRule="auto"/>
        <w:rPr>
          <w:sz w:val="20"/>
          <w:szCs w:val="20"/>
          <w:color w:val="auto"/>
        </w:rPr>
      </w:pPr>
      <w:r>
        <w:rPr>
          <w:rFonts w:ascii="Arial" w:cs="Arial" w:eastAsia="Arial" w:hAnsi="Arial"/>
          <w:sz w:val="15"/>
          <w:szCs w:val="15"/>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Employees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As of December 31, 2020, we had 1,699 employees.</w:t>
      </w:r>
    </w:p>
    <w:p>
      <w:pPr>
        <w:spacing w:after="0" w:line="124"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89"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4"/>
          <w:szCs w:val="14"/>
          <w:color w:val="auto"/>
        </w:rPr>
        <w:t>As of December 31, 2020, approximately 52%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 attendants became amendable on December 31, 2019. We entered into negotiations in November 2019. Negotiations were paused by mutual consent in March 2020 due to the COVID-19 pandemic. We have scheduled dates to restart negotiations in the third quarter of 2021.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 to the Company and we have begun preliminary discussions with our pilots; however, the contract remains in status quo until there is a newly ratified contract.</w:t>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Number of</w:t>
            </w: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1"/>
              </w:rPr>
              <w:t>Status of</w:t>
            </w:r>
          </w:p>
        </w:tc>
      </w:tr>
      <w:tr>
        <w:trPr>
          <w:trHeight w:val="150"/>
        </w:trPr>
        <w:tc>
          <w:tcPr>
            <w:tcW w:w="1820" w:type="dxa"/>
            <w:vAlign w:val="bottom"/>
            <w:gridSpan w:val="2"/>
          </w:tcPr>
          <w:p>
            <w:pPr>
              <w:ind w:left="420"/>
              <w:spacing w:after="0"/>
              <w:rPr>
                <w:sz w:val="20"/>
                <w:szCs w:val="20"/>
                <w:color w:val="auto"/>
              </w:rPr>
            </w:pPr>
            <w:r>
              <w:rPr>
                <w:rFonts w:ascii="Arial" w:cs="Arial" w:eastAsia="Arial" w:hAnsi="Arial"/>
                <w:sz w:val="12"/>
                <w:szCs w:val="12"/>
                <w:b w:val="1"/>
                <w:bCs w:val="1"/>
                <w:color w:val="auto"/>
              </w:rPr>
              <w:t>Employee Group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Employees</w:t>
            </w:r>
          </w:p>
        </w:tc>
        <w:tc>
          <w:tcPr>
            <w:tcW w:w="1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1"/>
              </w:rPr>
              <w:t>Representative</w:t>
            </w: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4"/>
              </w:rPr>
              <w:t>Agreement/Amendable Date</w:t>
            </w: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178"/>
        </w:trPr>
        <w:tc>
          <w:tcPr>
            <w:tcW w:w="1820" w:type="dxa"/>
            <w:vAlign w:val="bottom"/>
            <w:gridSpan w:val="2"/>
          </w:tcPr>
          <w:p>
            <w:pPr>
              <w:spacing w:after="0"/>
              <w:rPr>
                <w:sz w:val="20"/>
                <w:szCs w:val="20"/>
                <w:color w:val="auto"/>
              </w:rPr>
            </w:pPr>
            <w:r>
              <w:rPr>
                <w:rFonts w:ascii="Arial" w:cs="Arial" w:eastAsia="Arial" w:hAnsi="Arial"/>
                <w:sz w:val="15"/>
                <w:szCs w:val="15"/>
                <w:color w:val="auto"/>
              </w:rPr>
              <w:t>Pilots</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395</w:t>
            </w:r>
          </w:p>
        </w:tc>
        <w:tc>
          <w:tcPr>
            <w:tcW w:w="180" w:type="dxa"/>
            <w:vAlign w:val="bottom"/>
          </w:tcPr>
          <w:p>
            <w:pPr>
              <w:spacing w:after="0"/>
              <w:rPr>
                <w:sz w:val="15"/>
                <w:szCs w:val="15"/>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5"/>
                <w:szCs w:val="15"/>
                <w:color w:val="auto"/>
                <w:w w:val="98"/>
              </w:rPr>
              <w:t>Air Line Pilots</w:t>
            </w:r>
          </w:p>
        </w:tc>
        <w:tc>
          <w:tcPr>
            <w:tcW w:w="2280" w:type="dxa"/>
            <w:vAlign w:val="bottom"/>
          </w:tcPr>
          <w:p>
            <w:pPr>
              <w:jc w:val="center"/>
              <w:spacing w:after="0"/>
              <w:rPr>
                <w:sz w:val="20"/>
                <w:szCs w:val="20"/>
                <w:color w:val="auto"/>
              </w:rPr>
            </w:pPr>
            <w:r>
              <w:rPr>
                <w:rFonts w:ascii="Arial" w:cs="Arial" w:eastAsia="Arial" w:hAnsi="Arial"/>
                <w:sz w:val="15"/>
                <w:szCs w:val="15"/>
                <w:color w:val="auto"/>
                <w:w w:val="92"/>
              </w:rPr>
              <w:t>Amendable in October 2021</w:t>
            </w:r>
          </w:p>
        </w:tc>
      </w:tr>
      <w:tr>
        <w:trPr>
          <w:trHeight w:val="186"/>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5"/>
                <w:szCs w:val="15"/>
                <w:color w:val="auto"/>
                <w:w w:val="95"/>
              </w:rPr>
              <w:t>Association (ALPA)</w:t>
            </w:r>
          </w:p>
        </w:tc>
        <w:tc>
          <w:tcPr>
            <w:tcW w:w="2280" w:type="dxa"/>
            <w:vAlign w:val="bottom"/>
          </w:tcPr>
          <w:p>
            <w:pPr>
              <w:spacing w:after="0"/>
              <w:rPr>
                <w:sz w:val="16"/>
                <w:szCs w:val="16"/>
                <w:color w:val="auto"/>
              </w:rPr>
            </w:pPr>
          </w:p>
        </w:tc>
      </w:tr>
      <w:tr>
        <w:trPr>
          <w:trHeight w:val="198"/>
        </w:trPr>
        <w:tc>
          <w:tcPr>
            <w:tcW w:w="1820" w:type="dxa"/>
            <w:vAlign w:val="bottom"/>
            <w:gridSpan w:val="2"/>
          </w:tcPr>
          <w:p>
            <w:pPr>
              <w:spacing w:after="0"/>
              <w:rPr>
                <w:sz w:val="20"/>
                <w:szCs w:val="20"/>
                <w:color w:val="auto"/>
              </w:rPr>
            </w:pPr>
            <w:r>
              <w:rPr>
                <w:rFonts w:ascii="Arial" w:cs="Arial" w:eastAsia="Arial" w:hAnsi="Arial"/>
                <w:sz w:val="15"/>
                <w:szCs w:val="15"/>
                <w:color w:val="auto"/>
              </w:rPr>
              <w:t>Flight Attendants</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466</w:t>
            </w:r>
          </w:p>
        </w:tc>
        <w:tc>
          <w:tcPr>
            <w:tcW w:w="180" w:type="dxa"/>
            <w:vAlign w:val="bottom"/>
          </w:tcPr>
          <w:p>
            <w:pPr>
              <w:spacing w:after="0"/>
              <w:rPr>
                <w:sz w:val="17"/>
                <w:szCs w:val="17"/>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International Brotherhood</w:t>
            </w:r>
          </w:p>
        </w:tc>
        <w:tc>
          <w:tcPr>
            <w:tcW w:w="2280" w:type="dxa"/>
            <w:vAlign w:val="bottom"/>
          </w:tcPr>
          <w:p>
            <w:pPr>
              <w:jc w:val="center"/>
              <w:spacing w:after="0"/>
              <w:rPr>
                <w:sz w:val="20"/>
                <w:szCs w:val="20"/>
                <w:color w:val="auto"/>
              </w:rPr>
            </w:pPr>
            <w:r>
              <w:rPr>
                <w:rFonts w:ascii="Arial" w:cs="Arial" w:eastAsia="Arial" w:hAnsi="Arial"/>
                <w:sz w:val="15"/>
                <w:szCs w:val="15"/>
                <w:color w:val="auto"/>
                <w:w w:val="91"/>
              </w:rPr>
              <w:t>Currently amendable (commenced as</w:t>
            </w:r>
          </w:p>
        </w:tc>
      </w:tr>
      <w:tr>
        <w:trPr>
          <w:trHeight w:val="186"/>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of Teamsters (IBT)</w:t>
            </w:r>
          </w:p>
        </w:tc>
        <w:tc>
          <w:tcPr>
            <w:tcW w:w="2280" w:type="dxa"/>
            <w:vAlign w:val="bottom"/>
          </w:tcPr>
          <w:p>
            <w:pPr>
              <w:jc w:val="center"/>
              <w:spacing w:after="0"/>
              <w:rPr>
                <w:sz w:val="20"/>
                <w:szCs w:val="20"/>
                <w:color w:val="auto"/>
              </w:rPr>
            </w:pPr>
            <w:r>
              <w:rPr>
                <w:rFonts w:ascii="Arial" w:cs="Arial" w:eastAsia="Arial" w:hAnsi="Arial"/>
                <w:sz w:val="15"/>
                <w:szCs w:val="15"/>
                <w:color w:val="auto"/>
                <w:w w:val="93"/>
              </w:rPr>
              <w:t>of December 2019)</w:t>
            </w:r>
          </w:p>
        </w:tc>
      </w:tr>
      <w:tr>
        <w:trPr>
          <w:trHeight w:val="198"/>
        </w:trPr>
        <w:tc>
          <w:tcPr>
            <w:tcW w:w="1820" w:type="dxa"/>
            <w:vAlign w:val="bottom"/>
            <w:gridSpan w:val="2"/>
          </w:tcPr>
          <w:p>
            <w:pPr>
              <w:spacing w:after="0"/>
              <w:rPr>
                <w:sz w:val="20"/>
                <w:szCs w:val="20"/>
                <w:color w:val="auto"/>
              </w:rPr>
            </w:pPr>
            <w:r>
              <w:rPr>
                <w:rFonts w:ascii="Arial" w:cs="Arial" w:eastAsia="Arial" w:hAnsi="Arial"/>
                <w:sz w:val="15"/>
                <w:szCs w:val="15"/>
                <w:color w:val="auto"/>
              </w:rPr>
              <w:t>Dispatchers</w:t>
            </w:r>
          </w:p>
        </w:tc>
        <w:tc>
          <w:tcPr>
            <w:tcW w:w="560" w:type="dxa"/>
            <w:vAlign w:val="bottom"/>
          </w:tcPr>
          <w:p>
            <w:pPr>
              <w:jc w:val="center"/>
              <w:spacing w:after="0"/>
              <w:rPr>
                <w:sz w:val="20"/>
                <w:szCs w:val="20"/>
                <w:color w:val="auto"/>
              </w:rPr>
            </w:pPr>
            <w:r>
              <w:rPr>
                <w:rFonts w:ascii="Arial" w:cs="Arial" w:eastAsia="Arial" w:hAnsi="Arial"/>
                <w:sz w:val="15"/>
                <w:szCs w:val="15"/>
                <w:color w:val="auto"/>
                <w:w w:val="95"/>
              </w:rPr>
              <w:t>21</w:t>
            </w:r>
          </w:p>
        </w:tc>
        <w:tc>
          <w:tcPr>
            <w:tcW w:w="180" w:type="dxa"/>
            <w:vAlign w:val="bottom"/>
          </w:tcPr>
          <w:p>
            <w:pPr>
              <w:spacing w:after="0"/>
              <w:rPr>
                <w:sz w:val="17"/>
                <w:szCs w:val="17"/>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5"/>
                <w:szCs w:val="15"/>
                <w:color w:val="auto"/>
                <w:w w:val="93"/>
              </w:rPr>
              <w:t>Transport Workers Union</w:t>
            </w:r>
          </w:p>
        </w:tc>
        <w:tc>
          <w:tcPr>
            <w:tcW w:w="2280" w:type="dxa"/>
            <w:vAlign w:val="bottom"/>
          </w:tcPr>
          <w:p>
            <w:pPr>
              <w:jc w:val="center"/>
              <w:spacing w:after="0"/>
              <w:rPr>
                <w:sz w:val="20"/>
                <w:szCs w:val="20"/>
                <w:color w:val="auto"/>
              </w:rPr>
            </w:pPr>
            <w:r>
              <w:rPr>
                <w:rFonts w:ascii="Arial" w:cs="Arial" w:eastAsia="Arial" w:hAnsi="Arial"/>
                <w:sz w:val="15"/>
                <w:szCs w:val="15"/>
                <w:color w:val="auto"/>
                <w:w w:val="92"/>
              </w:rPr>
              <w:t>Amendable in November 2024</w:t>
            </w:r>
          </w:p>
        </w:tc>
      </w:tr>
      <w:tr>
        <w:trPr>
          <w:trHeight w:val="186"/>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5"/>
                <w:szCs w:val="15"/>
                <w:color w:val="auto"/>
                <w:w w:val="99"/>
              </w:rPr>
              <w:t>(TWU)</w:t>
            </w:r>
          </w:p>
        </w:tc>
        <w:tc>
          <w:tcPr>
            <w:tcW w:w="2280" w:type="dxa"/>
            <w:vAlign w:val="bottom"/>
          </w:tcPr>
          <w:p>
            <w:pPr>
              <w:spacing w:after="0"/>
              <w:rPr>
                <w:sz w:val="16"/>
                <w:szCs w:val="16"/>
                <w:color w:val="auto"/>
              </w:rPr>
            </w:pPr>
          </w:p>
        </w:tc>
      </w:tr>
    </w:tbl>
    <w:p>
      <w:pPr>
        <w:spacing w:after="0" w:line="110"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The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6" w:name="page137"/>
    <w:bookmarkEnd w:id="13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8" w:lineRule="auto"/>
        <w:rPr>
          <w:sz w:val="20"/>
          <w:szCs w:val="20"/>
          <w:color w:val="auto"/>
        </w:rPr>
      </w:pPr>
      <w:r>
        <w:rPr>
          <w:rFonts w:ascii="Arial" w:cs="Arial" w:eastAsia="Arial" w:hAnsi="Arial"/>
          <w:sz w:val="14"/>
          <w:szCs w:val="14"/>
          <w:color w:val="auto"/>
        </w:rPr>
        <w:t>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Safety and Security</w:t>
      </w:r>
    </w:p>
    <w:p>
      <w:pPr>
        <w:spacing w:after="0" w:line="128" w:lineRule="exact"/>
        <w:rPr>
          <w:sz w:val="20"/>
          <w:szCs w:val="20"/>
          <w:color w:val="auto"/>
        </w:rPr>
      </w:pPr>
    </w:p>
    <w:p>
      <w:pPr>
        <w:ind w:left="1160" w:right="1279" w:firstLine="293"/>
        <w:spacing w:after="0" w:line="294" w:lineRule="auto"/>
        <w:rPr>
          <w:sz w:val="20"/>
          <w:szCs w:val="20"/>
          <w:color w:val="auto"/>
        </w:rPr>
      </w:pPr>
      <w:r>
        <w:rPr>
          <w:rFonts w:ascii="Arial" w:cs="Arial" w:eastAsia="Arial" w:hAnsi="Arial"/>
          <w:sz w:val="13"/>
          <w:szCs w:val="13"/>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55"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SMS and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95"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 voluntarily completed the IATA Operational Safety Audit in June 2019, which is the benchmark for global safety</w:t>
      </w:r>
    </w:p>
    <w:p>
      <w:pPr>
        <w:spacing w:after="0" w:line="101" w:lineRule="exact"/>
        <w:rPr>
          <w:sz w:val="20"/>
          <w:szCs w:val="20"/>
          <w:color w:val="auto"/>
        </w:rPr>
      </w:pPr>
    </w:p>
    <w:p>
      <w:pPr>
        <w:ind w:left="1160" w:right="1279" w:firstLine="293"/>
        <w:spacing w:after="0" w:line="258" w:lineRule="auto"/>
        <w:rPr>
          <w:sz w:val="20"/>
          <w:szCs w:val="20"/>
          <w:color w:val="auto"/>
        </w:rPr>
      </w:pPr>
      <w:r>
        <w:rPr>
          <w:rFonts w:ascii="Arial" w:cs="Arial" w:eastAsia="Arial" w:hAnsi="Arial"/>
          <w:sz w:val="14"/>
          <w:szCs w:val="14"/>
          <w:color w:val="auto"/>
        </w:rPr>
        <w:t>Safety Audit with no findings. We also have implemented a Security Management System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77"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color w:val="auto"/>
        </w:rPr>
        <w:t>Our ongoing focus on safety relies on transparency with our regulators, training our employees to proper standards and providing them with the tools and equipment they require so they can perform their job functions in a safe and efficient manner, and learning from industry best practices through a collaborative, inter-airline safety sharing program. Safety in the workplace targets several areas of our operation including: flight operations, maintenance, in- flight, dispatch and station operations. In addition, we recently conducted a safety culture survey, the results of which we have used to create action plans for areas of opportunity.</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Facilities</w:t>
      </w:r>
    </w:p>
    <w:p>
      <w:pPr>
        <w:spacing w:after="0" w:line="128"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7" w:name="page138"/>
    <w:bookmarkEnd w:id="13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19"/>
        <w:spacing w:after="0" w:line="264" w:lineRule="auto"/>
        <w:rPr>
          <w:sz w:val="20"/>
          <w:szCs w:val="20"/>
          <w:color w:val="auto"/>
        </w:rPr>
      </w:pPr>
      <w:r>
        <w:rPr>
          <w:rFonts w:ascii="Arial" w:cs="Arial" w:eastAsia="Arial" w:hAnsi="Arial"/>
          <w:sz w:val="14"/>
          <w:szCs w:val="14"/>
          <w:color w:val="auto"/>
        </w:rPr>
        <w:t>expenses and services under these agreements. We also have entered into use agreements at many of the airports we serve that provide for the non -exclusive use of runways, taxiways and other facilities. Landing fees under these agreements are based on the number of landings and weight of the aircraft.</w:t>
      </w:r>
    </w:p>
    <w:p>
      <w:pPr>
        <w:spacing w:after="0" w:line="84" w:lineRule="exact"/>
        <w:rPr>
          <w:sz w:val="20"/>
          <w:szCs w:val="20"/>
          <w:color w:val="auto"/>
        </w:rPr>
      </w:pPr>
    </w:p>
    <w:p>
      <w:pPr>
        <w:ind w:left="1160" w:right="1259" w:firstLine="293"/>
        <w:spacing w:after="0" w:line="234" w:lineRule="auto"/>
        <w:rPr>
          <w:sz w:val="20"/>
          <w:szCs w:val="20"/>
          <w:color w:val="auto"/>
        </w:rPr>
      </w:pPr>
      <w:r>
        <w:rPr>
          <w:rFonts w:ascii="Arial" w:cs="Arial" w:eastAsia="Arial" w:hAnsi="Arial"/>
          <w:sz w:val="15"/>
          <w:szCs w:val="15"/>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 to-month basis. Gate space and ticket counter space is used and billed on a per operation (each arrival and departure) basis until an annual operating cap is met. Our operating lease also includes two hangars:</w:t>
      </w:r>
    </w:p>
    <w:p>
      <w:pPr>
        <w:spacing w:after="0" w:line="68" w:lineRule="exact"/>
        <w:rPr>
          <w:sz w:val="20"/>
          <w:szCs w:val="20"/>
          <w:color w:val="auto"/>
        </w:rPr>
      </w:pPr>
    </w:p>
    <w:p>
      <w:pPr>
        <w:ind w:left="1600" w:right="1619" w:hanging="143"/>
        <w:spacing w:after="0" w:line="264" w:lineRule="auto"/>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108,000 square foot maintenance hangar, which includes office space and is where we provide certain maintenance on our aircraft; and</w:t>
      </w:r>
    </w:p>
    <w:p>
      <w:pPr>
        <w:spacing w:after="0" w:line="49" w:lineRule="exact"/>
        <w:rPr>
          <w:rFonts w:ascii="Arial" w:cs="Arial" w:eastAsia="Arial" w:hAnsi="Arial"/>
          <w:sz w:val="15"/>
          <w:szCs w:val="15"/>
          <w:color w:val="auto"/>
        </w:rPr>
      </w:pPr>
    </w:p>
    <w:p>
      <w:pPr>
        <w:ind w:left="1600" w:right="1919" w:hanging="143"/>
        <w:spacing w:after="0" w:line="264" w:lineRule="auto"/>
        <w:tabs>
          <w:tab w:leader="none" w:pos="1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90,000 square foot office and hangar facility which has been converted into our corporate headquarters.</w:t>
      </w:r>
    </w:p>
    <w:p>
      <w:pPr>
        <w:spacing w:after="0" w:line="93"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For charter service with an origin or destination where we do not have ground handling capabilities, we arrange with airports, fixed base operators or military bases to provide ground services on an as needed basis.</w:t>
      </w:r>
    </w:p>
    <w:p>
      <w:pPr>
        <w:spacing w:after="0" w:line="100"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Community Partnerships</w:t>
      </w:r>
    </w:p>
    <w:p>
      <w:pPr>
        <w:spacing w:after="0" w:line="117" w:lineRule="exact"/>
        <w:rPr>
          <w:sz w:val="20"/>
          <w:szCs w:val="20"/>
          <w:color w:val="auto"/>
        </w:rPr>
      </w:pPr>
    </w:p>
    <w:p>
      <w:pPr>
        <w:jc w:val="both"/>
        <w:ind w:left="1160" w:right="1259" w:firstLine="293"/>
        <w:spacing w:after="0" w:line="283" w:lineRule="auto"/>
        <w:rPr>
          <w:sz w:val="20"/>
          <w:szCs w:val="20"/>
          <w:color w:val="auto"/>
        </w:rPr>
      </w:pPr>
      <w:r>
        <w:rPr>
          <w:rFonts w:ascii="Arial" w:cs="Arial" w:eastAsia="Arial" w:hAnsi="Arial"/>
          <w:sz w:val="14"/>
          <w:szCs w:val="14"/>
          <w:color w:val="auto"/>
        </w:rPr>
        <w:t>As a Minnesota-based company, it is an important part of our culture to give back to the community in which we work and live. We have several key community partnership initiatives, some of which are:</w:t>
      </w:r>
    </w:p>
    <w:p>
      <w:pPr>
        <w:spacing w:after="0" w:line="38" w:lineRule="exact"/>
        <w:rPr>
          <w:sz w:val="20"/>
          <w:szCs w:val="20"/>
          <w:color w:val="auto"/>
        </w:rPr>
      </w:pPr>
    </w:p>
    <w:p>
      <w:pPr>
        <w:ind w:left="1600" w:right="1359" w:hanging="143"/>
        <w:spacing w:after="0" w:line="341" w:lineRule="auto"/>
        <w:tabs>
          <w:tab w:leader="none" w:pos="16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Everyday Heroes—a program where we recognize one hero every month with a $500 Sun Country travel voucher, with recognition through TV and radio properties owned by our media partner.</w:t>
      </w:r>
    </w:p>
    <w:p>
      <w:pPr>
        <w:spacing w:after="0" w:line="14" w:lineRule="exact"/>
        <w:rPr>
          <w:rFonts w:ascii="Arial" w:cs="Arial" w:eastAsia="Arial" w:hAnsi="Arial"/>
          <w:sz w:val="13"/>
          <w:szCs w:val="13"/>
          <w:color w:val="auto"/>
        </w:rPr>
      </w:pPr>
    </w:p>
    <w:p>
      <w:pPr>
        <w:ind w:left="1600" w:right="1459" w:hanging="143"/>
        <w:spacing w:after="0" w:line="264"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Make-A-Wish Minnesota—we have a three-year commitment with Make-A-Wish MN to provide travel to every Minnesota Wish Kid flying to a destination Sun Country serves.</w:t>
      </w:r>
    </w:p>
    <w:p>
      <w:pPr>
        <w:spacing w:after="0" w:line="49" w:lineRule="exact"/>
        <w:rPr>
          <w:rFonts w:ascii="Arial" w:cs="Arial" w:eastAsia="Arial" w:hAnsi="Arial"/>
          <w:sz w:val="15"/>
          <w:szCs w:val="15"/>
          <w:color w:val="auto"/>
        </w:rPr>
      </w:pPr>
    </w:p>
    <w:p>
      <w:pPr>
        <w:ind w:left="1600" w:right="1239" w:hanging="143"/>
        <w:spacing w:after="0" w:line="264"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Hennepin Theatre Trust—we support the Trust’s Spotlight Education program, focused on education for local performing arts students.</w:t>
      </w:r>
    </w:p>
    <w:p>
      <w:pPr>
        <w:spacing w:after="0" w:line="59" w:lineRule="exact"/>
        <w:rPr>
          <w:rFonts w:ascii="Arial" w:cs="Arial" w:eastAsia="Arial" w:hAnsi="Arial"/>
          <w:sz w:val="15"/>
          <w:szCs w:val="15"/>
          <w:color w:val="auto"/>
        </w:rPr>
      </w:pPr>
    </w:p>
    <w:p>
      <w:pPr>
        <w:ind w:left="1600" w:right="1239" w:hanging="143"/>
        <w:spacing w:after="0" w:line="274" w:lineRule="auto"/>
        <w:tabs>
          <w:tab w:leader="none" w:pos="1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order to assist our community as we all dealt with the duel crisis of pandemic and civil unrest, we organized a number of volunteer events throughout 2020. Through December 31, 2020, 175 Sun Country volunteers have spent over 415 hours volunteering in our community at organizations, including The Sheridan Story, The Food Group and Mississippi River Connection Cleanup.</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Insurance</w:t>
      </w:r>
    </w:p>
    <w:p>
      <w:pPr>
        <w:spacing w:after="0" w:line="128"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Foreign Ownership</w:t>
      </w:r>
    </w:p>
    <w:p>
      <w:pPr>
        <w:spacing w:after="0" w:line="128"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which allow unrestricted access between the</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51" w:lineRule="auto"/>
        <w:rPr>
          <w:sz w:val="20"/>
          <w:szCs w:val="20"/>
          <w:color w:val="auto"/>
        </w:rPr>
      </w:pPr>
      <w:r>
        <w:rPr>
          <w:rFonts w:ascii="Arial" w:cs="Arial" w:eastAsia="Arial" w:hAnsi="Arial"/>
          <w:sz w:val="15"/>
          <w:szCs w:val="15"/>
          <w:color w:val="auto"/>
        </w:rPr>
        <w:t xml:space="preserve">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5"/>
          <w:szCs w:val="15"/>
          <w:i w:val="1"/>
          <w:iCs w:val="1"/>
          <w:color w:val="auto"/>
        </w:rPr>
        <w:t>“Description</w:t>
      </w:r>
      <w:r>
        <w:rPr>
          <w:rFonts w:ascii="Arial" w:cs="Arial" w:eastAsia="Arial" w:hAnsi="Arial"/>
          <w:sz w:val="15"/>
          <w:szCs w:val="15"/>
          <w:color w:val="auto"/>
        </w:rPr>
        <w:t xml:space="preserve"> </w:t>
      </w:r>
      <w:r>
        <w:rPr>
          <w:rFonts w:ascii="Arial" w:cs="Arial" w:eastAsia="Arial" w:hAnsi="Arial"/>
          <w:sz w:val="15"/>
          <w:szCs w:val="15"/>
          <w:i w:val="1"/>
          <w:iCs w:val="1"/>
          <w:color w:val="auto"/>
        </w:rPr>
        <w:t>of Capital Stock—Limited Ownership and Voting by Foreign Owners.”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Government Regulation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Aviation Regulation</w:t>
      </w:r>
    </w:p>
    <w:p>
      <w:pPr>
        <w:spacing w:after="0" w:line="124"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83" w:lineRule="exact"/>
        <w:rPr>
          <w:sz w:val="20"/>
          <w:szCs w:val="20"/>
          <w:color w:val="auto"/>
        </w:rPr>
      </w:pPr>
    </w:p>
    <w:p>
      <w:pPr>
        <w:ind w:left="1160" w:right="1279" w:firstLine="293"/>
        <w:spacing w:after="0" w:line="247" w:lineRule="auto"/>
        <w:rPr>
          <w:sz w:val="20"/>
          <w:szCs w:val="20"/>
          <w:color w:val="auto"/>
        </w:rPr>
      </w:pPr>
      <w:r>
        <w:rPr>
          <w:rFonts w:ascii="Arial" w:cs="Arial" w:eastAsia="Arial" w:hAnsi="Arial"/>
          <w:sz w:val="15"/>
          <w:szCs w:val="15"/>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105"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4"/>
          <w:szCs w:val="14"/>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Airport Access</w:t>
      </w:r>
    </w:p>
    <w:p>
      <w:pPr>
        <w:spacing w:after="0" w:line="124"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89"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In addition, we plan to launch service to Vancouver, Canada during the second quarter of 2021. Terminal access for Vancouver is controlled by Vancouver Airport Authority due to facility constraints. We have obtained the access we need to accommodate our planned service.</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Consumer Protection Regulation</w:t>
      </w:r>
    </w:p>
    <w:p>
      <w:pPr>
        <w:spacing w:after="0" w:line="124" w:lineRule="exact"/>
        <w:rPr>
          <w:sz w:val="20"/>
          <w:szCs w:val="20"/>
          <w:color w:val="auto"/>
        </w:rPr>
      </w:pPr>
    </w:p>
    <w:p>
      <w:pPr>
        <w:ind w:left="1160" w:right="1199" w:firstLine="293"/>
        <w:spacing w:after="0" w:line="270" w:lineRule="auto"/>
        <w:rPr>
          <w:sz w:val="20"/>
          <w:szCs w:val="20"/>
          <w:color w:val="auto"/>
        </w:rPr>
      </w:pPr>
      <w:r>
        <w:rPr>
          <w:rFonts w:ascii="Arial" w:cs="Arial" w:eastAsia="Arial" w:hAnsi="Arial"/>
          <w:sz w:val="13"/>
          <w:szCs w:val="13"/>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 leasing agreements (where one airline provides aircraft and crew to another airline) between carriers and regulates other economic matters such as slot transactions.</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Security Regulation</w:t>
      </w:r>
    </w:p>
    <w:p>
      <w:pPr>
        <w:spacing w:after="0" w:line="113" w:lineRule="exact"/>
        <w:rPr>
          <w:sz w:val="20"/>
          <w:szCs w:val="20"/>
          <w:color w:val="auto"/>
        </w:rPr>
      </w:pPr>
    </w:p>
    <w:p>
      <w:pPr>
        <w:ind w:left="1160" w:right="1339" w:firstLine="293"/>
        <w:spacing w:after="0" w:line="279" w:lineRule="auto"/>
        <w:rPr>
          <w:sz w:val="20"/>
          <w:szCs w:val="20"/>
          <w:color w:val="auto"/>
        </w:rPr>
      </w:pPr>
      <w:r>
        <w:rPr>
          <w:rFonts w:ascii="Arial" w:cs="Arial" w:eastAsia="Arial" w:hAnsi="Arial"/>
          <w:sz w:val="13"/>
          <w:szCs w:val="13"/>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3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Environmental Regulation</w:t>
      </w:r>
    </w:p>
    <w:p>
      <w:pPr>
        <w:spacing w:after="0" w:line="124"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88"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GHG Emissions</w:t>
      </w:r>
    </w:p>
    <w:p>
      <w:pPr>
        <w:spacing w:after="0" w:line="11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 -production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However, President Biden, who is expected to promote more aggressive policies with respect to climate change and carbon emissions, including in the aviation sector, issued an executive order calling for a review of regulatory actions of the prior administration for their consistency with the Biden administration’s policies, including with respect to climate change. Accordingly, there may be future rulemaking that may result in stricter GHG emissions standards than those contained in the proposed rule.</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In addition, in October 2016, the ICAO adopted the CORSIA, which is a global, market-based</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emissions offset program designed to encourage carbon-neutral growth beyond 2020. The CORSIA will</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419"/>
        <w:spacing w:after="0" w:line="281" w:lineRule="auto"/>
        <w:rPr>
          <w:sz w:val="20"/>
          <w:szCs w:val="20"/>
          <w:color w:val="auto"/>
        </w:rPr>
      </w:pPr>
      <w:r>
        <w:rPr>
          <w:rFonts w:ascii="Arial" w:cs="Arial" w:eastAsia="Arial" w:hAnsi="Arial"/>
          <w:sz w:val="14"/>
          <w:szCs w:val="14"/>
          <w:color w:val="auto"/>
        </w:rPr>
        <w:t>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Noise</w:t>
      </w:r>
    </w:p>
    <w:p>
      <w:pPr>
        <w:spacing w:after="0" w:line="124"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Other Regulations</w:t>
      </w:r>
    </w:p>
    <w:p>
      <w:pPr>
        <w:spacing w:after="0" w:line="113"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Legal Proceedings</w:t>
      </w:r>
    </w:p>
    <w:p>
      <w:pPr>
        <w:spacing w:after="0" w:line="128" w:lineRule="exact"/>
        <w:rPr>
          <w:sz w:val="20"/>
          <w:szCs w:val="20"/>
          <w:color w:val="auto"/>
        </w:rPr>
      </w:pPr>
    </w:p>
    <w:p>
      <w:pPr>
        <w:ind w:left="1160" w:right="1399" w:firstLine="293"/>
        <w:spacing w:after="0" w:line="274" w:lineRule="auto"/>
        <w:rPr>
          <w:sz w:val="20"/>
          <w:szCs w:val="20"/>
          <w:color w:val="auto"/>
        </w:rPr>
      </w:pPr>
      <w:r>
        <w:rPr>
          <w:rFonts w:ascii="Arial" w:cs="Arial" w:eastAsia="Arial" w:hAnsi="Arial"/>
          <w:sz w:val="14"/>
          <w:szCs w:val="14"/>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following table sets forth the name, age and position of each of our executive officers and directors as of the date of this prospectus.</w:t>
      </w:r>
    </w:p>
    <w:p>
      <w:pPr>
        <w:spacing w:after="0" w:line="9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9"/>
              </w:rPr>
              <w:t>Age</w:t>
            </w:r>
          </w:p>
        </w:tc>
        <w:tc>
          <w:tcPr>
            <w:tcW w:w="4360" w:type="dxa"/>
            <w:vAlign w:val="bottom"/>
          </w:tcPr>
          <w:p>
            <w:pPr>
              <w:ind w:left="1980"/>
              <w:spacing w:after="0"/>
              <w:rPr>
                <w:sz w:val="20"/>
                <w:szCs w:val="20"/>
                <w:color w:val="auto"/>
              </w:rPr>
            </w:pPr>
            <w:r>
              <w:rPr>
                <w:rFonts w:ascii="Arial" w:cs="Arial" w:eastAsia="Arial" w:hAnsi="Arial"/>
                <w:sz w:val="12"/>
                <w:szCs w:val="12"/>
                <w:b w:val="1"/>
                <w:bCs w:val="1"/>
                <w:color w:val="auto"/>
              </w:rPr>
              <w:t>Position</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r>
        <w:trPr>
          <w:trHeight w:val="200"/>
        </w:trPr>
        <w:tc>
          <w:tcPr>
            <w:tcW w:w="1940" w:type="dxa"/>
            <w:vAlign w:val="bottom"/>
            <w:gridSpan w:val="2"/>
          </w:tcPr>
          <w:p>
            <w:pPr>
              <w:spacing w:after="0"/>
              <w:rPr>
                <w:sz w:val="20"/>
                <w:szCs w:val="20"/>
                <w:color w:val="auto"/>
              </w:rPr>
            </w:pPr>
            <w:r>
              <w:rPr>
                <w:rFonts w:ascii="Arial" w:cs="Arial" w:eastAsia="Arial" w:hAnsi="Arial"/>
                <w:sz w:val="15"/>
                <w:szCs w:val="15"/>
                <w:color w:val="auto"/>
              </w:rPr>
              <w:t>Jude Bricker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47</w:t>
            </w:r>
          </w:p>
        </w:tc>
        <w:tc>
          <w:tcPr>
            <w:tcW w:w="1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Executive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Dave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54</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President and Chief Financial Officer; Director</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Gregory Mays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Operating Officer and Executive Vice President</w:t>
            </w:r>
          </w:p>
        </w:tc>
      </w:tr>
      <w:tr>
        <w:trPr>
          <w:trHeight w:val="209"/>
        </w:trPr>
        <w:tc>
          <w:tcPr>
            <w:tcW w:w="1940" w:type="dxa"/>
            <w:vAlign w:val="bottom"/>
            <w:gridSpan w:val="2"/>
          </w:tcPr>
          <w:p>
            <w:pPr>
              <w:spacing w:after="0"/>
              <w:rPr>
                <w:sz w:val="20"/>
                <w:szCs w:val="20"/>
                <w:color w:val="auto"/>
              </w:rPr>
            </w:pPr>
            <w:r>
              <w:rPr>
                <w:rFonts w:ascii="Arial" w:cs="Arial" w:eastAsia="Arial" w:hAnsi="Arial"/>
                <w:sz w:val="15"/>
                <w:szCs w:val="15"/>
                <w:color w:val="auto"/>
              </w:rPr>
              <w:t>Eric Levenhagen</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40</w:t>
            </w:r>
          </w:p>
        </w:tc>
        <w:tc>
          <w:tcPr>
            <w:tcW w:w="1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Administrative Officer, General Counsel and Secretary</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Jeffrey Mader</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Information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Brian Davis</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Marketing Officer and Senior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Grant Whitney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44</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Chief Revenue Officer and Executive Vice President</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John Gyurci</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Finance, and Chief Accounting Officer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Bill Trousdale</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52</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Vice President, Financial Planning &amp; Analysis, and Treasurer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Patrick Kearney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29</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Thomas C. Kennedy</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55</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Antoine Munfakh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38</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Kerry Philipovitch</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50</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David Siegel</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59</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Chairman; Director</w:t>
            </w:r>
          </w:p>
        </w:tc>
      </w:tr>
      <w:tr>
        <w:trPr>
          <w:trHeight w:val="220"/>
        </w:trPr>
        <w:tc>
          <w:tcPr>
            <w:tcW w:w="1940" w:type="dxa"/>
            <w:vAlign w:val="bottom"/>
            <w:gridSpan w:val="2"/>
          </w:tcPr>
          <w:p>
            <w:pPr>
              <w:spacing w:after="0"/>
              <w:rPr>
                <w:sz w:val="20"/>
                <w:szCs w:val="20"/>
                <w:color w:val="auto"/>
              </w:rPr>
            </w:pPr>
            <w:r>
              <w:rPr>
                <w:rFonts w:ascii="Arial" w:cs="Arial" w:eastAsia="Arial" w:hAnsi="Arial"/>
                <w:sz w:val="15"/>
                <w:szCs w:val="15"/>
                <w:color w:val="auto"/>
              </w:rPr>
              <w:t>Juan Carlos Zuazua</w:t>
            </w:r>
          </w:p>
        </w:tc>
        <w:tc>
          <w:tcPr>
            <w:tcW w:w="20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1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121"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color w:val="auto"/>
        </w:rPr>
        <w:t>The following are brief biographies describing the backgrounds of the executive officers and directors of the Company.</w:t>
      </w:r>
    </w:p>
    <w:p>
      <w:pPr>
        <w:spacing w:after="0" w:line="8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b w:val="1"/>
          <w:bCs w:val="1"/>
          <w:i w:val="1"/>
          <w:iCs w:val="1"/>
          <w:color w:val="auto"/>
        </w:rPr>
        <w:t xml:space="preserve">Jude Bricker </w:t>
      </w:r>
      <w:r>
        <w:rPr>
          <w:rFonts w:ascii="Arial" w:cs="Arial" w:eastAsia="Arial" w:hAnsi="Arial"/>
          <w:sz w:val="14"/>
          <w:szCs w:val="14"/>
          <w:color w:val="auto"/>
        </w:rPr>
        <w:t>has served as our Chief Executive Officer since July 2017 and is a member of our board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directors. Mr. Bricker has 17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w:t>
      </w:r>
    </w:p>
    <w:p>
      <w:pPr>
        <w:spacing w:after="0" w:line="3" w:lineRule="exact"/>
        <w:rPr>
          <w:sz w:val="20"/>
          <w:szCs w:val="20"/>
          <w:color w:val="auto"/>
        </w:rPr>
      </w:pPr>
    </w:p>
    <w:p>
      <w:pPr>
        <w:ind w:left="1160" w:right="1679"/>
        <w:spacing w:after="0" w:line="236" w:lineRule="auto"/>
        <w:rPr>
          <w:sz w:val="20"/>
          <w:szCs w:val="20"/>
          <w:color w:val="auto"/>
        </w:rPr>
      </w:pPr>
      <w:r>
        <w:rPr>
          <w:rFonts w:ascii="Arial" w:cs="Arial" w:eastAsia="Arial" w:hAnsi="Arial"/>
          <w:sz w:val="15"/>
          <w:szCs w:val="15"/>
          <w:color w:val="auto"/>
        </w:rPr>
        <w:t>May 2006, Mr. Bricker was a finance manager at American Airlines. Mr. Bricker holds a BS in Civil Engineering from Texas A&amp;M University and an MBA from the University of Texas.</w:t>
      </w:r>
    </w:p>
    <w:p>
      <w:pPr>
        <w:spacing w:after="0" w:line="99" w:lineRule="exact"/>
        <w:rPr>
          <w:sz w:val="20"/>
          <w:szCs w:val="20"/>
          <w:color w:val="auto"/>
        </w:rPr>
      </w:pPr>
    </w:p>
    <w:p>
      <w:pPr>
        <w:ind w:left="1160" w:right="1639" w:firstLine="293"/>
        <w:spacing w:after="0" w:line="274" w:lineRule="auto"/>
        <w:rPr>
          <w:sz w:val="20"/>
          <w:szCs w:val="20"/>
          <w:color w:val="auto"/>
        </w:rPr>
      </w:pPr>
      <w:r>
        <w:rPr>
          <w:rFonts w:ascii="Arial" w:cs="Arial" w:eastAsia="Arial" w:hAnsi="Arial"/>
          <w:sz w:val="13"/>
          <w:szCs w:val="13"/>
          <w:b w:val="1"/>
          <w:bCs w:val="1"/>
          <w:i w:val="1"/>
          <w:iCs w:val="1"/>
          <w:color w:val="auto"/>
        </w:rPr>
        <w:t xml:space="preserve">Dave Davis </w:t>
      </w:r>
      <w:r>
        <w:rPr>
          <w:rFonts w:ascii="Arial" w:cs="Arial" w:eastAsia="Arial" w:hAnsi="Arial"/>
          <w:sz w:val="13"/>
          <w:szCs w:val="13"/>
          <w:color w:val="auto"/>
        </w:rPr>
        <w:t>has served as our Chief Financial Officer since April 2018 and as our President since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2019 and is a member of our board of directors. Prior thereto, from December 2017 to</w:t>
      </w:r>
    </w:p>
    <w:p>
      <w:pPr>
        <w:ind w:left="1160" w:right="1259"/>
        <w:spacing w:after="0" w:line="247" w:lineRule="auto"/>
        <w:rPr>
          <w:sz w:val="20"/>
          <w:szCs w:val="20"/>
          <w:color w:val="auto"/>
        </w:rPr>
      </w:pPr>
      <w:r>
        <w:rPr>
          <w:rFonts w:ascii="Arial" w:cs="Arial" w:eastAsia="Arial" w:hAnsi="Arial"/>
          <w:sz w:val="14"/>
          <w:szCs w:val="14"/>
          <w:color w:val="auto"/>
        </w:rPr>
        <w:t>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89"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3"/>
          <w:szCs w:val="13"/>
          <w:b w:val="1"/>
          <w:bCs w:val="1"/>
          <w:i w:val="1"/>
          <w:iCs w:val="1"/>
          <w:color w:val="auto"/>
        </w:rPr>
        <w:t xml:space="preserve">Gregory Mays </w:t>
      </w:r>
      <w:r>
        <w:rPr>
          <w:rFonts w:ascii="Arial" w:cs="Arial" w:eastAsia="Arial" w:hAnsi="Arial"/>
          <w:sz w:val="13"/>
          <w:szCs w:val="13"/>
          <w:color w:val="auto"/>
        </w:rPr>
        <w:t>has served as our Chief Operating Officer since June 2019. Mr. Mays has 29 years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experience in the aviation industry. Prior to joining us, he served as a senior industry advisor with Boston Consulting Group beginning in February 2019. Prior thereto he served seven years at Alaska Airlines from 2011 to 2018, most recently in the role of Vice President of Labor Relations from December 2018 to September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519"/>
        <w:spacing w:after="0" w:line="239" w:lineRule="auto"/>
        <w:rPr>
          <w:sz w:val="20"/>
          <w:szCs w:val="20"/>
          <w:color w:val="auto"/>
        </w:rPr>
      </w:pPr>
      <w:r>
        <w:rPr>
          <w:rFonts w:ascii="Arial" w:cs="Arial" w:eastAsia="Arial" w:hAnsi="Arial"/>
          <w:sz w:val="15"/>
          <w:szCs w:val="15"/>
          <w:color w:val="auto"/>
        </w:rPr>
        <w:t>maintenance and engineering, airport operations, cargo operations, labor relations, and design/test engineering. Mr. Mays earned a BS in Aerospace Engineering from the University and Alabama and an MBA from Emory University.</w:t>
      </w:r>
    </w:p>
    <w:p>
      <w:pPr>
        <w:spacing w:after="0" w:line="100" w:lineRule="exact"/>
        <w:rPr>
          <w:sz w:val="20"/>
          <w:szCs w:val="20"/>
          <w:color w:val="auto"/>
        </w:rPr>
      </w:pPr>
    </w:p>
    <w:p>
      <w:pPr>
        <w:ind w:left="1160" w:right="1179" w:firstLine="293"/>
        <w:spacing w:after="0" w:line="251" w:lineRule="auto"/>
        <w:rPr>
          <w:sz w:val="20"/>
          <w:szCs w:val="20"/>
          <w:color w:val="auto"/>
        </w:rPr>
      </w:pPr>
      <w:r>
        <w:rPr>
          <w:rFonts w:ascii="Arial" w:cs="Arial" w:eastAsia="Arial" w:hAnsi="Arial"/>
          <w:sz w:val="14"/>
          <w:szCs w:val="14"/>
          <w:b w:val="1"/>
          <w:bCs w:val="1"/>
          <w:i w:val="1"/>
          <w:iCs w:val="1"/>
          <w:color w:val="auto"/>
        </w:rPr>
        <w:t xml:space="preserve">Eric Levenhagen </w:t>
      </w:r>
      <w:r>
        <w:rPr>
          <w:rFonts w:ascii="Arial" w:cs="Arial" w:eastAsia="Arial" w:hAnsi="Arial"/>
          <w:sz w:val="14"/>
          <w:szCs w:val="14"/>
          <w:color w:val="auto"/>
        </w:rPr>
        <w:t>has served as our Chief Administrative Officer since April 2018 and has served as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Vice President of Legal since 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81"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b w:val="1"/>
          <w:bCs w:val="1"/>
          <w:i w:val="1"/>
          <w:iCs w:val="1"/>
          <w:color w:val="auto"/>
        </w:rPr>
        <w:t xml:space="preserve">Jeffrey Mader </w:t>
      </w:r>
      <w:r>
        <w:rPr>
          <w:rFonts w:ascii="Arial" w:cs="Arial" w:eastAsia="Arial" w:hAnsi="Arial"/>
          <w:sz w:val="15"/>
          <w:szCs w:val="15"/>
          <w:color w:val="auto"/>
        </w:rPr>
        <w:t>has served as our Chief Information Officer since April 2018. He previously served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Information Officer at Imagine! Print Solutions from August 2015 to June 2017. From January 1991 to August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101"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b w:val="1"/>
          <w:bCs w:val="1"/>
          <w:i w:val="1"/>
          <w:iCs w:val="1"/>
          <w:color w:val="auto"/>
        </w:rPr>
        <w:t xml:space="preserve">Brian Davis </w:t>
      </w:r>
      <w:r>
        <w:rPr>
          <w:rFonts w:ascii="Arial" w:cs="Arial" w:eastAsia="Arial" w:hAnsi="Arial"/>
          <w:sz w:val="14"/>
          <w:szCs w:val="14"/>
          <w:color w:val="auto"/>
        </w:rPr>
        <w:t>has served as our Chief Marketing Officer since January 2018. Mr. Davis previously served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Special Advisor on Business Strategy 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91"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b w:val="1"/>
          <w:bCs w:val="1"/>
          <w:i w:val="1"/>
          <w:iCs w:val="1"/>
          <w:color w:val="auto"/>
        </w:rPr>
        <w:t xml:space="preserve">Grant Whitney </w:t>
      </w:r>
      <w:r>
        <w:rPr>
          <w:rFonts w:ascii="Arial" w:cs="Arial" w:eastAsia="Arial" w:hAnsi="Arial"/>
          <w:sz w:val="14"/>
          <w:szCs w:val="14"/>
          <w:color w:val="auto"/>
        </w:rPr>
        <w:t>has served as our Chief Revenue Officer since May 2019. Prior thereto, he spent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nine years at United Airlines from 2010 to 2018, 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80" w:lineRule="exact"/>
        <w:rPr>
          <w:sz w:val="20"/>
          <w:szCs w:val="20"/>
          <w:color w:val="auto"/>
        </w:rPr>
      </w:pPr>
    </w:p>
    <w:p>
      <w:pPr>
        <w:ind w:left="1160" w:right="1279" w:firstLine="293"/>
        <w:spacing w:after="0" w:line="233" w:lineRule="auto"/>
        <w:rPr>
          <w:sz w:val="20"/>
          <w:szCs w:val="20"/>
          <w:color w:val="auto"/>
        </w:rPr>
      </w:pPr>
      <w:r>
        <w:rPr>
          <w:rFonts w:ascii="Arial" w:cs="Arial" w:eastAsia="Arial" w:hAnsi="Arial"/>
          <w:sz w:val="15"/>
          <w:szCs w:val="15"/>
          <w:b w:val="1"/>
          <w:bCs w:val="1"/>
          <w:i w:val="1"/>
          <w:iCs w:val="1"/>
          <w:color w:val="auto"/>
        </w:rPr>
        <w:t xml:space="preserve">John Gyurci </w:t>
      </w:r>
      <w:r>
        <w:rPr>
          <w:rFonts w:ascii="Arial" w:cs="Arial" w:eastAsia="Arial" w:hAnsi="Arial"/>
          <w:sz w:val="15"/>
          <w:szCs w:val="15"/>
          <w:color w:val="auto"/>
        </w:rPr>
        <w:t>has served as our Chief Accounting Officer since October 2018. Mr. Gyurci previously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Corporate Controller at MTS Systems Corporation, a global manufacturing company, from October 2017 to October 2018. Prior thereto, Mr. Gyurci served as Vice President of Financial Accounting &amp; 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4"/>
          <w:szCs w:val="14"/>
          <w:b w:val="1"/>
          <w:bCs w:val="1"/>
          <w:i w:val="1"/>
          <w:iCs w:val="1"/>
          <w:color w:val="auto"/>
        </w:rPr>
        <w:t xml:space="preserve">Bill Trousdale </w:t>
      </w:r>
      <w:r>
        <w:rPr>
          <w:rFonts w:ascii="Arial" w:cs="Arial" w:eastAsia="Arial" w:hAnsi="Arial"/>
          <w:sz w:val="14"/>
          <w:szCs w:val="14"/>
          <w:color w:val="auto"/>
        </w:rPr>
        <w:t>has served as our Vice President of Financial Planning &amp; Analysis and Treasurer since</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June 2018. Previously, he served as Vice President of Corporate Finance and Treasurer at Global Eagle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Entertainment from May 2016 to October 2017. Prior thereto, Mr. Trousdale worked at Laureate Education</w:t>
      </w:r>
    </w:p>
    <w:p>
      <w:pPr>
        <w:ind w:left="1160"/>
        <w:spacing w:after="0" w:line="234" w:lineRule="auto"/>
        <w:rPr>
          <w:sz w:val="20"/>
          <w:szCs w:val="20"/>
          <w:color w:val="auto"/>
        </w:rPr>
      </w:pPr>
      <w:r>
        <w:rPr>
          <w:rFonts w:ascii="Arial" w:cs="Arial" w:eastAsia="Arial" w:hAnsi="Arial"/>
          <w:sz w:val="15"/>
          <w:szCs w:val="15"/>
          <w:color w:val="auto"/>
        </w:rPr>
        <w:t>from 2009 to 2016, most recently in the role of Vice President of Financial Transformation from</w:t>
      </w:r>
    </w:p>
    <w:p>
      <w:pPr>
        <w:ind w:left="1160"/>
        <w:spacing w:after="0"/>
        <w:rPr>
          <w:sz w:val="20"/>
          <w:szCs w:val="20"/>
          <w:color w:val="auto"/>
        </w:rPr>
      </w:pPr>
      <w:r>
        <w:rPr>
          <w:rFonts w:ascii="Arial" w:cs="Arial" w:eastAsia="Arial" w:hAnsi="Arial"/>
          <w:sz w:val="14"/>
          <w:szCs w:val="14"/>
          <w:color w:val="auto"/>
        </w:rPr>
        <w:t>October 2014 to March 2016. Prior thereto, he held senior finance positions at Northwest Airlines and US</w:t>
      </w:r>
    </w:p>
    <w:p>
      <w:pPr>
        <w:ind w:left="1160"/>
        <w:spacing w:after="0" w:line="234" w:lineRule="auto"/>
        <w:rPr>
          <w:sz w:val="20"/>
          <w:szCs w:val="20"/>
          <w:color w:val="auto"/>
        </w:rPr>
      </w:pPr>
      <w:r>
        <w:rPr>
          <w:rFonts w:ascii="Arial" w:cs="Arial" w:eastAsia="Arial" w:hAnsi="Arial"/>
          <w:sz w:val="15"/>
          <w:szCs w:val="15"/>
          <w:color w:val="auto"/>
        </w:rPr>
        <w:t>Airways. Mr. Trousdale received a BS in Mechanical Engineering from MIT and an MBA from</w:t>
      </w:r>
    </w:p>
    <w:p>
      <w:pPr>
        <w:ind w:left="1160"/>
        <w:spacing w:after="0"/>
        <w:rPr>
          <w:sz w:val="20"/>
          <w:szCs w:val="20"/>
          <w:color w:val="auto"/>
        </w:rPr>
      </w:pPr>
      <w:r>
        <w:rPr>
          <w:rFonts w:ascii="Arial" w:cs="Arial" w:eastAsia="Arial" w:hAnsi="Arial"/>
          <w:sz w:val="15"/>
          <w:szCs w:val="15"/>
          <w:color w:val="auto"/>
        </w:rPr>
        <w:t>Northwestern University.</w:t>
      </w:r>
    </w:p>
    <w:p>
      <w:pPr>
        <w:spacing w:after="0" w:line="101" w:lineRule="exact"/>
        <w:rPr>
          <w:sz w:val="20"/>
          <w:szCs w:val="20"/>
          <w:color w:val="auto"/>
        </w:rPr>
      </w:pPr>
    </w:p>
    <w:p>
      <w:pPr>
        <w:ind w:left="1160" w:right="1199" w:firstLine="293"/>
        <w:spacing w:after="0" w:line="253" w:lineRule="auto"/>
        <w:rPr>
          <w:sz w:val="20"/>
          <w:szCs w:val="20"/>
          <w:color w:val="auto"/>
        </w:rPr>
      </w:pPr>
      <w:r>
        <w:rPr>
          <w:rFonts w:ascii="Arial" w:cs="Arial" w:eastAsia="Arial" w:hAnsi="Arial"/>
          <w:sz w:val="14"/>
          <w:szCs w:val="14"/>
          <w:b w:val="1"/>
          <w:bCs w:val="1"/>
          <w:i w:val="1"/>
          <w:iCs w:val="1"/>
          <w:color w:val="auto"/>
        </w:rPr>
        <w:t xml:space="preserve">Patrick Kearney </w:t>
      </w:r>
      <w:r>
        <w:rPr>
          <w:rFonts w:ascii="Arial" w:cs="Arial" w:eastAsia="Arial" w:hAnsi="Arial"/>
          <w:sz w:val="14"/>
          <w:szCs w:val="14"/>
          <w:color w:val="auto"/>
        </w:rPr>
        <w:t>is a member of our board of directors. Mr. Kearney joined Apollo in 2017 in the Private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Group and is responsible for analyzing investment opportunities and managing existing investments in a wide range of industries, including transportation. Prior to that time, Mr. Kearney was an analyst at Moelis &amp; Company from August 2015 to June 2017. Mr. Kearney graduated magna cum laude from The Wharton School of the University of Pennsylvania, where he earned a B.S. in Economics degree with a concentration in Finance and a minor in Computer Science.</w:t>
      </w:r>
    </w:p>
    <w:p>
      <w:pPr>
        <w:spacing w:after="0" w:line="80" w:lineRule="exact"/>
        <w:rPr>
          <w:sz w:val="20"/>
          <w:szCs w:val="20"/>
          <w:color w:val="auto"/>
        </w:rPr>
      </w:pPr>
    </w:p>
    <w:p>
      <w:pPr>
        <w:ind w:left="1160" w:right="1379" w:firstLine="293"/>
        <w:spacing w:after="0" w:line="323" w:lineRule="auto"/>
        <w:rPr>
          <w:sz w:val="20"/>
          <w:szCs w:val="20"/>
          <w:color w:val="auto"/>
        </w:rPr>
      </w:pPr>
      <w:r>
        <w:rPr>
          <w:rFonts w:ascii="Arial" w:cs="Arial" w:eastAsia="Arial" w:hAnsi="Arial"/>
          <w:sz w:val="13"/>
          <w:szCs w:val="13"/>
          <w:b w:val="1"/>
          <w:bCs w:val="1"/>
          <w:i w:val="1"/>
          <w:iCs w:val="1"/>
          <w:color w:val="auto"/>
        </w:rPr>
        <w:t xml:space="preserve">Thomas C. Kennedy </w:t>
      </w:r>
      <w:r>
        <w:rPr>
          <w:rFonts w:ascii="Arial" w:cs="Arial" w:eastAsia="Arial" w:hAnsi="Arial"/>
          <w:sz w:val="13"/>
          <w:szCs w:val="13"/>
          <w:color w:val="auto"/>
        </w:rPr>
        <w:t>is a member of our board of directors. Mr. Kennedy currently serves as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CFO of SIXT Rent a Car USA. Previously, Mr. Kennedy served as Senior Executive Vice President</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264" w:lineRule="auto"/>
        <w:rPr>
          <w:sz w:val="20"/>
          <w:szCs w:val="20"/>
          <w:color w:val="auto"/>
        </w:rPr>
      </w:pPr>
      <w:r>
        <w:rPr>
          <w:rFonts w:ascii="Arial" w:cs="Arial" w:eastAsia="Arial" w:hAnsi="Arial"/>
          <w:sz w:val="14"/>
          <w:szCs w:val="14"/>
          <w:color w:val="auto"/>
        </w:rPr>
        <w:t>and Chief Financial Officer of Hertz Global Holdings from 2013 to 2018. Hertz filed for bankruptcy protection in May 2020.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w:t>
      </w:r>
    </w:p>
    <w:p>
      <w:pPr>
        <w:spacing w:after="0" w:line="103" w:lineRule="exact"/>
        <w:rPr>
          <w:sz w:val="20"/>
          <w:szCs w:val="20"/>
          <w:color w:val="auto"/>
        </w:rPr>
      </w:pPr>
    </w:p>
    <w:p>
      <w:pPr>
        <w:ind w:left="1160" w:right="1359" w:firstLine="293"/>
        <w:spacing w:after="0" w:line="285" w:lineRule="auto"/>
        <w:rPr>
          <w:sz w:val="20"/>
          <w:szCs w:val="20"/>
          <w:color w:val="auto"/>
        </w:rPr>
      </w:pPr>
      <w:r>
        <w:rPr>
          <w:rFonts w:ascii="Arial" w:cs="Arial" w:eastAsia="Arial" w:hAnsi="Arial"/>
          <w:sz w:val="13"/>
          <w:szCs w:val="13"/>
          <w:b w:val="1"/>
          <w:bCs w:val="1"/>
          <w:i w:val="1"/>
          <w:iCs w:val="1"/>
          <w:color w:val="auto"/>
        </w:rPr>
        <w:t xml:space="preserve">Antoine Munfakh </w:t>
      </w:r>
      <w:r>
        <w:rPr>
          <w:rFonts w:ascii="Arial" w:cs="Arial" w:eastAsia="Arial" w:hAnsi="Arial"/>
          <w:sz w:val="13"/>
          <w:szCs w:val="13"/>
          <w:color w:val="auto"/>
        </w:rPr>
        <w:t>is a member of our board of directors. Mr. Munfakh is a Senior Partner at Apollo,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having joined in 2008. Previously, Mr. Munfakh served as an Associate at the private equity firm Court Square Capital Partners, where he focused on investments into the Business &amp; Industrial Services sectors. Prior thereto, he started his career as an Analyst in the Financial Sponsor Investment Banking group at JPMorgan, where he provided M&amp;A and financing services in support of private equity transactions.</w:t>
      </w:r>
    </w:p>
    <w:p>
      <w:pPr>
        <w:spacing w:after="0" w:line="2" w:lineRule="exact"/>
        <w:rPr>
          <w:sz w:val="20"/>
          <w:szCs w:val="20"/>
          <w:color w:val="auto"/>
        </w:rPr>
      </w:pPr>
    </w:p>
    <w:p>
      <w:pPr>
        <w:ind w:left="1160" w:right="1199"/>
        <w:spacing w:after="0" w:line="265" w:lineRule="auto"/>
        <w:rPr>
          <w:sz w:val="20"/>
          <w:szCs w:val="20"/>
          <w:color w:val="auto"/>
        </w:rPr>
      </w:pPr>
      <w:r>
        <w:rPr>
          <w:rFonts w:ascii="Arial" w:cs="Arial" w:eastAsia="Arial" w:hAnsi="Arial"/>
          <w:sz w:val="14"/>
          <w:szCs w:val="14"/>
          <w:color w:val="auto"/>
        </w:rPr>
        <w:t>Mr. Munfakh currently serves on the board of directors of Volotea Airlines, Direct ChassisLink Inc, Blume Global, Maxim Crane Works, Apollo Education Group and McGraw-Hill Education, Inc. He also serves on the Board of Governors of The Thirst Project, a charitable organization that builds freshwater wells in developing nations. He previously served on the board of directors of CH2M HILL Companies and Claire’s Stores, Inc. Mr. Munfakh graduated summa cum laude from Duke University with a BS in Economics, where he was elected to Phi Beta Kappa. In 2018, Mr. Munfakh was selected by The M&amp;A Advisor for their Ninth Annual Emerging Leaders Award, commonly referred to as the “40 Under 40” award.</w:t>
      </w:r>
    </w:p>
    <w:p>
      <w:pPr>
        <w:spacing w:after="0" w:line="85"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b w:val="1"/>
          <w:bCs w:val="1"/>
          <w:i w:val="1"/>
          <w:iCs w:val="1"/>
          <w:color w:val="auto"/>
        </w:rPr>
        <w:t xml:space="preserve">Kerry Philipovitch </w:t>
      </w:r>
      <w:r>
        <w:rPr>
          <w:rFonts w:ascii="Arial" w:cs="Arial" w:eastAsia="Arial" w:hAnsi="Arial"/>
          <w:sz w:val="14"/>
          <w:szCs w:val="14"/>
          <w:color w:val="auto"/>
        </w:rPr>
        <w:t>is a member of our board of directors. Ms. Philipovitch most recently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Vice President—Customer Experience 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serves on the board of The American Heart Association—Dallas Division, and previously held board positions for Junior Achievement and Homeward Bound in Arizona.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99" w:lineRule="exact"/>
        <w:rPr>
          <w:sz w:val="20"/>
          <w:szCs w:val="20"/>
          <w:color w:val="auto"/>
        </w:rPr>
      </w:pPr>
    </w:p>
    <w:p>
      <w:pPr>
        <w:ind w:left="1160" w:right="1459" w:firstLine="293"/>
        <w:spacing w:after="0" w:line="270" w:lineRule="auto"/>
        <w:rPr>
          <w:sz w:val="20"/>
          <w:szCs w:val="20"/>
          <w:color w:val="auto"/>
        </w:rPr>
      </w:pPr>
      <w:r>
        <w:rPr>
          <w:rFonts w:ascii="Arial" w:cs="Arial" w:eastAsia="Arial" w:hAnsi="Arial"/>
          <w:sz w:val="14"/>
          <w:szCs w:val="14"/>
          <w:b w:val="1"/>
          <w:bCs w:val="1"/>
          <w:i w:val="1"/>
          <w:iCs w:val="1"/>
          <w:color w:val="auto"/>
        </w:rPr>
        <w:t xml:space="preserve">David Siegel </w:t>
      </w:r>
      <w:r>
        <w:rPr>
          <w:rFonts w:ascii="Arial" w:cs="Arial" w:eastAsia="Arial" w:hAnsi="Arial"/>
          <w:sz w:val="14"/>
          <w:szCs w:val="14"/>
          <w:color w:val="auto"/>
        </w:rPr>
        <w:t>has served as our Chairman since March 2021, served as our Executive Chairman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April 2018 to March 2021 and is a member of our board of directors. Prior to joining Sun Country,</w:t>
      </w:r>
    </w:p>
    <w:p>
      <w:pPr>
        <w:jc w:val="both"/>
        <w:ind w:left="1160" w:right="1199"/>
        <w:spacing w:after="0" w:line="262" w:lineRule="auto"/>
        <w:rPr>
          <w:sz w:val="20"/>
          <w:szCs w:val="20"/>
          <w:color w:val="auto"/>
        </w:rPr>
      </w:pPr>
      <w:r>
        <w:rPr>
          <w:rFonts w:ascii="Arial" w:cs="Arial" w:eastAsia="Arial" w:hAnsi="Arial"/>
          <w:sz w:val="14"/>
          <w:szCs w:val="14"/>
          <w:color w:val="auto"/>
        </w:rPr>
        <w:t>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w:t>
      </w:r>
    </w:p>
    <w:p>
      <w:pPr>
        <w:jc w:val="both"/>
        <w:ind w:left="1160" w:right="1259"/>
        <w:spacing w:after="0" w:line="245" w:lineRule="auto"/>
        <w:rPr>
          <w:sz w:val="20"/>
          <w:szCs w:val="20"/>
          <w:color w:val="auto"/>
        </w:rPr>
      </w:pPr>
      <w:r>
        <w:rPr>
          <w:rFonts w:ascii="Arial" w:cs="Arial" w:eastAsia="Arial" w:hAnsi="Arial"/>
          <w:sz w:val="15"/>
          <w:szCs w:val="15"/>
          <w:color w:val="auto"/>
        </w:rPr>
        <w:t>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Mathematics—Economics.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b w:val="1"/>
          <w:bCs w:val="1"/>
          <w:i w:val="1"/>
          <w:iCs w:val="1"/>
          <w:color w:val="auto"/>
        </w:rPr>
        <w:t xml:space="preserve">Juan Carlos Zuazua </w:t>
      </w:r>
      <w:r>
        <w:rPr>
          <w:rFonts w:ascii="Arial" w:cs="Arial" w:eastAsia="Arial" w:hAnsi="Arial"/>
          <w:sz w:val="15"/>
          <w:szCs w:val="15"/>
          <w:color w:val="auto"/>
        </w:rPr>
        <w:t>is a member of our board of directors. Mr. Zuazua has 13 years of experience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aviation industry serving as the Chief Commercial Officer and promoted to Chief Executive Officer since 2010 of VivaAerobus. Mr. Zuazua holds a BS in Industrial Engineering from Tecnológico de Monterrey and a master degree in Public Policy from Tecnológico de Monterrey School of Government and Public Transformation.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Family Relationships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There are no family relationships among our directors and executive officers.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Loss of Controlled Company Status</w:t>
      </w:r>
    </w:p>
    <w:p>
      <w:pPr>
        <w:spacing w:after="0" w:line="117"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Our common stock is listed on Nasdaq. The Apollo Stockholder currently controls more than 50% of the voting power of our outstanding voting stock and, as a result, we are a “controlled company” for the purposes of Nasdaq’s rules and corporate governance standards. Following this offering, the Apollo Stockholder will no longer control more than 50% of the voting power of our outstanding voting stock and, consequently, we will no longer be a “controlled company.” As a result, we will be subject to additional corporate governance requirements, including the requirements that:</w:t>
      </w:r>
    </w:p>
    <w:p>
      <w:pPr>
        <w:spacing w:after="0" w:line="58" w:lineRule="exact"/>
        <w:rPr>
          <w:sz w:val="20"/>
          <w:szCs w:val="20"/>
          <w:color w:val="auto"/>
        </w:rPr>
      </w:pPr>
    </w:p>
    <w:p>
      <w:pPr>
        <w:ind w:left="1600" w:hanging="143"/>
        <w:spacing w:after="0"/>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majority of the board of directors consist of independent directors;</w:t>
      </w:r>
    </w:p>
    <w:p>
      <w:pPr>
        <w:spacing w:after="0" w:line="91"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nominating and corporate governance committee be composed entirely of independent directors; and</w:t>
      </w:r>
    </w:p>
    <w:p>
      <w:pPr>
        <w:spacing w:after="0" w:line="49" w:lineRule="exact"/>
        <w:rPr>
          <w:rFonts w:ascii="Arial" w:cs="Arial" w:eastAsia="Arial" w:hAnsi="Arial"/>
          <w:sz w:val="15"/>
          <w:szCs w:val="15"/>
          <w:color w:val="auto"/>
        </w:rPr>
      </w:pPr>
    </w:p>
    <w:p>
      <w:pPr>
        <w:ind w:left="1600" w:hanging="143"/>
        <w:spacing w:after="0"/>
        <w:tabs>
          <w:tab w:leader="none" w:pos="1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w:t>
      </w:r>
    </w:p>
    <w:p>
      <w:pPr>
        <w:spacing w:after="0" w:line="124" w:lineRule="exact"/>
        <w:rPr>
          <w:sz w:val="20"/>
          <w:szCs w:val="20"/>
          <w:color w:val="auto"/>
        </w:rPr>
      </w:pPr>
    </w:p>
    <w:p>
      <w:pPr>
        <w:ind w:left="1160" w:right="1339" w:firstLine="293"/>
        <w:spacing w:after="0" w:line="253" w:lineRule="auto"/>
        <w:rPr>
          <w:sz w:val="20"/>
          <w:szCs w:val="20"/>
          <w:color w:val="auto"/>
        </w:rPr>
      </w:pPr>
      <w:r>
        <w:rPr>
          <w:rFonts w:ascii="Arial" w:cs="Arial" w:eastAsia="Arial" w:hAnsi="Arial"/>
          <w:sz w:val="14"/>
          <w:szCs w:val="14"/>
          <w:color w:val="auto"/>
        </w:rPr>
        <w:t>The Nasdaq rules provide for phase-in periods for these requirements (including that each such committee consist of a majority of independent directors within 90 days of the consummation of this offering), but we must be fully compliant with the requirements within one year of the date on which we cease to be a “controlled company.” Currently, we do not have a majority of independent directors on our board of directors and only one of the three members of each of our nominating and corporate governance committee and our compensation committee are independent.</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Independence</w:t>
      </w:r>
    </w:p>
    <w:p>
      <w:pPr>
        <w:spacing w:after="0" w:line="128"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 year transition period after we cease to be a “controlled company.” Our independent directors, as such term is defined by the applicable rules and regulations of Nasdaq, are Thomas C. Kennedy, Kerry Philipovitch and Juan Carlos Zuazua.</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Composition</w:t>
      </w:r>
    </w:p>
    <w:p>
      <w:pPr>
        <w:spacing w:after="0" w:line="117" w:lineRule="exact"/>
        <w:rPr>
          <w:sz w:val="20"/>
          <w:szCs w:val="20"/>
          <w:color w:val="auto"/>
        </w:rPr>
      </w:pPr>
    </w:p>
    <w:p>
      <w:pPr>
        <w:ind w:left="1160" w:right="1219" w:firstLine="293"/>
        <w:spacing w:after="0" w:line="250" w:lineRule="auto"/>
        <w:rPr>
          <w:sz w:val="20"/>
          <w:szCs w:val="20"/>
          <w:color w:val="auto"/>
        </w:rPr>
      </w:pPr>
      <w:r>
        <w:rPr>
          <w:rFonts w:ascii="Arial" w:cs="Arial" w:eastAsia="Arial" w:hAnsi="Arial"/>
          <w:sz w:val="14"/>
          <w:szCs w:val="14"/>
          <w:color w:val="auto"/>
        </w:rPr>
        <w:t>Our board of directors currently consists of eight members. We have availed ourselves of the “controlled company” exception under the Nasdaq rules, which eliminates the requirements that we have a majority of independent directors on our board of directors and that we have a compensation committee and a nominating/corporate governance committee composed entirely of independent directors. Following this offering, the Apollo Stockholder will no longer control more than 50% of the voting power of our outstanding voting stock and, consequently, we will no longer be a “controlled company.”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95" w:lineRule="exact"/>
        <w:rPr>
          <w:sz w:val="20"/>
          <w:szCs w:val="20"/>
          <w:color w:val="auto"/>
        </w:rPr>
      </w:pPr>
    </w:p>
    <w:p>
      <w:pPr>
        <w:ind w:left="1160" w:right="1299" w:firstLine="293"/>
        <w:spacing w:after="0" w:line="234" w:lineRule="auto"/>
        <w:rPr>
          <w:sz w:val="20"/>
          <w:szCs w:val="20"/>
          <w:color w:val="auto"/>
        </w:rPr>
      </w:pPr>
      <w:r>
        <w:rPr>
          <w:rFonts w:ascii="Arial" w:cs="Arial" w:eastAsia="Arial" w:hAnsi="Arial"/>
          <w:sz w:val="15"/>
          <w:szCs w:val="15"/>
          <w:color w:val="auto"/>
        </w:rPr>
        <w:t>We were required to have an audit committee with one independent director during the 90-day period beginning on the date of effectiveness of the Company’s registration statement on Form S-1 (File No. 333-252858), which was March 16, 2021. After such 90-day period and until one year from the date of effectiveness of such registration statement, which will be March 16, 2022, we are required to have a majority of independent directors on our audit committee. Thereafter, we will be required to have an audit committee comprised entirely of independent directors.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Our board of directors is divided into three classes. The members of each class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Our current directors are divided into the following classes:</w:t>
      </w:r>
    </w:p>
    <w:p>
      <w:pPr>
        <w:spacing w:after="0" w:line="46" w:lineRule="exact"/>
        <w:rPr>
          <w:sz w:val="20"/>
          <w:szCs w:val="20"/>
          <w:color w:val="auto"/>
        </w:rPr>
      </w:pPr>
    </w:p>
    <w:p>
      <w:pPr>
        <w:ind w:left="1600" w:right="119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Patrick Kearney, Thomas C. Kennedy and Antoine Munfakh are Class I directors, whose initial terms will expire at the fiscal 2022 annual meeting of stockholders;</w:t>
      </w:r>
    </w:p>
    <w:p>
      <w:pPr>
        <w:spacing w:after="0" w:line="49"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David Siegel and Juan Carlos Zuazua are Class II directors, whose initial terms will expire at the fiscal 2023 annual meeting of stockholders; and</w:t>
      </w:r>
    </w:p>
    <w:p>
      <w:pPr>
        <w:spacing w:after="0" w:line="38" w:lineRule="exact"/>
        <w:rPr>
          <w:rFonts w:ascii="Arial" w:cs="Arial" w:eastAsia="Arial" w:hAnsi="Arial"/>
          <w:sz w:val="15"/>
          <w:szCs w:val="15"/>
          <w:color w:val="auto"/>
        </w:rPr>
      </w:pPr>
    </w:p>
    <w:p>
      <w:pPr>
        <w:ind w:left="1600" w:right="1499" w:hanging="143"/>
        <w:spacing w:after="0" w:line="264" w:lineRule="auto"/>
        <w:tabs>
          <w:tab w:leader="none" w:pos="1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Jude Bricker, Dave Davis and Kerry Philipovitch are Class III directors, whose initial terms will expire at the fiscal 2024 annual meeting of stockholders.</w:t>
      </w:r>
    </w:p>
    <w:p>
      <w:pPr>
        <w:spacing w:after="0" w:line="93" w:lineRule="exact"/>
        <w:rPr>
          <w:sz w:val="20"/>
          <w:szCs w:val="20"/>
          <w:color w:val="auto"/>
        </w:rPr>
      </w:pPr>
    </w:p>
    <w:p>
      <w:pPr>
        <w:ind w:left="1160" w:right="1379" w:firstLine="293"/>
        <w:spacing w:after="0" w:line="284" w:lineRule="auto"/>
        <w:rPr>
          <w:sz w:val="20"/>
          <w:szCs w:val="20"/>
          <w:color w:val="auto"/>
        </w:rPr>
      </w:pPr>
      <w:r>
        <w:rPr>
          <w:rFonts w:ascii="Arial" w:cs="Arial" w:eastAsia="Arial" w:hAnsi="Arial"/>
          <w:sz w:val="13"/>
          <w:szCs w:val="13"/>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72"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Stockholder, own at least 5% of the voting power of our outstanding common stock and there is at least one member of our board of directors who is an Apollo Director, then that Apollo Director must be present for there to be a quorum unless each Apollo Director waives his or her right to be included in the quorum at such meeting.</w:t>
      </w:r>
    </w:p>
    <w:p>
      <w:pPr>
        <w:spacing w:after="0" w:line="80"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color w:val="auto"/>
        </w:rPr>
        <w:t>The Apollo Stockholder has the right, at any time until Apollo and its affiliates, including the Apollo Stockholder, no longer beneficially own at least 5% of the voting power of our outstanding common stock, to nominate a number of directors (the “Apollo Directors”) comprising a percentage of our board of directors in accordance with their beneficial ownership of the voting power of our outstanding common stock (rounded up to the nearest whole number).</w:t>
      </w:r>
    </w:p>
    <w:p>
      <w:pPr>
        <w:spacing w:after="0" w:line="100" w:lineRule="exact"/>
        <w:rPr>
          <w:sz w:val="20"/>
          <w:szCs w:val="20"/>
          <w:color w:val="auto"/>
        </w:rPr>
      </w:pPr>
    </w:p>
    <w:p>
      <w:pPr>
        <w:jc w:val="both"/>
        <w:ind w:left="1160" w:right="1179" w:firstLine="293"/>
        <w:spacing w:after="0" w:line="239"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w:t>
      </w:r>
    </w:p>
    <w:p>
      <w:pPr>
        <w:spacing w:after="0" w:line="100" w:lineRule="exact"/>
        <w:rPr>
          <w:sz w:val="20"/>
          <w:szCs w:val="20"/>
          <w:color w:val="auto"/>
        </w:rPr>
      </w:pPr>
    </w:p>
    <w:p>
      <w:pPr>
        <w:ind w:left="1160" w:right="1559" w:firstLine="293"/>
        <w:spacing w:after="0" w:line="283" w:lineRule="auto"/>
        <w:rPr>
          <w:sz w:val="20"/>
          <w:szCs w:val="20"/>
          <w:color w:val="auto"/>
        </w:rPr>
      </w:pPr>
      <w:r>
        <w:rPr>
          <w:rFonts w:ascii="Arial" w:cs="Arial" w:eastAsia="Arial" w:hAnsi="Arial"/>
          <w:sz w:val="14"/>
          <w:szCs w:val="14"/>
          <w:color w:val="auto"/>
        </w:rPr>
        <w:t>Patrick Kearney and Antoine Munfakh are the Apollo Directors. As of the date of this prospectus, Amazon has not exercised its right to nominate a member or an observer to our board of directors.</w:t>
      </w:r>
    </w:p>
    <w:p>
      <w:pPr>
        <w:spacing w:after="0" w:line="60" w:lineRule="exact"/>
        <w:rPr>
          <w:sz w:val="20"/>
          <w:szCs w:val="20"/>
          <w:color w:val="auto"/>
        </w:rPr>
      </w:pPr>
    </w:p>
    <w:p>
      <w:pPr>
        <w:jc w:val="both"/>
        <w:ind w:left="1160" w:right="1499" w:firstLine="293"/>
        <w:spacing w:after="0" w:line="239" w:lineRule="auto"/>
        <w:rPr>
          <w:sz w:val="20"/>
          <w:szCs w:val="20"/>
          <w:color w:val="auto"/>
        </w:rPr>
      </w:pPr>
      <w:r>
        <w:rPr>
          <w:rFonts w:ascii="Arial" w:cs="Arial" w:eastAsia="Arial" w:hAnsi="Arial"/>
          <w:sz w:val="15"/>
          <w:szCs w:val="15"/>
          <w:color w:val="auto"/>
        </w:rPr>
        <w:t>The restrictions imposed by federal law and DOT policy currently require that our president and at least two-thirds of the members of our board of directors and other managing officers be citizens of the United States, as defined in 49 U.S.C. § 40102(a)(15).</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Committees</w:t>
      </w:r>
    </w:p>
    <w:p>
      <w:pPr>
        <w:spacing w:after="0" w:line="128"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Our board committees include an executive committee, an audit committee, a compensation committee, a nominating and corporate governance committee and a safety committee. So long as Apollo and its affiliates, including the Apollo Stockholder, beneficially own at least 5% of the voting power of our outstanding common stock, a number of directors nominated by the Apollo Stockholder that is as proportionate (rounding up to the next whole director) to the number of members of such committee as is the number of directors that the Apollo Stockholder is entitled to nominate to the number of members of our board of directors will serve on each committee of our board, subject to compliance with applicable law and the rules and regulations of Nasdaq. At least two-thirds of the members of each of the executive committee, audit committee, compensation committee and nominating and corporate governance committee are citizens of the United States, as defined in 49 U.S.C. §40102(a)(15).</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Executive Committee</w:t>
      </w:r>
    </w:p>
    <w:p>
      <w:pPr>
        <w:spacing w:after="0" w:line="113" w:lineRule="exact"/>
        <w:rPr>
          <w:sz w:val="20"/>
          <w:szCs w:val="20"/>
          <w:color w:val="auto"/>
        </w:rPr>
      </w:pPr>
    </w:p>
    <w:p>
      <w:pPr>
        <w:ind w:left="1160" w:right="1199" w:firstLine="293"/>
        <w:spacing w:after="0" w:line="323" w:lineRule="auto"/>
        <w:rPr>
          <w:sz w:val="20"/>
          <w:szCs w:val="20"/>
          <w:color w:val="auto"/>
        </w:rPr>
      </w:pPr>
      <w:r>
        <w:rPr>
          <w:rFonts w:ascii="Arial" w:cs="Arial" w:eastAsia="Arial" w:hAnsi="Arial"/>
          <w:sz w:val="13"/>
          <w:szCs w:val="13"/>
          <w:color w:val="auto"/>
        </w:rPr>
        <w:t>Our executive committee consists of Jude Bricker, as chairperson, Antoine Munfakh and David Siegel. Subject to certain exceptions, the executive committee generally may exercise all of the powers of the board</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259"/>
        <w:spacing w:after="0" w:line="254" w:lineRule="auto"/>
        <w:rPr>
          <w:sz w:val="20"/>
          <w:szCs w:val="20"/>
          <w:color w:val="auto"/>
        </w:rPr>
      </w:pPr>
      <w:r>
        <w:rPr>
          <w:rFonts w:ascii="Arial" w:cs="Arial" w:eastAsia="Arial" w:hAnsi="Arial"/>
          <w:sz w:val="15"/>
          <w:szCs w:val="15"/>
          <w:color w:val="auto"/>
        </w:rPr>
        <w:t>of directors when the board of directors is not in session. The executive committee serves at the pleasure of our board of directors. This committee and any of its members may continue or be changed as our board of directors deems appropriate.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24"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Our audit committee consists of Thomas C. Kennedy, as chairperson, Kerry Philipovitch and Juan Carlos Zuazua.</w:t>
      </w:r>
    </w:p>
    <w:p>
      <w:pPr>
        <w:spacing w:after="0" w:line="82" w:lineRule="exact"/>
        <w:rPr>
          <w:sz w:val="20"/>
          <w:szCs w:val="20"/>
          <w:color w:val="auto"/>
        </w:rPr>
      </w:pPr>
    </w:p>
    <w:p>
      <w:pPr>
        <w:ind w:left="1160" w:right="1479" w:firstLine="293"/>
        <w:spacing w:after="0" w:line="266" w:lineRule="auto"/>
        <w:rPr>
          <w:sz w:val="20"/>
          <w:szCs w:val="20"/>
          <w:color w:val="auto"/>
        </w:rPr>
      </w:pPr>
      <w:r>
        <w:rPr>
          <w:rFonts w:ascii="Arial" w:cs="Arial" w:eastAsia="Arial" w:hAnsi="Arial"/>
          <w:sz w:val="14"/>
          <w:szCs w:val="14"/>
          <w:color w:val="auto"/>
        </w:rPr>
        <w:t>Until March 16, 2022, we will be required to have a majority of independent directors on our audit committee. After March 16, 2022, we will be required to have an audit committee comprised entirely of independent directors. Our board of directors has determined that Mr. Kennedy qualifies as an “audit committee financial expert” as such term is defined in Item 407(d)(5) of Regulation S-K and that</w:t>
      </w:r>
    </w:p>
    <w:p>
      <w:pPr>
        <w:ind w:left="1160" w:right="1339"/>
        <w:spacing w:after="0" w:line="246" w:lineRule="auto"/>
        <w:rPr>
          <w:sz w:val="20"/>
          <w:szCs w:val="20"/>
          <w:color w:val="auto"/>
        </w:rPr>
      </w:pPr>
      <w:r>
        <w:rPr>
          <w:rFonts w:ascii="Arial" w:cs="Arial" w:eastAsia="Arial" w:hAnsi="Arial"/>
          <w:sz w:val="15"/>
          <w:szCs w:val="15"/>
          <w:color w:val="auto"/>
        </w:rPr>
        <w:t>Mr. Kennedy, Ms. Philipovitch and Mr. Zuazua are independent as independence is defined in Rule 10A-3 of the Exchange Act and the Nasdaq’s listing standards. The principal duties and responsibilities of our audit committee are as follows:</w:t>
      </w:r>
    </w:p>
    <w:p>
      <w:pPr>
        <w:spacing w:after="0" w:line="85" w:lineRule="exact"/>
        <w:rPr>
          <w:sz w:val="20"/>
          <w:szCs w:val="20"/>
          <w:color w:val="auto"/>
        </w:rPr>
      </w:pPr>
    </w:p>
    <w:p>
      <w:pPr>
        <w:ind w:left="1600" w:hanging="143"/>
        <w:spacing w:after="0"/>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prepare the annual audit committee report to be included in our annual proxy statement;</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oversee and monitor our accounting and financial reporting processes;</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oversee and monitor the integrity of our financial statements and internal control system;</w:t>
      </w:r>
    </w:p>
    <w:p>
      <w:pPr>
        <w:spacing w:after="0" w:line="91" w:lineRule="exact"/>
        <w:rPr>
          <w:rFonts w:ascii="Arial" w:cs="Arial" w:eastAsia="Arial" w:hAnsi="Arial"/>
          <w:sz w:val="15"/>
          <w:szCs w:val="15"/>
          <w:color w:val="auto"/>
        </w:rPr>
      </w:pPr>
    </w:p>
    <w:p>
      <w:pPr>
        <w:ind w:left="1600" w:right="1859" w:hanging="143"/>
        <w:spacing w:after="0" w:line="264" w:lineRule="auto"/>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oversee and monitor the independence, retention, performance and compensation of our independent auditor;</w:t>
      </w:r>
    </w:p>
    <w:p>
      <w:pPr>
        <w:spacing w:after="0" w:line="70" w:lineRule="exact"/>
        <w:rPr>
          <w:rFonts w:ascii="Arial" w:cs="Arial" w:eastAsia="Arial" w:hAnsi="Arial"/>
          <w:sz w:val="15"/>
          <w:szCs w:val="15"/>
          <w:color w:val="auto"/>
        </w:rPr>
      </w:pPr>
    </w:p>
    <w:p>
      <w:pPr>
        <w:ind w:left="1600" w:hanging="143"/>
        <w:spacing w:after="0"/>
        <w:tabs>
          <w:tab w:leader="none" w:pos="1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 oversee and monitor the performance, appointment and retention of our internal audit department;</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 discuss, oversee and monitor policies with respect to risk assessment and risk management, and</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 oversee and monitor our compliance with legal and regulatory matters.</w:t>
      </w:r>
    </w:p>
    <w:p>
      <w:pPr>
        <w:spacing w:after="0" w:line="124" w:lineRule="exact"/>
        <w:rPr>
          <w:sz w:val="20"/>
          <w:szCs w:val="20"/>
          <w:color w:val="auto"/>
        </w:rPr>
      </w:pPr>
    </w:p>
    <w:p>
      <w:pPr>
        <w:ind w:left="1160" w:right="1359" w:firstLine="293"/>
        <w:spacing w:after="0" w:line="264" w:lineRule="auto"/>
        <w:rPr>
          <w:sz w:val="20"/>
          <w:szCs w:val="20"/>
          <w:color w:val="auto"/>
        </w:rPr>
      </w:pPr>
      <w:r>
        <w:rPr>
          <w:rFonts w:ascii="Arial" w:cs="Arial" w:eastAsia="Arial" w:hAnsi="Arial"/>
          <w:sz w:val="15"/>
          <w:szCs w:val="15"/>
          <w:color w:val="auto"/>
        </w:rPr>
        <w:t>The audit committee also has the authority to retain counsel and advisors to fulfill its responsibilities and duties and to form and delegate authority to subcommittees.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24" w:lineRule="exact"/>
        <w:rPr>
          <w:sz w:val="20"/>
          <w:szCs w:val="20"/>
          <w:color w:val="auto"/>
        </w:rPr>
      </w:pPr>
    </w:p>
    <w:p>
      <w:pPr>
        <w:jc w:val="both"/>
        <w:ind w:left="1160" w:right="1519" w:firstLine="293"/>
        <w:spacing w:after="0" w:line="341" w:lineRule="auto"/>
        <w:rPr>
          <w:sz w:val="20"/>
          <w:szCs w:val="20"/>
          <w:color w:val="auto"/>
        </w:rPr>
      </w:pPr>
      <w:r>
        <w:rPr>
          <w:rFonts w:ascii="Arial" w:cs="Arial" w:eastAsia="Arial" w:hAnsi="Arial"/>
          <w:sz w:val="13"/>
          <w:szCs w:val="13"/>
          <w:color w:val="auto"/>
        </w:rPr>
        <w:t>Our compensation committee consists of Antoine Munfakh, as chairperson, David Siegel and Juan Carlos Zuazua. The principal duties and responsibilities of the compensation committee are as follows:</w:t>
      </w:r>
    </w:p>
    <w:p>
      <w:pPr>
        <w:spacing w:after="0" w:line="15" w:lineRule="exact"/>
        <w:rPr>
          <w:sz w:val="20"/>
          <w:szCs w:val="20"/>
          <w:color w:val="auto"/>
        </w:rPr>
      </w:pPr>
    </w:p>
    <w:p>
      <w:pPr>
        <w:ind w:left="1600" w:right="185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review, evaluate and make recommendations to the full board of directors regarding our compensation policies and programs;</w:t>
      </w:r>
    </w:p>
    <w:p>
      <w:pPr>
        <w:spacing w:after="0" w:line="59" w:lineRule="exact"/>
        <w:rPr>
          <w:rFonts w:ascii="Arial" w:cs="Arial" w:eastAsia="Arial" w:hAnsi="Arial"/>
          <w:sz w:val="15"/>
          <w:szCs w:val="15"/>
          <w:color w:val="auto"/>
        </w:rPr>
      </w:pPr>
    </w:p>
    <w:p>
      <w:pPr>
        <w:jc w:val="both"/>
        <w:ind w:left="1600" w:right="1319" w:hanging="143"/>
        <w:spacing w:after="0" w:line="25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67" w:lineRule="exact"/>
        <w:rPr>
          <w:rFonts w:ascii="Arial" w:cs="Arial" w:eastAsia="Arial" w:hAnsi="Arial"/>
          <w:sz w:val="15"/>
          <w:szCs w:val="15"/>
          <w:color w:val="auto"/>
        </w:rPr>
      </w:pPr>
    </w:p>
    <w:p>
      <w:pPr>
        <w:ind w:left="1600" w:right="1779" w:hanging="143"/>
        <w:spacing w:after="0" w:line="300" w:lineRule="auto"/>
        <w:tabs>
          <w:tab w:leader="none" w:pos="1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 review and make recommendations to the board of directors with respect to our incentive compensation plans and equity-based compensation plans and pension plans;</w:t>
      </w:r>
    </w:p>
    <w:p>
      <w:pPr>
        <w:spacing w:after="0" w:line="36" w:lineRule="exact"/>
        <w:rPr>
          <w:rFonts w:ascii="Arial" w:cs="Arial" w:eastAsia="Arial" w:hAnsi="Arial"/>
          <w:sz w:val="14"/>
          <w:szCs w:val="14"/>
          <w:color w:val="auto"/>
        </w:rPr>
      </w:pPr>
    </w:p>
    <w:p>
      <w:pPr>
        <w:ind w:left="1600" w:hanging="143"/>
        <w:spacing w:after="0"/>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administer incentive compensation and equity-related plans and pension plans;</w:t>
      </w:r>
    </w:p>
    <w:p>
      <w:pPr>
        <w:spacing w:after="0" w:line="91"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review and make recommendations to the board of directors with respect to the financial and other performance targets that must be met; and</w:t>
      </w:r>
    </w:p>
    <w:p>
      <w:pPr>
        <w:spacing w:after="0" w:line="70" w:lineRule="exact"/>
        <w:rPr>
          <w:rFonts w:ascii="Arial" w:cs="Arial" w:eastAsia="Arial" w:hAnsi="Arial"/>
          <w:sz w:val="15"/>
          <w:szCs w:val="15"/>
          <w:color w:val="auto"/>
        </w:rPr>
      </w:pPr>
    </w:p>
    <w:p>
      <w:pPr>
        <w:ind w:left="1600" w:right="1199" w:hanging="143"/>
        <w:spacing w:after="0" w:line="264" w:lineRule="auto"/>
        <w:tabs>
          <w:tab w:leader="none" w:pos="16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prepare an annual compensation committee report and take such other actions as are necessary and consistent with the governing law and our organizational documents.</w:t>
      </w:r>
    </w:p>
    <w:p>
      <w:pPr>
        <w:spacing w:after="0" w:line="82"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We have availed ourselves of the “controlled company” exception under the Nasdaq rules which exempts us from the requirement that we have a compensation committee composed entirely of independent directors. Following the completion of this offering, we will cease to be a “controlled company” and must comply with the independent board committee requirements under the Nasdaq rules as they relate to compensation committees within the phase-in periods specified under the Nasdaq rules.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24"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color w:val="auto"/>
        </w:rPr>
        <w:t>Our nominating and corporate governance committee consists of Antoine Munfakh, as chairperson, Kerry Philipovitch and David Siegel. The principal duties and responsibilities of the nominating and corporate governance committee are as follows:</w:t>
      </w:r>
    </w:p>
    <w:p>
      <w:pPr>
        <w:spacing w:after="0" w:line="67" w:lineRule="exact"/>
        <w:rPr>
          <w:sz w:val="20"/>
          <w:szCs w:val="20"/>
          <w:color w:val="auto"/>
        </w:rPr>
      </w:pPr>
    </w:p>
    <w:p>
      <w:pPr>
        <w:ind w:left="1600" w:right="175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identify candidates qualified to become directors of the Company, consistent with criteria approved by our board of directors;</w:t>
      </w:r>
    </w:p>
    <w:p>
      <w:pPr>
        <w:spacing w:after="0" w:line="49" w:lineRule="exact"/>
        <w:rPr>
          <w:rFonts w:ascii="Arial" w:cs="Arial" w:eastAsia="Arial" w:hAnsi="Arial"/>
          <w:sz w:val="15"/>
          <w:szCs w:val="15"/>
          <w:color w:val="auto"/>
        </w:rPr>
      </w:pPr>
    </w:p>
    <w:p>
      <w:pPr>
        <w:jc w:val="both"/>
        <w:ind w:left="1600" w:right="1199" w:hanging="143"/>
        <w:spacing w:after="0" w:line="25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67" w:lineRule="exact"/>
        <w:rPr>
          <w:rFonts w:ascii="Arial" w:cs="Arial" w:eastAsia="Arial" w:hAnsi="Arial"/>
          <w:sz w:val="15"/>
          <w:szCs w:val="15"/>
          <w:color w:val="auto"/>
        </w:rPr>
      </w:pPr>
    </w:p>
    <w:p>
      <w:pPr>
        <w:ind w:left="1600" w:right="131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recommend to our board of directors candidates to fill vacancies and newly created directorships on the board of directors;</w:t>
      </w:r>
    </w:p>
    <w:p>
      <w:pPr>
        <w:spacing w:after="0" w:line="60" w:lineRule="exact"/>
        <w:rPr>
          <w:rFonts w:ascii="Arial" w:cs="Arial" w:eastAsia="Arial" w:hAnsi="Arial"/>
          <w:sz w:val="15"/>
          <w:szCs w:val="15"/>
          <w:color w:val="auto"/>
        </w:rPr>
      </w:pPr>
    </w:p>
    <w:p>
      <w:pPr>
        <w:jc w:val="both"/>
        <w:ind w:left="1600" w:right="1359" w:hanging="143"/>
        <w:spacing w:after="0" w:line="341" w:lineRule="auto"/>
        <w:tabs>
          <w:tab w:leader="none" w:pos="1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identify best practices and recommend corporate governance principles, including giving proper attention and making effective responses to stockholder concerns regarding corporate governance;</w:t>
      </w:r>
    </w:p>
    <w:p>
      <w:pPr>
        <w:spacing w:after="0" w:line="14" w:lineRule="exact"/>
        <w:rPr>
          <w:rFonts w:ascii="Arial" w:cs="Arial" w:eastAsia="Arial" w:hAnsi="Arial"/>
          <w:sz w:val="13"/>
          <w:szCs w:val="13"/>
          <w:color w:val="auto"/>
        </w:rPr>
      </w:pPr>
    </w:p>
    <w:p>
      <w:pPr>
        <w:ind w:left="1600" w:hanging="143"/>
        <w:spacing w:after="0"/>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set and review the compensation of the non-executive members of the board of directors;</w:t>
      </w:r>
    </w:p>
    <w:p>
      <w:pPr>
        <w:spacing w:after="0" w:line="91"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develop and recommend to our board of directors guidelines setting forth corporate governance principles applicable to the Company; and</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 oversee the evaluation of our board of directors.</w:t>
      </w:r>
    </w:p>
    <w:p>
      <w:pPr>
        <w:spacing w:after="0" w:line="113"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We have availed ourselves of the “controlled company” exception under the Nasdaq rules which exempts us from the requirement that we have a nominating and corporate governance committee composed entirely of independent directors. Following the completion of this offering, we will cease to be a “controlled company” and must comply with the independent board committee requirements under the Nasdaq rules as they relate to nominating and corporate governance committees within the phase-in periods specified under the Nasdaq rules.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Safety Committee</w:t>
      </w:r>
    </w:p>
    <w:p>
      <w:pPr>
        <w:spacing w:after="0" w:line="124" w:lineRule="exact"/>
        <w:rPr>
          <w:sz w:val="20"/>
          <w:szCs w:val="20"/>
          <w:color w:val="auto"/>
        </w:rPr>
      </w:pPr>
    </w:p>
    <w:p>
      <w:pPr>
        <w:ind w:left="1160" w:right="1299" w:firstLine="293"/>
        <w:spacing w:after="0" w:line="267" w:lineRule="auto"/>
        <w:rPr>
          <w:sz w:val="20"/>
          <w:szCs w:val="20"/>
          <w:color w:val="auto"/>
        </w:rPr>
      </w:pPr>
      <w:r>
        <w:rPr>
          <w:rFonts w:ascii="Arial" w:cs="Arial" w:eastAsia="Arial" w:hAnsi="Arial"/>
          <w:sz w:val="13"/>
          <w:szCs w:val="13"/>
          <w:color w:val="auto"/>
        </w:rPr>
        <w:t>Our safety committee consists of Jude Bricker, as chairperson, Kerry Philipovitch, David Siegel and Juan Carlos Zuazua. Our safety committee assists the board with overseeing the Company’s safety and security processes, procedures and reporting and is responsible for: (i) 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w:t>
      </w:r>
    </w:p>
    <w:p>
      <w:pPr>
        <w:spacing w:after="0" w:line="3" w:lineRule="exact"/>
        <w:rPr>
          <w:sz w:val="20"/>
          <w:szCs w:val="20"/>
          <w:color w:val="auto"/>
        </w:rPr>
      </w:pPr>
    </w:p>
    <w:p>
      <w:pPr>
        <w:ind w:left="1160" w:right="1219" w:firstLine="4"/>
        <w:spacing w:after="0" w:line="236" w:lineRule="auto"/>
        <w:tabs>
          <w:tab w:leader="none" w:pos="1423" w:val="left"/>
        </w:tabs>
        <w:numPr>
          <w:ilvl w:val="0"/>
          <w:numId w:val="66"/>
        </w:numPr>
        <w:rPr>
          <w:rFonts w:ascii="Arial" w:cs="Arial" w:eastAsia="Arial" w:hAnsi="Arial"/>
          <w:sz w:val="15"/>
          <w:szCs w:val="15"/>
          <w:color w:val="auto"/>
        </w:rPr>
      </w:pPr>
      <w:r>
        <w:rPr>
          <w:rFonts w:ascii="Arial" w:cs="Arial" w:eastAsia="Arial" w:hAnsi="Arial"/>
          <w:sz w:val="15"/>
          <w:szCs w:val="15"/>
          <w:color w:val="auto"/>
        </w:rPr>
        <w:t>periodically reviewing all aspects of airline safety and security with management and outside experts as necessary.</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28"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During 2020, our compensation committee consisted of: Messrs. Joshua Black, Antoine Munfakh and David Siegel. Other than David Siegel, our Chairman, none of these directors has ever served as an officer or employee of the Company. During 2020,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17"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Our board of directors has adopted an amended code of business conduct and ethics that applies to all of our directors, officers and employees and is intended to comply with the relevant listing requirements for a code of conduct as well as qualify as a “code of ethics” as defined by the rules of the SEC. The code of business conduct and ethics contains general guidelines for conducting our business consistent with the highest standards of business ethics. We intend to disclose future amendments to certain provisions of our code of business conduct and ethics, or waivers of such provisions applicable to any principal executive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54" w:lineRule="auto"/>
        <w:rPr>
          <w:sz w:val="20"/>
          <w:szCs w:val="20"/>
          <w:color w:val="auto"/>
        </w:rPr>
      </w:pPr>
      <w:r>
        <w:rPr>
          <w:rFonts w:ascii="Arial" w:cs="Arial" w:eastAsia="Arial" w:hAnsi="Arial"/>
          <w:sz w:val="15"/>
          <w:szCs w:val="15"/>
          <w:color w:val="auto"/>
        </w:rPr>
        <w:t>officer, principal financial officer, principal accounting officer and controller, or persons performing similar functions, and our directors, on our website at https://www.ir.suncountry.com. The code of conduct is available on our website.</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Board Leadership Structure and Board’s Role in Risk Oversight</w:t>
      </w:r>
    </w:p>
    <w:p>
      <w:pPr>
        <w:spacing w:after="0" w:line="128"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The compensation committee of the board of directors is responsible for overseeing the management of risks relating to employee compensation plans and arrangements and the audit committee of the board of directors oversees the management of financial risks. While each committee is responsible for evaluating certain risks and overseeing the management of such risks, the entire board of directors will be regularly informed through committee reports about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9" w:name="page150"/>
    <w:bookmarkEnd w:id="14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Executive Summary</w:t>
      </w:r>
    </w:p>
    <w:p>
      <w:pPr>
        <w:spacing w:after="0" w:line="128"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Summary Compensation Table</w:t>
      </w:r>
    </w:p>
    <w:p>
      <w:pPr>
        <w:spacing w:after="0" w:line="113" w:lineRule="exact"/>
        <w:rPr>
          <w:sz w:val="20"/>
          <w:szCs w:val="20"/>
          <w:color w:val="auto"/>
        </w:rPr>
      </w:pPr>
    </w:p>
    <w:p>
      <w:pPr>
        <w:ind w:left="1160" w:right="1419" w:firstLine="293"/>
        <w:spacing w:after="0" w:line="239" w:lineRule="auto"/>
        <w:rPr>
          <w:sz w:val="20"/>
          <w:szCs w:val="20"/>
          <w:color w:val="auto"/>
        </w:rPr>
      </w:pPr>
      <w:r>
        <w:rPr>
          <w:rFonts w:ascii="Arial" w:cs="Arial" w:eastAsia="Arial" w:hAnsi="Arial"/>
          <w:sz w:val="15"/>
          <w:szCs w:val="15"/>
          <w:color w:val="auto"/>
        </w:rPr>
        <w:t>The following table sets forth the compensation paid or awarded to our named executive officers, or NEOs, by the Company and its affiliates for services rendered in all capacities to the Company and its affiliates in fiscal years 2019 and 2020: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14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79"/>
              </w:rPr>
              <w:t>Stock</w:t>
            </w:r>
          </w:p>
        </w:tc>
        <w:tc>
          <w:tcPr>
            <w:tcW w:w="100" w:type="dxa"/>
            <w:vAlign w:val="bottom"/>
          </w:tcPr>
          <w:p>
            <w:pPr>
              <w:spacing w:after="0"/>
              <w:rPr>
                <w:sz w:val="12"/>
                <w:szCs w:val="12"/>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Option</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tcPr>
          <w:p>
            <w:pPr>
              <w:jc w:val="center"/>
              <w:ind w:right="180"/>
              <w:spacing w:after="0" w:line="117" w:lineRule="exact"/>
              <w:rPr>
                <w:sz w:val="20"/>
                <w:szCs w:val="20"/>
                <w:color w:val="auto"/>
              </w:rPr>
            </w:pPr>
            <w:r>
              <w:rPr>
                <w:rFonts w:ascii="Arial" w:cs="Arial" w:eastAsia="Arial" w:hAnsi="Arial"/>
                <w:sz w:val="12"/>
                <w:szCs w:val="12"/>
                <w:b w:val="1"/>
                <w:bCs w:val="1"/>
                <w:color w:val="auto"/>
                <w:w w:val="87"/>
              </w:rPr>
              <w:t>Awards</w:t>
            </w:r>
          </w:p>
        </w:tc>
        <w:tc>
          <w:tcPr>
            <w:tcW w:w="100" w:type="dxa"/>
            <w:vAlign w:val="bottom"/>
          </w:tcPr>
          <w:p>
            <w:pPr>
              <w:spacing w:after="0"/>
              <w:rPr>
                <w:sz w:val="10"/>
                <w:szCs w:val="10"/>
                <w:color w:val="auto"/>
              </w:rPr>
            </w:pPr>
          </w:p>
        </w:tc>
        <w:tc>
          <w:tcPr>
            <w:tcW w:w="6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82"/>
              </w:rPr>
              <w:t>Awards</w:t>
            </w:r>
          </w:p>
        </w:tc>
        <w:tc>
          <w:tcPr>
            <w:tcW w:w="90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83"/>
              </w:rPr>
              <w:t>Compensation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and Principal Position</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Year</w:t>
            </w: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Salary ($)</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0"/>
              </w:rPr>
              <w:t>Bonus ($)</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w w:val="76"/>
              </w:rPr>
              <w:t>($)</w:t>
            </w:r>
            <w:r>
              <w:rPr>
                <w:rFonts w:ascii="Arial" w:cs="Arial" w:eastAsia="Arial" w:hAnsi="Arial"/>
                <w:sz w:val="17"/>
                <w:szCs w:val="17"/>
                <w:b w:val="1"/>
                <w:bCs w:val="1"/>
                <w:color w:val="auto"/>
                <w:w w:val="76"/>
                <w:vertAlign w:val="superscript"/>
              </w:rPr>
              <w:t>(2)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76"/>
              </w:rPr>
              <w:t>($)</w:t>
            </w:r>
            <w:r>
              <w:rPr>
                <w:rFonts w:ascii="Arial" w:cs="Arial" w:eastAsia="Arial" w:hAnsi="Arial"/>
                <w:sz w:val="17"/>
                <w:szCs w:val="17"/>
                <w:b w:val="1"/>
                <w:bCs w:val="1"/>
                <w:color w:val="auto"/>
                <w:w w:val="76"/>
                <w:vertAlign w:val="superscript"/>
              </w:rPr>
              <w:t>(3)</w:t>
            </w: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76"/>
              </w:rPr>
              <w:t>($)</w:t>
            </w:r>
            <w:r>
              <w:rPr>
                <w:rFonts w:ascii="Arial" w:cs="Arial" w:eastAsia="Arial" w:hAnsi="Arial"/>
                <w:sz w:val="17"/>
                <w:szCs w:val="17"/>
                <w:b w:val="1"/>
                <w:bCs w:val="1"/>
                <w:color w:val="auto"/>
                <w:w w:val="76"/>
                <w:vertAlign w:val="superscript"/>
              </w:rPr>
              <w:t>(4)</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2"/>
                <w:szCs w:val="12"/>
                <w:b w:val="1"/>
                <w:bCs w:val="1"/>
                <w:color w:val="auto"/>
                <w:w w:val="89"/>
              </w:rPr>
              <w:t>Total ($)</w:t>
            </w:r>
          </w:p>
        </w:tc>
        <w:tc>
          <w:tcPr>
            <w:tcW w:w="0" w:type="dxa"/>
            <w:vAlign w:val="bottom"/>
          </w:tcPr>
          <w:p>
            <w:pPr>
              <w:spacing w:after="0"/>
              <w:rPr>
                <w:sz w:val="1"/>
                <w:szCs w:val="1"/>
                <w:color w:val="auto"/>
              </w:rPr>
            </w:pPr>
          </w:p>
        </w:tc>
      </w:tr>
      <w:tr>
        <w:trPr>
          <w:trHeight w:val="200"/>
        </w:trPr>
        <w:tc>
          <w:tcPr>
            <w:tcW w:w="17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 Bricker</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2020</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$200,000</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6"/>
              </w:rPr>
              <w:t>$340,000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$23,777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563,777</w:t>
            </w:r>
          </w:p>
        </w:tc>
        <w:tc>
          <w:tcPr>
            <w:tcW w:w="0" w:type="dxa"/>
            <w:vAlign w:val="bottom"/>
          </w:tcPr>
          <w:p>
            <w:pPr>
              <w:spacing w:after="0"/>
              <w:rPr>
                <w:sz w:val="1"/>
                <w:szCs w:val="1"/>
                <w:color w:val="auto"/>
              </w:rPr>
            </w:pPr>
          </w:p>
        </w:tc>
      </w:tr>
      <w:tr>
        <w:trPr>
          <w:trHeight w:val="186"/>
        </w:trPr>
        <w:tc>
          <w:tcPr>
            <w:tcW w:w="1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Chief Executive Officer</w:t>
            </w:r>
          </w:p>
        </w:tc>
        <w:tc>
          <w:tcPr>
            <w:tcW w:w="8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5"/>
                <w:szCs w:val="15"/>
                <w:color w:val="auto"/>
                <w:w w:val="89"/>
              </w:rPr>
              <w:t>2019</w:t>
            </w:r>
          </w:p>
        </w:tc>
        <w:tc>
          <w:tcPr>
            <w:tcW w:w="7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5"/>
                <w:szCs w:val="15"/>
                <w:color w:val="auto"/>
                <w:w w:val="89"/>
              </w:rPr>
              <w:t>$200,000</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w w:val="86"/>
              </w:rPr>
              <w:t>$338,300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88"/>
              </w:rPr>
              <w:t>$28,970</w:t>
            </w:r>
          </w:p>
        </w:tc>
        <w:tc>
          <w:tcPr>
            <w:tcW w:w="1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567,270</w:t>
            </w:r>
          </w:p>
        </w:tc>
        <w:tc>
          <w:tcPr>
            <w:tcW w:w="0" w:type="dxa"/>
            <w:vAlign w:val="bottom"/>
          </w:tcPr>
          <w:p>
            <w:pPr>
              <w:spacing w:after="0"/>
              <w:rPr>
                <w:sz w:val="1"/>
                <w:szCs w:val="1"/>
                <w:color w:val="auto"/>
              </w:rPr>
            </w:pPr>
          </w:p>
        </w:tc>
      </w:tr>
      <w:tr>
        <w:trPr>
          <w:trHeight w:val="66"/>
        </w:trPr>
        <w:tc>
          <w:tcPr>
            <w:tcW w:w="1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720" w:type="dxa"/>
            <w:vAlign w:val="bottom"/>
            <w:gridSpan w:val="3"/>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720" w:type="dxa"/>
            <w:vAlign w:val="bottom"/>
            <w:gridSpan w:val="2"/>
          </w:tcPr>
          <w:p>
            <w:pPr>
              <w:spacing w:after="0"/>
              <w:rPr>
                <w:sz w:val="20"/>
                <w:szCs w:val="20"/>
                <w:color w:val="auto"/>
              </w:rPr>
            </w:pPr>
            <w:r>
              <w:rPr>
                <w:rFonts w:ascii="Arial" w:cs="Arial" w:eastAsia="Arial" w:hAnsi="Arial"/>
                <w:sz w:val="15"/>
                <w:szCs w:val="15"/>
                <w:b w:val="1"/>
                <w:bCs w:val="1"/>
                <w:color w:val="auto"/>
              </w:rPr>
              <w:t>Dave Davis</w:t>
            </w:r>
          </w:p>
        </w:tc>
        <w:tc>
          <w:tcPr>
            <w:tcW w:w="540" w:type="dxa"/>
            <w:vAlign w:val="bottom"/>
            <w:gridSpan w:val="3"/>
          </w:tcPr>
          <w:p>
            <w:pPr>
              <w:jc w:val="center"/>
              <w:ind w:right="40"/>
              <w:spacing w:after="0"/>
              <w:rPr>
                <w:sz w:val="20"/>
                <w:szCs w:val="20"/>
                <w:color w:val="auto"/>
              </w:rPr>
            </w:pPr>
            <w:r>
              <w:rPr>
                <w:rFonts w:ascii="Arial" w:cs="Arial" w:eastAsia="Arial" w:hAnsi="Arial"/>
                <w:sz w:val="15"/>
                <w:szCs w:val="15"/>
                <w:color w:val="auto"/>
                <w:w w:val="89"/>
              </w:rPr>
              <w:t>2020</w:t>
            </w:r>
          </w:p>
        </w:tc>
        <w:tc>
          <w:tcPr>
            <w:tcW w:w="7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$360,000</w:t>
            </w:r>
          </w:p>
        </w:tc>
        <w:tc>
          <w:tcPr>
            <w:tcW w:w="720" w:type="dxa"/>
            <w:vAlign w:val="bottom"/>
            <w:gridSpan w:val="3"/>
          </w:tcPr>
          <w:p>
            <w:pPr>
              <w:jc w:val="right"/>
              <w:ind w:right="160"/>
              <w:spacing w:after="0"/>
              <w:rPr>
                <w:sz w:val="20"/>
                <w:szCs w:val="20"/>
                <w:color w:val="auto"/>
              </w:rPr>
            </w:pPr>
            <w:r>
              <w:rPr>
                <w:rFonts w:ascii="Arial" w:cs="Arial" w:eastAsia="Arial" w:hAnsi="Arial"/>
                <w:sz w:val="15"/>
                <w:szCs w:val="15"/>
                <w:color w:val="auto"/>
                <w:w w:val="86"/>
              </w:rPr>
              <w:t>$270,000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jc w:val="center"/>
              <w:spacing w:after="0"/>
              <w:rPr>
                <w:sz w:val="20"/>
                <w:szCs w:val="20"/>
                <w:color w:val="auto"/>
              </w:rPr>
            </w:pPr>
            <w:r>
              <w:rPr>
                <w:rFonts w:ascii="Arial" w:cs="Arial" w:eastAsia="Arial" w:hAnsi="Arial"/>
                <w:sz w:val="15"/>
                <w:szCs w:val="15"/>
                <w:color w:val="auto"/>
                <w:w w:val="88"/>
              </w:rPr>
              <w:t>$14,456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644,456</w:t>
            </w:r>
          </w:p>
        </w:tc>
        <w:tc>
          <w:tcPr>
            <w:tcW w:w="0" w:type="dxa"/>
            <w:vAlign w:val="bottom"/>
          </w:tcPr>
          <w:p>
            <w:pPr>
              <w:spacing w:after="0"/>
              <w:rPr>
                <w:sz w:val="1"/>
                <w:szCs w:val="1"/>
                <w:color w:val="auto"/>
              </w:rPr>
            </w:pPr>
          </w:p>
        </w:tc>
      </w:tr>
      <w:tr>
        <w:trPr>
          <w:trHeight w:val="186"/>
        </w:trPr>
        <w:tc>
          <w:tcPr>
            <w:tcW w:w="1720" w:type="dxa"/>
            <w:vAlign w:val="bottom"/>
            <w:gridSpan w:val="2"/>
          </w:tcPr>
          <w:p>
            <w:pPr>
              <w:ind w:left="160"/>
              <w:spacing w:after="0"/>
              <w:rPr>
                <w:sz w:val="20"/>
                <w:szCs w:val="20"/>
                <w:color w:val="auto"/>
              </w:rPr>
            </w:pPr>
            <w:r>
              <w:rPr>
                <w:rFonts w:ascii="Arial" w:cs="Arial" w:eastAsia="Arial" w:hAnsi="Arial"/>
                <w:sz w:val="15"/>
                <w:szCs w:val="15"/>
                <w:color w:val="auto"/>
              </w:rPr>
              <w:t>President and Chief</w:t>
            </w:r>
          </w:p>
        </w:tc>
        <w:tc>
          <w:tcPr>
            <w:tcW w:w="540" w:type="dxa"/>
            <w:vAlign w:val="bottom"/>
            <w:gridSpan w:val="3"/>
          </w:tcPr>
          <w:p>
            <w:pPr>
              <w:jc w:val="center"/>
              <w:ind w:right="40"/>
              <w:spacing w:after="0"/>
              <w:rPr>
                <w:sz w:val="20"/>
                <w:szCs w:val="20"/>
                <w:color w:val="auto"/>
              </w:rPr>
            </w:pPr>
            <w:r>
              <w:rPr>
                <w:rFonts w:ascii="Arial" w:cs="Arial" w:eastAsia="Arial" w:hAnsi="Arial"/>
                <w:sz w:val="15"/>
                <w:szCs w:val="15"/>
                <w:color w:val="auto"/>
                <w:w w:val="89"/>
              </w:rPr>
              <w:t>2019</w:t>
            </w:r>
          </w:p>
        </w:tc>
        <w:tc>
          <w:tcPr>
            <w:tcW w:w="740" w:type="dxa"/>
            <w:vAlign w:val="bottom"/>
            <w:gridSpan w:val="2"/>
          </w:tcPr>
          <w:p>
            <w:pPr>
              <w:jc w:val="center"/>
              <w:ind w:right="140"/>
              <w:spacing w:after="0"/>
              <w:rPr>
                <w:sz w:val="20"/>
                <w:szCs w:val="20"/>
                <w:color w:val="auto"/>
              </w:rPr>
            </w:pPr>
            <w:r>
              <w:rPr>
                <w:rFonts w:ascii="Arial" w:cs="Arial" w:eastAsia="Arial" w:hAnsi="Arial"/>
                <w:sz w:val="15"/>
                <w:szCs w:val="15"/>
                <w:color w:val="auto"/>
                <w:w w:val="89"/>
              </w:rPr>
              <w:t>$360,000</w:t>
            </w:r>
          </w:p>
        </w:tc>
        <w:tc>
          <w:tcPr>
            <w:tcW w:w="720" w:type="dxa"/>
            <w:vAlign w:val="bottom"/>
            <w:gridSpan w:val="3"/>
          </w:tcPr>
          <w:p>
            <w:pPr>
              <w:jc w:val="right"/>
              <w:ind w:right="160"/>
              <w:spacing w:after="0"/>
              <w:rPr>
                <w:sz w:val="20"/>
                <w:szCs w:val="20"/>
                <w:color w:val="auto"/>
              </w:rPr>
            </w:pPr>
            <w:r>
              <w:rPr>
                <w:rFonts w:ascii="Arial" w:cs="Arial" w:eastAsia="Arial" w:hAnsi="Arial"/>
                <w:sz w:val="15"/>
                <w:szCs w:val="15"/>
                <w:color w:val="auto"/>
                <w:w w:val="86"/>
              </w:rPr>
              <w:t>$182,275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549,098</w:t>
            </w:r>
          </w:p>
        </w:tc>
        <w:tc>
          <w:tcPr>
            <w:tcW w:w="720" w:type="dxa"/>
            <w:vAlign w:val="bottom"/>
          </w:tcPr>
          <w:p>
            <w:pPr>
              <w:jc w:val="center"/>
              <w:spacing w:after="0"/>
              <w:rPr>
                <w:sz w:val="20"/>
                <w:szCs w:val="20"/>
                <w:color w:val="auto"/>
              </w:rPr>
            </w:pPr>
            <w:r>
              <w:rPr>
                <w:rFonts w:ascii="Arial" w:cs="Arial" w:eastAsia="Arial" w:hAnsi="Arial"/>
                <w:sz w:val="15"/>
                <w:szCs w:val="15"/>
                <w:color w:val="auto"/>
                <w:w w:val="88"/>
              </w:rPr>
              <w:t>$17,662</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83"/>
              </w:rPr>
              <w:t>1,109,035</w:t>
            </w:r>
          </w:p>
        </w:tc>
        <w:tc>
          <w:tcPr>
            <w:tcW w:w="0" w:type="dxa"/>
            <w:vAlign w:val="bottom"/>
          </w:tcPr>
          <w:p>
            <w:pPr>
              <w:spacing w:after="0"/>
              <w:rPr>
                <w:sz w:val="1"/>
                <w:szCs w:val="1"/>
                <w:color w:val="auto"/>
              </w:rPr>
            </w:pPr>
          </w:p>
        </w:tc>
      </w:tr>
      <w:tr>
        <w:trPr>
          <w:trHeight w:val="192"/>
        </w:trPr>
        <w:tc>
          <w:tcPr>
            <w:tcW w:w="1720" w:type="dxa"/>
            <w:vAlign w:val="bottom"/>
            <w:gridSpan w:val="2"/>
          </w:tcPr>
          <w:p>
            <w:pPr>
              <w:ind w:left="160"/>
              <w:spacing w:after="0"/>
              <w:rPr>
                <w:sz w:val="20"/>
                <w:szCs w:val="20"/>
                <w:color w:val="auto"/>
              </w:rPr>
            </w:pPr>
            <w:r>
              <w:rPr>
                <w:rFonts w:ascii="Arial" w:cs="Arial" w:eastAsia="Arial" w:hAnsi="Arial"/>
                <w:sz w:val="15"/>
                <w:szCs w:val="15"/>
                <w:color w:val="auto"/>
              </w:rPr>
              <w:t>Financial Officer</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2"/>
            <w:shd w:val="clear" w:color="auto" w:fill="CCEEFF"/>
          </w:tcPr>
          <w:p>
            <w:pPr>
              <w:spacing w:after="0" w:line="226" w:lineRule="exact"/>
              <w:rPr>
                <w:sz w:val="20"/>
                <w:szCs w:val="20"/>
                <w:color w:val="auto"/>
              </w:rPr>
            </w:pPr>
            <w:r>
              <w:rPr>
                <w:rFonts w:ascii="Arial" w:cs="Arial" w:eastAsia="Arial" w:hAnsi="Arial"/>
                <w:sz w:val="15"/>
                <w:szCs w:val="15"/>
                <w:b w:val="1"/>
                <w:bCs w:val="1"/>
                <w:color w:val="auto"/>
              </w:rPr>
              <w:t>Gregory Mays</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2020</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$300,000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56,250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56,194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$14,663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427,107</w:t>
            </w: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Chief Operating Officer</w:t>
            </w: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2019</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89"/>
              </w:rPr>
              <w:t>$162,500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91,300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988,950</w:t>
            </w: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$90,038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1,332,788</w:t>
            </w:r>
          </w:p>
        </w:tc>
        <w:tc>
          <w:tcPr>
            <w:tcW w:w="0" w:type="dxa"/>
            <w:vAlign w:val="bottom"/>
          </w:tcPr>
          <w:p>
            <w:pPr>
              <w:spacing w:after="0"/>
              <w:rPr>
                <w:sz w:val="1"/>
                <w:szCs w:val="1"/>
                <w:color w:val="auto"/>
              </w:rPr>
            </w:pPr>
          </w:p>
        </w:tc>
      </w:tr>
      <w:tr>
        <w:trPr>
          <w:trHeight w:val="66"/>
        </w:trPr>
        <w:tc>
          <w:tcPr>
            <w:tcW w:w="1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-1003935</wp:posOffset>
            </wp:positionV>
            <wp:extent cx="11176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-1003935</wp:posOffset>
            </wp:positionV>
            <wp:extent cx="10477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-1003935</wp:posOffset>
            </wp:positionV>
            <wp:extent cx="9779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-1003935</wp:posOffset>
            </wp:positionV>
            <wp:extent cx="9779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-1003935</wp:posOffset>
            </wp:positionV>
            <wp:extent cx="97790"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-1003935</wp:posOffset>
            </wp:positionV>
            <wp:extent cx="9779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-1003935</wp:posOffset>
            </wp:positionV>
            <wp:extent cx="9779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89" w:lineRule="exact"/>
        <w:rPr>
          <w:sz w:val="20"/>
          <w:szCs w:val="20"/>
          <w:color w:val="auto"/>
        </w:rPr>
      </w:pPr>
    </w:p>
    <w:p>
      <w:pPr>
        <w:ind w:left="1460" w:hanging="296"/>
        <w:spacing w:after="0"/>
        <w:tabs>
          <w:tab w:leader="none" w:pos="1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Mr. Mays was hired in June 2019.</w:t>
      </w:r>
    </w:p>
    <w:p>
      <w:pPr>
        <w:spacing w:after="0" w:line="69" w:lineRule="exact"/>
        <w:rPr>
          <w:rFonts w:ascii="Arial" w:cs="Arial" w:eastAsia="Arial" w:hAnsi="Arial"/>
          <w:sz w:val="15"/>
          <w:szCs w:val="15"/>
          <w:color w:val="auto"/>
        </w:rPr>
      </w:pPr>
    </w:p>
    <w:p>
      <w:pPr>
        <w:ind w:left="1460" w:hanging="296"/>
        <w:spacing w:after="0"/>
        <w:tabs>
          <w:tab w:leader="none" w:pos="14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an award of fully vested stock.</w:t>
      </w:r>
    </w:p>
    <w:p>
      <w:pPr>
        <w:spacing w:after="0" w:line="47" w:lineRule="exact"/>
        <w:rPr>
          <w:rFonts w:ascii="Arial" w:cs="Arial" w:eastAsia="Arial" w:hAnsi="Arial"/>
          <w:sz w:val="14"/>
          <w:szCs w:val="14"/>
          <w:color w:val="auto"/>
        </w:rPr>
      </w:pPr>
    </w:p>
    <w:p>
      <w:pPr>
        <w:ind w:left="1460" w:right="1259" w:hanging="296"/>
        <w:spacing w:after="0" w:line="237" w:lineRule="auto"/>
        <w:tabs>
          <w:tab w:leader="none" w:pos="14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stock option computed in accordance with Accounting Standards Codification 718 Compensation—Stock Compensation (“ASC 718”). See Note 11 to our audited consolidated financial statements included elsewhere in this prospectus for the assumptions used in calculating this amount. These options were originally granted as options to purchase SCA common stock and were converted into options to purchase common stock in connection with the Reorganization Transactions.</w:t>
      </w:r>
    </w:p>
    <w:p>
      <w:pPr>
        <w:spacing w:after="0" w:line="23" w:lineRule="exact"/>
        <w:rPr>
          <w:rFonts w:ascii="Arial" w:cs="Arial" w:eastAsia="Arial" w:hAnsi="Arial"/>
          <w:sz w:val="14"/>
          <w:szCs w:val="14"/>
          <w:color w:val="auto"/>
        </w:rPr>
      </w:pPr>
    </w:p>
    <w:p>
      <w:pPr>
        <w:ind w:left="1460" w:right="1219" w:hanging="296"/>
        <w:spacing w:after="0" w:line="232" w:lineRule="auto"/>
        <w:tabs>
          <w:tab w:leader="none" w:pos="14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each of our NEOs, the amounts under “All Other Compensation” for fiscal year 2019 represent the Company’s contributions in respect of life insurance and our 401(k) Plan ($11,258 for Mr. Bricker, $11,258 for Mr. Davis and $5,534 for Mr. Mays), annual cell phone allowance ($720 for Mr. Bricker, $720 for Mr. Davis and $360 for Mr. Mays), payment for relocation expenses for Mr. Mays ($81,123) and flight benefits under our Air Travel Plan (“ATP”). For fiscal year 2020, the amounts reflect the Company’s contributions in respect of life insurance and our 401(k) Plan ($11,258 for Mr. Bricker, $11,458 for Mr. Davis and $11,210 for Mr. Mays), annual cell phone allowance ($720 for Messrs. Bricker, Davis and 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2019, each NEO received a travel bank under the ATP ($15,000 for Mr. Bricker and $12,500 for Messrs. Davis and Mays). As the ATP benefit utilized by the executive is taxable income to the NEOs and the Company pays such taxes on a grossed up basis, the amounts reflected under “All Other Compensation” in respect of the ATP benefit utilized were adjusted to $16,993, $5,684 and $3,021 for Messrs. Bricker, Davis and Mays, respectively. For fiscal 2020, each NEO also received a travel bank under the ATP ($15,000 for Mr. Bricker and $12,500 for</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460" w:right="1279"/>
        <w:spacing w:after="0" w:line="306" w:lineRule="auto"/>
        <w:rPr>
          <w:sz w:val="20"/>
          <w:szCs w:val="20"/>
          <w:color w:val="auto"/>
        </w:rPr>
      </w:pPr>
      <w:r>
        <w:rPr>
          <w:rFonts w:ascii="Arial" w:cs="Arial" w:eastAsia="Arial" w:hAnsi="Arial"/>
          <w:sz w:val="13"/>
          <w:szCs w:val="13"/>
          <w:color w:val="auto"/>
        </w:rPr>
        <w:t>Messrs., Davis and Mays) . The amounts reflected in respect of the ATP benefit utilized for fiscal 2020 were adjusted to $11,799, $2,278 and $2,733 for Messrs., Bricker, Davis and Mays, respectively.</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Employment Agreements with Named Executive Officers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Jude Bricker Employment Agreement</w:t>
      </w:r>
    </w:p>
    <w:p>
      <w:pPr>
        <w:spacing w:after="0" w:line="124" w:lineRule="exact"/>
        <w:rPr>
          <w:sz w:val="20"/>
          <w:szCs w:val="20"/>
          <w:color w:val="auto"/>
        </w:rPr>
      </w:pPr>
    </w:p>
    <w:p>
      <w:pPr>
        <w:ind w:left="1160" w:right="1199" w:firstLine="293"/>
        <w:spacing w:after="0" w:line="251" w:lineRule="auto"/>
        <w:rPr>
          <w:sz w:val="20"/>
          <w:szCs w:val="20"/>
          <w:color w:val="auto"/>
        </w:rPr>
      </w:pPr>
      <w:r>
        <w:rPr>
          <w:rFonts w:ascii="Arial" w:cs="Arial" w:eastAsia="Arial" w:hAnsi="Arial"/>
          <w:sz w:val="14"/>
          <w:szCs w:val="14"/>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81"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February 2021.</w:t>
      </w:r>
    </w:p>
    <w:p>
      <w:pPr>
        <w:spacing w:after="0" w:line="102" w:lineRule="exact"/>
        <w:rPr>
          <w:sz w:val="20"/>
          <w:szCs w:val="20"/>
          <w:color w:val="auto"/>
        </w:rPr>
      </w:pPr>
    </w:p>
    <w:p>
      <w:pPr>
        <w:ind w:left="1160" w:right="1259" w:firstLine="293"/>
        <w:spacing w:after="0" w:line="254" w:lineRule="auto"/>
        <w:rPr>
          <w:sz w:val="20"/>
          <w:szCs w:val="20"/>
          <w:color w:val="auto"/>
        </w:rPr>
      </w:pPr>
      <w:r>
        <w:rPr>
          <w:rFonts w:ascii="Arial" w:cs="Arial" w:eastAsia="Arial" w:hAnsi="Arial"/>
          <w:sz w:val="14"/>
          <w:szCs w:val="14"/>
          <w:color w:val="auto"/>
        </w:rPr>
        <w:t>Mr. Bricker is also entitled to travel benefits, including an annual credit of $15,000 in his ATP account for personal travel on Company scheduled flights for him and certain qualifying friends and family.</w:t>
      </w:r>
    </w:p>
    <w:p>
      <w:pPr>
        <w:spacing w:after="0" w:line="1" w:lineRule="exact"/>
        <w:rPr>
          <w:sz w:val="20"/>
          <w:szCs w:val="20"/>
          <w:color w:val="auto"/>
        </w:rPr>
      </w:pPr>
    </w:p>
    <w:p>
      <w:pPr>
        <w:ind w:left="1160" w:right="1259"/>
        <w:spacing w:after="0" w:line="252" w:lineRule="auto"/>
        <w:rPr>
          <w:sz w:val="20"/>
          <w:szCs w:val="20"/>
          <w:color w:val="auto"/>
        </w:rPr>
      </w:pPr>
      <w:r>
        <w:rPr>
          <w:rFonts w:ascii="Arial" w:cs="Arial" w:eastAsia="Arial" w:hAnsi="Arial"/>
          <w:sz w:val="14"/>
          <w:szCs w:val="14"/>
          <w:color w:val="auto"/>
        </w:rPr>
        <w:t>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92" w:lineRule="exact"/>
        <w:rPr>
          <w:sz w:val="20"/>
          <w:szCs w:val="20"/>
          <w:color w:val="auto"/>
        </w:rPr>
      </w:pPr>
    </w:p>
    <w:p>
      <w:pPr>
        <w:ind w:left="1160" w:right="1399" w:firstLine="293"/>
        <w:spacing w:after="0" w:line="294" w:lineRule="auto"/>
        <w:rPr>
          <w:sz w:val="20"/>
          <w:szCs w:val="20"/>
          <w:color w:val="auto"/>
        </w:rPr>
      </w:pPr>
      <w:r>
        <w:rPr>
          <w:rFonts w:ascii="Arial" w:cs="Arial" w:eastAsia="Arial" w:hAnsi="Arial"/>
          <w:sz w:val="13"/>
          <w:szCs w:val="13"/>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3"/>
          <w:szCs w:val="13"/>
          <w:i w:val="1"/>
          <w:iCs w:val="1"/>
          <w:color w:val="auto"/>
        </w:rPr>
        <w:t>Potential Payments upon Termination</w:t>
      </w:r>
      <w:r>
        <w:rPr>
          <w:rFonts w:ascii="Arial" w:cs="Arial" w:eastAsia="Arial" w:hAnsi="Arial"/>
          <w:sz w:val="13"/>
          <w:szCs w:val="13"/>
          <w:color w:val="auto"/>
        </w:rPr>
        <w:t>.”</w:t>
      </w:r>
    </w:p>
    <w:p>
      <w:pPr>
        <w:spacing w:after="0" w:line="5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Mr. Bricker is subject to restrictive covenants, including non-competition during employment and for</w:t>
      </w:r>
    </w:p>
    <w:p>
      <w:pPr>
        <w:spacing w:after="0" w:line="16" w:lineRule="exact"/>
        <w:rPr>
          <w:sz w:val="20"/>
          <w:szCs w:val="20"/>
          <w:color w:val="auto"/>
        </w:rPr>
      </w:pPr>
    </w:p>
    <w:p>
      <w:pPr>
        <w:ind w:left="1160" w:right="1259" w:firstLine="4"/>
        <w:spacing w:after="0" w:line="255" w:lineRule="auto"/>
        <w:tabs>
          <w:tab w:leader="none" w:pos="1352" w:val="left"/>
        </w:tabs>
        <w:numPr>
          <w:ilvl w:val="0"/>
          <w:numId w:val="68"/>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Dave Davis Employment Agreement</w:t>
      </w:r>
    </w:p>
    <w:p>
      <w:pPr>
        <w:spacing w:after="0" w:line="12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Sun Country, Inc. entered into an employment agreement with Dave Davis to serve as Chief Financial Officer, effective as of April 11, 2018. Mr. Davis was thereafter promoted to President and Chief Financial Officer effective November 5, 2019. The agreement extends for a term of five years, until April 11, 2023. Pursuant to the employment agreement, Mr. Davis’ annual base salary shall be no less than $ 420,000 until March 31, 2019 and, beginning April 1, 2019, shall be no less than $360,000. 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96" w:lineRule="exact"/>
        <w:rPr>
          <w:sz w:val="20"/>
          <w:szCs w:val="20"/>
          <w:color w:val="auto"/>
        </w:rPr>
      </w:pPr>
    </w:p>
    <w:p>
      <w:pPr>
        <w:ind w:left="1160" w:right="1499" w:firstLine="293"/>
        <w:spacing w:after="0" w:line="235" w:lineRule="auto"/>
        <w:rPr>
          <w:sz w:val="20"/>
          <w:szCs w:val="20"/>
          <w:color w:val="auto"/>
        </w:rPr>
      </w:pPr>
      <w:r>
        <w:rPr>
          <w:rFonts w:ascii="Arial" w:cs="Arial" w:eastAsia="Arial" w:hAnsi="Arial"/>
          <w:sz w:val="15"/>
          <w:szCs w:val="15"/>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1" w:name="page152"/>
    <w:bookmarkEnd w:id="15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Mr. Davis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92"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Mr. Davis is subject to restrictive covenants, including non-competition during employment and for</w:t>
      </w:r>
    </w:p>
    <w:p>
      <w:pPr>
        <w:spacing w:after="0" w:line="14" w:lineRule="exact"/>
        <w:rPr>
          <w:sz w:val="20"/>
          <w:szCs w:val="20"/>
          <w:color w:val="auto"/>
        </w:rPr>
      </w:pPr>
    </w:p>
    <w:p>
      <w:pPr>
        <w:ind w:left="1160" w:right="1259" w:firstLine="4"/>
        <w:spacing w:after="0" w:line="273" w:lineRule="auto"/>
        <w:tabs>
          <w:tab w:leader="none" w:pos="1352" w:val="left"/>
        </w:tabs>
        <w:numPr>
          <w:ilvl w:val="0"/>
          <w:numId w:val="69"/>
        </w:numPr>
        <w:rPr>
          <w:rFonts w:ascii="Arial" w:cs="Arial" w:eastAsia="Arial" w:hAnsi="Arial"/>
          <w:sz w:val="14"/>
          <w:szCs w:val="14"/>
          <w:color w:val="auto"/>
        </w:rPr>
      </w:pPr>
      <w:r>
        <w:rPr>
          <w:rFonts w:ascii="Arial" w:cs="Arial" w:eastAsia="Arial" w:hAnsi="Arial"/>
          <w:sz w:val="14"/>
          <w:szCs w:val="14"/>
          <w:color w:val="auto"/>
        </w:rPr>
        <w:t>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Gregory Mays Employment Agreement</w:t>
      </w:r>
    </w:p>
    <w:p>
      <w:pPr>
        <w:spacing w:after="0" w:line="124"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 Mr. Mays shall also be eligible to receive a discretionary annual bonus with a target equal to 75% of his annual base salary. Mr. Mays also received a relocation bonus of $52,000 for his relocation to the Minneapolis, Minnesota area; however, if Mr. Mays resigns from employment for any reason prior to June 3, 2021, he must repay to the Company within 30 days of his termination a prorated portion of the relocation bonus.</w:t>
      </w:r>
    </w:p>
    <w:p>
      <w:pPr>
        <w:spacing w:after="0" w:line="94" w:lineRule="exact"/>
        <w:rPr>
          <w:sz w:val="20"/>
          <w:szCs w:val="20"/>
          <w:color w:val="auto"/>
        </w:rPr>
      </w:pPr>
    </w:p>
    <w:p>
      <w:pPr>
        <w:jc w:val="both"/>
        <w:ind w:left="1160" w:right="1199" w:firstLine="293"/>
        <w:spacing w:after="0" w:line="281" w:lineRule="auto"/>
        <w:rPr>
          <w:sz w:val="20"/>
          <w:szCs w:val="20"/>
          <w:color w:val="auto"/>
        </w:rPr>
      </w:pPr>
      <w:r>
        <w:rPr>
          <w:rFonts w:ascii="Arial" w:cs="Arial" w:eastAsia="Arial" w:hAnsi="Arial"/>
          <w:sz w:val="14"/>
          <w:szCs w:val="14"/>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72" w:lineRule="exact"/>
        <w:rPr>
          <w:sz w:val="20"/>
          <w:szCs w:val="20"/>
          <w:color w:val="auto"/>
        </w:rPr>
      </w:pPr>
    </w:p>
    <w:p>
      <w:pPr>
        <w:ind w:left="1160" w:right="1379" w:firstLine="293"/>
        <w:spacing w:after="0" w:line="270" w:lineRule="auto"/>
        <w:rPr>
          <w:sz w:val="20"/>
          <w:szCs w:val="20"/>
          <w:color w:val="auto"/>
        </w:rPr>
      </w:pPr>
      <w:r>
        <w:rPr>
          <w:rFonts w:ascii="Arial" w:cs="Arial" w:eastAsia="Arial" w:hAnsi="Arial"/>
          <w:sz w:val="14"/>
          <w:szCs w:val="14"/>
          <w:color w:val="auto"/>
        </w:rPr>
        <w:t>Mr. Mays is also entitled to travel benefits, including an annual credit of $12,500 in his ATP account for personal travel on Company scheduled flights for him and certain qualifying friends and family.</w:t>
      </w:r>
    </w:p>
    <w:p>
      <w:pPr>
        <w:ind w:left="1160" w:right="1259"/>
        <w:spacing w:after="0" w:line="269" w:lineRule="auto"/>
        <w:rPr>
          <w:sz w:val="20"/>
          <w:szCs w:val="20"/>
          <w:color w:val="auto"/>
        </w:rPr>
      </w:pPr>
      <w:r>
        <w:rPr>
          <w:rFonts w:ascii="Arial" w:cs="Arial" w:eastAsia="Arial" w:hAnsi="Arial"/>
          <w:sz w:val="14"/>
          <w:szCs w:val="14"/>
          <w:color w:val="auto"/>
        </w:rPr>
        <w:t>Mr. Mays may also travel on scheduled Company flights in accordance with the Company’s general employee travel policy, the cost of which is not deducted from Mr. Mays’ ATP account. Upon the earlier of June 3, 2024 or a Change in Control (as defined in the SCA Acquisition Equity Plan), Mr. Mays’ travel benefits will vest for his lifetime and be useable by Mr. Mays for the remainder of his life.</w:t>
      </w:r>
    </w:p>
    <w:p>
      <w:pPr>
        <w:spacing w:after="0" w:line="92" w:lineRule="exact"/>
        <w:rPr>
          <w:sz w:val="20"/>
          <w:szCs w:val="20"/>
          <w:color w:val="auto"/>
        </w:rPr>
      </w:pPr>
    </w:p>
    <w:p>
      <w:pPr>
        <w:jc w:val="both"/>
        <w:ind w:left="1160" w:right="1219" w:firstLine="293"/>
        <w:spacing w:after="0" w:line="281" w:lineRule="auto"/>
        <w:rPr>
          <w:sz w:val="20"/>
          <w:szCs w:val="20"/>
          <w:color w:val="auto"/>
        </w:rPr>
      </w:pPr>
      <w:r>
        <w:rPr>
          <w:rFonts w:ascii="Arial" w:cs="Arial" w:eastAsia="Arial" w:hAnsi="Arial"/>
          <w:sz w:val="14"/>
          <w:szCs w:val="14"/>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Arial" w:cs="Arial" w:eastAsia="Arial" w:hAnsi="Arial"/>
          <w:sz w:val="14"/>
          <w:szCs w:val="14"/>
          <w:i w:val="1"/>
          <w:iCs w:val="1"/>
          <w:color w:val="auto"/>
        </w:rPr>
        <w:t>Potential Payments upon Termination.</w:t>
      </w:r>
      <w:r>
        <w:rPr>
          <w:rFonts w:ascii="Arial" w:cs="Arial" w:eastAsia="Arial" w:hAnsi="Arial"/>
          <w:sz w:val="14"/>
          <w:szCs w:val="14"/>
          <w:color w:val="auto"/>
        </w:rPr>
        <w:t>”</w:t>
      </w:r>
    </w:p>
    <w:p>
      <w:pPr>
        <w:spacing w:after="0" w:line="83"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Outstanding Equity Awards at Fiscal Year-End Table</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lists each NEO’s outstanding equity awards at the end of fiscal 2020.</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Outstanding Equity Awards At Fiscal 2020 Year-End</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Equity Incentive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Plan Awards: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9"/>
              </w:rPr>
              <w:t>Number of</w:t>
            </w: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Number of</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0"/>
              </w:rPr>
              <w:t>Securities</w:t>
            </w:r>
          </w:p>
        </w:tc>
        <w:tc>
          <w:tcPr>
            <w:tcW w:w="10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0"/>
              </w:rPr>
              <w:t>Securities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Underlying</w:t>
            </w:r>
          </w:p>
        </w:tc>
        <w:tc>
          <w:tcPr>
            <w:tcW w:w="10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Underlying</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1000" w:type="dxa"/>
            <w:vAlign w:val="bottom"/>
            <w:gridSpan w:val="2"/>
          </w:tcPr>
          <w:p>
            <w:pPr>
              <w:jc w:val="center"/>
              <w:ind w:right="180"/>
              <w:spacing w:after="0" w:line="132" w:lineRule="exact"/>
              <w:rPr>
                <w:sz w:val="20"/>
                <w:szCs w:val="20"/>
                <w:color w:val="auto"/>
              </w:rPr>
            </w:pPr>
            <w:r>
              <w:rPr>
                <w:rFonts w:ascii="Arial" w:cs="Arial" w:eastAsia="Arial" w:hAnsi="Arial"/>
                <w:sz w:val="12"/>
                <w:szCs w:val="12"/>
                <w:b w:val="1"/>
                <w:bCs w:val="1"/>
                <w:color w:val="auto"/>
                <w:w w:val="81"/>
              </w:rPr>
              <w:t>Unexercised</w:t>
            </w:r>
          </w:p>
        </w:tc>
        <w:tc>
          <w:tcPr>
            <w:tcW w:w="620" w:type="dxa"/>
            <w:vAlign w:val="bottom"/>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87"/>
              </w:rPr>
              <w:t>Option</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Option</w:t>
            </w:r>
          </w:p>
        </w:tc>
      </w:tr>
      <w:tr>
        <w:trPr>
          <w:trHeight w:val="127"/>
        </w:trPr>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Options (#)</w:t>
            </w: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5"/>
              </w:rPr>
              <w:t>Options (#)</w:t>
            </w:r>
          </w:p>
        </w:tc>
        <w:tc>
          <w:tcPr>
            <w:tcW w:w="10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6"/>
              </w:rPr>
              <w:t>Unearned</w:t>
            </w:r>
          </w:p>
        </w:tc>
        <w:tc>
          <w:tcPr>
            <w:tcW w:w="62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80"/>
              </w:rPr>
              <w:t>Exercise</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Expiration</w:t>
            </w:r>
          </w:p>
        </w:tc>
      </w:tr>
      <w:tr>
        <w:trPr>
          <w:trHeight w:val="187"/>
        </w:trPr>
        <w:tc>
          <w:tcPr>
            <w:tcW w:w="2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w:t>
            </w:r>
          </w:p>
        </w:tc>
        <w:tc>
          <w:tcPr>
            <w:tcW w:w="1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Exercisable</w:t>
            </w: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2"/>
                <w:szCs w:val="12"/>
                <w:b w:val="1"/>
                <w:bCs w:val="1"/>
                <w:color w:val="auto"/>
                <w:w w:val="80"/>
              </w:rPr>
              <w:t>Unexercisable</w:t>
            </w:r>
            <w:r>
              <w:rPr>
                <w:rFonts w:ascii="Arial" w:cs="Arial" w:eastAsia="Arial" w:hAnsi="Arial"/>
                <w:sz w:val="17"/>
                <w:szCs w:val="17"/>
                <w:b w:val="1"/>
                <w:bCs w:val="1"/>
                <w:color w:val="auto"/>
                <w:w w:val="80"/>
                <w:vertAlign w:val="superscript"/>
              </w:rPr>
              <w:t>(2)(3)</w:t>
            </w: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2"/>
                <w:szCs w:val="12"/>
                <w:b w:val="1"/>
                <w:bCs w:val="1"/>
                <w:color w:val="auto"/>
                <w:w w:val="79"/>
              </w:rPr>
              <w:t>Options (#)</w:t>
            </w:r>
            <w:r>
              <w:rPr>
                <w:rFonts w:ascii="Arial" w:cs="Arial" w:eastAsia="Arial" w:hAnsi="Arial"/>
                <w:sz w:val="17"/>
                <w:szCs w:val="17"/>
                <w:b w:val="1"/>
                <w:bCs w:val="1"/>
                <w:color w:val="auto"/>
                <w:w w:val="79"/>
                <w:vertAlign w:val="superscript"/>
              </w:rPr>
              <w:t>(2)(4)</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Price ($)</w:t>
            </w:r>
          </w:p>
        </w:tc>
        <w:tc>
          <w:tcPr>
            <w:tcW w:w="1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Date</w:t>
            </w:r>
          </w:p>
        </w:tc>
      </w:tr>
      <w:tr>
        <w:trPr>
          <w:trHeight w:val="178"/>
        </w:trPr>
        <w:tc>
          <w:tcPr>
            <w:tcW w:w="25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Jude Bricker</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w w:val="95"/>
              </w:rPr>
              <w:t>310,319</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6"/>
              <w:spacing w:after="0"/>
              <w:rPr>
                <w:sz w:val="20"/>
                <w:szCs w:val="20"/>
                <w:color w:val="auto"/>
              </w:rPr>
            </w:pPr>
            <w:r>
              <w:rPr>
                <w:rFonts w:ascii="Arial" w:cs="Arial" w:eastAsia="Arial" w:hAnsi="Arial"/>
                <w:sz w:val="15"/>
                <w:szCs w:val="15"/>
                <w:color w:val="auto"/>
              </w:rPr>
              <w:t>310,319</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rPr>
              <w:t>991,409</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11/21/2028</w:t>
            </w:r>
          </w:p>
        </w:tc>
      </w:tr>
      <w:tr>
        <w:trPr>
          <w:trHeight w:val="187"/>
        </w:trPr>
        <w:tc>
          <w:tcPr>
            <w:tcW w:w="2520" w:type="dxa"/>
            <w:vAlign w:val="bottom"/>
            <w:gridSpan w:val="2"/>
          </w:tcPr>
          <w:p>
            <w:pPr>
              <w:spacing w:after="0" w:line="187" w:lineRule="exact"/>
              <w:rPr>
                <w:sz w:val="20"/>
                <w:szCs w:val="20"/>
                <w:color w:val="auto"/>
              </w:rPr>
            </w:pPr>
            <w:r>
              <w:rPr>
                <w:rFonts w:ascii="Arial" w:cs="Arial" w:eastAsia="Arial" w:hAnsi="Arial"/>
                <w:sz w:val="15"/>
                <w:szCs w:val="15"/>
                <w:b w:val="1"/>
                <w:bCs w:val="1"/>
                <w:color w:val="auto"/>
              </w:rPr>
              <w:t>Dave Davis</w:t>
            </w:r>
            <w:r>
              <w:rPr>
                <w:rFonts w:ascii="Arial" w:cs="Arial" w:eastAsia="Arial" w:hAnsi="Arial"/>
                <w:sz w:val="21"/>
                <w:szCs w:val="21"/>
                <w:b w:val="1"/>
                <w:bCs w:val="1"/>
                <w:color w:val="auto"/>
                <w:vertAlign w:val="superscript"/>
              </w:rPr>
              <w:t>(1)</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w w:val="95"/>
              </w:rPr>
              <w:t>124,127</w:t>
            </w:r>
          </w:p>
        </w:tc>
        <w:tc>
          <w:tcPr>
            <w:tcW w:w="180" w:type="dxa"/>
            <w:vAlign w:val="bottom"/>
          </w:tcPr>
          <w:p>
            <w:pPr>
              <w:spacing w:after="0"/>
              <w:rPr>
                <w:sz w:val="16"/>
                <w:szCs w:val="16"/>
                <w:color w:val="auto"/>
              </w:rPr>
            </w:pPr>
          </w:p>
        </w:tc>
        <w:tc>
          <w:tcPr>
            <w:tcW w:w="900" w:type="dxa"/>
            <w:vAlign w:val="bottom"/>
          </w:tcPr>
          <w:p>
            <w:pPr>
              <w:jc w:val="right"/>
              <w:ind w:right="156"/>
              <w:spacing w:after="0"/>
              <w:rPr>
                <w:sz w:val="20"/>
                <w:szCs w:val="20"/>
                <w:color w:val="auto"/>
              </w:rPr>
            </w:pPr>
            <w:r>
              <w:rPr>
                <w:rFonts w:ascii="Arial" w:cs="Arial" w:eastAsia="Arial" w:hAnsi="Arial"/>
                <w:sz w:val="15"/>
                <w:szCs w:val="15"/>
                <w:color w:val="auto"/>
              </w:rPr>
              <w:t>124,128</w:t>
            </w:r>
          </w:p>
        </w:tc>
        <w:tc>
          <w:tcPr>
            <w:tcW w:w="160" w:type="dxa"/>
            <w:vAlign w:val="bottom"/>
          </w:tcPr>
          <w:p>
            <w:pPr>
              <w:spacing w:after="0"/>
              <w:rPr>
                <w:sz w:val="16"/>
                <w:szCs w:val="16"/>
                <w:color w:val="auto"/>
              </w:rPr>
            </w:pPr>
          </w:p>
        </w:tc>
        <w:tc>
          <w:tcPr>
            <w:tcW w:w="840" w:type="dxa"/>
            <w:vAlign w:val="bottom"/>
          </w:tcPr>
          <w:p>
            <w:pPr>
              <w:jc w:val="right"/>
              <w:ind w:right="117"/>
              <w:spacing w:after="0"/>
              <w:rPr>
                <w:sz w:val="20"/>
                <w:szCs w:val="20"/>
                <w:color w:val="auto"/>
              </w:rPr>
            </w:pPr>
            <w:r>
              <w:rPr>
                <w:rFonts w:ascii="Arial" w:cs="Arial" w:eastAsia="Arial" w:hAnsi="Arial"/>
                <w:sz w:val="15"/>
                <w:szCs w:val="15"/>
                <w:color w:val="auto"/>
              </w:rPr>
              <w:t>396,563</w:t>
            </w:r>
          </w:p>
        </w:tc>
        <w:tc>
          <w:tcPr>
            <w:tcW w:w="16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8"/>
              </w:rPr>
              <w:t>4/17/2028</w:t>
            </w:r>
          </w:p>
        </w:tc>
      </w:tr>
      <w:tr>
        <w:trPr>
          <w:trHeight w:val="176"/>
        </w:trPr>
        <w:tc>
          <w:tcPr>
            <w:tcW w:w="2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12,929</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6"/>
              <w:spacing w:after="0"/>
              <w:rPr>
                <w:sz w:val="20"/>
                <w:szCs w:val="20"/>
                <w:color w:val="auto"/>
              </w:rPr>
            </w:pPr>
            <w:r>
              <w:rPr>
                <w:rFonts w:ascii="Arial" w:cs="Arial" w:eastAsia="Arial" w:hAnsi="Arial"/>
                <w:sz w:val="15"/>
                <w:szCs w:val="15"/>
                <w:color w:val="auto"/>
              </w:rPr>
              <w:t>38,790</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rPr>
              <w:t>82,616</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$15.17</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11/19/2029</w:t>
            </w:r>
          </w:p>
        </w:tc>
      </w:tr>
      <w:tr>
        <w:trPr>
          <w:trHeight w:val="209"/>
        </w:trPr>
        <w:tc>
          <w:tcPr>
            <w:tcW w:w="2520" w:type="dxa"/>
            <w:vAlign w:val="bottom"/>
            <w:gridSpan w:val="2"/>
          </w:tcPr>
          <w:p>
            <w:pPr>
              <w:spacing w:after="0"/>
              <w:rPr>
                <w:sz w:val="20"/>
                <w:szCs w:val="20"/>
                <w:color w:val="auto"/>
              </w:rPr>
            </w:pPr>
            <w:r>
              <w:rPr>
                <w:rFonts w:ascii="Arial" w:cs="Arial" w:eastAsia="Arial" w:hAnsi="Arial"/>
                <w:sz w:val="15"/>
                <w:szCs w:val="15"/>
                <w:b w:val="1"/>
                <w:bCs w:val="1"/>
                <w:color w:val="auto"/>
              </w:rPr>
              <w:t>Gregory Mays</w:t>
            </w:r>
          </w:p>
        </w:tc>
        <w:tc>
          <w:tcPr>
            <w:tcW w:w="620" w:type="dxa"/>
            <w:vAlign w:val="bottom"/>
          </w:tcPr>
          <w:p>
            <w:pPr>
              <w:jc w:val="right"/>
              <w:ind w:right="16"/>
              <w:spacing w:after="0"/>
              <w:rPr>
                <w:sz w:val="20"/>
                <w:szCs w:val="20"/>
                <w:color w:val="auto"/>
              </w:rPr>
            </w:pPr>
            <w:r>
              <w:rPr>
                <w:rFonts w:ascii="Arial" w:cs="Arial" w:eastAsia="Arial" w:hAnsi="Arial"/>
                <w:sz w:val="15"/>
                <w:szCs w:val="15"/>
                <w:color w:val="auto"/>
              </w:rPr>
              <w:t>51,719</w:t>
            </w:r>
          </w:p>
        </w:tc>
        <w:tc>
          <w:tcPr>
            <w:tcW w:w="180" w:type="dxa"/>
            <w:vAlign w:val="bottom"/>
          </w:tcPr>
          <w:p>
            <w:pPr>
              <w:spacing w:after="0"/>
              <w:rPr>
                <w:sz w:val="18"/>
                <w:szCs w:val="18"/>
                <w:color w:val="auto"/>
              </w:rPr>
            </w:pPr>
          </w:p>
        </w:tc>
        <w:tc>
          <w:tcPr>
            <w:tcW w:w="900" w:type="dxa"/>
            <w:vAlign w:val="bottom"/>
          </w:tcPr>
          <w:p>
            <w:pPr>
              <w:jc w:val="right"/>
              <w:ind w:right="156"/>
              <w:spacing w:after="0"/>
              <w:rPr>
                <w:sz w:val="20"/>
                <w:szCs w:val="20"/>
                <w:color w:val="auto"/>
              </w:rPr>
            </w:pPr>
            <w:r>
              <w:rPr>
                <w:rFonts w:ascii="Arial" w:cs="Arial" w:eastAsia="Arial" w:hAnsi="Arial"/>
                <w:sz w:val="15"/>
                <w:szCs w:val="15"/>
                <w:color w:val="auto"/>
              </w:rPr>
              <w:t>155,160</w:t>
            </w:r>
          </w:p>
        </w:tc>
        <w:tc>
          <w:tcPr>
            <w:tcW w:w="160" w:type="dxa"/>
            <w:vAlign w:val="bottom"/>
          </w:tcPr>
          <w:p>
            <w:pPr>
              <w:spacing w:after="0"/>
              <w:rPr>
                <w:sz w:val="18"/>
                <w:szCs w:val="18"/>
                <w:color w:val="auto"/>
              </w:rPr>
            </w:pPr>
          </w:p>
        </w:tc>
        <w:tc>
          <w:tcPr>
            <w:tcW w:w="840" w:type="dxa"/>
            <w:vAlign w:val="bottom"/>
          </w:tcPr>
          <w:p>
            <w:pPr>
              <w:jc w:val="right"/>
              <w:ind w:right="117"/>
              <w:spacing w:after="0"/>
              <w:rPr>
                <w:sz w:val="20"/>
                <w:szCs w:val="20"/>
                <w:color w:val="auto"/>
              </w:rPr>
            </w:pPr>
            <w:r>
              <w:rPr>
                <w:rFonts w:ascii="Arial" w:cs="Arial" w:eastAsia="Arial" w:hAnsi="Arial"/>
                <w:sz w:val="15"/>
                <w:szCs w:val="15"/>
                <w:color w:val="auto"/>
              </w:rPr>
              <w:t>330,469</w:t>
            </w:r>
          </w:p>
        </w:tc>
        <w:tc>
          <w:tcPr>
            <w:tcW w:w="1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5"/>
                <w:szCs w:val="15"/>
                <w:color w:val="auto"/>
                <w:w w:val="95"/>
              </w:rPr>
              <w:t>$ 5.30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7/1/2029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-487680</wp:posOffset>
            </wp:positionV>
            <wp:extent cx="11176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-487680</wp:posOffset>
            </wp:positionV>
            <wp:extent cx="11176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-487680</wp:posOffset>
            </wp:positionV>
            <wp:extent cx="11176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-487680</wp:posOffset>
            </wp:positionV>
            <wp:extent cx="11176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-487680</wp:posOffset>
            </wp:positionV>
            <wp:extent cx="11176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104775</wp:posOffset>
            </wp:positionV>
            <wp:extent cx="44640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178" w:lineRule="exact"/>
        <w:rPr>
          <w:sz w:val="20"/>
          <w:szCs w:val="20"/>
          <w:color w:val="auto"/>
        </w:rPr>
      </w:pPr>
    </w:p>
    <w:p>
      <w:pPr>
        <w:ind w:left="1460" w:right="1339" w:hanging="296"/>
        <w:spacing w:after="0" w:line="236" w:lineRule="auto"/>
        <w:tabs>
          <w:tab w:leader="none" w:pos="1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On November 19, 2019, Mr. Davis was granted additional options with an exercise price of $15.17 in connection with his promotion to President and Chief Financial Officer.</w:t>
      </w:r>
    </w:p>
    <w:p>
      <w:pPr>
        <w:spacing w:after="0" w:line="23" w:lineRule="exact"/>
        <w:rPr>
          <w:rFonts w:ascii="Arial" w:cs="Arial" w:eastAsia="Arial" w:hAnsi="Arial"/>
          <w:sz w:val="15"/>
          <w:szCs w:val="15"/>
          <w:color w:val="auto"/>
        </w:rPr>
      </w:pPr>
    </w:p>
    <w:p>
      <w:pPr>
        <w:ind w:left="1460" w:right="1419" w:hanging="296"/>
        <w:spacing w:after="0" w:line="267" w:lineRule="auto"/>
        <w:tabs>
          <w:tab w:leader="none" w:pos="14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Options were originally granted as options to purchase SCA common stock and were converted into options to purchase common stock in connection with the Reorganization Transactions.</w:t>
      </w:r>
    </w:p>
    <w:p>
      <w:pPr>
        <w:spacing w:after="0" w:line="4" w:lineRule="exact"/>
        <w:rPr>
          <w:rFonts w:ascii="Arial" w:cs="Arial" w:eastAsia="Arial" w:hAnsi="Arial"/>
          <w:sz w:val="14"/>
          <w:szCs w:val="14"/>
          <w:color w:val="auto"/>
        </w:rPr>
      </w:pPr>
    </w:p>
    <w:p>
      <w:pPr>
        <w:ind w:left="1460" w:right="1179" w:hanging="296"/>
        <w:spacing w:after="0" w:line="218" w:lineRule="auto"/>
        <w:tabs>
          <w:tab w:leader="none" w:pos="1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 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spacing w:after="0" w:line="26" w:lineRule="exact"/>
        <w:rPr>
          <w:rFonts w:ascii="Arial" w:cs="Arial" w:eastAsia="Arial" w:hAnsi="Arial"/>
          <w:sz w:val="15"/>
          <w:szCs w:val="15"/>
          <w:color w:val="auto"/>
        </w:rPr>
      </w:pPr>
    </w:p>
    <w:p>
      <w:pPr>
        <w:ind w:left="1460" w:right="1199" w:hanging="296"/>
        <w:spacing w:after="0" w:line="232" w:lineRule="auto"/>
        <w:tabs>
          <w:tab w:leader="none" w:pos="14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 5.0x. Vesting in respect of achievement between a MOIC of 3.0x and a MOIC of 5.0x is linearly interpolated. In the event that 100% of the performance-based options have not vested prior to or at the time of the effectiveness of our initial public offering, on certain “MOIC Test Dates” (</w:t>
      </w:r>
      <w:r>
        <w:rPr>
          <w:rFonts w:ascii="Arial" w:cs="Arial" w:eastAsia="Arial" w:hAnsi="Arial"/>
          <w:sz w:val="14"/>
          <w:szCs w:val="14"/>
          <w:i w:val="1"/>
          <w:iCs w:val="1"/>
          <w:color w:val="auto"/>
        </w:rPr>
        <w:t>i.e.</w:t>
      </w:r>
      <w:r>
        <w:rPr>
          <w:rFonts w:ascii="Arial" w:cs="Arial" w:eastAsia="Arial" w:hAnsi="Arial"/>
          <w:sz w:val="14"/>
          <w:szCs w:val="14"/>
          <w:color w:val="auto"/>
        </w:rPr>
        <w:t>, months following our initial public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0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86"/>
              </w:rPr>
              <w:t>Months Post-IPO</w:t>
            </w:r>
          </w:p>
        </w:tc>
        <w:tc>
          <w:tcPr>
            <w:tcW w:w="1680" w:type="dxa"/>
            <w:vAlign w:val="bottom"/>
            <w:gridSpan w:val="2"/>
          </w:tcPr>
          <w:p>
            <w:pPr>
              <w:jc w:val="center"/>
              <w:ind w:left="349"/>
              <w:spacing w:after="0"/>
              <w:rPr>
                <w:sz w:val="20"/>
                <w:szCs w:val="20"/>
                <w:color w:val="auto"/>
              </w:rPr>
            </w:pPr>
            <w:r>
              <w:rPr>
                <w:rFonts w:ascii="Arial" w:cs="Arial" w:eastAsia="Arial" w:hAnsi="Arial"/>
                <w:sz w:val="12"/>
                <w:szCs w:val="12"/>
                <w:b w:val="1"/>
                <w:bCs w:val="1"/>
                <w:color w:val="auto"/>
                <w:w w:val="85"/>
              </w:rPr>
              <w:t>% of Performance-Based</w:t>
            </w:r>
          </w:p>
        </w:tc>
        <w:tc>
          <w:tcPr>
            <w:tcW w:w="21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2"/>
              </w:rPr>
              <w:t>Vested Amount Based 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2"/>
              </w:rPr>
              <w:t>Vested Amount Based on</w:t>
            </w:r>
          </w:p>
        </w:tc>
      </w:tr>
      <w:tr>
        <w:trPr>
          <w:trHeight w:val="150"/>
        </w:trPr>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0"/>
              </w:rPr>
              <w:t>(“MOIC Test Date”)</w:t>
            </w:r>
          </w:p>
        </w:tc>
        <w:tc>
          <w:tcPr>
            <w:tcW w:w="4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83"/>
              </w:rPr>
              <w:t>Options Eligible to Vest</w:t>
            </w:r>
          </w:p>
        </w:tc>
        <w:tc>
          <w:tcPr>
            <w:tcW w:w="460" w:type="dxa"/>
            <w:vAlign w:val="bottom"/>
          </w:tcPr>
          <w:p>
            <w:pPr>
              <w:spacing w:after="0"/>
              <w:rPr>
                <w:sz w:val="13"/>
                <w:szCs w:val="13"/>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7"/>
              </w:rPr>
              <w:t>3.0x TRMOIC</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4"/>
              </w:rPr>
              <w:t>5.0x TRMOIC</w:t>
            </w: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8"/>
        </w:trPr>
        <w:tc>
          <w:tcPr>
            <w:tcW w:w="1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12</w:t>
            </w:r>
          </w:p>
        </w:tc>
        <w:tc>
          <w:tcPr>
            <w:tcW w:w="1680" w:type="dxa"/>
            <w:vAlign w:val="bottom"/>
            <w:gridSpan w:val="2"/>
            <w:shd w:val="clear" w:color="auto" w:fill="CCEEFF"/>
          </w:tcPr>
          <w:p>
            <w:pPr>
              <w:jc w:val="center"/>
              <w:ind w:left="369"/>
              <w:spacing w:after="0"/>
              <w:rPr>
                <w:sz w:val="20"/>
                <w:szCs w:val="20"/>
                <w:color w:val="auto"/>
              </w:rPr>
            </w:pPr>
            <w:r>
              <w:rPr>
                <w:rFonts w:ascii="Arial" w:cs="Arial" w:eastAsia="Arial" w:hAnsi="Arial"/>
                <w:sz w:val="15"/>
                <w:szCs w:val="15"/>
                <w:color w:val="auto"/>
                <w:w w:val="93"/>
              </w:rPr>
              <w:t>25%</w:t>
            </w:r>
          </w:p>
        </w:tc>
        <w:tc>
          <w:tcPr>
            <w:tcW w:w="1700" w:type="dxa"/>
            <w:vAlign w:val="bottom"/>
            <w:gridSpan w:val="2"/>
            <w:shd w:val="clear" w:color="auto" w:fill="CCEEFF"/>
          </w:tcPr>
          <w:p>
            <w:pPr>
              <w:jc w:val="center"/>
              <w:ind w:left="389"/>
              <w:spacing w:after="0"/>
              <w:rPr>
                <w:sz w:val="20"/>
                <w:szCs w:val="20"/>
                <w:color w:val="auto"/>
              </w:rPr>
            </w:pPr>
            <w:r>
              <w:rPr>
                <w:rFonts w:ascii="Arial" w:cs="Arial" w:eastAsia="Arial" w:hAnsi="Arial"/>
                <w:sz w:val="15"/>
                <w:szCs w:val="15"/>
                <w:color w:val="auto"/>
                <w:w w:val="93"/>
              </w:rPr>
              <w:t>7.5%</w:t>
            </w:r>
          </w:p>
        </w:tc>
        <w:tc>
          <w:tcPr>
            <w:tcW w:w="46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25%</w:t>
            </w:r>
          </w:p>
        </w:tc>
      </w:tr>
      <w:tr>
        <w:trPr>
          <w:trHeight w:val="187"/>
        </w:trPr>
        <w:tc>
          <w:tcPr>
            <w:tcW w:w="1020" w:type="dxa"/>
            <w:vAlign w:val="bottom"/>
          </w:tcPr>
          <w:p>
            <w:pPr>
              <w:jc w:val="center"/>
              <w:spacing w:after="0"/>
              <w:rPr>
                <w:sz w:val="20"/>
                <w:szCs w:val="20"/>
                <w:color w:val="auto"/>
              </w:rPr>
            </w:pPr>
            <w:r>
              <w:rPr>
                <w:rFonts w:ascii="Arial" w:cs="Arial" w:eastAsia="Arial" w:hAnsi="Arial"/>
                <w:sz w:val="15"/>
                <w:szCs w:val="15"/>
                <w:color w:val="auto"/>
                <w:w w:val="83"/>
              </w:rPr>
              <w:t>18</w:t>
            </w:r>
          </w:p>
        </w:tc>
        <w:tc>
          <w:tcPr>
            <w:tcW w:w="1680" w:type="dxa"/>
            <w:vAlign w:val="bottom"/>
            <w:gridSpan w:val="2"/>
          </w:tcPr>
          <w:p>
            <w:pPr>
              <w:jc w:val="center"/>
              <w:ind w:left="369"/>
              <w:spacing w:after="0"/>
              <w:rPr>
                <w:sz w:val="20"/>
                <w:szCs w:val="20"/>
                <w:color w:val="auto"/>
              </w:rPr>
            </w:pPr>
            <w:r>
              <w:rPr>
                <w:rFonts w:ascii="Arial" w:cs="Arial" w:eastAsia="Arial" w:hAnsi="Arial"/>
                <w:sz w:val="15"/>
                <w:szCs w:val="15"/>
                <w:color w:val="auto"/>
                <w:w w:val="93"/>
              </w:rPr>
              <w:t>37.5%</w:t>
            </w:r>
          </w:p>
        </w:tc>
        <w:tc>
          <w:tcPr>
            <w:tcW w:w="1700" w:type="dxa"/>
            <w:vAlign w:val="bottom"/>
            <w:gridSpan w:val="2"/>
          </w:tcPr>
          <w:p>
            <w:pPr>
              <w:jc w:val="center"/>
              <w:ind w:left="369"/>
              <w:spacing w:after="0"/>
              <w:rPr>
                <w:sz w:val="20"/>
                <w:szCs w:val="20"/>
                <w:color w:val="auto"/>
              </w:rPr>
            </w:pPr>
            <w:r>
              <w:rPr>
                <w:rFonts w:ascii="Arial" w:cs="Arial" w:eastAsia="Arial" w:hAnsi="Arial"/>
                <w:sz w:val="15"/>
                <w:szCs w:val="15"/>
                <w:color w:val="auto"/>
                <w:w w:val="90"/>
              </w:rPr>
              <w:t>11.25%</w:t>
            </w:r>
          </w:p>
        </w:tc>
        <w:tc>
          <w:tcPr>
            <w:tcW w:w="4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37.5%</w:t>
            </w:r>
          </w:p>
        </w:tc>
      </w:tr>
      <w:tr>
        <w:trPr>
          <w:trHeight w:val="187"/>
        </w:trPr>
        <w:tc>
          <w:tcPr>
            <w:tcW w:w="1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24</w:t>
            </w:r>
          </w:p>
        </w:tc>
        <w:tc>
          <w:tcPr>
            <w:tcW w:w="1680" w:type="dxa"/>
            <w:vAlign w:val="bottom"/>
            <w:gridSpan w:val="2"/>
            <w:shd w:val="clear" w:color="auto" w:fill="CCEEFF"/>
          </w:tcPr>
          <w:p>
            <w:pPr>
              <w:jc w:val="center"/>
              <w:ind w:left="369"/>
              <w:spacing w:after="0"/>
              <w:rPr>
                <w:sz w:val="20"/>
                <w:szCs w:val="20"/>
                <w:color w:val="auto"/>
              </w:rPr>
            </w:pPr>
            <w:r>
              <w:rPr>
                <w:rFonts w:ascii="Arial" w:cs="Arial" w:eastAsia="Arial" w:hAnsi="Arial"/>
                <w:sz w:val="15"/>
                <w:szCs w:val="15"/>
                <w:color w:val="auto"/>
                <w:w w:val="93"/>
              </w:rPr>
              <w:t>50%</w:t>
            </w:r>
          </w:p>
        </w:tc>
        <w:tc>
          <w:tcPr>
            <w:tcW w:w="1700" w:type="dxa"/>
            <w:vAlign w:val="bottom"/>
            <w:gridSpan w:val="2"/>
            <w:shd w:val="clear" w:color="auto" w:fill="CCEEFF"/>
          </w:tcPr>
          <w:p>
            <w:pPr>
              <w:jc w:val="center"/>
              <w:ind w:left="389"/>
              <w:spacing w:after="0"/>
              <w:rPr>
                <w:sz w:val="20"/>
                <w:szCs w:val="20"/>
                <w:color w:val="auto"/>
              </w:rPr>
            </w:pPr>
            <w:r>
              <w:rPr>
                <w:rFonts w:ascii="Arial" w:cs="Arial" w:eastAsia="Arial" w:hAnsi="Arial"/>
                <w:sz w:val="15"/>
                <w:szCs w:val="15"/>
                <w:color w:val="auto"/>
                <w:w w:val="93"/>
              </w:rPr>
              <w:t>15.0%</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50%</w:t>
            </w:r>
          </w:p>
        </w:tc>
      </w:tr>
      <w:tr>
        <w:trPr>
          <w:trHeight w:val="187"/>
        </w:trPr>
        <w:tc>
          <w:tcPr>
            <w:tcW w:w="1020" w:type="dxa"/>
            <w:vAlign w:val="bottom"/>
          </w:tcPr>
          <w:p>
            <w:pPr>
              <w:jc w:val="center"/>
              <w:spacing w:after="0"/>
              <w:rPr>
                <w:sz w:val="20"/>
                <w:szCs w:val="20"/>
                <w:color w:val="auto"/>
              </w:rPr>
            </w:pPr>
            <w:r>
              <w:rPr>
                <w:rFonts w:ascii="Arial" w:cs="Arial" w:eastAsia="Arial" w:hAnsi="Arial"/>
                <w:sz w:val="15"/>
                <w:szCs w:val="15"/>
                <w:color w:val="auto"/>
                <w:w w:val="83"/>
              </w:rPr>
              <w:t>30</w:t>
            </w:r>
          </w:p>
        </w:tc>
        <w:tc>
          <w:tcPr>
            <w:tcW w:w="1680" w:type="dxa"/>
            <w:vAlign w:val="bottom"/>
            <w:gridSpan w:val="2"/>
          </w:tcPr>
          <w:p>
            <w:pPr>
              <w:jc w:val="center"/>
              <w:ind w:left="369"/>
              <w:spacing w:after="0"/>
              <w:rPr>
                <w:sz w:val="20"/>
                <w:szCs w:val="20"/>
                <w:color w:val="auto"/>
              </w:rPr>
            </w:pPr>
            <w:r>
              <w:rPr>
                <w:rFonts w:ascii="Arial" w:cs="Arial" w:eastAsia="Arial" w:hAnsi="Arial"/>
                <w:sz w:val="15"/>
                <w:szCs w:val="15"/>
                <w:color w:val="auto"/>
                <w:w w:val="93"/>
              </w:rPr>
              <w:t>62.5%</w:t>
            </w:r>
          </w:p>
        </w:tc>
        <w:tc>
          <w:tcPr>
            <w:tcW w:w="1700" w:type="dxa"/>
            <w:vAlign w:val="bottom"/>
            <w:gridSpan w:val="2"/>
          </w:tcPr>
          <w:p>
            <w:pPr>
              <w:jc w:val="center"/>
              <w:ind w:left="369"/>
              <w:spacing w:after="0"/>
              <w:rPr>
                <w:sz w:val="20"/>
                <w:szCs w:val="20"/>
                <w:color w:val="auto"/>
              </w:rPr>
            </w:pPr>
            <w:r>
              <w:rPr>
                <w:rFonts w:ascii="Arial" w:cs="Arial" w:eastAsia="Arial" w:hAnsi="Arial"/>
                <w:sz w:val="15"/>
                <w:szCs w:val="15"/>
                <w:color w:val="auto"/>
                <w:w w:val="90"/>
              </w:rPr>
              <w:t>18.75%</w:t>
            </w:r>
          </w:p>
        </w:tc>
        <w:tc>
          <w:tcPr>
            <w:tcW w:w="4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w w:val="89"/>
              </w:rPr>
              <w:t>62.5%</w:t>
            </w:r>
          </w:p>
        </w:tc>
      </w:tr>
      <w:tr>
        <w:trPr>
          <w:trHeight w:val="187"/>
        </w:trPr>
        <w:tc>
          <w:tcPr>
            <w:tcW w:w="10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36</w:t>
            </w:r>
          </w:p>
        </w:tc>
        <w:tc>
          <w:tcPr>
            <w:tcW w:w="1680" w:type="dxa"/>
            <w:vAlign w:val="bottom"/>
            <w:gridSpan w:val="2"/>
            <w:shd w:val="clear" w:color="auto" w:fill="CCEEFF"/>
          </w:tcPr>
          <w:p>
            <w:pPr>
              <w:jc w:val="center"/>
              <w:ind w:left="369"/>
              <w:spacing w:after="0"/>
              <w:rPr>
                <w:sz w:val="20"/>
                <w:szCs w:val="20"/>
                <w:color w:val="auto"/>
              </w:rPr>
            </w:pPr>
            <w:r>
              <w:rPr>
                <w:rFonts w:ascii="Arial" w:cs="Arial" w:eastAsia="Arial" w:hAnsi="Arial"/>
                <w:sz w:val="15"/>
                <w:szCs w:val="15"/>
                <w:color w:val="auto"/>
                <w:w w:val="93"/>
              </w:rPr>
              <w:t>75%</w:t>
            </w:r>
          </w:p>
        </w:tc>
        <w:tc>
          <w:tcPr>
            <w:tcW w:w="1700" w:type="dxa"/>
            <w:vAlign w:val="bottom"/>
            <w:gridSpan w:val="2"/>
            <w:shd w:val="clear" w:color="auto" w:fill="CCEEFF"/>
          </w:tcPr>
          <w:p>
            <w:pPr>
              <w:jc w:val="center"/>
              <w:ind w:left="389"/>
              <w:spacing w:after="0"/>
              <w:rPr>
                <w:sz w:val="20"/>
                <w:szCs w:val="20"/>
                <w:color w:val="auto"/>
              </w:rPr>
            </w:pPr>
            <w:r>
              <w:rPr>
                <w:rFonts w:ascii="Arial" w:cs="Arial" w:eastAsia="Arial" w:hAnsi="Arial"/>
                <w:sz w:val="15"/>
                <w:szCs w:val="15"/>
                <w:color w:val="auto"/>
                <w:w w:val="93"/>
              </w:rPr>
              <w:t>22.5%</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-599440</wp:posOffset>
            </wp:positionV>
            <wp:extent cx="29273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-599440</wp:posOffset>
            </wp:positionV>
            <wp:extent cx="29273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92735" cy="6985"/>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-599440</wp:posOffset>
            </wp:positionV>
            <wp:extent cx="27876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78765" cy="6985"/>
                    </a:xfrm>
                    <a:prstGeom prst="rect">
                      <a:avLst/>
                    </a:prstGeom>
                    <a:noFill/>
                  </pic:spPr>
                </pic:pic>
              </a:graphicData>
            </a:graphic>
          </wp:anchor>
        </w:drawing>
      </w:r>
    </w:p>
    <w:p>
      <w:pPr>
        <w:spacing w:after="0" w:line="90"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Vesting in respect of achievement between a TRMOIC of 3.0x and a TRMOIC of 5.0x will be linearly interpolated. On each MOIC Test Date, the percentage of the performance- based options that will vest on that date will be added to the percentage of the performance-based options that vested prior to the applicable MOIC Test Date, provided, however, that on any given MOIC Test Date, the total percentage of the performance-based options that may vest will not exceed the percentage shown for the applicable MOIC Test Date under the column heading “Vested Amount Based on 5.0x TRMOIC.”</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Potential Payments Upon Termination</w:t>
      </w:r>
    </w:p>
    <w:p>
      <w:pPr>
        <w:spacing w:after="0" w:line="128" w:lineRule="exact"/>
        <w:rPr>
          <w:sz w:val="20"/>
          <w:szCs w:val="20"/>
          <w:color w:val="auto"/>
        </w:rPr>
      </w:pPr>
    </w:p>
    <w:p>
      <w:pPr>
        <w:ind w:left="1160" w:right="1279" w:firstLine="293"/>
        <w:spacing w:after="0" w:line="287" w:lineRule="auto"/>
        <w:rPr>
          <w:sz w:val="20"/>
          <w:szCs w:val="20"/>
          <w:color w:val="auto"/>
        </w:rPr>
      </w:pPr>
      <w:r>
        <w:rPr>
          <w:rFonts w:ascii="Arial" w:cs="Arial" w:eastAsia="Arial" w:hAnsi="Arial"/>
          <w:sz w:val="13"/>
          <w:szCs w:val="13"/>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w:t>
      </w:r>
    </w:p>
    <w:p>
      <w:pPr>
        <w:spacing w:after="0" w:line="2" w:lineRule="exact"/>
        <w:rPr>
          <w:sz w:val="20"/>
          <w:szCs w:val="20"/>
          <w:color w:val="auto"/>
        </w:rPr>
      </w:pPr>
    </w:p>
    <w:p>
      <w:pPr>
        <w:ind w:left="1160" w:right="1439" w:firstLine="4"/>
        <w:spacing w:after="0" w:line="269" w:lineRule="auto"/>
        <w:tabs>
          <w:tab w:leader="none" w:pos="1423"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81"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Upon a termination of employment by the Company or its subsidiary without Cause (including, for 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07" w:lineRule="exact"/>
        <w:rPr>
          <w:sz w:val="20"/>
          <w:szCs w:val="20"/>
          <w:color w:val="auto"/>
        </w:rPr>
      </w:pPr>
    </w:p>
    <w:p>
      <w:pPr>
        <w:ind w:left="1160" w:right="1219" w:firstLine="293"/>
        <w:spacing w:after="0" w:line="263" w:lineRule="auto"/>
        <w:rPr>
          <w:sz w:val="20"/>
          <w:szCs w:val="20"/>
          <w:color w:val="auto"/>
        </w:rPr>
      </w:pPr>
      <w:r>
        <w:rPr>
          <w:rFonts w:ascii="Arial" w:cs="Arial" w:eastAsia="Arial" w:hAnsi="Arial"/>
          <w:sz w:val="14"/>
          <w:szCs w:val="14"/>
          <w:color w:val="auto"/>
        </w:rPr>
        <w:t>For purposes of each NEO’s employment agreement, Cause shall mean: (i) the NEO’s indictment for, conviction of, or plea of guilty or nolo contendere to, any (x) felony, (y) misdemeanor involving moral turpitude, or (z) 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 (A) 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 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105" w:lineRule="exact"/>
        <w:rPr>
          <w:sz w:val="20"/>
          <w:szCs w:val="20"/>
          <w:color w:val="auto"/>
        </w:rPr>
      </w:pPr>
    </w:p>
    <w:p>
      <w:pPr>
        <w:ind w:left="1160" w:right="1359" w:firstLine="293"/>
        <w:spacing w:after="0" w:line="270" w:lineRule="auto"/>
        <w:rPr>
          <w:sz w:val="20"/>
          <w:szCs w:val="20"/>
          <w:color w:val="auto"/>
        </w:rPr>
      </w:pPr>
      <w:r>
        <w:rPr>
          <w:rFonts w:ascii="Arial" w:cs="Arial" w:eastAsia="Arial" w:hAnsi="Arial"/>
          <w:sz w:val="14"/>
          <w:szCs w:val="14"/>
          <w:color w:val="auto"/>
        </w:rPr>
        <w:t>For purposes of Mr. Bricker’s employment agreement, Good Reason shall mean any of the following actions are taken by the Company without his express written consent: (i) a material reduction of</w:t>
      </w:r>
    </w:p>
    <w:p>
      <w:pPr>
        <w:ind w:left="1160" w:right="1239"/>
        <w:spacing w:after="0" w:line="262" w:lineRule="auto"/>
        <w:rPr>
          <w:sz w:val="20"/>
          <w:szCs w:val="20"/>
          <w:color w:val="auto"/>
        </w:rPr>
      </w:pPr>
      <w:r>
        <w:rPr>
          <w:rFonts w:ascii="Arial" w:cs="Arial" w:eastAsia="Arial" w:hAnsi="Arial"/>
          <w:sz w:val="14"/>
          <w:szCs w:val="14"/>
          <w:color w:val="auto"/>
        </w:rPr>
        <w:t>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w:t>
      </w:r>
    </w:p>
    <w:p>
      <w:pPr>
        <w:ind w:left="1160" w:right="1219"/>
        <w:spacing w:after="0" w:line="267" w:lineRule="auto"/>
        <w:rPr>
          <w:sz w:val="20"/>
          <w:szCs w:val="20"/>
          <w:color w:val="auto"/>
        </w:rPr>
      </w:pPr>
      <w:r>
        <w:rPr>
          <w:rFonts w:ascii="Arial" w:cs="Arial" w:eastAsia="Arial" w:hAnsi="Arial"/>
          <w:sz w:val="14"/>
          <w:szCs w:val="14"/>
          <w:color w:val="auto"/>
        </w:rPr>
        <w:t>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 such notice, and Mr. Bricker shall have terminated his employment with the Company within ten days following the expiration of such remedial period.</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91"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In addition, subsequent to fiscal 2020,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Equity Compensation Plans</w:t>
      </w:r>
    </w:p>
    <w:p>
      <w:pPr>
        <w:spacing w:after="0" w:line="117" w:lineRule="exact"/>
        <w:rPr>
          <w:sz w:val="20"/>
          <w:szCs w:val="20"/>
          <w:color w:val="auto"/>
        </w:rPr>
      </w:pPr>
    </w:p>
    <w:p>
      <w:pPr>
        <w:jc w:val="both"/>
        <w:ind w:left="1160" w:right="1679" w:firstLine="293"/>
        <w:spacing w:after="0" w:line="239" w:lineRule="auto"/>
        <w:rPr>
          <w:sz w:val="20"/>
          <w:szCs w:val="20"/>
          <w:color w:val="auto"/>
        </w:rPr>
      </w:pPr>
      <w:r>
        <w:rPr>
          <w:rFonts w:ascii="Arial" w:cs="Arial" w:eastAsia="Arial" w:hAnsi="Arial"/>
          <w:sz w:val="15"/>
          <w:szCs w:val="15"/>
          <w:color w:val="auto"/>
        </w:rPr>
        <w:t>We currently maintain the SCA Acquisition Equity Plan. In connection with the Reorganization Transactions, all outstanding options to purchase SCA common stock were converted into options to purchase common stock.</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2021 Omnibus Incentive Plan</w:t>
      </w:r>
    </w:p>
    <w:p>
      <w:pPr>
        <w:spacing w:after="0" w:line="124" w:lineRule="exact"/>
        <w:rPr>
          <w:sz w:val="20"/>
          <w:szCs w:val="20"/>
          <w:color w:val="auto"/>
        </w:rPr>
      </w:pPr>
    </w:p>
    <w:p>
      <w:pPr>
        <w:ind w:left="1160" w:right="1219" w:firstLine="293"/>
        <w:spacing w:after="0" w:line="235" w:lineRule="auto"/>
        <w:rPr>
          <w:sz w:val="20"/>
          <w:szCs w:val="20"/>
          <w:color w:val="auto"/>
        </w:rPr>
      </w:pPr>
      <w:r>
        <w:rPr>
          <w:rFonts w:ascii="Arial" w:cs="Arial" w:eastAsia="Arial" w:hAnsi="Arial"/>
          <w:sz w:val="15"/>
          <w:szCs w:val="15"/>
          <w:color w:val="auto"/>
        </w:rPr>
        <w:t>In connection with our initial public offering, our board of directors adopted, and our stockholders approved, our 2021 Omnibus Incentive Plan (the “Omnibus Incentive Plan”), which became effective in connection with the consummation of our initial public offering. As a result, we will not issue additional options under the SCA Acquisition Equity Plan. This summary is qualified in its entirety by reference to the Omnibus Incentive Plan.</w:t>
      </w:r>
    </w:p>
    <w:p>
      <w:pPr>
        <w:spacing w:after="0" w:line="100"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The compensation committee of our board of directors administers the Omnibus</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The compensation committee has the authority to determine the terms and conditions of any agreements evidencing any awards granted under the Omnibus Incentive Plan and to adopt, alter and repeal rules, guidelines and practices relating to the Omnibus Incentive Plan. The compensation committee has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69" w:lineRule="exact"/>
        <w:rPr>
          <w:sz w:val="20"/>
          <w:szCs w:val="20"/>
          <w:color w:val="auto"/>
        </w:rPr>
      </w:pPr>
    </w:p>
    <w:p>
      <w:pPr>
        <w:ind w:left="1160" w:right="1239" w:firstLine="293"/>
        <w:spacing w:after="0" w:line="236"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Any current or prospective employees, directors, officers,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who are selected by the compensation committee will be eligible for awards under the Omnibus Incentive Plan. The compensation committee has the sole and complete authority to determine who will be granted an award under the Omnibus Incentive Plan.</w:t>
      </w:r>
    </w:p>
    <w:p>
      <w:pPr>
        <w:spacing w:after="0" w:line="102"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i w:val="1"/>
          <w:iCs w:val="1"/>
          <w:color w:val="auto"/>
        </w:rPr>
        <w:t>Number of Shares Authorized</w:t>
      </w:r>
      <w:r>
        <w:rPr>
          <w:rFonts w:ascii="Arial" w:cs="Arial" w:eastAsia="Arial" w:hAnsi="Arial"/>
          <w:sz w:val="15"/>
          <w:szCs w:val="15"/>
          <w:color w:val="auto"/>
        </w:rPr>
        <w:t>. Pursuant to the Omnibus Incentive Plan, we have reserved an aggregate</w:t>
      </w:r>
      <w:r>
        <w:rPr>
          <w:rFonts w:ascii="Arial" w:cs="Arial" w:eastAsia="Arial" w:hAnsi="Arial"/>
          <w:sz w:val="15"/>
          <w:szCs w:val="15"/>
          <w:i w:val="1"/>
          <w:iCs w:val="1"/>
          <w:color w:val="auto"/>
        </w:rPr>
        <w:t xml:space="preserve"> </w:t>
      </w:r>
      <w:r>
        <w:rPr>
          <w:rFonts w:ascii="Arial" w:cs="Arial" w:eastAsia="Arial" w:hAnsi="Arial"/>
          <w:sz w:val="15"/>
          <w:szCs w:val="15"/>
          <w:color w:val="auto"/>
        </w:rPr>
        <w:t>of 3,600,000 shares of our common stock for issuance of awards to be granted thereunder. No more than 3,600,000 shares of our common stock may be issued with respect to incentive stock options under the Omnibus Incentive Plan. The maximum grant date fair value of cash and equity awards that may be awarded to a non- employee director under the Omnibus Incentive Plan during any one fiscal year, taken together with any cash fees paid to such non-employee director during such fiscal year, will be $500,000, provided that the foregoing limitation will not apply to any awards issued to a non-employee director in respect of any one-time initial equity grant upon a non-employee director’s appointment to the board of directors. If any</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51" w:lineRule="auto"/>
        <w:rPr>
          <w:sz w:val="20"/>
          <w:szCs w:val="20"/>
          <w:color w:val="auto"/>
        </w:rPr>
      </w:pPr>
      <w:r>
        <w:rPr>
          <w:rFonts w:ascii="Arial" w:cs="Arial" w:eastAsia="Arial" w:hAnsi="Arial"/>
          <w:sz w:val="14"/>
          <w:szCs w:val="14"/>
          <w:color w:val="auto"/>
        </w:rPr>
        <w:t>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92" w:lineRule="exact"/>
        <w:rPr>
          <w:sz w:val="20"/>
          <w:szCs w:val="20"/>
          <w:color w:val="auto"/>
        </w:rPr>
      </w:pPr>
    </w:p>
    <w:p>
      <w:pPr>
        <w:ind w:left="1160" w:right="1179" w:firstLine="293"/>
        <w:spacing w:after="0" w:line="270" w:lineRule="auto"/>
        <w:rPr>
          <w:sz w:val="20"/>
          <w:szCs w:val="20"/>
          <w:color w:val="auto"/>
        </w:rPr>
      </w:pPr>
      <w:r>
        <w:rPr>
          <w:rFonts w:ascii="Arial" w:cs="Arial" w:eastAsia="Arial" w:hAnsi="Arial"/>
          <w:sz w:val="13"/>
          <w:szCs w:val="13"/>
          <w:i w:val="1"/>
          <w:iCs w:val="1"/>
          <w:color w:val="auto"/>
        </w:rPr>
        <w:t xml:space="preserve">Change in Capitalization. </w:t>
      </w:r>
      <w:r>
        <w:rPr>
          <w:rFonts w:ascii="Arial" w:cs="Arial" w:eastAsia="Arial" w:hAnsi="Arial"/>
          <w:sz w:val="13"/>
          <w:szCs w:val="13"/>
          <w:color w:val="auto"/>
        </w:rPr>
        <w:t>If there is a change in our capitalization in the event of a stock or</w:t>
      </w:r>
      <w:r>
        <w:rPr>
          <w:rFonts w:ascii="Arial" w:cs="Arial" w:eastAsia="Arial" w:hAnsi="Arial"/>
          <w:sz w:val="13"/>
          <w:szCs w:val="13"/>
          <w:i w:val="1"/>
          <w:iCs w:val="1"/>
          <w:color w:val="auto"/>
        </w:rPr>
        <w:t xml:space="preserve"> </w:t>
      </w:r>
      <w:r>
        <w:rPr>
          <w:rFonts w:ascii="Arial" w:cs="Arial" w:eastAsia="Arial" w:hAnsi="Arial"/>
          <w:sz w:val="13"/>
          <w:szCs w:val="13"/>
          <w:color w:val="auto"/>
        </w:rPr>
        <w:t>extraordinary cash dividend, recapitalization, stock 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237"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i w:val="1"/>
          <w:iCs w:val="1"/>
          <w:color w:val="auto"/>
        </w:rPr>
        <w:t xml:space="preserve">Awards Available for Grant. </w:t>
      </w:r>
      <w:r>
        <w:rPr>
          <w:rFonts w:ascii="Arial" w:cs="Arial" w:eastAsia="Arial" w:hAnsi="Arial"/>
          <w:sz w:val="14"/>
          <w:szCs w:val="14"/>
          <w:color w:val="auto"/>
        </w:rPr>
        <w:t>The compensation committee may grant awards of non-qualified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options, incentive (qualified) stock options, 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92"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compensation committee is authorized to grant options to purchase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that are either “qualified,” meaning they are intended to satisfy the requirements of Section 422 of 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jc w:val="both"/>
        <w:ind w:left="1160" w:right="1359"/>
        <w:spacing w:after="0" w:line="253" w:lineRule="auto"/>
        <w:rPr>
          <w:sz w:val="20"/>
          <w:szCs w:val="20"/>
          <w:color w:val="auto"/>
        </w:rPr>
      </w:pPr>
      <w:r>
        <w:rPr>
          <w:rFonts w:ascii="Arial" w:cs="Arial" w:eastAsia="Arial" w:hAnsi="Arial"/>
          <w:sz w:val="14"/>
          <w:szCs w:val="14"/>
          <w:color w:val="auto"/>
        </w:rPr>
        <w:t>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91"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The compensation committee is authorized to award SARs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83"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compensation committee is authorized to grant restricted stock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Omnibus 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90"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i w:val="1"/>
          <w:iCs w:val="1"/>
          <w:color w:val="auto"/>
        </w:rPr>
        <w:t xml:space="preserve">Restricted Stock Unit Awards. </w:t>
      </w:r>
      <w:r>
        <w:rPr>
          <w:rFonts w:ascii="Arial" w:cs="Arial" w:eastAsia="Arial" w:hAnsi="Arial"/>
          <w:sz w:val="14"/>
          <w:szCs w:val="14"/>
          <w:color w:val="auto"/>
        </w:rPr>
        <w:t>The compensation committee is authorized to grant restricted stock unit</w:t>
      </w:r>
      <w:r>
        <w:rPr>
          <w:rFonts w:ascii="Arial" w:cs="Arial" w:eastAsia="Arial" w:hAnsi="Arial"/>
          <w:sz w:val="14"/>
          <w:szCs w:val="14"/>
          <w:i w:val="1"/>
          <w:iCs w:val="1"/>
          <w:color w:val="auto"/>
        </w:rPr>
        <w:t xml:space="preserve"> </w:t>
      </w:r>
      <w:r>
        <w:rPr>
          <w:rFonts w:ascii="Arial" w:cs="Arial" w:eastAsia="Arial" w:hAnsi="Arial"/>
          <w:sz w:val="14"/>
          <w:szCs w:val="14"/>
          <w:color w:val="auto"/>
        </w:rPr>
        <w:t>awards, which will be subject to the 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97" w:lineRule="exact"/>
        <w:rPr>
          <w:sz w:val="20"/>
          <w:szCs w:val="20"/>
          <w:color w:val="auto"/>
        </w:rPr>
      </w:pPr>
    </w:p>
    <w:p>
      <w:pPr>
        <w:ind w:left="1160" w:right="1199" w:firstLine="293"/>
        <w:spacing w:after="0" w:line="234" w:lineRule="auto"/>
        <w:rPr>
          <w:sz w:val="20"/>
          <w:szCs w:val="20"/>
          <w:color w:val="auto"/>
        </w:rPr>
      </w:pPr>
      <w:r>
        <w:rPr>
          <w:rFonts w:ascii="Arial" w:cs="Arial" w:eastAsia="Arial" w:hAnsi="Arial"/>
          <w:sz w:val="15"/>
          <w:szCs w:val="15"/>
          <w:i w:val="1"/>
          <w:iCs w:val="1"/>
          <w:color w:val="auto"/>
        </w:rPr>
        <w:t xml:space="preserve">Other Stock-Based Awards and Other Cash-Based Awards. </w:t>
      </w:r>
      <w:r>
        <w:rPr>
          <w:rFonts w:ascii="Arial" w:cs="Arial" w:eastAsia="Arial" w:hAnsi="Arial"/>
          <w:sz w:val="15"/>
          <w:szCs w:val="15"/>
          <w:color w:val="auto"/>
        </w:rPr>
        <w:t>The compensation committee is authorized</w:t>
      </w:r>
      <w:r>
        <w:rPr>
          <w:rFonts w:ascii="Arial" w:cs="Arial" w:eastAsia="Arial" w:hAnsi="Arial"/>
          <w:sz w:val="15"/>
          <w:szCs w:val="15"/>
          <w:i w:val="1"/>
          <w:iCs w:val="1"/>
          <w:color w:val="auto"/>
        </w:rPr>
        <w:t xml:space="preserve"> </w:t>
      </w:r>
      <w:r>
        <w:rPr>
          <w:rFonts w:ascii="Arial" w:cs="Arial" w:eastAsia="Arial" w:hAnsi="Arial"/>
          <w:sz w:val="15"/>
          <w:szCs w:val="15"/>
          <w:color w:val="auto"/>
        </w:rPr>
        <w:t>to grant awards of unrestricted shares 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9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i w:val="1"/>
          <w:iCs w:val="1"/>
          <w:color w:val="auto"/>
        </w:rPr>
        <w:t xml:space="preserve">Effect of Termination of Service a Change in Control. </w:t>
      </w:r>
      <w:r>
        <w:rPr>
          <w:rFonts w:ascii="Arial" w:cs="Arial" w:eastAsia="Arial" w:hAnsi="Arial"/>
          <w:sz w:val="14"/>
          <w:szCs w:val="14"/>
          <w:color w:val="auto"/>
        </w:rPr>
        <w:t>To the extent permitted under Section 409A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Code, the compensation committee may 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 corporation or its parent; (ii) substitution by the surviving corporation or its parent of awards with</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48" w:lineRule="auto"/>
        <w:rPr>
          <w:sz w:val="20"/>
          <w:szCs w:val="20"/>
          <w:color w:val="auto"/>
        </w:rPr>
      </w:pPr>
      <w:r>
        <w:rPr>
          <w:rFonts w:ascii="Arial" w:cs="Arial" w:eastAsia="Arial" w:hAnsi="Arial"/>
          <w:sz w:val="14"/>
          <w:szCs w:val="14"/>
          <w:color w:val="auto"/>
        </w:rPr>
        <w:t>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97" w:lineRule="exact"/>
        <w:rPr>
          <w:sz w:val="20"/>
          <w:szCs w:val="20"/>
          <w:color w:val="auto"/>
        </w:rPr>
      </w:pPr>
    </w:p>
    <w:p>
      <w:pPr>
        <w:ind w:left="1160" w:right="1179" w:firstLine="293"/>
        <w:spacing w:after="0" w:line="255" w:lineRule="auto"/>
        <w:rPr>
          <w:sz w:val="20"/>
          <w:szCs w:val="20"/>
          <w:color w:val="auto"/>
        </w:rPr>
      </w:pPr>
      <w:r>
        <w:rPr>
          <w:rFonts w:ascii="Arial" w:cs="Arial" w:eastAsia="Arial" w:hAnsi="Arial"/>
          <w:sz w:val="14"/>
          <w:szCs w:val="14"/>
          <w:i w:val="1"/>
          <w:iCs w:val="1"/>
          <w:color w:val="auto"/>
        </w:rPr>
        <w:t xml:space="preserve">Nontransferability. </w:t>
      </w:r>
      <w:r>
        <w:rPr>
          <w:rFonts w:ascii="Arial" w:cs="Arial" w:eastAsia="Arial" w:hAnsi="Arial"/>
          <w:sz w:val="14"/>
          <w:szCs w:val="14"/>
          <w:color w:val="auto"/>
        </w:rPr>
        <w:t>Each award may be exercised during the participant’s lifetime by the participant</w:t>
      </w:r>
      <w:r>
        <w:rPr>
          <w:rFonts w:ascii="Arial" w:cs="Arial" w:eastAsia="Arial" w:hAnsi="Arial"/>
          <w:sz w:val="14"/>
          <w:szCs w:val="14"/>
          <w:i w:val="1"/>
          <w:iCs w:val="1"/>
          <w:color w:val="auto"/>
        </w:rPr>
        <w:t xml:space="preserve"> </w:t>
      </w:r>
      <w:r>
        <w:rPr>
          <w:rFonts w:ascii="Arial" w:cs="Arial" w:eastAsia="Arial" w:hAnsi="Arial"/>
          <w:sz w:val="14"/>
          <w:szCs w:val="14"/>
          <w:color w:val="auto"/>
        </w:rPr>
        <w:t>or, if permissible 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79"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i w:val="1"/>
          <w:iCs w:val="1"/>
          <w:color w:val="auto"/>
        </w:rPr>
        <w:t xml:space="preserve">Amendment. </w:t>
      </w:r>
      <w:r>
        <w:rPr>
          <w:rFonts w:ascii="Arial" w:cs="Arial" w:eastAsia="Arial" w:hAnsi="Arial"/>
          <w:sz w:val="15"/>
          <w:szCs w:val="15"/>
          <w:color w:val="auto"/>
        </w:rPr>
        <w:t>The Omnibus Incentive Plan has a term of ten years. The board of directors may amend,</w:t>
      </w:r>
      <w:r>
        <w:rPr>
          <w:rFonts w:ascii="Arial" w:cs="Arial" w:eastAsia="Arial" w:hAnsi="Arial"/>
          <w:sz w:val="15"/>
          <w:szCs w:val="15"/>
          <w:i w:val="1"/>
          <w:iCs w:val="1"/>
          <w:color w:val="auto"/>
        </w:rPr>
        <w:t xml:space="preserve"> </w:t>
      </w:r>
      <w:r>
        <w:rPr>
          <w:rFonts w:ascii="Arial" w:cs="Arial" w:eastAsia="Arial" w:hAnsi="Arial"/>
          <w:sz w:val="15"/>
          <w:szCs w:val="15"/>
          <w:color w:val="auto"/>
        </w:rPr>
        <w:t>suspend or terminate the Omnibus 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100"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4"/>
          <w:szCs w:val="14"/>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105"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i w:val="1"/>
          <w:iCs w:val="1"/>
          <w:color w:val="auto"/>
        </w:rPr>
        <w:t xml:space="preserve">Clawback/Forfeiture. </w:t>
      </w:r>
      <w:r>
        <w:rPr>
          <w:rFonts w:ascii="Arial" w:cs="Arial" w:eastAsia="Arial" w:hAnsi="Arial"/>
          <w:sz w:val="14"/>
          <w:szCs w:val="14"/>
          <w:color w:val="auto"/>
        </w:rPr>
        <w:t>Awards may be subject to clawback or forfeiture to the extent required by</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law (including, without limitation, 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77" w:lineRule="exact"/>
        <w:rPr>
          <w:sz w:val="20"/>
          <w:szCs w:val="20"/>
          <w:color w:val="auto"/>
        </w:rPr>
      </w:pPr>
    </w:p>
    <w:p>
      <w:pPr>
        <w:jc w:val="center"/>
        <w:ind w:right="-20"/>
        <w:spacing w:after="0"/>
        <w:tabs>
          <w:tab w:leader="none" w:pos="100" w:val="left"/>
        </w:tabs>
        <w:rPr>
          <w:sz w:val="20"/>
          <w:szCs w:val="20"/>
          <w:color w:val="auto"/>
        </w:rPr>
      </w:pPr>
      <w:r>
        <w:rPr>
          <w:rFonts w:ascii="Arial" w:cs="Arial" w:eastAsia="Arial" w:hAnsi="Arial"/>
          <w:sz w:val="15"/>
          <w:szCs w:val="15"/>
          <w:i w:val="1"/>
          <w:iCs w:val="1"/>
          <w:color w:val="auto"/>
        </w:rPr>
        <w:t>Whistleblower Acknowledgments</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Nothing in the Omnibus Incentive Plan or award agreement will</w:t>
      </w:r>
    </w:p>
    <w:p>
      <w:pPr>
        <w:spacing w:after="0" w:line="4" w:lineRule="exact"/>
        <w:rPr>
          <w:sz w:val="20"/>
          <w:szCs w:val="20"/>
          <w:color w:val="auto"/>
        </w:rPr>
      </w:pPr>
    </w:p>
    <w:p>
      <w:pPr>
        <w:ind w:left="1160" w:right="1319" w:firstLine="4"/>
        <w:spacing w:after="0" w:line="232" w:lineRule="auto"/>
        <w:tabs>
          <w:tab w:leader="none" w:pos="1347" w:val="left"/>
        </w:tabs>
        <w:numPr>
          <w:ilvl w:val="0"/>
          <w:numId w:val="72"/>
        </w:numPr>
        <w:rPr>
          <w:rFonts w:ascii="Arial" w:cs="Arial" w:eastAsia="Arial" w:hAnsi="Arial"/>
          <w:sz w:val="15"/>
          <w:szCs w:val="15"/>
          <w:color w:val="auto"/>
        </w:rPr>
      </w:pPr>
      <w:r>
        <w:rPr>
          <w:rFonts w:ascii="Arial" w:cs="Arial" w:eastAsia="Arial" w:hAnsi="Arial"/>
          <w:sz w:val="15"/>
          <w:szCs w:val="15"/>
          <w:color w:val="auto"/>
        </w:rPr>
        <w:t>prohibit a participant from making reports 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U.S. Federal Income Tax Consequences</w:t>
      </w:r>
    </w:p>
    <w:p>
      <w:pPr>
        <w:spacing w:after="0" w:line="124"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6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Holders of incentive stock options will generally incur no federal income tax liability</w:t>
      </w:r>
      <w:r>
        <w:rPr>
          <w:rFonts w:ascii="Arial" w:cs="Arial" w:eastAsia="Arial" w:hAnsi="Arial"/>
          <w:sz w:val="14"/>
          <w:szCs w:val="14"/>
          <w:i w:val="1"/>
          <w:iCs w:val="1"/>
          <w:color w:val="auto"/>
        </w:rPr>
        <w:t xml:space="preserve"> </w:t>
      </w:r>
      <w:r>
        <w:rPr>
          <w:rFonts w:ascii="Arial" w:cs="Arial" w:eastAsia="Arial" w:hAnsi="Arial"/>
          <w:sz w:val="14"/>
          <w:szCs w:val="14"/>
          <w:color w:val="auto"/>
        </w:rPr>
        <w:t>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w:t>
      </w:r>
    </w:p>
    <w:p>
      <w:pPr>
        <w:spacing w:after="0" w:line="5" w:lineRule="exact"/>
        <w:rPr>
          <w:sz w:val="20"/>
          <w:szCs w:val="20"/>
          <w:color w:val="auto"/>
        </w:rPr>
      </w:pPr>
    </w:p>
    <w:p>
      <w:pPr>
        <w:ind w:left="1160" w:right="1259"/>
        <w:spacing w:after="0" w:line="247" w:lineRule="auto"/>
        <w:rPr>
          <w:sz w:val="20"/>
          <w:szCs w:val="20"/>
          <w:color w:val="auto"/>
        </w:rPr>
      </w:pPr>
      <w:r>
        <w:rPr>
          <w:rFonts w:ascii="Arial" w:cs="Arial" w:eastAsia="Arial" w:hAnsi="Arial"/>
          <w:sz w:val="14"/>
          <w:szCs w:val="14"/>
          <w:color w:val="auto"/>
        </w:rPr>
        <w:t>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00"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00"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i w:val="1"/>
          <w:iCs w:val="1"/>
          <w:color w:val="auto"/>
        </w:rPr>
        <w:t xml:space="preserve">SARs </w:t>
      </w:r>
      <w:r>
        <w:rPr>
          <w:rFonts w:ascii="Arial" w:cs="Arial" w:eastAsia="Arial" w:hAnsi="Arial"/>
          <w:sz w:val="14"/>
          <w:szCs w:val="14"/>
          <w:color w:val="auto"/>
        </w:rPr>
        <w:t>. No income will be realized by a participant upon grant or vesting of a SAR. Upon the exercise</w:t>
      </w:r>
      <w:r>
        <w:rPr>
          <w:rFonts w:ascii="Arial" w:cs="Arial" w:eastAsia="Arial" w:hAnsi="Arial"/>
          <w:sz w:val="14"/>
          <w:szCs w:val="14"/>
          <w:i w:val="1"/>
          <w:iCs w:val="1"/>
          <w:color w:val="auto"/>
        </w:rPr>
        <w:t xml:space="preserve"> </w:t>
      </w:r>
      <w:r>
        <w:rPr>
          <w:rFonts w:ascii="Arial" w:cs="Arial" w:eastAsia="Arial" w:hAnsi="Arial"/>
          <w:sz w:val="14"/>
          <w:szCs w:val="14"/>
          <w:color w:val="auto"/>
        </w:rPr>
        <w:t>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7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A participant will not be subject to tax upon the grant of an award of restricted stock</w:t>
      </w:r>
      <w:r>
        <w:rPr>
          <w:rFonts w:ascii="Arial" w:cs="Arial" w:eastAsia="Arial" w:hAnsi="Arial"/>
          <w:sz w:val="14"/>
          <w:szCs w:val="14"/>
          <w:i w:val="1"/>
          <w:iCs w:val="1"/>
          <w:color w:val="auto"/>
        </w:rPr>
        <w:t xml:space="preserve"> </w:t>
      </w:r>
      <w:r>
        <w:rPr>
          <w:rFonts w:ascii="Arial" w:cs="Arial" w:eastAsia="Arial" w:hAnsi="Arial"/>
          <w:sz w:val="14"/>
          <w:szCs w:val="14"/>
          <w:color w:val="auto"/>
        </w:rPr>
        <w:t>unless the 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49" w:lineRule="auto"/>
        <w:rPr>
          <w:sz w:val="20"/>
          <w:szCs w:val="20"/>
          <w:color w:val="auto"/>
        </w:rPr>
      </w:pPr>
      <w:r>
        <w:rPr>
          <w:rFonts w:ascii="Arial" w:cs="Arial" w:eastAsia="Arial" w:hAnsi="Arial"/>
          <w:sz w:val="15"/>
          <w:szCs w:val="15"/>
          <w:color w:val="auto"/>
        </w:rPr>
        <w:t>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05"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A participant will not be subject to tax upon the grant or vesting of a restricted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98"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i w:val="1"/>
          <w:iCs w:val="1"/>
          <w:color w:val="auto"/>
        </w:rPr>
        <w:t xml:space="preserve">Section 162(m). </w:t>
      </w:r>
      <w:r>
        <w:rPr>
          <w:rFonts w:ascii="Arial" w:cs="Arial" w:eastAsia="Arial" w:hAnsi="Arial"/>
          <w:sz w:val="14"/>
          <w:szCs w:val="14"/>
          <w:color w:val="auto"/>
        </w:rPr>
        <w:t>In general, Section 162(m) of the Code denies a publicly held corporation a deduction</w:t>
      </w:r>
      <w:r>
        <w:rPr>
          <w:rFonts w:ascii="Arial" w:cs="Arial" w:eastAsia="Arial" w:hAnsi="Arial"/>
          <w:sz w:val="14"/>
          <w:szCs w:val="14"/>
          <w:i w:val="1"/>
          <w:iCs w:val="1"/>
          <w:color w:val="auto"/>
        </w:rPr>
        <w:t xml:space="preserve"> </w:t>
      </w:r>
      <w:r>
        <w:rPr>
          <w:rFonts w:ascii="Arial" w:cs="Arial" w:eastAsia="Arial" w:hAnsi="Arial"/>
          <w:sz w:val="14"/>
          <w:szCs w:val="14"/>
          <w:color w:val="auto"/>
        </w:rPr>
        <w:t>for U.S. federal income tax purposes for 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w:t>
      </w:r>
    </w:p>
    <w:p>
      <w:pPr>
        <w:spacing w:after="0" w:line="1" w:lineRule="exact"/>
        <w:rPr>
          <w:sz w:val="20"/>
          <w:szCs w:val="20"/>
          <w:color w:val="auto"/>
        </w:rPr>
      </w:pPr>
    </w:p>
    <w:p>
      <w:pPr>
        <w:ind w:left="1160" w:right="1219"/>
        <w:spacing w:after="0" w:line="265" w:lineRule="auto"/>
        <w:rPr>
          <w:sz w:val="20"/>
          <w:szCs w:val="20"/>
          <w:color w:val="auto"/>
        </w:rPr>
      </w:pPr>
      <w:r>
        <w:rPr>
          <w:rFonts w:ascii="Arial" w:cs="Arial" w:eastAsia="Arial" w:hAnsi="Arial"/>
          <w:sz w:val="14"/>
          <w:szCs w:val="14"/>
          <w:color w:val="auto"/>
        </w:rPr>
        <w:t>Section 162(m) may provide us, as a new publicly traded company, transition relief from the $1,000,000 deduction limitation until our first stockholders meeting at which directors are elected in the year that is three years following the closing of our initial public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Director Compensation</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2020 Director Compensation</w:t>
      </w:r>
    </w:p>
    <w:p>
      <w:pPr>
        <w:spacing w:after="0" w:line="124"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During 2020, none of the members of our board of directors received any compensation from the Company for their services on the board, except as set forth below.</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Fees Earned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16"/>
        </w:trPr>
        <w:tc>
          <w:tcPr>
            <w:tcW w:w="2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3"/>
          </w:tcPr>
          <w:p>
            <w:pPr>
              <w:ind w:left="60"/>
              <w:spacing w:after="0" w:line="117" w:lineRule="exact"/>
              <w:rPr>
                <w:sz w:val="20"/>
                <w:szCs w:val="20"/>
                <w:color w:val="auto"/>
              </w:rPr>
            </w:pPr>
            <w:r>
              <w:rPr>
                <w:rFonts w:ascii="Arial" w:cs="Arial" w:eastAsia="Arial" w:hAnsi="Arial"/>
                <w:sz w:val="12"/>
                <w:szCs w:val="12"/>
                <w:b w:val="1"/>
                <w:bCs w:val="1"/>
                <w:color w:val="auto"/>
              </w:rPr>
              <w:t>or Paid in</w:t>
            </w:r>
          </w:p>
        </w:tc>
        <w:tc>
          <w:tcPr>
            <w:tcW w:w="160" w:type="dxa"/>
            <w:vAlign w:val="bottom"/>
          </w:tcPr>
          <w:p>
            <w:pPr>
              <w:spacing w:after="0"/>
              <w:rPr>
                <w:sz w:val="10"/>
                <w:szCs w:val="10"/>
                <w:color w:val="auto"/>
              </w:rPr>
            </w:pPr>
          </w:p>
        </w:tc>
        <w:tc>
          <w:tcPr>
            <w:tcW w:w="640" w:type="dxa"/>
            <w:vAlign w:val="bottom"/>
            <w:gridSpan w:val="2"/>
          </w:tcPr>
          <w:p>
            <w:pPr>
              <w:jc w:val="center"/>
              <w:ind w:right="360"/>
              <w:spacing w:after="0" w:line="117" w:lineRule="exact"/>
              <w:rPr>
                <w:sz w:val="20"/>
                <w:szCs w:val="20"/>
                <w:color w:val="auto"/>
              </w:rPr>
            </w:pPr>
            <w:r>
              <w:rPr>
                <w:rFonts w:ascii="Arial" w:cs="Arial" w:eastAsia="Arial" w:hAnsi="Arial"/>
                <w:sz w:val="12"/>
                <w:szCs w:val="12"/>
                <w:b w:val="1"/>
                <w:bCs w:val="1"/>
                <w:color w:val="auto"/>
                <w:w w:val="85"/>
              </w:rPr>
              <w:t>Stock</w:t>
            </w:r>
          </w:p>
        </w:tc>
        <w:tc>
          <w:tcPr>
            <w:tcW w:w="680" w:type="dxa"/>
            <w:vAlign w:val="bottom"/>
            <w:gridSpan w:val="3"/>
          </w:tcPr>
          <w:p>
            <w:pPr>
              <w:ind w:left="80"/>
              <w:spacing w:after="0" w:line="117" w:lineRule="exact"/>
              <w:rPr>
                <w:sz w:val="20"/>
                <w:szCs w:val="20"/>
                <w:color w:val="auto"/>
              </w:rPr>
            </w:pPr>
            <w:r>
              <w:rPr>
                <w:rFonts w:ascii="Arial" w:cs="Arial" w:eastAsia="Arial" w:hAnsi="Arial"/>
                <w:sz w:val="12"/>
                <w:szCs w:val="12"/>
                <w:b w:val="1"/>
                <w:bCs w:val="1"/>
                <w:color w:val="auto"/>
              </w:rPr>
              <w:t>Option</w:t>
            </w:r>
          </w:p>
        </w:tc>
        <w:tc>
          <w:tcPr>
            <w:tcW w:w="1140" w:type="dxa"/>
            <w:vAlign w:val="bottom"/>
            <w:gridSpan w:val="3"/>
          </w:tcPr>
          <w:p>
            <w:pPr>
              <w:jc w:val="center"/>
              <w:ind w:right="200"/>
              <w:spacing w:after="0" w:line="117" w:lineRule="exact"/>
              <w:rPr>
                <w:sz w:val="20"/>
                <w:szCs w:val="20"/>
                <w:color w:val="auto"/>
              </w:rPr>
            </w:pPr>
            <w:r>
              <w:rPr>
                <w:rFonts w:ascii="Arial" w:cs="Arial" w:eastAsia="Arial" w:hAnsi="Arial"/>
                <w:sz w:val="12"/>
                <w:szCs w:val="12"/>
                <w:b w:val="1"/>
                <w:bCs w:val="1"/>
                <w:color w:val="auto"/>
                <w:w w:val="90"/>
              </w:rPr>
              <w:t>All Other</w:t>
            </w:r>
          </w:p>
        </w:tc>
        <w:tc>
          <w:tcPr>
            <w:tcW w:w="500" w:type="dxa"/>
            <w:vAlign w:val="bottom"/>
          </w:tcPr>
          <w:p>
            <w:pPr>
              <w:spacing w:after="0"/>
              <w:rPr>
                <w:sz w:val="10"/>
                <w:szCs w:val="10"/>
                <w:color w:val="auto"/>
              </w:rPr>
            </w:pPr>
          </w:p>
        </w:tc>
      </w:tr>
      <w:tr>
        <w:trPr>
          <w:trHeight w:val="198"/>
        </w:trPr>
        <w:tc>
          <w:tcPr>
            <w:tcW w:w="258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88"/>
              </w:rPr>
              <w:t>Cash ($)</w:t>
            </w:r>
            <w:r>
              <w:rPr>
                <w:rFonts w:ascii="Arial" w:cs="Arial" w:eastAsia="Arial" w:hAnsi="Arial"/>
                <w:sz w:val="17"/>
                <w:szCs w:val="17"/>
                <w:b w:val="1"/>
                <w:bCs w:val="1"/>
                <w:color w:val="auto"/>
                <w:w w:val="88"/>
                <w:vertAlign w:val="superscript"/>
              </w:rPr>
              <w:t>(1)</w:t>
            </w:r>
          </w:p>
        </w:tc>
        <w:tc>
          <w:tcPr>
            <w:tcW w:w="180" w:type="dxa"/>
            <w:vAlign w:val="bottom"/>
          </w:tcPr>
          <w:p>
            <w:pPr>
              <w:spacing w:after="0"/>
              <w:rPr>
                <w:sz w:val="17"/>
                <w:szCs w:val="17"/>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2"/>
              </w:rPr>
              <w:t>Awards ($)</w:t>
            </w:r>
            <w:r>
              <w:rPr>
                <w:rFonts w:ascii="Arial" w:cs="Arial" w:eastAsia="Arial" w:hAnsi="Arial"/>
                <w:sz w:val="17"/>
                <w:szCs w:val="17"/>
                <w:b w:val="1"/>
                <w:bCs w:val="1"/>
                <w:color w:val="auto"/>
                <w:w w:val="82"/>
                <w:vertAlign w:val="superscript"/>
              </w:rPr>
              <w:t>(2)</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Awards</w:t>
            </w:r>
            <w:r>
              <w:rPr>
                <w:rFonts w:ascii="Arial" w:cs="Arial" w:eastAsia="Arial" w:hAnsi="Arial"/>
                <w:sz w:val="17"/>
                <w:szCs w:val="17"/>
                <w:b w:val="1"/>
                <w:bCs w:val="1"/>
                <w:color w:val="auto"/>
                <w:vertAlign w:val="superscript"/>
              </w:rPr>
              <w:t>(2)</w:t>
            </w:r>
          </w:p>
        </w:tc>
        <w:tc>
          <w:tcPr>
            <w:tcW w:w="114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1"/>
              </w:rPr>
              <w:t>Compensation ($)</w:t>
            </w:r>
            <w:r>
              <w:rPr>
                <w:rFonts w:ascii="Arial" w:cs="Arial" w:eastAsia="Arial" w:hAnsi="Arial"/>
                <w:sz w:val="17"/>
                <w:szCs w:val="17"/>
                <w:b w:val="1"/>
                <w:bCs w:val="1"/>
                <w:color w:val="auto"/>
                <w:w w:val="81"/>
                <w:vertAlign w:val="superscript"/>
              </w:rPr>
              <w:t>(3)</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85"/>
              </w:rPr>
              <w:t>Total ($)</w:t>
            </w:r>
          </w:p>
        </w:tc>
      </w:tr>
      <w:tr>
        <w:trPr>
          <w:trHeight w:val="20"/>
        </w:trPr>
        <w:tc>
          <w:tcPr>
            <w:tcW w:w="2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11"/>
        </w:trPr>
        <w:tc>
          <w:tcPr>
            <w:tcW w:w="2580" w:type="dxa"/>
            <w:vAlign w:val="bottom"/>
            <w:shd w:val="clear" w:color="auto" w:fill="CCEEFF"/>
          </w:tcPr>
          <w:p>
            <w:pPr>
              <w:spacing w:after="0" w:line="211" w:lineRule="exact"/>
              <w:rPr>
                <w:sz w:val="20"/>
                <w:szCs w:val="20"/>
                <w:color w:val="auto"/>
              </w:rPr>
            </w:pPr>
            <w:r>
              <w:rPr>
                <w:rFonts w:ascii="Arial" w:cs="Arial" w:eastAsia="Arial" w:hAnsi="Arial"/>
                <w:sz w:val="15"/>
                <w:szCs w:val="15"/>
                <w:color w:val="auto"/>
              </w:rPr>
              <w:t>David Siegel</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95"/>
              </w:rPr>
              <w:t>$60,000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7"/>
              <w:spacing w:after="0"/>
              <w:rPr>
                <w:sz w:val="20"/>
                <w:szCs w:val="20"/>
                <w:color w:val="auto"/>
              </w:rPr>
            </w:pPr>
            <w:r>
              <w:rPr>
                <w:rFonts w:ascii="Arial" w:cs="Arial" w:eastAsia="Arial" w:hAnsi="Arial"/>
                <w:sz w:val="15"/>
                <w:szCs w:val="15"/>
                <w:color w:val="auto"/>
              </w:rPr>
              <w:t>$2,458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$62,458</w:t>
            </w:r>
          </w:p>
        </w:tc>
      </w:tr>
      <w:tr>
        <w:trPr>
          <w:trHeight w:val="209"/>
        </w:trPr>
        <w:tc>
          <w:tcPr>
            <w:tcW w:w="2760" w:type="dxa"/>
            <w:vAlign w:val="bottom"/>
            <w:gridSpan w:val="2"/>
          </w:tcPr>
          <w:p>
            <w:pPr>
              <w:spacing w:after="0"/>
              <w:rPr>
                <w:sz w:val="20"/>
                <w:szCs w:val="20"/>
                <w:color w:val="auto"/>
              </w:rPr>
            </w:pPr>
            <w:r>
              <w:rPr>
                <w:rFonts w:ascii="Arial" w:cs="Arial" w:eastAsia="Arial" w:hAnsi="Arial"/>
                <w:sz w:val="15"/>
                <w:szCs w:val="15"/>
                <w:color w:val="auto"/>
              </w:rPr>
              <w:t>Juan Carlos ZuaZua</w:t>
            </w:r>
          </w:p>
        </w:tc>
        <w:tc>
          <w:tcPr>
            <w:tcW w:w="620" w:type="dxa"/>
            <w:vAlign w:val="bottom"/>
            <w:gridSpan w:val="2"/>
          </w:tcPr>
          <w:p>
            <w:pPr>
              <w:jc w:val="right"/>
              <w:ind w:right="7"/>
              <w:spacing w:after="0"/>
              <w:rPr>
                <w:sz w:val="20"/>
                <w:szCs w:val="20"/>
                <w:color w:val="auto"/>
              </w:rPr>
            </w:pPr>
            <w:r>
              <w:rPr>
                <w:rFonts w:ascii="Arial" w:cs="Arial" w:eastAsia="Arial" w:hAnsi="Arial"/>
                <w:sz w:val="15"/>
                <w:szCs w:val="15"/>
                <w:color w:val="auto"/>
                <w:w w:val="95"/>
              </w:rPr>
              <w:t>$50,000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w w:val="82"/>
              </w:rPr>
              <w:t>38,743</w:t>
            </w:r>
          </w:p>
        </w:tc>
        <w:tc>
          <w:tcPr>
            <w:tcW w:w="460" w:type="dxa"/>
            <w:vAlign w:val="bottom"/>
          </w:tcPr>
          <w:p>
            <w:pPr>
              <w:jc w:val="right"/>
              <w:ind w:right="33"/>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500" w:type="dxa"/>
            <w:vAlign w:val="bottom"/>
          </w:tcPr>
          <w:p>
            <w:pPr>
              <w:jc w:val="center"/>
              <w:spacing w:after="0"/>
              <w:rPr>
                <w:sz w:val="20"/>
                <w:szCs w:val="20"/>
                <w:color w:val="auto"/>
              </w:rPr>
            </w:pPr>
            <w:r>
              <w:rPr>
                <w:rFonts w:ascii="Arial" w:cs="Arial" w:eastAsia="Arial" w:hAnsi="Arial"/>
                <w:sz w:val="15"/>
                <w:szCs w:val="15"/>
                <w:color w:val="auto"/>
                <w:w w:val="88"/>
              </w:rPr>
              <w:t>$88,743</w:t>
            </w:r>
          </w:p>
        </w:tc>
      </w:tr>
      <w:tr>
        <w:trPr>
          <w:trHeight w:val="209"/>
        </w:trPr>
        <w:tc>
          <w:tcPr>
            <w:tcW w:w="2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Kerry Philipovitch</w:t>
            </w:r>
          </w:p>
        </w:tc>
        <w:tc>
          <w:tcPr>
            <w:tcW w:w="26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9"/>
              </w:rPr>
              <w:t>$49,987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$49,987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-410845</wp:posOffset>
            </wp:positionV>
            <wp:extent cx="11176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-410845</wp:posOffset>
            </wp:positionV>
            <wp:extent cx="111760"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-410845</wp:posOffset>
            </wp:positionV>
            <wp:extent cx="11176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-410845</wp:posOffset>
            </wp:positionV>
            <wp:extent cx="11176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-410845</wp:posOffset>
            </wp:positionV>
            <wp:extent cx="11176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0" w:lineRule="exact"/>
        <w:rPr>
          <w:sz w:val="20"/>
          <w:szCs w:val="20"/>
          <w:color w:val="auto"/>
        </w:rPr>
      </w:pPr>
    </w:p>
    <w:p>
      <w:pPr>
        <w:ind w:left="1460" w:right="1579" w:hanging="296"/>
        <w:spacing w:after="0" w:line="299" w:lineRule="auto"/>
        <w:tabs>
          <w:tab w:leader="none" w:pos="14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This reflects an annual cash retainer amount. Ms. Philipovitch joined our board of directors in December 2020 and beginning fiscal year 2021, her annual cash retainer amount will be $50,000.</w:t>
      </w:r>
    </w:p>
    <w:p>
      <w:pPr>
        <w:spacing w:after="0" w:line="1" w:lineRule="exact"/>
        <w:rPr>
          <w:rFonts w:ascii="Arial" w:cs="Arial" w:eastAsia="Arial" w:hAnsi="Arial"/>
          <w:sz w:val="13"/>
          <w:szCs w:val="13"/>
          <w:color w:val="auto"/>
        </w:rPr>
      </w:pPr>
    </w:p>
    <w:p>
      <w:pPr>
        <w:ind w:left="1460" w:right="1219" w:hanging="296"/>
        <w:spacing w:after="0" w:line="236" w:lineRule="auto"/>
        <w:tabs>
          <w:tab w:leader="none" w:pos="1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each award granted in 2020. In 2020, Mr. ZuaZua was granted an option award to purchase 4,722 shares of common stock which was fully vested on the date of grant and Ms. Philipovitch was granted a fully vested award of 2,889 shares of common stock. In addition, in 2019, Mr. Siegel was granted a one-time fully vested award of 56,665 shares of SCA common stock as compensation for certain diligence services in connection with our acquisition by the Apollo Funds and Mr. ZuaZua was granted an award of options to purchase 4,722 shares of SCA common stock, which fully vested on April 17, 2020.</w:t>
      </w:r>
    </w:p>
    <w:p>
      <w:pPr>
        <w:spacing w:after="0" w:line="23" w:lineRule="exact"/>
        <w:rPr>
          <w:rFonts w:ascii="Arial" w:cs="Arial" w:eastAsia="Arial" w:hAnsi="Arial"/>
          <w:sz w:val="14"/>
          <w:szCs w:val="14"/>
          <w:color w:val="auto"/>
        </w:rPr>
      </w:pPr>
    </w:p>
    <w:p>
      <w:pPr>
        <w:ind w:left="1460" w:right="1239" w:hanging="296"/>
        <w:spacing w:after="0" w:line="229" w:lineRule="auto"/>
        <w:tabs>
          <w:tab w:leader="none" w:pos="1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amounts under “All Other Compensation” represent the Company’s contributions in respect of life insurance and our 401(k) Plan. The value of this benefit is reported as taxable income with taxes on such income paid for by the Company.</w:t>
      </w:r>
    </w:p>
    <w:p>
      <w:pPr>
        <w:spacing w:after="0" w:line="22" w:lineRule="exact"/>
        <w:rPr>
          <w:rFonts w:ascii="Arial" w:cs="Arial" w:eastAsia="Arial" w:hAnsi="Arial"/>
          <w:sz w:val="15"/>
          <w:szCs w:val="15"/>
          <w:color w:val="auto"/>
        </w:rPr>
      </w:pPr>
    </w:p>
    <w:p>
      <w:pPr>
        <w:ind w:left="1460" w:right="1179" w:hanging="296"/>
        <w:spacing w:after="0" w:line="267" w:lineRule="auto"/>
        <w:tabs>
          <w:tab w:leader="none" w:pos="1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addition, upon his termination of service without cause, Mr. Siegel shall be eligible to receive certain Post Termination Health Care Benefits, as approved by our board of directors on March 6, 2021.</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28"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Other than compensation arrangements for our executive officers and directors (see “</w:t>
      </w:r>
      <w:r>
        <w:rPr>
          <w:rFonts w:ascii="Arial" w:cs="Arial" w:eastAsia="Arial" w:hAnsi="Arial"/>
          <w:sz w:val="15"/>
          <w:szCs w:val="15"/>
          <w:i w:val="1"/>
          <w:iCs w:val="1"/>
          <w:color w:val="auto"/>
        </w:rPr>
        <w:t>Executive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 for a discussion of compensation arrangements for our named executive officers and</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the transactions discussed below, there were no transactions, to which we were a party or will be a party, in which:</w:t>
      </w:r>
    </w:p>
    <w:p>
      <w:pPr>
        <w:spacing w:after="0" w:line="69" w:lineRule="exact"/>
        <w:rPr>
          <w:sz w:val="20"/>
          <w:szCs w:val="20"/>
          <w:color w:val="auto"/>
        </w:rPr>
      </w:pPr>
    </w:p>
    <w:p>
      <w:pPr>
        <w:ind w:left="1600" w:hanging="143"/>
        <w:spacing w:after="0"/>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91" w:lineRule="exact"/>
        <w:rPr>
          <w:rFonts w:ascii="Arial" w:cs="Arial" w:eastAsia="Arial" w:hAnsi="Arial"/>
          <w:sz w:val="15"/>
          <w:szCs w:val="15"/>
          <w:color w:val="auto"/>
        </w:rPr>
      </w:pPr>
    </w:p>
    <w:p>
      <w:pPr>
        <w:jc w:val="both"/>
        <w:ind w:left="1600" w:right="1619" w:hanging="143"/>
        <w:spacing w:after="0" w:line="254" w:lineRule="auto"/>
        <w:tabs>
          <w:tab w:leader="none" w:pos="1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capital stock, or any member of the immediate family of the foregoing persons, had or will have a direct or indirect material interest.</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17"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02" w:lineRule="exact"/>
        <w:rPr>
          <w:sz w:val="20"/>
          <w:szCs w:val="20"/>
          <w:color w:val="auto"/>
        </w:rPr>
      </w:pPr>
    </w:p>
    <w:p>
      <w:pPr>
        <w:ind w:left="1160" w:right="1179" w:firstLine="293"/>
        <w:spacing w:after="0" w:line="252" w:lineRule="auto"/>
        <w:rPr>
          <w:sz w:val="20"/>
          <w:szCs w:val="20"/>
          <w:color w:val="auto"/>
        </w:rPr>
      </w:pPr>
      <w:r>
        <w:rPr>
          <w:rFonts w:ascii="Arial" w:cs="Arial" w:eastAsia="Arial" w:hAnsi="Arial"/>
          <w:sz w:val="14"/>
          <w:szCs w:val="14"/>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80" w:lineRule="exact"/>
        <w:rPr>
          <w:sz w:val="20"/>
          <w:szCs w:val="20"/>
          <w:color w:val="auto"/>
        </w:rPr>
      </w:pPr>
    </w:p>
    <w:p>
      <w:pPr>
        <w:ind w:left="1160" w:right="1219" w:firstLine="293"/>
        <w:spacing w:after="0" w:line="273" w:lineRule="auto"/>
        <w:rPr>
          <w:sz w:val="20"/>
          <w:szCs w:val="20"/>
          <w:color w:val="auto"/>
        </w:rPr>
      </w:pPr>
      <w:r>
        <w:rPr>
          <w:rFonts w:ascii="Arial" w:cs="Arial" w:eastAsia="Arial" w:hAnsi="Arial"/>
          <w:sz w:val="13"/>
          <w:szCs w:val="13"/>
          <w:color w:val="auto"/>
        </w:rPr>
        <w:t>The policy requires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79"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The Reorganization Transactions</w:t>
      </w:r>
    </w:p>
    <w:p>
      <w:pPr>
        <w:spacing w:after="0" w:line="128"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95"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79"/>
        <w:spacing w:after="0" w:line="235" w:lineRule="auto"/>
        <w:rPr>
          <w:sz w:val="20"/>
          <w:szCs w:val="20"/>
          <w:color w:val="auto"/>
        </w:rPr>
      </w:pPr>
      <w:r>
        <w:rPr>
          <w:rFonts w:ascii="Arial" w:cs="Arial" w:eastAsia="Arial" w:hAnsi="Arial"/>
          <w:sz w:val="15"/>
          <w:szCs w:val="15"/>
          <w:color w:val="auto"/>
        </w:rPr>
        <w:t>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100"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In this prospectus, we refer to the transactions described above as the “Reorganization Transactions.”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Transactions with Executive Officers and Directors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On April 11, 2018, Jude Bricker, our Chief Executive Officer and a director, purchased 1,227,759</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shares of SCA common stock at a purchase price of $5.30 per share. In addition, Mr. Bricker borrowed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$2,500,000 from SCA Acquisition Holdings, LLC pursuant to a promissory note issued on April 20, 2018.</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loan was repaid in full in February 2021.</w:t>
      </w:r>
    </w:p>
    <w:p>
      <w:pPr>
        <w:spacing w:after="0" w:line="101" w:lineRule="exact"/>
        <w:rPr>
          <w:sz w:val="20"/>
          <w:szCs w:val="20"/>
          <w:color w:val="auto"/>
        </w:rPr>
      </w:pPr>
    </w:p>
    <w:p>
      <w:pPr>
        <w:ind w:left="1160" w:right="1319" w:firstLine="293"/>
        <w:spacing w:after="0" w:line="234" w:lineRule="auto"/>
        <w:rPr>
          <w:sz w:val="20"/>
          <w:szCs w:val="20"/>
          <w:color w:val="auto"/>
        </w:rPr>
      </w:pPr>
      <w:r>
        <w:rPr>
          <w:rFonts w:ascii="Arial" w:cs="Arial" w:eastAsia="Arial" w:hAnsi="Arial"/>
          <w:sz w:val="15"/>
          <w:szCs w:val="15"/>
          <w:color w:val="auto"/>
        </w:rPr>
        <w:t>On April 11, 2018, David Siegel, our Chairman and a director, purchased 188,886 shares of SCA common stock at a purchase price of $5.30 per share. In addition, Mr. Siegel borrowed $1,000,000 from SCA Acquisition Holdings, LLC pursuant to a promissory note issued on April 20, 2018. The loan was repaid in full in February 2021. On August 1, 2019, SCA Acquisition Holdings, LLC issued 56,665 shares of SCA common stock to Mr. Siegel as compensation for certain diligence services in connection with our acquisition by the Apollo Funds.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EETC Financing</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An affiliate of Apollo, Apollo Global Securities, LLC, acted as co-manager in connection with the</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2019-1 EETC financing and received customary placement agent fees of approximately $198,870.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Initial Public Offering</w:t>
      </w:r>
    </w:p>
    <w:p>
      <w:pPr>
        <w:spacing w:after="0" w:line="128"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An affiliate of Apollo, Apollo Global Securities, LLC, was an underwriter in our initial public offering and received underwriting discounts and commissions in connection with our initial public offering of approximately $1.0 million.</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Secondary Offering</w:t>
      </w:r>
    </w:p>
    <w:p>
      <w:pPr>
        <w:spacing w:after="0" w:line="128" w:lineRule="exact"/>
        <w:rPr>
          <w:sz w:val="20"/>
          <w:szCs w:val="20"/>
          <w:color w:val="auto"/>
        </w:rPr>
      </w:pPr>
    </w:p>
    <w:p>
      <w:pPr>
        <w:jc w:val="both"/>
        <w:ind w:left="1160" w:right="1379" w:firstLine="293"/>
        <w:spacing w:after="0" w:line="264" w:lineRule="auto"/>
        <w:rPr>
          <w:sz w:val="20"/>
          <w:szCs w:val="20"/>
          <w:color w:val="auto"/>
        </w:rPr>
      </w:pPr>
      <w:r>
        <w:rPr>
          <w:rFonts w:ascii="Arial" w:cs="Arial" w:eastAsia="Arial" w:hAnsi="Arial"/>
          <w:sz w:val="14"/>
          <w:szCs w:val="14"/>
          <w:color w:val="auto"/>
        </w:rPr>
        <w:t>An affiliate of Apollo, Apollo Global Securities, LLC, was an underwriter in a secondary offering of our common stock by the Apollo Stockholder, which closed on May 24, 2021, and received underwriting discounts and commissions in connection with such offering of approximately $704,727.</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This Offering</w:t>
      </w:r>
    </w:p>
    <w:p>
      <w:pPr>
        <w:spacing w:after="0" w:line="117" w:lineRule="exact"/>
        <w:rPr>
          <w:sz w:val="20"/>
          <w:szCs w:val="20"/>
          <w:color w:val="auto"/>
        </w:rPr>
      </w:pPr>
    </w:p>
    <w:p>
      <w:pPr>
        <w:ind w:left="1160" w:right="1639" w:firstLine="293"/>
        <w:spacing w:after="0" w:line="300" w:lineRule="auto"/>
        <w:rPr>
          <w:sz w:val="20"/>
          <w:szCs w:val="20"/>
          <w:color w:val="auto"/>
        </w:rPr>
      </w:pPr>
      <w:r>
        <w:rPr>
          <w:rFonts w:ascii="Arial" w:cs="Arial" w:eastAsia="Arial" w:hAnsi="Arial"/>
          <w:sz w:val="14"/>
          <w:szCs w:val="14"/>
          <w:color w:val="auto"/>
        </w:rPr>
        <w:t>An affiliate of Apollo, Apollo Global Securities, LLC, is an underwriter in this offering and will receive a portion of the underwriting discounts and commissions in connection with this offering.</w:t>
      </w:r>
    </w:p>
    <w:p>
      <w:pPr>
        <w:spacing w:after="0" w:line="70"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As more fully discussed in “</w:t>
      </w:r>
      <w:r>
        <w:rPr>
          <w:rFonts w:ascii="Arial" w:cs="Arial" w:eastAsia="Arial" w:hAnsi="Arial"/>
          <w:sz w:val="14"/>
          <w:szCs w:val="14"/>
          <w:i w:val="1"/>
          <w:iCs w:val="1"/>
          <w:color w:val="auto"/>
        </w:rPr>
        <w:t>Underwriting (Conflict of Interest)—Conflict of Interest,</w:t>
      </w:r>
      <w:r>
        <w:rPr>
          <w:rFonts w:ascii="Arial" w:cs="Arial" w:eastAsia="Arial" w:hAnsi="Arial"/>
          <w:sz w:val="14"/>
          <w:szCs w:val="14"/>
          <w:color w:val="auto"/>
        </w:rPr>
        <w:t>” because affiliates of Apollo own in excess of 10% of our outstanding shares prior to the consummation of this offering, Apollo Global Securities, LLC is deemed to have a “conflict of interest” under FINRA Rule 5121. Accordingly, this offering is being made in compliance with the applicable provisions of FINRA Rule 5121.</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Stockholders Agreement</w:t>
      </w:r>
    </w:p>
    <w:p>
      <w:pPr>
        <w:spacing w:after="0" w:line="128" w:lineRule="exact"/>
        <w:rPr>
          <w:sz w:val="20"/>
          <w:szCs w:val="20"/>
          <w:color w:val="auto"/>
        </w:rPr>
      </w:pPr>
    </w:p>
    <w:p>
      <w:pPr>
        <w:ind w:left="1160" w:right="1219" w:firstLine="293"/>
        <w:spacing w:after="0" w:line="302" w:lineRule="auto"/>
        <w:rPr>
          <w:sz w:val="20"/>
          <w:szCs w:val="20"/>
          <w:color w:val="auto"/>
        </w:rPr>
      </w:pPr>
      <w:r>
        <w:rPr>
          <w:rFonts w:ascii="Arial" w:cs="Arial" w:eastAsia="Arial" w:hAnsi="Arial"/>
          <w:sz w:val="13"/>
          <w:szCs w:val="13"/>
          <w:color w:val="auto"/>
        </w:rPr>
        <w:t>On May 16, 2018, SCA Acquisition Holdings, LLC entered into the Amended and Restated Stockholders’ Agreement (as amended or modified from time to time, the “Stockholders Agreement”) with AP VIII (SCA Stock AIV), LLC (“Stock AIV”) and the co-investors and other stockholders party thereto, which imposes certain transfer restrictions and provides for the Company’s right to repurchase any common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spacing w:after="0" w:line="268" w:lineRule="auto"/>
        <w:rPr>
          <w:sz w:val="20"/>
          <w:szCs w:val="20"/>
          <w:color w:val="auto"/>
        </w:rPr>
      </w:pPr>
      <w:r>
        <w:rPr>
          <w:rFonts w:ascii="Arial" w:cs="Arial" w:eastAsia="Arial" w:hAnsi="Arial"/>
          <w:sz w:val="14"/>
          <w:szCs w:val="14"/>
          <w:color w:val="auto"/>
        </w:rPr>
        <w:t>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w:t>
      </w:r>
    </w:p>
    <w:p>
      <w:pPr>
        <w:spacing w:after="0" w:line="93"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We further amended and restated the Stockholders Agreement in connection with our initial public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4"/>
          <w:szCs w:val="14"/>
          <w:i w:val="1"/>
          <w:iCs w:val="1"/>
          <w:color w:val="auto"/>
        </w:rPr>
        <w:t>Management—Board Composition</w:t>
      </w:r>
      <w:r>
        <w:rPr>
          <w:rFonts w:ascii="Arial" w:cs="Arial" w:eastAsia="Arial" w:hAnsi="Arial"/>
          <w:sz w:val="14"/>
          <w:szCs w:val="14"/>
          <w:color w:val="auto"/>
        </w:rPr>
        <w:t>.”</w:t>
      </w:r>
    </w:p>
    <w:p>
      <w:pPr>
        <w:spacing w:after="0" w:line="86"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Additionally, the Stockholders Agreement also specifies that Amazon will have the right to nominate a member or an observer to our board of directors for so long as Amazon holds the 2019 Warrants or any shares of common stock issued upon exercise of the 2019 Warrants and the ATSA remains in effect. Further, the Stockholders Agreement sets forth certain information rights granted to the Apollo Stockholder.</w:t>
      </w:r>
    </w:p>
    <w:p>
      <w:pPr>
        <w:spacing w:after="0" w:line="89"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Stockholders Agreement also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69" w:lineRule="exact"/>
        <w:rPr>
          <w:sz w:val="20"/>
          <w:szCs w:val="20"/>
          <w:color w:val="auto"/>
        </w:rPr>
      </w:pPr>
    </w:p>
    <w:p>
      <w:pPr>
        <w:ind w:left="1600" w:right="1279" w:hanging="143"/>
        <w:spacing w:after="0" w:line="281" w:lineRule="auto"/>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49" w:lineRule="exact"/>
        <w:rPr>
          <w:rFonts w:ascii="Arial" w:cs="Arial" w:eastAsia="Arial" w:hAnsi="Arial"/>
          <w:sz w:val="14"/>
          <w:szCs w:val="14"/>
          <w:color w:val="auto"/>
        </w:rPr>
      </w:pPr>
    </w:p>
    <w:p>
      <w:pPr>
        <w:ind w:left="1600" w:right="1399" w:hanging="143"/>
        <w:spacing w:after="0" w:line="281" w:lineRule="auto"/>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49" w:lineRule="exact"/>
        <w:rPr>
          <w:rFonts w:ascii="Arial" w:cs="Arial" w:eastAsia="Arial" w:hAnsi="Arial"/>
          <w:sz w:val="14"/>
          <w:szCs w:val="14"/>
          <w:color w:val="auto"/>
        </w:rPr>
      </w:pPr>
    </w:p>
    <w:p>
      <w:pPr>
        <w:ind w:left="1600" w:right="1259" w:hanging="143"/>
        <w:spacing w:after="0" w:line="249"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83" w:lineRule="exact"/>
        <w:rPr>
          <w:rFonts w:ascii="Arial" w:cs="Arial" w:eastAsia="Arial" w:hAnsi="Arial"/>
          <w:sz w:val="15"/>
          <w:szCs w:val="15"/>
          <w:color w:val="auto"/>
        </w:rPr>
      </w:pPr>
    </w:p>
    <w:p>
      <w:pPr>
        <w:ind w:left="1600" w:right="1239" w:hanging="143"/>
        <w:spacing w:after="0" w:line="281" w:lineRule="auto"/>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49"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w:t>
      </w:r>
    </w:p>
    <w:p>
      <w:pPr>
        <w:spacing w:after="0" w:line="59" w:lineRule="exact"/>
        <w:rPr>
          <w:rFonts w:ascii="Arial" w:cs="Arial" w:eastAsia="Arial" w:hAnsi="Arial"/>
          <w:sz w:val="15"/>
          <w:szCs w:val="15"/>
          <w:color w:val="auto"/>
        </w:rPr>
      </w:pPr>
    </w:p>
    <w:p>
      <w:pPr>
        <w:ind w:left="1600" w:right="145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undertaking any liquidation, dissolution or winding up of the Company, Sun Country, Inc. or any other material subsidiary of the Company;</w:t>
      </w:r>
    </w:p>
    <w:p>
      <w:pPr>
        <w:spacing w:after="0" w:line="59" w:lineRule="exact"/>
        <w:rPr>
          <w:rFonts w:ascii="Arial" w:cs="Arial" w:eastAsia="Arial" w:hAnsi="Arial"/>
          <w:sz w:val="15"/>
          <w:szCs w:val="15"/>
          <w:color w:val="auto"/>
        </w:rPr>
      </w:pPr>
    </w:p>
    <w:p>
      <w:pPr>
        <w:ind w:left="1600" w:right="1499" w:hanging="143"/>
        <w:spacing w:after="0" w:line="297"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incurrence of indebtedness for borrowed money, in a single transaction or a series of related transactions, aggregating to more than $25.0 million, except for (i) debt under a revolving credit facility that has previously been approved or is in existence on the date of closing of our initial public offering, (ii) intercompany indebtedness or (iii) financing arrangements for aircraft and engines permitted to be acquired under the Stockholders Agreement;</w:t>
      </w:r>
    </w:p>
    <w:p>
      <w:pPr>
        <w:spacing w:after="0" w:line="41" w:lineRule="exact"/>
        <w:rPr>
          <w:rFonts w:ascii="Arial" w:cs="Arial" w:eastAsia="Arial" w:hAnsi="Arial"/>
          <w:sz w:val="13"/>
          <w:szCs w:val="13"/>
          <w:color w:val="auto"/>
        </w:rPr>
      </w:pPr>
    </w:p>
    <w:p>
      <w:pPr>
        <w:ind w:left="1600" w:right="1219" w:hanging="143"/>
        <w:spacing w:after="0" w:line="264" w:lineRule="auto"/>
        <w:tabs>
          <w:tab w:leader="none" w:pos="1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hiring or terminating any executive officer of our Company or designating any new executive officer of the Company;</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199" w:hanging="143"/>
        <w:spacing w:after="0" w:line="264" w:lineRule="auto"/>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effecting any material change in the nature of the business of the Company and its subsidiaries, taken as a whole; or</w:t>
      </w:r>
    </w:p>
    <w:p>
      <w:pPr>
        <w:spacing w:after="0" w:line="59" w:lineRule="exact"/>
        <w:rPr>
          <w:rFonts w:ascii="Arial" w:cs="Arial" w:eastAsia="Arial" w:hAnsi="Arial"/>
          <w:sz w:val="15"/>
          <w:szCs w:val="15"/>
          <w:color w:val="auto"/>
        </w:rPr>
      </w:pPr>
    </w:p>
    <w:p>
      <w:pPr>
        <w:ind w:left="1600" w:hanging="143"/>
        <w:spacing w:after="0"/>
        <w:tabs>
          <w:tab w:leader="none" w:pos="16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 change in the size of our board of directors.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 Agreement</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On March 19, 2021, we entered into a registration rights agreement (the “Registration Rights Agreement”) with the Apollo Stockholder, Amazon, PAR Capital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w:t>
      </w:r>
    </w:p>
    <w:p>
      <w:pPr>
        <w:spacing w:after="0" w:line="97"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If we become eligible to register the sale of our securities on Form S-3 under the Securities Act, which will not be until at least twelve calendar months after the date of our initial public offering,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82" w:lineRule="exact"/>
        <w:rPr>
          <w:sz w:val="20"/>
          <w:szCs w:val="20"/>
          <w:color w:val="auto"/>
        </w:rPr>
      </w:pPr>
    </w:p>
    <w:p>
      <w:pPr>
        <w:ind w:left="1160" w:right="1179" w:firstLine="293"/>
        <w:spacing w:after="0" w:line="271" w:lineRule="auto"/>
        <w:rPr>
          <w:sz w:val="20"/>
          <w:szCs w:val="20"/>
          <w:color w:val="auto"/>
        </w:rPr>
      </w:pPr>
      <w:r>
        <w:rPr>
          <w:rFonts w:ascii="Arial" w:cs="Arial" w:eastAsia="Arial" w:hAnsi="Arial"/>
          <w:sz w:val="14"/>
          <w:szCs w:val="14"/>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91"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All expenses of registration under the Registration Rights Agreement, including the legal fees of counsel chosen by stockholders participating in a registration, will be paid by us.</w:t>
      </w:r>
    </w:p>
    <w:p>
      <w:pPr>
        <w:spacing w:after="0" w:line="93"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80"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5"/>
          <w:szCs w:val="15"/>
          <w:i w:val="1"/>
          <w:iCs w:val="1"/>
          <w:color w:val="auto"/>
        </w:rPr>
        <w:t>Risk Factors—Risks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this Offering and Ownership of our Common Stock—Future sales of our common stock in the public market, or the perception in the public market that such sales may occur, could reduce our stock price</w:t>
      </w:r>
      <w:r>
        <w:rPr>
          <w:rFonts w:ascii="Arial" w:cs="Arial" w:eastAsia="Arial" w:hAnsi="Arial"/>
          <w:sz w:val="15"/>
          <w:szCs w:val="15"/>
          <w:color w:val="auto"/>
        </w:rPr>
        <w:t>” and “</w:t>
      </w:r>
      <w:r>
        <w:rPr>
          <w:rFonts w:ascii="Arial" w:cs="Arial" w:eastAsia="Arial" w:hAnsi="Arial"/>
          <w:sz w:val="15"/>
          <w:szCs w:val="15"/>
          <w:i w:val="1"/>
          <w:iCs w:val="1"/>
          <w:color w:val="auto"/>
        </w:rPr>
        <w:t>Shares Eligible for Future Sale</w:t>
      </w:r>
      <w:r>
        <w:rPr>
          <w:rFonts w:ascii="Arial" w:cs="Arial" w:eastAsia="Arial" w:hAnsi="Arial"/>
          <w:sz w:val="15"/>
          <w:szCs w:val="15"/>
          <w:color w:val="auto"/>
        </w:rPr>
        <w:t>.”</w:t>
      </w:r>
    </w:p>
    <w:p>
      <w:pPr>
        <w:spacing w:after="0" w:line="10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This offering is being made pursuant to the terms of the Registration Rights Agreement.</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Income Tax Receivable Agreement</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On March 19, 2021, we entered into an income tax receivable agreement pursuant to which our pre-IPO stockholders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firstLine="293"/>
        <w:spacing w:after="0" w:line="300" w:lineRule="auto"/>
        <w:rPr>
          <w:sz w:val="20"/>
          <w:szCs w:val="20"/>
          <w:color w:val="auto"/>
        </w:rPr>
      </w:pPr>
      <w:r>
        <w:rPr>
          <w:rFonts w:ascii="Arial" w:cs="Arial" w:eastAsia="Arial" w:hAnsi="Arial"/>
          <w:sz w:val="14"/>
          <w:szCs w:val="14"/>
          <w:color w:val="auto"/>
        </w:rPr>
        <w:t>We expect to be able to utilize the Pre-IPO Tax Attributes. We expect that the Pre-IPO Tax Attributes will reduce the amount of tax that we and our subsidiaries would otherwise be required to pay in the future.</w:t>
      </w:r>
    </w:p>
    <w:p>
      <w:pPr>
        <w:spacing w:after="0" w:line="70"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For purposes of the income tax receivable agreement, cash savings in income tax are computed by reference to the reduction in the liability for income taxes resulting from the utilization of the tax benefits subject to the income tax receivable agreement. The term of the income tax receivable agreement will continue until all relevant tax benefits have been utilized or expired.</w:t>
      </w:r>
    </w:p>
    <w:p>
      <w:pPr>
        <w:spacing w:after="0" w:line="78"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Any future changes in the realizability of our Pre-IPO Tax Attributes in each case, attributable to periods prior to our initial public offering, will impact the amount of the liability that will be paid to our pre-IPO stockholders.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$96.5 million.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spacing w:after="0" w:line="105"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86"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Payments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100" w:lineRule="exact"/>
        <w:rPr>
          <w:sz w:val="20"/>
          <w:szCs w:val="20"/>
          <w:color w:val="auto"/>
        </w:rPr>
      </w:pPr>
    </w:p>
    <w:p>
      <w:pPr>
        <w:ind w:left="1160" w:right="1279" w:firstLine="293"/>
        <w:spacing w:after="0" w:line="269" w:lineRule="auto"/>
        <w:rPr>
          <w:sz w:val="20"/>
          <w:szCs w:val="20"/>
          <w:color w:val="auto"/>
        </w:rPr>
      </w:pPr>
      <w:r>
        <w:rPr>
          <w:rFonts w:ascii="Arial" w:cs="Arial" w:eastAsia="Arial" w:hAnsi="Arial"/>
          <w:sz w:val="14"/>
          <w:szCs w:val="14"/>
          <w:color w:val="auto"/>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firstLine="293"/>
        <w:spacing w:after="0" w:line="271" w:lineRule="auto"/>
        <w:rPr>
          <w:sz w:val="20"/>
          <w:szCs w:val="20"/>
          <w:color w:val="auto"/>
        </w:rPr>
      </w:pPr>
      <w:r>
        <w:rPr>
          <w:rFonts w:ascii="Arial" w:cs="Arial" w:eastAsia="Arial" w:hAnsi="Arial"/>
          <w:sz w:val="14"/>
          <w:szCs w:val="14"/>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91"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No payments under the income tax receivable agreement will be required until at least 12 months after the closing date of our initial public offering. Our first obligations to pay amounts owed to our pre-IPO stockholders under the income tax receivable agreement will not arise until 2023 at the earliest. In addition, if we are 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PRINCIPAL AND SELLING STOCKHOLDERS</w:t>
      </w:r>
    </w:p>
    <w:p>
      <w:pPr>
        <w:spacing w:after="0" w:line="12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following table sets forth the beneficial ownership of our common stock as of June 30, 2021, by:</w:t>
      </w:r>
    </w:p>
    <w:p>
      <w:pPr>
        <w:spacing w:after="0" w:line="103" w:lineRule="exact"/>
        <w:rPr>
          <w:sz w:val="20"/>
          <w:szCs w:val="20"/>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selling stockholder;</w:t>
      </w:r>
    </w:p>
    <w:p>
      <w:pPr>
        <w:spacing w:after="0" w:line="69" w:lineRule="exact"/>
        <w:rPr>
          <w:rFonts w:ascii="Arial" w:cs="Arial" w:eastAsia="Arial" w:hAnsi="Arial"/>
          <w:sz w:val="15"/>
          <w:szCs w:val="15"/>
          <w:color w:val="auto"/>
        </w:rPr>
      </w:pPr>
    </w:p>
    <w:p>
      <w:pPr>
        <w:ind w:left="1600" w:right="1359" w:hanging="143"/>
        <w:spacing w:after="0" w:line="264" w:lineRule="auto"/>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each person, or group of affiliated persons, who we know to beneficially own more than 5% of our common stock;</w:t>
      </w:r>
    </w:p>
    <w:p>
      <w:pPr>
        <w:spacing w:after="0" w:line="38"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each of our named executive officers for fiscal year 2020;</w:t>
      </w:r>
    </w:p>
    <w:p>
      <w:pPr>
        <w:spacing w:after="0" w:line="80"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each of our current directors; and</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24"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80" w:lineRule="exact"/>
        <w:rPr>
          <w:sz w:val="20"/>
          <w:szCs w:val="20"/>
          <w:color w:val="auto"/>
        </w:rPr>
      </w:pPr>
    </w:p>
    <w:p>
      <w:pPr>
        <w:jc w:val="both"/>
        <w:ind w:left="1160" w:right="1659" w:firstLine="293"/>
        <w:spacing w:after="0" w:line="258" w:lineRule="auto"/>
        <w:rPr>
          <w:sz w:val="20"/>
          <w:szCs w:val="20"/>
          <w:color w:val="auto"/>
        </w:rPr>
      </w:pPr>
      <w:r>
        <w:rPr>
          <w:rFonts w:ascii="Arial" w:cs="Arial" w:eastAsia="Arial" w:hAnsi="Arial"/>
          <w:sz w:val="14"/>
          <w:szCs w:val="14"/>
          <w:color w:val="auto"/>
        </w:rPr>
        <w:t>Upon completion of this offering, we expect that Apollo and its affiliates, including the Apollo Stockholder, will no longer beneficially own more than 50% of the voting power of our outstanding common stock. See “</w:t>
      </w:r>
      <w:r>
        <w:rPr>
          <w:rFonts w:ascii="Arial" w:cs="Arial" w:eastAsia="Arial" w:hAnsi="Arial"/>
          <w:sz w:val="14"/>
          <w:szCs w:val="14"/>
          <w:i w:val="1"/>
          <w:iCs w:val="1"/>
          <w:color w:val="auto"/>
        </w:rPr>
        <w:t>Description of Capital Stock—Composition of Board of Directors; Election and</w:t>
      </w:r>
      <w:r>
        <w:rPr>
          <w:rFonts w:ascii="Arial" w:cs="Arial" w:eastAsia="Arial" w:hAnsi="Arial"/>
          <w:sz w:val="14"/>
          <w:szCs w:val="14"/>
          <w:color w:val="auto"/>
        </w:rPr>
        <w:t xml:space="preserve"> </w:t>
      </w:r>
      <w:r>
        <w:rPr>
          <w:rFonts w:ascii="Arial" w:cs="Arial" w:eastAsia="Arial" w:hAnsi="Arial"/>
          <w:sz w:val="14"/>
          <w:szCs w:val="14"/>
          <w:i w:val="1"/>
          <w:iCs w:val="1"/>
          <w:color w:val="auto"/>
        </w:rPr>
        <w:t>Removal</w:t>
      </w:r>
      <w:r>
        <w:rPr>
          <w:rFonts w:ascii="Arial" w:cs="Arial" w:eastAsia="Arial" w:hAnsi="Arial"/>
          <w:sz w:val="14"/>
          <w:szCs w:val="14"/>
          <w:color w:val="auto"/>
        </w:rPr>
        <w:t>” and “</w:t>
      </w:r>
      <w:r>
        <w:rPr>
          <w:rFonts w:ascii="Arial" w:cs="Arial" w:eastAsia="Arial" w:hAnsi="Arial"/>
          <w:sz w:val="14"/>
          <w:szCs w:val="14"/>
          <w:i w:val="1"/>
          <w:iCs w:val="1"/>
          <w:color w:val="auto"/>
        </w:rPr>
        <w:t>Description of Capital Stock—Certain Corporate Anti-takeover Provisions</w:t>
      </w:r>
      <w:r>
        <w:rPr>
          <w:rFonts w:ascii="Arial" w:cs="Arial" w:eastAsia="Arial" w:hAnsi="Arial"/>
          <w:sz w:val="14"/>
          <w:szCs w:val="14"/>
          <w:color w:val="auto"/>
        </w:rPr>
        <w:t>.”</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3"/>
              </w:rPr>
              <w:t>Shares of Common</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32"/>
        </w:trPr>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Stock Beneficially</w:t>
            </w:r>
          </w:p>
        </w:tc>
        <w:tc>
          <w:tcPr>
            <w:tcW w:w="98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3"/>
              </w:rPr>
              <w:t>Shares of Common</w:t>
            </w:r>
          </w:p>
        </w:tc>
      </w:tr>
      <w:tr>
        <w:trPr>
          <w:trHeight w:val="132"/>
        </w:trPr>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8"/>
              </w:rPr>
              <w:t>Owned After the</w:t>
            </w:r>
          </w:p>
        </w:tc>
        <w:tc>
          <w:tcPr>
            <w:tcW w:w="98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1"/>
              </w:rPr>
              <w:t>Stock Beneficially</w:t>
            </w:r>
          </w:p>
        </w:tc>
      </w:tr>
      <w:tr>
        <w:trPr>
          <w:trHeight w:val="132"/>
        </w:trPr>
        <w:tc>
          <w:tcPr>
            <w:tcW w:w="3140" w:type="dxa"/>
            <w:vAlign w:val="bottom"/>
          </w:tcPr>
          <w:p>
            <w:pPr>
              <w:spacing w:after="0"/>
              <w:rPr>
                <w:sz w:val="11"/>
                <w:szCs w:val="11"/>
                <w:color w:val="auto"/>
              </w:rPr>
            </w:pPr>
          </w:p>
        </w:tc>
        <w:tc>
          <w:tcPr>
            <w:tcW w:w="14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3"/>
              </w:rPr>
              <w:t>Shares of Common</w:t>
            </w:r>
          </w:p>
        </w:tc>
        <w:tc>
          <w:tcPr>
            <w:tcW w:w="116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5"/>
              </w:rPr>
              <w:t>Offering Assuming</w:t>
            </w:r>
          </w:p>
        </w:tc>
        <w:tc>
          <w:tcPr>
            <w:tcW w:w="98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6"/>
              </w:rPr>
              <w:t>Owned After the</w:t>
            </w:r>
          </w:p>
        </w:tc>
      </w:tr>
      <w:tr>
        <w:trPr>
          <w:trHeight w:val="132"/>
        </w:trPr>
        <w:tc>
          <w:tcPr>
            <w:tcW w:w="3140" w:type="dxa"/>
            <w:vAlign w:val="bottom"/>
          </w:tcPr>
          <w:p>
            <w:pPr>
              <w:spacing w:after="0"/>
              <w:rPr>
                <w:sz w:val="11"/>
                <w:szCs w:val="11"/>
                <w:color w:val="auto"/>
              </w:rPr>
            </w:pPr>
          </w:p>
        </w:tc>
        <w:tc>
          <w:tcPr>
            <w:tcW w:w="14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Stock Beneficially</w:t>
            </w:r>
          </w:p>
        </w:tc>
        <w:tc>
          <w:tcPr>
            <w:tcW w:w="116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90"/>
              </w:rPr>
              <w:t>Underwriters’</w:t>
            </w:r>
          </w:p>
        </w:tc>
        <w:tc>
          <w:tcPr>
            <w:tcW w:w="98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5"/>
              </w:rPr>
              <w:t>Offering Assuming</w:t>
            </w:r>
          </w:p>
        </w:tc>
      </w:tr>
      <w:tr>
        <w:trPr>
          <w:trHeight w:val="132"/>
        </w:trPr>
        <w:tc>
          <w:tcPr>
            <w:tcW w:w="3140" w:type="dxa"/>
            <w:vAlign w:val="bottom"/>
          </w:tcPr>
          <w:p>
            <w:pPr>
              <w:spacing w:after="0"/>
              <w:rPr>
                <w:sz w:val="11"/>
                <w:szCs w:val="11"/>
                <w:color w:val="auto"/>
              </w:rPr>
            </w:pPr>
          </w:p>
        </w:tc>
        <w:tc>
          <w:tcPr>
            <w:tcW w:w="14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Owned Before the</w:t>
            </w:r>
          </w:p>
        </w:tc>
        <w:tc>
          <w:tcPr>
            <w:tcW w:w="116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4"/>
              </w:rPr>
              <w:t>Option is Not</w:t>
            </w:r>
          </w:p>
        </w:tc>
        <w:tc>
          <w:tcPr>
            <w:tcW w:w="98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7"/>
              </w:rPr>
              <w:t>Underwriters’</w:t>
            </w:r>
          </w:p>
        </w:tc>
      </w:tr>
      <w:tr>
        <w:trPr>
          <w:trHeight w:val="150"/>
        </w:trPr>
        <w:tc>
          <w:tcPr>
            <w:tcW w:w="3140" w:type="dxa"/>
            <w:vAlign w:val="bottom"/>
          </w:tcPr>
          <w:p>
            <w:pPr>
              <w:spacing w:after="0"/>
              <w:rPr>
                <w:sz w:val="13"/>
                <w:szCs w:val="13"/>
                <w:color w:val="auto"/>
              </w:rPr>
            </w:pPr>
          </w:p>
        </w:tc>
        <w:tc>
          <w:tcPr>
            <w:tcW w:w="840" w:type="dxa"/>
            <w:vAlign w:val="bottom"/>
            <w:gridSpan w:val="2"/>
          </w:tcPr>
          <w:p>
            <w:pPr>
              <w:jc w:val="center"/>
              <w:ind w:left="311"/>
              <w:spacing w:after="0"/>
              <w:rPr>
                <w:sz w:val="20"/>
                <w:szCs w:val="20"/>
                <w:color w:val="auto"/>
              </w:rPr>
            </w:pPr>
            <w:r>
              <w:rPr>
                <w:rFonts w:ascii="Arial" w:cs="Arial" w:eastAsia="Arial" w:hAnsi="Arial"/>
                <w:sz w:val="12"/>
                <w:szCs w:val="12"/>
                <w:b w:val="1"/>
                <w:bCs w:val="1"/>
                <w:color w:val="auto"/>
                <w:w w:val="89"/>
              </w:rPr>
              <w:t>Offering</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1"/>
              </w:rPr>
              <w:t>Exercised</w:t>
            </w:r>
          </w:p>
        </w:tc>
        <w:tc>
          <w:tcPr>
            <w:tcW w:w="9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Option is Exercised</w:t>
            </w:r>
          </w:p>
        </w:tc>
      </w:tr>
      <w:tr>
        <w:trPr>
          <w:trHeight w:val="21"/>
        </w:trPr>
        <w:tc>
          <w:tcPr>
            <w:tcW w:w="3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314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Number</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1"/>
              </w:rPr>
              <w:t>Percent</w:t>
            </w: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Number</w:t>
            </w: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1"/>
              </w:rPr>
              <w:t>Percent</w:t>
            </w: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Number</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6"/>
              </w:rPr>
              <w:t>Percent</w:t>
            </w:r>
          </w:p>
        </w:tc>
      </w:tr>
      <w:tr>
        <w:trPr>
          <w:trHeight w:val="21"/>
        </w:trPr>
        <w:tc>
          <w:tcPr>
            <w:tcW w:w="3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0"/>
        </w:trPr>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5% Stockholders and Selling Stockholder</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20"/>
        </w:trPr>
        <w:tc>
          <w:tcPr>
            <w:tcW w:w="3140" w:type="dxa"/>
            <w:vAlign w:val="bottom"/>
          </w:tcPr>
          <w:p>
            <w:pPr>
              <w:spacing w:after="0" w:line="220" w:lineRule="exact"/>
              <w:rPr>
                <w:sz w:val="20"/>
                <w:szCs w:val="20"/>
                <w:color w:val="auto"/>
              </w:rPr>
            </w:pPr>
            <w:r>
              <w:rPr>
                <w:rFonts w:ascii="Arial" w:cs="Arial" w:eastAsia="Arial" w:hAnsi="Arial"/>
                <w:sz w:val="15"/>
                <w:szCs w:val="15"/>
                <w:color w:val="auto"/>
              </w:rPr>
              <w:t>SCA Horus Holdings, LLC</w:t>
            </w:r>
            <w:r>
              <w:rPr>
                <w:rFonts w:ascii="Arial" w:cs="Arial" w:eastAsia="Arial" w:hAnsi="Arial"/>
                <w:sz w:val="21"/>
                <w:szCs w:val="21"/>
                <w:color w:val="auto"/>
                <w:vertAlign w:val="superscript"/>
              </w:rPr>
              <w:t>(1)</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32,562,520</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w w:val="98"/>
              </w:rPr>
              <w:t>57.0%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Named Executive Officers and Directors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0"/>
        </w:trPr>
        <w:tc>
          <w:tcPr>
            <w:tcW w:w="3140" w:type="dxa"/>
            <w:vAlign w:val="bottom"/>
          </w:tcPr>
          <w:p>
            <w:pPr>
              <w:spacing w:after="0" w:line="220" w:lineRule="exact"/>
              <w:rPr>
                <w:sz w:val="20"/>
                <w:szCs w:val="20"/>
                <w:color w:val="auto"/>
              </w:rPr>
            </w:pPr>
            <w:r>
              <w:rPr>
                <w:rFonts w:ascii="Arial" w:cs="Arial" w:eastAsia="Arial" w:hAnsi="Arial"/>
                <w:sz w:val="15"/>
                <w:szCs w:val="15"/>
                <w:color w:val="auto"/>
              </w:rPr>
              <w:t>Jude Bricker</w:t>
            </w:r>
            <w:r>
              <w:rPr>
                <w:rFonts w:ascii="Arial" w:cs="Arial" w:eastAsia="Arial" w:hAnsi="Arial"/>
                <w:sz w:val="21"/>
                <w:szCs w:val="21"/>
                <w:color w:val="auto"/>
                <w:vertAlign w:val="superscript"/>
              </w:rPr>
              <w:t>(2)</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1,592,710</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0"/>
        </w:trPr>
        <w:tc>
          <w:tcPr>
            <w:tcW w:w="314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Dave Davis</w:t>
            </w:r>
            <w:r>
              <w:rPr>
                <w:rFonts w:ascii="Arial" w:cs="Arial" w:eastAsia="Arial" w:hAnsi="Arial"/>
                <w:sz w:val="21"/>
                <w:szCs w:val="21"/>
                <w:color w:val="auto"/>
                <w:vertAlign w:val="superscript"/>
              </w:rPr>
              <w:t>(3)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199,120</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0"/>
        </w:trPr>
        <w:tc>
          <w:tcPr>
            <w:tcW w:w="3140" w:type="dxa"/>
            <w:vAlign w:val="bottom"/>
          </w:tcPr>
          <w:p>
            <w:pPr>
              <w:spacing w:after="0" w:line="220" w:lineRule="exact"/>
              <w:rPr>
                <w:sz w:val="20"/>
                <w:szCs w:val="20"/>
                <w:color w:val="auto"/>
              </w:rPr>
            </w:pPr>
            <w:r>
              <w:rPr>
                <w:rFonts w:ascii="Arial" w:cs="Arial" w:eastAsia="Arial" w:hAnsi="Arial"/>
                <w:sz w:val="15"/>
                <w:szCs w:val="15"/>
                <w:color w:val="auto"/>
              </w:rPr>
              <w:t>Gregory Mays</w:t>
            </w:r>
            <w:r>
              <w:rPr>
                <w:rFonts w:ascii="Arial" w:cs="Arial" w:eastAsia="Arial" w:hAnsi="Arial"/>
                <w:sz w:val="21"/>
                <w:szCs w:val="21"/>
                <w:color w:val="auto"/>
                <w:vertAlign w:val="superscript"/>
              </w:rPr>
              <w:t>(4)</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105,693</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Thomas C. Kennedy</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58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58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220"/>
        </w:trPr>
        <w:tc>
          <w:tcPr>
            <w:tcW w:w="3140" w:type="dxa"/>
            <w:vAlign w:val="bottom"/>
          </w:tcPr>
          <w:p>
            <w:pPr>
              <w:spacing w:after="0" w:line="220" w:lineRule="exact"/>
              <w:rPr>
                <w:sz w:val="20"/>
                <w:szCs w:val="20"/>
                <w:color w:val="auto"/>
              </w:rPr>
            </w:pPr>
            <w:r>
              <w:rPr>
                <w:rFonts w:ascii="Arial" w:cs="Arial" w:eastAsia="Arial" w:hAnsi="Arial"/>
                <w:sz w:val="15"/>
                <w:szCs w:val="15"/>
                <w:color w:val="auto"/>
              </w:rPr>
              <w:t>Patrick Kearney</w:t>
            </w:r>
            <w:r>
              <w:rPr>
                <w:rFonts w:ascii="Arial" w:cs="Arial" w:eastAsia="Arial" w:hAnsi="Arial"/>
                <w:sz w:val="21"/>
                <w:szCs w:val="21"/>
                <w:color w:val="auto"/>
                <w:vertAlign w:val="superscript"/>
              </w:rPr>
              <w:t>(1)(5)</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58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58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220"/>
        </w:trPr>
        <w:tc>
          <w:tcPr>
            <w:tcW w:w="314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Antoine Munfakh</w:t>
            </w:r>
            <w:r>
              <w:rPr>
                <w:rFonts w:ascii="Arial" w:cs="Arial" w:eastAsia="Arial" w:hAnsi="Arial"/>
                <w:sz w:val="21"/>
                <w:szCs w:val="21"/>
                <w:color w:val="auto"/>
                <w:vertAlign w:val="superscript"/>
              </w:rPr>
              <w:t>(1)(5)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58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58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209"/>
        </w:trPr>
        <w:tc>
          <w:tcPr>
            <w:tcW w:w="3140" w:type="dxa"/>
            <w:vAlign w:val="bottom"/>
          </w:tcPr>
          <w:p>
            <w:pPr>
              <w:spacing w:after="0"/>
              <w:rPr>
                <w:sz w:val="20"/>
                <w:szCs w:val="20"/>
                <w:color w:val="auto"/>
              </w:rPr>
            </w:pPr>
            <w:r>
              <w:rPr>
                <w:rFonts w:ascii="Arial" w:cs="Arial" w:eastAsia="Arial" w:hAnsi="Arial"/>
                <w:sz w:val="15"/>
                <w:szCs w:val="15"/>
                <w:color w:val="auto"/>
              </w:rPr>
              <w:t>Kerry Philipovitch</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5,139</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0"/>
        </w:trPr>
        <w:tc>
          <w:tcPr>
            <w:tcW w:w="314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David Siegel</w:t>
            </w:r>
            <w:r>
              <w:rPr>
                <w:rFonts w:ascii="Arial" w:cs="Arial" w:eastAsia="Arial" w:hAnsi="Arial"/>
                <w:sz w:val="21"/>
                <w:szCs w:val="21"/>
                <w:color w:val="auto"/>
                <w:vertAlign w:val="superscript"/>
              </w:rPr>
              <w:t>(6)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321,708</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0"/>
        </w:trPr>
        <w:tc>
          <w:tcPr>
            <w:tcW w:w="3140" w:type="dxa"/>
            <w:vAlign w:val="bottom"/>
          </w:tcPr>
          <w:p>
            <w:pPr>
              <w:spacing w:after="0" w:line="220" w:lineRule="exact"/>
              <w:rPr>
                <w:sz w:val="20"/>
                <w:szCs w:val="20"/>
                <w:color w:val="auto"/>
              </w:rPr>
            </w:pPr>
            <w:r>
              <w:rPr>
                <w:rFonts w:ascii="Arial" w:cs="Arial" w:eastAsia="Arial" w:hAnsi="Arial"/>
                <w:sz w:val="15"/>
                <w:szCs w:val="15"/>
                <w:color w:val="auto"/>
              </w:rPr>
              <w:t>Juan Carlos Zuazua</w:t>
            </w:r>
            <w:r>
              <w:rPr>
                <w:rFonts w:ascii="Arial" w:cs="Arial" w:eastAsia="Arial" w:hAnsi="Arial"/>
                <w:sz w:val="21"/>
                <w:szCs w:val="21"/>
                <w:color w:val="auto"/>
                <w:vertAlign w:val="superscript"/>
              </w:rPr>
              <w:t>(7)</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10,444</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58"/>
        </w:trPr>
        <w:tc>
          <w:tcPr>
            <w:tcW w:w="3140" w:type="dxa"/>
            <w:vAlign w:val="bottom"/>
            <w:shd w:val="clear" w:color="auto" w:fill="CCEEFF"/>
          </w:tcPr>
          <w:p>
            <w:pPr>
              <w:spacing w:after="0" w:line="158" w:lineRule="exact"/>
              <w:rPr>
                <w:sz w:val="20"/>
                <w:szCs w:val="20"/>
                <w:color w:val="auto"/>
              </w:rPr>
            </w:pPr>
            <w:r>
              <w:rPr>
                <w:rFonts w:ascii="Arial" w:cs="Arial" w:eastAsia="Arial" w:hAnsi="Arial"/>
                <w:sz w:val="15"/>
                <w:szCs w:val="15"/>
                <w:color w:val="auto"/>
              </w:rPr>
              <w:t>All current directors and executive officers as a</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249"/>
        </w:trPr>
        <w:tc>
          <w:tcPr>
            <w:tcW w:w="31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group (15 persons)</w:t>
            </w:r>
            <w:r>
              <w:rPr>
                <w:rFonts w:ascii="Arial" w:cs="Arial" w:eastAsia="Arial" w:hAnsi="Arial"/>
                <w:sz w:val="21"/>
                <w:szCs w:val="21"/>
                <w:color w:val="auto"/>
                <w:vertAlign w:val="superscript"/>
              </w:rPr>
              <w:t>(8)</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2,667,750</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-1910715</wp:posOffset>
            </wp:positionV>
            <wp:extent cx="11176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-1910715</wp:posOffset>
            </wp:positionV>
            <wp:extent cx="11176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-1910715</wp:posOffset>
            </wp:positionV>
            <wp:extent cx="11176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-1910715</wp:posOffset>
            </wp:positionV>
            <wp:extent cx="11176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-1910715</wp:posOffset>
            </wp:positionV>
            <wp:extent cx="252539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4" w:lineRule="exact"/>
        <w:rPr>
          <w:sz w:val="20"/>
          <w:szCs w:val="20"/>
          <w:color w:val="auto"/>
        </w:rPr>
      </w:pPr>
    </w:p>
    <w:p>
      <w:pPr>
        <w:ind w:left="1460" w:hanging="296"/>
        <w:spacing w:after="0"/>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47" w:lineRule="exact"/>
        <w:rPr>
          <w:sz w:val="20"/>
          <w:szCs w:val="20"/>
          <w:color w:val="auto"/>
        </w:rPr>
      </w:pPr>
    </w:p>
    <w:p>
      <w:pPr>
        <w:ind w:left="1460" w:right="1239" w:hanging="296"/>
        <w:spacing w:after="0" w:line="223" w:lineRule="auto"/>
        <w:tabs>
          <w:tab w:leader="none" w:pos="1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Apollo Stockholder is managed by a board of directors consisting of Laurie Medley, Patrick Kearney and Antoine Munfakh. Ms. Medley and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w:t>
      </w:r>
    </w:p>
    <w:p>
      <w:pPr>
        <w:spacing w:after="0" w:line="11"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465,478 shares of common stock issuable upon the exercise of options within 60 days.</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95" w:lineRule="exact"/>
        <w:rPr>
          <w:sz w:val="20"/>
          <w:szCs w:val="20"/>
          <w:color w:val="auto"/>
        </w:rPr>
      </w:pPr>
    </w:p>
    <w:p>
      <w:pPr>
        <w:ind w:left="1460" w:right="1559" w:hanging="296"/>
        <w:spacing w:after="0" w:line="236" w:lineRule="auto"/>
        <w:tabs>
          <w:tab w:leader="none" w:pos="1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199,120 shares of common stock issuable upon the exercise of options within 60 days.</w:t>
      </w:r>
    </w:p>
    <w:p>
      <w:pPr>
        <w:spacing w:after="0" w:line="23"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103,438 shares of common stock issuable upon the exercise of options within 60 days.</w:t>
      </w:r>
    </w:p>
    <w:p>
      <w:pPr>
        <w:spacing w:after="0" w:line="34" w:lineRule="exact"/>
        <w:rPr>
          <w:rFonts w:ascii="Arial" w:cs="Arial" w:eastAsia="Arial" w:hAnsi="Arial"/>
          <w:sz w:val="15"/>
          <w:szCs w:val="15"/>
          <w:color w:val="auto"/>
        </w:rPr>
      </w:pPr>
    </w:p>
    <w:p>
      <w:pPr>
        <w:ind w:left="1460" w:right="1299" w:hanging="296"/>
        <w:spacing w:after="0" w:line="223" w:lineRule="auto"/>
        <w:tabs>
          <w:tab w:leader="none" w:pos="1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Each of Patrick Kearney and Antoine Munfakh is affiliated with Apollo Management, L.P. and its affiliated investment managers and advisors. Each of Messrs. Kearney and Mr. Munfakh disclaims beneficial ownership of the shares of common stock held by the Apollo Stockholder except to the extent of his pecuniary interest therein. The address of each of Messrs. Kearney and Mr. Munfakh is 9 West 57th Street, 43rd Floor, New York, New York 10019.</w:t>
      </w:r>
    </w:p>
    <w:p>
      <w:pPr>
        <w:spacing w:after="0" w:line="22" w:lineRule="exact"/>
        <w:rPr>
          <w:rFonts w:ascii="Arial" w:cs="Arial" w:eastAsia="Arial" w:hAnsi="Arial"/>
          <w:sz w:val="15"/>
          <w:szCs w:val="15"/>
          <w:color w:val="auto"/>
        </w:rPr>
      </w:pPr>
    </w:p>
    <w:p>
      <w:pPr>
        <w:ind w:left="1460" w:right="1559" w:hanging="296"/>
        <w:spacing w:after="0" w:line="236" w:lineRule="auto"/>
        <w:tabs>
          <w:tab w:leader="none" w:pos="1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116,367 shares of common stock issuable upon the exercise of options within 60 days.</w:t>
      </w:r>
    </w:p>
    <w:p>
      <w:pPr>
        <w:spacing w:after="0" w:line="23" w:lineRule="exact"/>
        <w:rPr>
          <w:rFonts w:ascii="Arial" w:cs="Arial" w:eastAsia="Arial" w:hAnsi="Arial"/>
          <w:sz w:val="15"/>
          <w:szCs w:val="15"/>
          <w:color w:val="auto"/>
        </w:rPr>
      </w:pPr>
    </w:p>
    <w:p>
      <w:pPr>
        <w:ind w:left="1460" w:right="1699" w:hanging="296"/>
        <w:spacing w:after="0" w:line="236" w:lineRule="auto"/>
        <w:tabs>
          <w:tab w:leader="none" w:pos="1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9,444 shares of common stock issuable upon the exercise of options within 60 days.</w:t>
      </w:r>
    </w:p>
    <w:p>
      <w:pPr>
        <w:spacing w:after="0" w:line="34" w:lineRule="exact"/>
        <w:rPr>
          <w:rFonts w:ascii="Arial" w:cs="Arial" w:eastAsia="Arial" w:hAnsi="Arial"/>
          <w:sz w:val="15"/>
          <w:szCs w:val="15"/>
          <w:color w:val="auto"/>
        </w:rPr>
      </w:pPr>
    </w:p>
    <w:p>
      <w:pPr>
        <w:ind w:left="1460" w:right="1439" w:hanging="296"/>
        <w:spacing w:after="0" w:line="236" w:lineRule="auto"/>
        <w:tabs>
          <w:tab w:leader="none" w:pos="1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Number of shares of common stock beneficially owned includes 1,317,936 shares of common stock issuable upon the exercise of options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28"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DGCL.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General</w:t>
      </w:r>
    </w:p>
    <w:p>
      <w:pPr>
        <w:spacing w:after="0" w:line="117"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Our capital stock consists of 1,000,000,000 authorized shares, of which 995,000,000 shares, par value $0.01 per share, are designated as “common stock” and 5,000,000 shares, par value $0.01 per share, are designated as “preferred stock.” As of June 30, 2021, there were 57,158,467 shares of common stock outstanding and no shares of preferred stock outstanding.</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Common Stock</w:t>
      </w:r>
    </w:p>
    <w:p>
      <w:pPr>
        <w:spacing w:after="0" w:line="128"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The holders of our common stock are entitled to one vote per share on all matters</w:t>
      </w:r>
      <w:r>
        <w:rPr>
          <w:rFonts w:ascii="Arial" w:cs="Arial" w:eastAsia="Arial" w:hAnsi="Arial"/>
          <w:sz w:val="15"/>
          <w:szCs w:val="15"/>
          <w:i w:val="1"/>
          <w:iCs w:val="1"/>
          <w:color w:val="auto"/>
        </w:rPr>
        <w:t xml:space="preserve"> </w:t>
      </w:r>
      <w:r>
        <w:rPr>
          <w:rFonts w:ascii="Arial" w:cs="Arial" w:eastAsia="Arial" w:hAnsi="Arial"/>
          <w:sz w:val="15"/>
          <w:szCs w:val="15"/>
          <w:color w:val="auto"/>
        </w:rPr>
        <w:t>submitted for action by the stockholders generally.</w:t>
      </w:r>
    </w:p>
    <w:p>
      <w:pPr>
        <w:spacing w:after="0" w:line="93" w:lineRule="exact"/>
        <w:rPr>
          <w:sz w:val="20"/>
          <w:szCs w:val="20"/>
          <w:color w:val="auto"/>
        </w:rPr>
      </w:pPr>
    </w:p>
    <w:p>
      <w:pPr>
        <w:jc w:val="both"/>
        <w:ind w:left="1160" w:right="1259" w:firstLine="293"/>
        <w:spacing w:after="0" w:line="254" w:lineRule="auto"/>
        <w:rPr>
          <w:sz w:val="20"/>
          <w:szCs w:val="20"/>
          <w:color w:val="auto"/>
        </w:rPr>
      </w:pPr>
      <w:r>
        <w:rPr>
          <w:rFonts w:ascii="Arial" w:cs="Arial" w:eastAsia="Arial" w:hAnsi="Arial"/>
          <w:sz w:val="15"/>
          <w:szCs w:val="15"/>
          <w:i w:val="1"/>
          <w:iCs w:val="1"/>
          <w:color w:val="auto"/>
        </w:rPr>
        <w:t xml:space="preserve">Dividend Rights. </w:t>
      </w:r>
      <w:r>
        <w:rPr>
          <w:rFonts w:ascii="Arial" w:cs="Arial" w:eastAsia="Arial" w:hAnsi="Arial"/>
          <w:sz w:val="15"/>
          <w:szCs w:val="15"/>
          <w:color w:val="auto"/>
        </w:rPr>
        <w:t>Subject to any preferential rights of any then outstanding preferred stock, all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common stock are entitled to share equally in any dividends our board of directors may declare from legally available sources.</w:t>
      </w:r>
    </w:p>
    <w:p>
      <w:pPr>
        <w:spacing w:after="0" w:line="90" w:lineRule="exact"/>
        <w:rPr>
          <w:sz w:val="20"/>
          <w:szCs w:val="20"/>
          <w:color w:val="auto"/>
        </w:rPr>
      </w:pPr>
    </w:p>
    <w:p>
      <w:pPr>
        <w:ind w:left="1160" w:right="1599" w:firstLine="293"/>
        <w:spacing w:after="0" w:line="251" w:lineRule="auto"/>
        <w:rPr>
          <w:sz w:val="20"/>
          <w:szCs w:val="20"/>
          <w:color w:val="auto"/>
        </w:rPr>
      </w:pPr>
      <w:r>
        <w:rPr>
          <w:rFonts w:ascii="Arial" w:cs="Arial" w:eastAsia="Arial" w:hAnsi="Arial"/>
          <w:sz w:val="15"/>
          <w:szCs w:val="15"/>
          <w:i w:val="1"/>
          <w:iCs w:val="1"/>
          <w:color w:val="auto"/>
        </w:rPr>
        <w:t xml:space="preserve">Liquidation Rights. </w:t>
      </w:r>
      <w:r>
        <w:rPr>
          <w:rFonts w:ascii="Arial" w:cs="Arial" w:eastAsia="Arial" w:hAnsi="Arial"/>
          <w:sz w:val="15"/>
          <w:szCs w:val="15"/>
          <w:color w:val="auto"/>
        </w:rPr>
        <w:t>Upon our liquidation, dissolution or winding up, whether voluntary or</w:t>
      </w:r>
      <w:r>
        <w:rPr>
          <w:rFonts w:ascii="Arial" w:cs="Arial" w:eastAsia="Arial" w:hAnsi="Arial"/>
          <w:sz w:val="15"/>
          <w:szCs w:val="15"/>
          <w:i w:val="1"/>
          <w:iCs w:val="1"/>
          <w:color w:val="auto"/>
        </w:rPr>
        <w:t xml:space="preserve"> </w:t>
      </w:r>
      <w:r>
        <w:rPr>
          <w:rFonts w:ascii="Arial" w:cs="Arial" w:eastAsia="Arial" w:hAnsi="Arial"/>
          <w:sz w:val="15"/>
          <w:szCs w:val="15"/>
          <w:color w:val="auto"/>
        </w:rPr>
        <w:t>involuntary, after 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02"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5"/>
          <w:szCs w:val="15"/>
          <w:i w:val="1"/>
          <w:iCs w:val="1"/>
          <w:color w:val="auto"/>
        </w:rPr>
        <w:t xml:space="preserve">Other Matters. </w:t>
      </w:r>
      <w:r>
        <w:rPr>
          <w:rFonts w:ascii="Arial" w:cs="Arial" w:eastAsia="Arial" w:hAnsi="Arial"/>
          <w:sz w:val="15"/>
          <w:szCs w:val="15"/>
          <w:color w:val="auto"/>
        </w:rPr>
        <w:t>Holders of our common stock have no preemptive or conversion rights, and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Preferred Stock</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17"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June 30, 2021, approximately 13.3%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 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Composition of Board of Directors; Election and Removal</w:t>
      </w:r>
    </w:p>
    <w:p>
      <w:pPr>
        <w:spacing w:after="0" w:line="128" w:lineRule="exact"/>
        <w:rPr>
          <w:sz w:val="20"/>
          <w:szCs w:val="20"/>
          <w:color w:val="auto"/>
        </w:rPr>
      </w:pPr>
    </w:p>
    <w:p>
      <w:pPr>
        <w:ind w:left="1160" w:right="1239" w:firstLine="293"/>
        <w:spacing w:after="0" w:line="252" w:lineRule="auto"/>
        <w:rPr>
          <w:sz w:val="20"/>
          <w:szCs w:val="20"/>
          <w:color w:val="auto"/>
        </w:rPr>
      </w:pPr>
      <w:r>
        <w:rPr>
          <w:rFonts w:ascii="Arial" w:cs="Arial" w:eastAsia="Arial" w:hAnsi="Arial"/>
          <w:sz w:val="14"/>
          <w:szCs w:val="14"/>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three directors in Class I, two directors in Class II and three directors in Class III. See “</w:t>
      </w:r>
      <w:r>
        <w:rPr>
          <w:rFonts w:ascii="Arial" w:cs="Arial" w:eastAsia="Arial" w:hAnsi="Arial"/>
          <w:sz w:val="14"/>
          <w:szCs w:val="14"/>
          <w:i w:val="1"/>
          <w:iCs w:val="1"/>
          <w:color w:val="auto"/>
        </w:rPr>
        <w:t>Description of Capital Stock—Certain</w:t>
      </w:r>
      <w:r>
        <w:rPr>
          <w:rFonts w:ascii="Arial" w:cs="Arial" w:eastAsia="Arial" w:hAnsi="Arial"/>
          <w:sz w:val="14"/>
          <w:szCs w:val="14"/>
          <w:color w:val="auto"/>
        </w:rPr>
        <w:t xml:space="preserve"> </w:t>
      </w:r>
      <w:r>
        <w:rPr>
          <w:rFonts w:ascii="Arial" w:cs="Arial" w:eastAsia="Arial" w:hAnsi="Arial"/>
          <w:sz w:val="14"/>
          <w:szCs w:val="14"/>
          <w:i w:val="1"/>
          <w:iCs w:val="1"/>
          <w:color w:val="auto"/>
        </w:rPr>
        <w:t>Corporate Anti-takeover Provisions—Classified Board of Directors</w:t>
      </w:r>
      <w:r>
        <w:rPr>
          <w:rFonts w:ascii="Arial" w:cs="Arial" w:eastAsia="Arial" w:hAnsi="Arial"/>
          <w:sz w:val="14"/>
          <w:szCs w:val="14"/>
          <w:color w:val="auto"/>
        </w:rPr>
        <w:t>.”</w:t>
      </w:r>
    </w:p>
    <w:p>
      <w:pPr>
        <w:spacing w:after="0" w:line="80"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w:t>
      </w:r>
      <w:r>
        <w:rPr>
          <w:rFonts w:ascii="Arial" w:cs="Arial" w:eastAsia="Arial" w:hAnsi="Arial"/>
          <w:sz w:val="14"/>
          <w:szCs w:val="14"/>
          <w:i w:val="1"/>
          <w:iCs w:val="1"/>
          <w:color w:val="auto"/>
        </w:rPr>
        <w:t>Certain Relationships and Related Party Transactions—Stockholders Agreement</w:t>
      </w:r>
      <w:r>
        <w:rPr>
          <w:rFonts w:ascii="Arial" w:cs="Arial" w:eastAsia="Arial" w:hAnsi="Arial"/>
          <w:sz w:val="14"/>
          <w:szCs w:val="14"/>
          <w:color w:val="auto"/>
        </w:rPr>
        <w:t>.”</w:t>
      </w:r>
    </w:p>
    <w:p>
      <w:pPr>
        <w:spacing w:after="0" w:line="95"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0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 See “</w:t>
      </w:r>
      <w:r>
        <w:rPr>
          <w:rFonts w:ascii="Arial" w:cs="Arial" w:eastAsia="Arial" w:hAnsi="Arial"/>
          <w:sz w:val="15"/>
          <w:szCs w:val="15"/>
          <w:i w:val="1"/>
          <w:iCs w:val="1"/>
          <w:color w:val="auto"/>
        </w:rPr>
        <w:t>Certain Relationships and Related Party Transactions—</w:t>
      </w:r>
      <w:r>
        <w:rPr>
          <w:rFonts w:ascii="Arial" w:cs="Arial" w:eastAsia="Arial" w:hAnsi="Arial"/>
          <w:sz w:val="15"/>
          <w:szCs w:val="15"/>
          <w:color w:val="auto"/>
        </w:rPr>
        <w:t xml:space="preserve"> </w:t>
      </w:r>
      <w:r>
        <w:rPr>
          <w:rFonts w:ascii="Arial" w:cs="Arial" w:eastAsia="Arial" w:hAnsi="Arial"/>
          <w:sz w:val="15"/>
          <w:szCs w:val="15"/>
          <w:i w:val="1"/>
          <w:iCs w:val="1"/>
          <w:color w:val="auto"/>
        </w:rPr>
        <w:t>Stockholders Agreement</w:t>
      </w:r>
      <w:r>
        <w:rPr>
          <w:rFonts w:ascii="Arial" w:cs="Arial" w:eastAsia="Arial" w:hAnsi="Arial"/>
          <w:sz w:val="15"/>
          <w:szCs w:val="15"/>
          <w:color w:val="auto"/>
        </w:rPr>
        <w:t>.”</w:t>
      </w:r>
    </w:p>
    <w:p>
      <w:pPr>
        <w:spacing w:after="0" w:line="91" w:lineRule="exact"/>
        <w:rPr>
          <w:sz w:val="20"/>
          <w:szCs w:val="20"/>
          <w:color w:val="auto"/>
        </w:rPr>
      </w:pPr>
    </w:p>
    <w:p>
      <w:pPr>
        <w:ind w:left="1160" w:right="1279" w:firstLine="293"/>
        <w:spacing w:after="0" w:line="253" w:lineRule="auto"/>
        <w:rPr>
          <w:sz w:val="20"/>
          <w:szCs w:val="20"/>
          <w:color w:val="auto"/>
        </w:rPr>
      </w:pPr>
      <w:r>
        <w:rPr>
          <w:rFonts w:ascii="Arial" w:cs="Arial" w:eastAsia="Arial" w:hAnsi="Arial"/>
          <w:sz w:val="14"/>
          <w:szCs w:val="14"/>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Certain Corporate Anti-takeover Provisions</w:t>
      </w:r>
    </w:p>
    <w:p>
      <w:pPr>
        <w:spacing w:after="0" w:line="128"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Preferred Stock</w:t>
      </w:r>
    </w:p>
    <w:p>
      <w:pPr>
        <w:spacing w:after="0" w:line="124"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Classified Board of Directors</w:t>
      </w:r>
    </w:p>
    <w:p>
      <w:pPr>
        <w:spacing w:after="0" w:line="113"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5"/>
          <w:szCs w:val="15"/>
          <w:i w:val="1"/>
          <w:iCs w:val="1"/>
          <w:color w:val="auto"/>
        </w:rPr>
        <w:t>Composition of Board of Directors; Election</w:t>
      </w:r>
      <w:r>
        <w:rPr>
          <w:rFonts w:ascii="Arial" w:cs="Arial" w:eastAsia="Arial" w:hAnsi="Arial"/>
          <w:sz w:val="15"/>
          <w:szCs w:val="15"/>
          <w:color w:val="auto"/>
        </w:rPr>
        <w:t xml:space="preserve"> </w:t>
      </w:r>
      <w:r>
        <w:rPr>
          <w:rFonts w:ascii="Arial" w:cs="Arial" w:eastAsia="Arial" w:hAnsi="Arial"/>
          <w:sz w:val="15"/>
          <w:szCs w:val="15"/>
          <w:i w:val="1"/>
          <w:iCs w:val="1"/>
          <w:color w:val="auto"/>
        </w:rPr>
        <w:t>and Removal</w:t>
      </w:r>
      <w:r>
        <w:rPr>
          <w:rFonts w:ascii="Arial" w:cs="Arial" w:eastAsia="Arial" w:hAnsi="Arial"/>
          <w:sz w:val="15"/>
          <w:szCs w:val="15"/>
          <w:color w:val="auto"/>
        </w:rPr>
        <w: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Removal of Directors; Vacancies</w:t>
      </w:r>
    </w:p>
    <w:p>
      <w:pPr>
        <w:spacing w:after="0" w:line="12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4"/>
          <w:szCs w:val="14"/>
          <w:color w:val="auto"/>
        </w:rPr>
        <w:t xml:space="preserve">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w:t>
      </w:r>
      <w:r>
        <w:rPr>
          <w:rFonts w:ascii="Arial" w:cs="Arial" w:eastAsia="Arial" w:hAnsi="Arial"/>
          <w:sz w:val="14"/>
          <w:szCs w:val="14"/>
          <w:i w:val="1"/>
          <w:iCs w:val="1"/>
          <w:color w:val="auto"/>
        </w:rPr>
        <w:t>Composition of Board of Directors; Election and Removal</w:t>
      </w:r>
      <w:r>
        <w:rPr>
          <w:rFonts w:ascii="Arial" w:cs="Arial" w:eastAsia="Arial" w:hAnsi="Arial"/>
          <w:sz w:val="14"/>
          <w:szCs w:val="14"/>
          <w:color w:val="auto"/>
        </w:rPr>
        <w:t>.”</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No Cumulative Voting</w:t>
      </w:r>
    </w:p>
    <w:p>
      <w:pPr>
        <w:spacing w:after="0" w:line="124" w:lineRule="exact"/>
        <w:rPr>
          <w:sz w:val="20"/>
          <w:szCs w:val="20"/>
          <w:color w:val="auto"/>
        </w:rPr>
      </w:pPr>
    </w:p>
    <w:p>
      <w:pPr>
        <w:ind w:left="1160" w:right="1459" w:firstLine="293"/>
        <w:spacing w:after="0" w:line="248" w:lineRule="auto"/>
        <w:rPr>
          <w:sz w:val="20"/>
          <w:szCs w:val="20"/>
          <w:color w:val="auto"/>
        </w:rPr>
      </w:pPr>
      <w:r>
        <w:rPr>
          <w:rFonts w:ascii="Arial" w:cs="Arial" w:eastAsia="Arial" w:hAnsi="Arial"/>
          <w:sz w:val="15"/>
          <w:szCs w:val="15"/>
          <w:color w:val="auto"/>
        </w:rPr>
        <w:t>Under our certificate of incorporation, stockholders do not have the right to cumulative votes in the election of directors.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Special Meetings of Stockholders</w:t>
      </w:r>
    </w:p>
    <w:p>
      <w:pPr>
        <w:spacing w:after="0" w:line="113"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Stockholder Action by Written Consent</w:t>
      </w:r>
    </w:p>
    <w:p>
      <w:pPr>
        <w:spacing w:after="0" w:line="12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33" w:lineRule="auto"/>
        <w:rPr>
          <w:sz w:val="20"/>
          <w:szCs w:val="20"/>
          <w:color w:val="auto"/>
        </w:rPr>
      </w:pPr>
      <w:r>
        <w:rPr>
          <w:rFonts w:ascii="Arial" w:cs="Arial" w:eastAsia="Arial" w:hAnsi="Arial"/>
          <w:sz w:val="15"/>
          <w:szCs w:val="15"/>
          <w:color w:val="auto"/>
        </w:rPr>
        <w:t>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Advance Notice Requirements for Stockholder Proposals and Director Nominations</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4"/>
          <w:szCs w:val="14"/>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86" w:lineRule="exact"/>
        <w:rPr>
          <w:sz w:val="20"/>
          <w:szCs w:val="20"/>
          <w:color w:val="auto"/>
        </w:rPr>
      </w:pPr>
    </w:p>
    <w:p>
      <w:pPr>
        <w:ind w:left="1160" w:right="1239" w:firstLine="293"/>
        <w:spacing w:after="0" w:line="232" w:lineRule="auto"/>
        <w:rPr>
          <w:sz w:val="20"/>
          <w:szCs w:val="20"/>
          <w:color w:val="auto"/>
        </w:rPr>
      </w:pPr>
      <w:r>
        <w:rPr>
          <w:rFonts w:ascii="Arial" w:cs="Arial" w:eastAsia="Arial" w:hAnsi="Arial"/>
          <w:sz w:val="15"/>
          <w:szCs w:val="15"/>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Delaware Takeover Statute</w:t>
      </w:r>
    </w:p>
    <w:p>
      <w:pPr>
        <w:spacing w:after="0" w:line="124" w:lineRule="exact"/>
        <w:rPr>
          <w:sz w:val="20"/>
          <w:szCs w:val="20"/>
          <w:color w:val="auto"/>
        </w:rPr>
      </w:pPr>
    </w:p>
    <w:p>
      <w:pPr>
        <w:jc w:val="both"/>
        <w:ind w:left="1160" w:right="1219" w:firstLine="293"/>
        <w:spacing w:after="0" w:line="254" w:lineRule="auto"/>
        <w:rPr>
          <w:sz w:val="20"/>
          <w:szCs w:val="20"/>
          <w:color w:val="auto"/>
        </w:rPr>
      </w:pPr>
      <w:r>
        <w:rPr>
          <w:rFonts w:ascii="Arial" w:cs="Arial" w:eastAsia="Arial" w:hAnsi="Arial"/>
          <w:sz w:val="15"/>
          <w:szCs w:val="15"/>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01" w:lineRule="exact"/>
        <w:rPr>
          <w:sz w:val="20"/>
          <w:szCs w:val="20"/>
          <w:color w:val="auto"/>
        </w:rPr>
      </w:pPr>
    </w:p>
    <w:p>
      <w:pPr>
        <w:ind w:left="1160" w:right="1219" w:firstLine="293"/>
        <w:spacing w:after="0" w:line="271" w:lineRule="auto"/>
        <w:rPr>
          <w:sz w:val="20"/>
          <w:szCs w:val="20"/>
          <w:color w:val="auto"/>
        </w:rPr>
      </w:pPr>
      <w:r>
        <w:rPr>
          <w:rFonts w:ascii="Arial" w:cs="Arial" w:eastAsia="Arial" w:hAnsi="Arial"/>
          <w:sz w:val="14"/>
          <w:szCs w:val="14"/>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58" w:lineRule="exact"/>
        <w:rPr>
          <w:sz w:val="20"/>
          <w:szCs w:val="20"/>
          <w:color w:val="auto"/>
        </w:rPr>
      </w:pPr>
    </w:p>
    <w:p>
      <w:pPr>
        <w:ind w:left="1600" w:right="1219" w:hanging="143"/>
        <w:spacing w:after="0" w:line="249" w:lineRule="auto"/>
        <w:tabs>
          <w:tab w:leader="none" w:pos="16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72" w:lineRule="exact"/>
        <w:rPr>
          <w:rFonts w:ascii="Arial" w:cs="Arial" w:eastAsia="Arial" w:hAnsi="Arial"/>
          <w:sz w:val="15"/>
          <w:szCs w:val="15"/>
          <w:color w:val="auto"/>
        </w:rPr>
      </w:pPr>
    </w:p>
    <w:p>
      <w:pPr>
        <w:jc w:val="both"/>
        <w:ind w:left="1600" w:right="1219" w:hanging="143"/>
        <w:spacing w:after="0" w:line="311" w:lineRule="auto"/>
        <w:tabs>
          <w:tab w:leader="none" w:pos="16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179"/>
        <w:spacing w:after="0" w:line="248" w:lineRule="auto"/>
        <w:rPr>
          <w:sz w:val="20"/>
          <w:szCs w:val="20"/>
          <w:color w:val="auto"/>
        </w:rPr>
      </w:pPr>
      <w:r>
        <w:rPr>
          <w:rFonts w:ascii="Arial" w:cs="Arial" w:eastAsia="Arial" w:hAnsi="Arial"/>
          <w:sz w:val="14"/>
          <w:szCs w:val="14"/>
          <w:color w:val="auto"/>
        </w:rPr>
        <w:t>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61" w:lineRule="exact"/>
        <w:rPr>
          <w:sz w:val="20"/>
          <w:szCs w:val="20"/>
          <w:color w:val="auto"/>
        </w:rPr>
      </w:pPr>
    </w:p>
    <w:p>
      <w:pPr>
        <w:ind w:left="1600" w:right="1259" w:hanging="143"/>
        <w:spacing w:after="0" w:line="254"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Arial" w:cs="Arial" w:eastAsia="Arial" w:hAnsi="Arial"/>
          <w:sz w:val="15"/>
          <w:szCs w:val="15"/>
          <w:color w:val="auto"/>
        </w:rPr>
      </w:pPr>
    </w:p>
    <w:p>
      <w:pPr>
        <w:ind w:left="1600" w:right="1219" w:hanging="143"/>
        <w:spacing w:after="0" w:line="247"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64" w:lineRule="exact"/>
        <w:rPr>
          <w:rFonts w:ascii="Arial" w:cs="Arial" w:eastAsia="Arial" w:hAnsi="Arial"/>
          <w:sz w:val="15"/>
          <w:szCs w:val="15"/>
          <w:color w:val="auto"/>
        </w:rPr>
      </w:pPr>
    </w:p>
    <w:p>
      <w:pPr>
        <w:ind w:left="1600" w:right="1199" w:hanging="143"/>
        <w:spacing w:after="0" w:line="251" w:lineRule="auto"/>
        <w:tabs>
          <w:tab w:leader="none" w:pos="16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02" w:lineRule="exact"/>
        <w:rPr>
          <w:sz w:val="20"/>
          <w:szCs w:val="20"/>
          <w:color w:val="auto"/>
        </w:rPr>
      </w:pPr>
    </w:p>
    <w:p>
      <w:pPr>
        <w:ind w:left="1160" w:right="1199" w:firstLine="293"/>
        <w:spacing w:after="0" w:line="233" w:lineRule="auto"/>
        <w:rPr>
          <w:sz w:val="20"/>
          <w:szCs w:val="20"/>
          <w:color w:val="auto"/>
        </w:rPr>
      </w:pPr>
      <w:r>
        <w:rPr>
          <w:rFonts w:ascii="Arial" w:cs="Arial" w:eastAsia="Arial" w:hAnsi="Arial"/>
          <w:sz w:val="15"/>
          <w:szCs w:val="15"/>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02" w:lineRule="exact"/>
        <w:rPr>
          <w:sz w:val="20"/>
          <w:szCs w:val="20"/>
          <w:color w:val="auto"/>
        </w:rPr>
      </w:pPr>
    </w:p>
    <w:p>
      <w:pPr>
        <w:ind w:left="1160" w:right="1339" w:firstLine="293"/>
        <w:spacing w:after="0" w:line="236" w:lineRule="auto"/>
        <w:rPr>
          <w:sz w:val="20"/>
          <w:szCs w:val="20"/>
          <w:color w:val="auto"/>
        </w:rPr>
      </w:pPr>
      <w:r>
        <w:rPr>
          <w:rFonts w:ascii="Arial" w:cs="Arial" w:eastAsia="Arial" w:hAnsi="Arial"/>
          <w:sz w:val="15"/>
          <w:szCs w:val="15"/>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Certificate of Incorporation</w:t>
      </w:r>
    </w:p>
    <w:p>
      <w:pPr>
        <w:spacing w:after="0" w:line="113"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Under Delaware law, our certificate of incorporation may be amended only with the affirmative vote of holders of at least a majority of the outstanding stock entitled to vote thereon.</w:t>
      </w:r>
    </w:p>
    <w:p>
      <w:pPr>
        <w:spacing w:after="0" w:line="94"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319" w:hanging="143"/>
        <w:spacing w:after="0" w:line="254" w:lineRule="auto"/>
        <w:tabs>
          <w:tab w:leader="none" w:pos="1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Arial" w:cs="Arial" w:eastAsia="Arial" w:hAnsi="Arial"/>
          <w:sz w:val="15"/>
          <w:szCs w:val="15"/>
          <w:color w:val="auto"/>
        </w:rPr>
      </w:pPr>
    </w:p>
    <w:p>
      <w:pPr>
        <w:ind w:left="1600" w:right="1199" w:hanging="143"/>
        <w:spacing w:after="0" w:line="249" w:lineRule="auto"/>
        <w:tabs>
          <w:tab w:leader="none" w:pos="1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72" w:lineRule="exact"/>
        <w:rPr>
          <w:rFonts w:ascii="Arial" w:cs="Arial" w:eastAsia="Arial" w:hAnsi="Arial"/>
          <w:sz w:val="15"/>
          <w:szCs w:val="15"/>
          <w:color w:val="auto"/>
        </w:rPr>
      </w:pPr>
    </w:p>
    <w:p>
      <w:pPr>
        <w:ind w:left="1600" w:hanging="143"/>
        <w:spacing w:after="0"/>
        <w:tabs>
          <w:tab w:leader="none" w:pos="1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provisions authorizing our board of directors to make, alter, amend or repeal our bylaws;</w:t>
      </w:r>
    </w:p>
    <w:p>
      <w:pPr>
        <w:spacing w:after="0" w:line="91" w:lineRule="exact"/>
        <w:rPr>
          <w:rFonts w:ascii="Arial" w:cs="Arial" w:eastAsia="Arial" w:hAnsi="Arial"/>
          <w:sz w:val="15"/>
          <w:szCs w:val="15"/>
          <w:color w:val="auto"/>
        </w:rPr>
      </w:pPr>
    </w:p>
    <w:p>
      <w:pPr>
        <w:ind w:left="1600" w:right="1259" w:hanging="143"/>
        <w:spacing w:after="0" w:line="264" w:lineRule="auto"/>
        <w:tabs>
          <w:tab w:leader="none" w:pos="1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provisions regarding the calling of special meetings and stockholder action by written consent in lieu of a meeting;</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provisions eliminating monetary damages for breaches of fiduciary duty by a director;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provisions providing for indemnification and advance of expenses of our directors and officers;</w:t>
      </w:r>
    </w:p>
    <w:p>
      <w:pPr>
        <w:spacing w:after="0" w:line="102" w:lineRule="exact"/>
        <w:rPr>
          <w:rFonts w:ascii="Arial" w:cs="Arial" w:eastAsia="Arial" w:hAnsi="Arial"/>
          <w:sz w:val="14"/>
          <w:szCs w:val="14"/>
          <w:color w:val="auto"/>
        </w:rPr>
      </w:pPr>
    </w:p>
    <w:p>
      <w:pPr>
        <w:ind w:left="1600" w:hanging="143"/>
        <w:spacing w:after="0"/>
        <w:tabs>
          <w:tab w:leader="none" w:pos="1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provisions regarding competition and corporate opportunities;</w:t>
      </w:r>
    </w:p>
    <w:p>
      <w:pPr>
        <w:spacing w:after="0" w:line="91" w:lineRule="exact"/>
        <w:rPr>
          <w:rFonts w:ascii="Arial" w:cs="Arial" w:eastAsia="Arial" w:hAnsi="Arial"/>
          <w:sz w:val="15"/>
          <w:szCs w:val="15"/>
          <w:color w:val="auto"/>
        </w:rPr>
      </w:pPr>
    </w:p>
    <w:p>
      <w:pPr>
        <w:ind w:left="1600" w:right="1239" w:hanging="143"/>
        <w:spacing w:after="0" w:line="251" w:lineRule="auto"/>
        <w:tabs>
          <w:tab w:leader="none" w:pos="1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69" w:lineRule="exact"/>
        <w:rPr>
          <w:rFonts w:ascii="Arial" w:cs="Arial" w:eastAsia="Arial" w:hAnsi="Arial"/>
          <w:sz w:val="15"/>
          <w:szCs w:val="15"/>
          <w:color w:val="auto"/>
        </w:rPr>
      </w:pPr>
    </w:p>
    <w:p>
      <w:pPr>
        <w:ind w:left="1600" w:hanging="143"/>
        <w:spacing w:after="0"/>
        <w:tabs>
          <w:tab w:leader="none" w:pos="1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provisions regarding entering into business combinations with interested stockholders;</w:t>
      </w:r>
    </w:p>
    <w:p>
      <w:pPr>
        <w:spacing w:after="0" w:line="91" w:lineRule="exact"/>
        <w:rPr>
          <w:rFonts w:ascii="Arial" w:cs="Arial" w:eastAsia="Arial" w:hAnsi="Arial"/>
          <w:sz w:val="15"/>
          <w:szCs w:val="15"/>
          <w:color w:val="auto"/>
        </w:rPr>
      </w:pPr>
    </w:p>
    <w:p>
      <w:pPr>
        <w:ind w:left="1600" w:right="1379" w:hanging="143"/>
        <w:spacing w:after="0" w:line="274" w:lineRule="auto"/>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55" w:lineRule="exact"/>
        <w:rPr>
          <w:rFonts w:ascii="Arial" w:cs="Arial" w:eastAsia="Arial" w:hAnsi="Arial"/>
          <w:sz w:val="14"/>
          <w:szCs w:val="14"/>
          <w:color w:val="auto"/>
        </w:rPr>
      </w:pPr>
    </w:p>
    <w:p>
      <w:pPr>
        <w:ind w:left="1600" w:right="1399" w:hanging="143"/>
        <w:spacing w:after="0" w:line="274" w:lineRule="auto"/>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Amendment of Our Bylaws</w:t>
      </w:r>
    </w:p>
    <w:p>
      <w:pPr>
        <w:spacing w:after="0" w:line="124"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Certain Matters that Require Consent of our Stockholders</w:t>
      </w:r>
    </w:p>
    <w:p>
      <w:pPr>
        <w:spacing w:after="0" w:line="124"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69" w:lineRule="exact"/>
        <w:rPr>
          <w:sz w:val="20"/>
          <w:szCs w:val="20"/>
          <w:color w:val="auto"/>
        </w:rPr>
      </w:pPr>
    </w:p>
    <w:p>
      <w:pPr>
        <w:ind w:left="1600" w:right="1239" w:hanging="143"/>
        <w:spacing w:after="0" w:line="281" w:lineRule="auto"/>
        <w:tabs>
          <w:tab w:leader="none" w:pos="16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49" w:lineRule="exact"/>
        <w:rPr>
          <w:rFonts w:ascii="Arial" w:cs="Arial" w:eastAsia="Arial" w:hAnsi="Arial"/>
          <w:sz w:val="14"/>
          <w:szCs w:val="14"/>
          <w:color w:val="auto"/>
        </w:rPr>
      </w:pPr>
    </w:p>
    <w:p>
      <w:pPr>
        <w:ind w:left="1600" w:right="1639" w:hanging="143"/>
        <w:spacing w:after="0" w:line="264" w:lineRule="auto"/>
        <w:tabs>
          <w:tab w:leader="none" w:pos="16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material disposition of any of our or our subsidiaries’ assets or equity interests, other than dispositions of aircraft or engines in the ordinary course of business; or</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600" w:right="1259" w:hanging="143"/>
        <w:spacing w:after="0" w:line="248" w:lineRule="auto"/>
        <w:tabs>
          <w:tab w:leader="none" w:pos="16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See “</w:t>
      </w:r>
      <w:r>
        <w:rPr>
          <w:rFonts w:ascii="Arial" w:cs="Arial" w:eastAsia="Arial" w:hAnsi="Arial"/>
          <w:sz w:val="15"/>
          <w:szCs w:val="15"/>
          <w:i w:val="1"/>
          <w:iCs w:val="1"/>
          <w:color w:val="auto"/>
        </w:rPr>
        <w:t>Certain Relationships and Related</w:t>
      </w:r>
      <w:r>
        <w:rPr>
          <w:rFonts w:ascii="Arial" w:cs="Arial" w:eastAsia="Arial" w:hAnsi="Arial"/>
          <w:sz w:val="15"/>
          <w:szCs w:val="15"/>
          <w:color w:val="auto"/>
        </w:rPr>
        <w:t xml:space="preserve"> </w:t>
      </w:r>
      <w:r>
        <w:rPr>
          <w:rFonts w:ascii="Arial" w:cs="Arial" w:eastAsia="Arial" w:hAnsi="Arial"/>
          <w:sz w:val="15"/>
          <w:szCs w:val="15"/>
          <w:i w:val="1"/>
          <w:iCs w:val="1"/>
          <w:color w:val="auto"/>
        </w:rPr>
        <w:t>Party Transactions—Stockholders Agreement</w:t>
      </w:r>
      <w:r>
        <w:rPr>
          <w:rFonts w:ascii="Arial" w:cs="Arial" w:eastAsia="Arial" w:hAnsi="Arial"/>
          <w:sz w:val="15"/>
          <w:szCs w:val="15"/>
          <w:color w:val="auto"/>
        </w:rPr>
        <w:t>.”</w:t>
      </w:r>
    </w:p>
    <w:p>
      <w:pPr>
        <w:spacing w:after="0" w:line="106" w:lineRule="exact"/>
        <w:rPr>
          <w:sz w:val="20"/>
          <w:szCs w:val="20"/>
          <w:color w:val="auto"/>
        </w:rPr>
      </w:pPr>
    </w:p>
    <w:p>
      <w:pPr>
        <w:ind w:left="1160" w:right="1299" w:firstLine="293"/>
        <w:spacing w:after="0" w:line="253" w:lineRule="auto"/>
        <w:rPr>
          <w:sz w:val="20"/>
          <w:szCs w:val="20"/>
          <w:color w:val="auto"/>
        </w:rPr>
      </w:pPr>
      <w:r>
        <w:rPr>
          <w:rFonts w:ascii="Arial" w:cs="Arial" w:eastAsia="Arial" w:hAnsi="Arial"/>
          <w:sz w:val="14"/>
          <w:szCs w:val="14"/>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Opportunity</w:t>
      </w:r>
    </w:p>
    <w:p>
      <w:pPr>
        <w:spacing w:after="0" w:line="117"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94"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Limited Ownership and Voting by Foreign Owners</w:t>
      </w:r>
    </w:p>
    <w:p>
      <w:pPr>
        <w:spacing w:after="0" w:line="128"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5" w:name="page176"/>
    <w:bookmarkEnd w:id="17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99"/>
        <w:spacing w:after="0" w:line="234" w:lineRule="auto"/>
        <w:rPr>
          <w:sz w:val="20"/>
          <w:szCs w:val="20"/>
          <w:color w:val="auto"/>
        </w:rPr>
      </w:pPr>
      <w:r>
        <w:rPr>
          <w:rFonts w:ascii="Arial" w:cs="Arial" w:eastAsia="Arial" w:hAnsi="Arial"/>
          <w:sz w:val="15"/>
          <w:szCs w:val="15"/>
          <w:color w:val="auto"/>
        </w:rPr>
        <w:t>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01"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By participating in this offering, you are representing that you are a citizen of the United States, as defined in 49 U.S.C. § 40102(a)(15). For purposes of the restrictions on foreign ownership and control of U.S. airlines, under federal law and DOT policy, “citizen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Exclusive Forum Selection</w:t>
      </w:r>
    </w:p>
    <w:p>
      <w:pPr>
        <w:spacing w:after="0" w:line="117" w:lineRule="exact"/>
        <w:rPr>
          <w:sz w:val="20"/>
          <w:szCs w:val="20"/>
          <w:color w:val="auto"/>
        </w:rPr>
      </w:pPr>
    </w:p>
    <w:p>
      <w:pPr>
        <w:ind w:left="1160" w:right="1339" w:firstLine="293"/>
        <w:spacing w:after="0" w:line="283" w:lineRule="auto"/>
        <w:rPr>
          <w:sz w:val="20"/>
          <w:szCs w:val="20"/>
          <w:color w:val="auto"/>
        </w:rPr>
      </w:pPr>
      <w:r>
        <w:rPr>
          <w:rFonts w:ascii="Arial" w:cs="Arial" w:eastAsia="Arial" w:hAnsi="Arial"/>
          <w:sz w:val="14"/>
          <w:szCs w:val="14"/>
          <w:color w:val="auto"/>
        </w:rPr>
        <w:t>Unless we consent in writing to the selection of an alternative forum, the Chancery Court of the State of Delaware will, to the fullest extent permitted by law, be the sole and exclusive forum for:</w:t>
      </w:r>
    </w:p>
    <w:p>
      <w:pPr>
        <w:spacing w:after="0" w:line="38" w:lineRule="exact"/>
        <w:rPr>
          <w:sz w:val="20"/>
          <w:szCs w:val="20"/>
          <w:color w:val="auto"/>
        </w:rPr>
      </w:pPr>
    </w:p>
    <w:p>
      <w:pPr>
        <w:ind w:left="1600" w:hanging="143"/>
        <w:spacing w:after="0"/>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91" w:lineRule="exact"/>
        <w:rPr>
          <w:rFonts w:ascii="Arial" w:cs="Arial" w:eastAsia="Arial" w:hAnsi="Arial"/>
          <w:sz w:val="15"/>
          <w:szCs w:val="15"/>
          <w:color w:val="auto"/>
        </w:rPr>
      </w:pPr>
    </w:p>
    <w:p>
      <w:pPr>
        <w:ind w:left="1600" w:right="151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owed by any of our directors, officers, employees or agents to us or our stockholders;</w:t>
      </w:r>
    </w:p>
    <w:p>
      <w:pPr>
        <w:spacing w:after="0" w:line="59" w:lineRule="exact"/>
        <w:rPr>
          <w:rFonts w:ascii="Arial" w:cs="Arial" w:eastAsia="Arial" w:hAnsi="Arial"/>
          <w:sz w:val="15"/>
          <w:szCs w:val="15"/>
          <w:color w:val="auto"/>
        </w:rPr>
      </w:pPr>
    </w:p>
    <w:p>
      <w:pPr>
        <w:ind w:left="1600" w:right="139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action asserting a claim arising pursuant to any provision of the DGCL or of our certificate of incorporation or our bylaws; or</w:t>
      </w:r>
    </w:p>
    <w:p>
      <w:pPr>
        <w:spacing w:after="0" w:line="49"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any action asserting a claim against us or any of our directors or officers governed by the internal affairs doctrine,</w:t>
      </w:r>
    </w:p>
    <w:p>
      <w:pPr>
        <w:spacing w:after="0" w:line="93" w:lineRule="exact"/>
        <w:rPr>
          <w:sz w:val="20"/>
          <w:szCs w:val="20"/>
          <w:color w:val="auto"/>
        </w:rPr>
      </w:pPr>
    </w:p>
    <w:p>
      <w:pPr>
        <w:ind w:left="1160" w:right="1839"/>
        <w:spacing w:after="0" w:line="248" w:lineRule="auto"/>
        <w:rPr>
          <w:sz w:val="20"/>
          <w:szCs w:val="20"/>
          <w:color w:val="auto"/>
        </w:rPr>
      </w:pPr>
      <w:r>
        <w:rPr>
          <w:rFonts w:ascii="Arial" w:cs="Arial" w:eastAsia="Arial" w:hAnsi="Arial"/>
          <w:sz w:val="15"/>
          <w:szCs w:val="15"/>
          <w:color w:val="auto"/>
        </w:rPr>
        <w:t>in each such case subject to the Delaware Court of Chancery having personal jurisdiction over the indispensable parties named as defendants.</w:t>
      </w:r>
    </w:p>
    <w:p>
      <w:pPr>
        <w:spacing w:after="0" w:line="94" w:lineRule="exact"/>
        <w:rPr>
          <w:sz w:val="20"/>
          <w:szCs w:val="20"/>
          <w:color w:val="auto"/>
        </w:rPr>
      </w:pPr>
    </w:p>
    <w:p>
      <w:pPr>
        <w:ind w:left="1160" w:right="1199" w:firstLine="293"/>
        <w:spacing w:after="0" w:line="231" w:lineRule="auto"/>
        <w:rPr>
          <w:sz w:val="20"/>
          <w:szCs w:val="20"/>
          <w:color w:val="auto"/>
        </w:rPr>
      </w:pPr>
      <w:r>
        <w:rPr>
          <w:rFonts w:ascii="Arial" w:cs="Arial" w:eastAsia="Arial" w:hAnsi="Arial"/>
          <w:sz w:val="15"/>
          <w:szCs w:val="15"/>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94"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6" w:name="page177"/>
    <w:bookmarkEnd w:id="17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19"/>
        <w:spacing w:after="0" w:line="264" w:lineRule="auto"/>
        <w:rPr>
          <w:sz w:val="20"/>
          <w:szCs w:val="20"/>
          <w:color w:val="auto"/>
        </w:rPr>
      </w:pPr>
      <w:r>
        <w:rPr>
          <w:rFonts w:ascii="Arial" w:cs="Arial" w:eastAsia="Arial" w:hAnsi="Arial"/>
          <w:sz w:val="15"/>
          <w:szCs w:val="15"/>
          <w:color w:val="auto"/>
        </w:rPr>
        <w:t>where a stockholder considering an action may be located or would otherwise choose to bring the action, and such judgments may be more or less favorable to us than our stockholders.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Limitation of Liability and Indemnification</w:t>
      </w:r>
    </w:p>
    <w:p>
      <w:pPr>
        <w:spacing w:after="0" w:line="128" w:lineRule="exact"/>
        <w:rPr>
          <w:sz w:val="20"/>
          <w:szCs w:val="20"/>
          <w:color w:val="auto"/>
        </w:rPr>
      </w:pPr>
    </w:p>
    <w:p>
      <w:pPr>
        <w:jc w:val="both"/>
        <w:ind w:left="1160" w:right="1199" w:firstLine="293"/>
        <w:spacing w:after="0" w:line="254" w:lineRule="auto"/>
        <w:rPr>
          <w:sz w:val="20"/>
          <w:szCs w:val="20"/>
          <w:color w:val="auto"/>
        </w:rPr>
      </w:pPr>
      <w:r>
        <w:rPr>
          <w:rFonts w:ascii="Arial" w:cs="Arial" w:eastAsia="Arial" w:hAnsi="Arial"/>
          <w:sz w:val="15"/>
          <w:szCs w:val="15"/>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8" w:lineRule="exact"/>
        <w:rPr>
          <w:sz w:val="20"/>
          <w:szCs w:val="20"/>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for any breach of their duty of loyalty to the corporation or its stockholders;</w:t>
      </w:r>
    </w:p>
    <w:p>
      <w:pPr>
        <w:spacing w:after="0" w:line="91" w:lineRule="exact"/>
        <w:rPr>
          <w:rFonts w:ascii="Arial" w:cs="Arial" w:eastAsia="Arial" w:hAnsi="Arial"/>
          <w:sz w:val="15"/>
          <w:szCs w:val="15"/>
          <w:color w:val="auto"/>
        </w:rPr>
      </w:pPr>
    </w:p>
    <w:p>
      <w:pPr>
        <w:ind w:left="1600" w:right="1719" w:hanging="143"/>
        <w:spacing w:after="0" w:line="264" w:lineRule="auto"/>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for acts or omissions not in good faith or which involve intentional misconduct or a knowing violation of laws;</w:t>
      </w:r>
    </w:p>
    <w:p>
      <w:pPr>
        <w:spacing w:after="0" w:line="60" w:lineRule="exact"/>
        <w:rPr>
          <w:rFonts w:ascii="Arial" w:cs="Arial" w:eastAsia="Arial" w:hAnsi="Arial"/>
          <w:sz w:val="15"/>
          <w:szCs w:val="15"/>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under Section 174 of the DGCL (governing distributions to stockholders); or</w:t>
      </w:r>
    </w:p>
    <w:p>
      <w:pPr>
        <w:spacing w:after="0" w:line="91" w:lineRule="exact"/>
        <w:rPr>
          <w:rFonts w:ascii="Arial" w:cs="Arial" w:eastAsia="Arial" w:hAnsi="Arial"/>
          <w:sz w:val="15"/>
          <w:szCs w:val="15"/>
          <w:color w:val="auto"/>
        </w:rPr>
      </w:pPr>
    </w:p>
    <w:p>
      <w:pPr>
        <w:ind w:left="1600" w:hanging="143"/>
        <w:spacing w:after="0"/>
        <w:tabs>
          <w:tab w:leader="none" w:pos="16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for any transaction from which the director derived an improper personal benefit.</w:t>
      </w:r>
    </w:p>
    <w:p>
      <w:pPr>
        <w:spacing w:after="0" w:line="113"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09" w:lineRule="exact"/>
        <w:rPr>
          <w:sz w:val="20"/>
          <w:szCs w:val="20"/>
          <w:color w:val="auto"/>
        </w:rPr>
      </w:pPr>
    </w:p>
    <w:p>
      <w:pPr>
        <w:ind w:left="1160" w:right="1419" w:firstLine="293"/>
        <w:spacing w:after="0" w:line="281" w:lineRule="auto"/>
        <w:rPr>
          <w:sz w:val="20"/>
          <w:szCs w:val="20"/>
          <w:color w:val="auto"/>
        </w:rPr>
      </w:pPr>
      <w:r>
        <w:rPr>
          <w:rFonts w:ascii="Arial" w:cs="Arial" w:eastAsia="Arial" w:hAnsi="Arial"/>
          <w:sz w:val="14"/>
          <w:szCs w:val="14"/>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72" w:lineRule="exact"/>
        <w:rPr>
          <w:sz w:val="20"/>
          <w:szCs w:val="20"/>
          <w:color w:val="auto"/>
        </w:rPr>
      </w:pPr>
    </w:p>
    <w:p>
      <w:pPr>
        <w:ind w:left="1160" w:right="1399" w:firstLine="293"/>
        <w:spacing w:after="0" w:line="268" w:lineRule="auto"/>
        <w:rPr>
          <w:sz w:val="20"/>
          <w:szCs w:val="20"/>
          <w:color w:val="auto"/>
        </w:rPr>
      </w:pPr>
      <w:r>
        <w:rPr>
          <w:rFonts w:ascii="Arial" w:cs="Arial" w:eastAsia="Arial" w:hAnsi="Arial"/>
          <w:sz w:val="14"/>
          <w:szCs w:val="14"/>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93" w:lineRule="exact"/>
        <w:rPr>
          <w:sz w:val="20"/>
          <w:szCs w:val="20"/>
          <w:color w:val="auto"/>
        </w:rPr>
      </w:pPr>
    </w:p>
    <w:p>
      <w:pPr>
        <w:ind w:left="1160" w:right="1579" w:firstLine="293"/>
        <w:spacing w:after="0" w:line="264" w:lineRule="auto"/>
        <w:rPr>
          <w:sz w:val="20"/>
          <w:szCs w:val="20"/>
          <w:color w:val="auto"/>
        </w:rPr>
      </w:pPr>
      <w:r>
        <w:rPr>
          <w:rFonts w:ascii="Arial" w:cs="Arial" w:eastAsia="Arial" w:hAnsi="Arial"/>
          <w:sz w:val="15"/>
          <w:szCs w:val="15"/>
          <w:color w:val="auto"/>
        </w:rPr>
        <w:t>We believe these provisions will assist in attracting and retaining qualified individuals to serve as directors.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Transfer Agent and Registrar</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transfer agent and registrar for our common stock is Broadridge Corporate Issuer Solutions.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No predictions can be made about the effect, if any, that market sales of shares of our common stock or the availability of such shares for sale will have on the market price prevailing from time to time. Nevertheless, sales of a substantial number of shares of our common stock in the public market,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5"/>
          <w:szCs w:val="15"/>
          <w:i w:val="1"/>
          <w:iCs w:val="1"/>
          <w:color w:val="auto"/>
        </w:rPr>
        <w:t>Risk Factors—Risks Related to this Offering and Ownership of our Common Stock—Future sales of our</w:t>
      </w:r>
      <w:r>
        <w:rPr>
          <w:rFonts w:ascii="Arial" w:cs="Arial" w:eastAsia="Arial" w:hAnsi="Arial"/>
          <w:sz w:val="15"/>
          <w:szCs w:val="15"/>
          <w:color w:val="auto"/>
        </w:rPr>
        <w:t xml:space="preserve"> </w:t>
      </w:r>
      <w:r>
        <w:rPr>
          <w:rFonts w:ascii="Arial" w:cs="Arial" w:eastAsia="Arial" w:hAnsi="Arial"/>
          <w:sz w:val="15"/>
          <w:szCs w:val="15"/>
          <w:i w:val="1"/>
          <w:iCs w:val="1"/>
          <w:color w:val="auto"/>
        </w:rPr>
        <w:t>common stock in the public market, or the perception in the public market that such sales may occur, could reduce our stock price</w:t>
      </w:r>
      <w:r>
        <w:rPr>
          <w:rFonts w:ascii="Arial" w:cs="Arial" w:eastAsia="Arial" w:hAnsi="Arial"/>
          <w:sz w:val="15"/>
          <w:szCs w:val="15"/>
          <w:color w:val="auto"/>
        </w:rPr>
        <w:t>.”</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Sales of Restricted Shares</w:t>
      </w:r>
    </w:p>
    <w:p>
      <w:pPr>
        <w:spacing w:after="0" w:line="117" w:lineRule="exact"/>
        <w:rPr>
          <w:sz w:val="20"/>
          <w:szCs w:val="20"/>
          <w:color w:val="auto"/>
        </w:rPr>
      </w:pPr>
    </w:p>
    <w:p>
      <w:pPr>
        <w:ind w:left="1160" w:right="1179" w:firstLine="293"/>
        <w:spacing w:after="0" w:line="284" w:lineRule="auto"/>
        <w:rPr>
          <w:sz w:val="20"/>
          <w:szCs w:val="20"/>
          <w:color w:val="auto"/>
        </w:rPr>
      </w:pPr>
      <w:r>
        <w:rPr>
          <w:rFonts w:ascii="Arial" w:cs="Arial" w:eastAsia="Arial" w:hAnsi="Arial"/>
          <w:sz w:val="13"/>
          <w:szCs w:val="13"/>
          <w:color w:val="auto"/>
        </w:rPr>
        <w:t>As of June 30, 2021, we had outstanding an aggregate of 57,158,467 shares of common stock. Additionally, we had 5,856,478 options outstanding, which are exercisable into 5,856,478 shares of common stock, 7,634 shares of common stock that may be issued upon the vesting of outstanding RSUs and 9,482,606 warrants outstanding, which are exercisable for 9,482,606 shares of common stock, subject to their vesting terms and limitations imposed by federal law on foreign ownership and control of U.S. airlines. See “</w:t>
      </w:r>
      <w:r>
        <w:rPr>
          <w:rFonts w:ascii="Arial" w:cs="Arial" w:eastAsia="Arial" w:hAnsi="Arial"/>
          <w:sz w:val="13"/>
          <w:szCs w:val="13"/>
          <w:i w:val="1"/>
          <w:iCs w:val="1"/>
          <w:color w:val="auto"/>
        </w:rPr>
        <w:t>Description of Capital Stock—Limited Ownership and Voting by Foreign Owners</w:t>
      </w:r>
      <w:r>
        <w:rPr>
          <w:rFonts w:ascii="Arial" w:cs="Arial" w:eastAsia="Arial" w:hAnsi="Arial"/>
          <w:sz w:val="13"/>
          <w:szCs w:val="13"/>
          <w:color w:val="auto"/>
        </w:rPr>
        <w:t>.” Of these shares, all of the 10,454,545 shares of common stock sold in our initial public offering, all of the 8,337,500 shares of</w:t>
      </w:r>
    </w:p>
    <w:p>
      <w:pPr>
        <w:spacing w:after="0" w:line="3" w:lineRule="exact"/>
        <w:rPr>
          <w:sz w:val="20"/>
          <w:szCs w:val="20"/>
          <w:color w:val="auto"/>
        </w:rPr>
      </w:pPr>
    </w:p>
    <w:p>
      <w:pPr>
        <w:ind w:left="1160" w:right="1239"/>
        <w:spacing w:after="0" w:line="244" w:lineRule="auto"/>
        <w:rPr>
          <w:sz w:val="20"/>
          <w:szCs w:val="20"/>
          <w:color w:val="auto"/>
        </w:rPr>
      </w:pPr>
      <w:r>
        <w:rPr>
          <w:rFonts w:ascii="Arial" w:cs="Arial" w:eastAsia="Arial" w:hAnsi="Arial"/>
          <w:sz w:val="15"/>
          <w:szCs w:val="15"/>
          <w:color w:val="auto"/>
        </w:rPr>
        <w:t>common stock sold in the secondary offering that closed on May 24, 2021 and all of the shares of common stock to be sold in this offering (or shares assuming the underwriters exercise their option</w:t>
      </w:r>
    </w:p>
    <w:p>
      <w:pPr>
        <w:spacing w:after="0" w:line="1" w:lineRule="exact"/>
        <w:rPr>
          <w:sz w:val="20"/>
          <w:szCs w:val="20"/>
          <w:color w:val="auto"/>
        </w:rPr>
      </w:pPr>
    </w:p>
    <w:p>
      <w:pPr>
        <w:ind w:left="1160" w:right="1199"/>
        <w:spacing w:after="0" w:line="246" w:lineRule="auto"/>
        <w:rPr>
          <w:sz w:val="20"/>
          <w:szCs w:val="20"/>
          <w:color w:val="auto"/>
        </w:rPr>
      </w:pPr>
      <w:r>
        <w:rPr>
          <w:rFonts w:ascii="Arial" w:cs="Arial" w:eastAsia="Arial" w:hAnsi="Arial"/>
          <w:sz w:val="15"/>
          <w:szCs w:val="15"/>
          <w:color w:val="auto"/>
        </w:rPr>
        <w:t>to purchase additional shares in full), will be freely tradable without restriction unless the shares are held by any of our “affiliates” as such term is defined in Rule 144 under the Securities Act, and without further registration under the Securities Act. All remaining shares of common stock will be deemed “restricted securities” as such term is defined under Rule 144.</w:t>
      </w:r>
    </w:p>
    <w:p>
      <w:pPr>
        <w:spacing w:after="0" w:line="106"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28"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connection with our initial public offering, we, the Apollo Stockholder, all of our directors and executive officers, PAR Capital, the Blackrock Entities and Amazon agreed not to sell any common stock or securities convertible into or exercisable or exchangeable for shares of common stock for a period of</w:t>
      </w:r>
    </w:p>
    <w:p>
      <w:pPr>
        <w:spacing w:after="0" w:line="1" w:lineRule="exact"/>
        <w:rPr>
          <w:sz w:val="20"/>
          <w:szCs w:val="20"/>
          <w:color w:val="auto"/>
        </w:rPr>
      </w:pPr>
    </w:p>
    <w:p>
      <w:pPr>
        <w:ind w:left="1160" w:right="1199"/>
        <w:spacing w:after="0" w:line="282" w:lineRule="auto"/>
        <w:rPr>
          <w:sz w:val="20"/>
          <w:szCs w:val="20"/>
          <w:color w:val="auto"/>
        </w:rPr>
      </w:pPr>
      <w:r>
        <w:rPr>
          <w:rFonts w:ascii="Arial" w:cs="Arial" w:eastAsia="Arial" w:hAnsi="Arial"/>
          <w:sz w:val="13"/>
          <w:szCs w:val="13"/>
          <w:color w:val="auto"/>
        </w:rPr>
        <w:t>180 days after the date of the final prospectus related to our initial public offering, subject to certain exceptions. Please see “</w:t>
      </w:r>
      <w:r>
        <w:rPr>
          <w:rFonts w:ascii="Arial" w:cs="Arial" w:eastAsia="Arial" w:hAnsi="Arial"/>
          <w:sz w:val="13"/>
          <w:szCs w:val="13"/>
          <w:i w:val="1"/>
          <w:iCs w:val="1"/>
          <w:color w:val="auto"/>
        </w:rPr>
        <w:t>Underwriting (Conflict of Interest)</w:t>
      </w:r>
      <w:r>
        <w:rPr>
          <w:rFonts w:ascii="Arial" w:cs="Arial" w:eastAsia="Arial" w:hAnsi="Arial"/>
          <w:sz w:val="13"/>
          <w:szCs w:val="13"/>
          <w:color w:val="auto"/>
        </w:rPr>
        <w:t>” for a description of these lock-up provisions. Barclays Capital Inc. and Morgan Stanley &amp; Co. LLC in their sole discretion, may at any time release all or any portion of the shares from the restrictions in such agreements, subject to applicable notice requirements. In connection with this offering, Barclays Capital Inc. and Morgan Stanley &amp; Co. LLC have agreed to release certain restrictions under the lock-up agreement that was executed in connection with our initial</w:t>
      </w:r>
    </w:p>
    <w:p>
      <w:pPr>
        <w:spacing w:after="0" w:line="1" w:lineRule="exact"/>
        <w:rPr>
          <w:sz w:val="20"/>
          <w:szCs w:val="20"/>
          <w:color w:val="auto"/>
        </w:rPr>
      </w:pPr>
    </w:p>
    <w:p>
      <w:pPr>
        <w:ind w:left="1160" w:right="1279"/>
        <w:spacing w:after="0" w:line="266" w:lineRule="auto"/>
        <w:rPr>
          <w:sz w:val="20"/>
          <w:szCs w:val="20"/>
          <w:color w:val="auto"/>
        </w:rPr>
      </w:pPr>
      <w:r>
        <w:rPr>
          <w:rFonts w:ascii="Arial" w:cs="Arial" w:eastAsia="Arial" w:hAnsi="Arial"/>
          <w:sz w:val="14"/>
          <w:szCs w:val="14"/>
          <w:color w:val="auto"/>
        </w:rPr>
        <w:t>public offering with respect to up to shares of our common stock (including the shares of the common stock pursuant to the underwriters’ option to purchase additional shares) in this offering that are held by the selling stockholder, provided that the release of shares of our common stock held by the selling stockholder is limited to the shares actually sold in this offering, and to permit the filing of the registration statement to which this prospectus forms a part. Notwithstanding the foregoing, the lock-up agreements executed in connection with our initial public offering remain in full force and effect.</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144</w:t>
      </w:r>
    </w:p>
    <w:p>
      <w:pPr>
        <w:spacing w:after="0" w:line="117"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8" w:name="page179"/>
    <w:bookmarkEnd w:id="17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300" w:lineRule="auto"/>
        <w:rPr>
          <w:sz w:val="20"/>
          <w:szCs w:val="20"/>
          <w:color w:val="auto"/>
        </w:rPr>
      </w:pPr>
      <w:r>
        <w:rPr>
          <w:rFonts w:ascii="Arial" w:cs="Arial" w:eastAsia="Arial" w:hAnsi="Arial"/>
          <w:sz w:val="14"/>
          <w:szCs w:val="14"/>
          <w:color w:val="auto"/>
        </w:rPr>
        <w:t>non-affiliated person who has beneficially owned restricted securities within the meaning of Rule 144 for at least one year would be entitled to sell those shares without regard to the provisions of Rule 144.</w:t>
      </w:r>
    </w:p>
    <w:p>
      <w:pPr>
        <w:spacing w:after="0" w:line="70"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w:t>
      </w:r>
    </w:p>
    <w:p>
      <w:pPr>
        <w:spacing w:after="0" w:line="1" w:lineRule="exact"/>
        <w:rPr>
          <w:sz w:val="20"/>
          <w:szCs w:val="20"/>
          <w:color w:val="auto"/>
        </w:rPr>
      </w:pPr>
    </w:p>
    <w:p>
      <w:pPr>
        <w:ind w:left="1160" w:right="1319"/>
        <w:spacing w:after="0" w:line="246" w:lineRule="auto"/>
        <w:rPr>
          <w:sz w:val="20"/>
          <w:szCs w:val="20"/>
          <w:color w:val="auto"/>
        </w:rPr>
      </w:pPr>
      <w:r>
        <w:rPr>
          <w:rFonts w:ascii="Arial" w:cs="Arial" w:eastAsia="Arial" w:hAnsi="Arial"/>
          <w:sz w:val="15"/>
          <w:szCs w:val="15"/>
          <w:color w:val="auto"/>
        </w:rPr>
        <w:t>one percent of the then outstanding shares of our common stock or the average weekly trading volume of our common stock reported by Nasdaq during the four calendar weeks preceding the filing of notice of the sale. Such sales are also subject to certain manner of sale provisions, notice requirements and the availability of current public information about us.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Rule 701</w:t>
      </w:r>
    </w:p>
    <w:p>
      <w:pPr>
        <w:spacing w:after="0" w:line="117"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general, under Rule 701 under the Securities Act, any of our employees, directors, officers, consultants or advisors who purchases shares from us in connection with a compensatory stock or option plan or other written agreement before the effective date of our initial public offering is entitled to sell such shares 90 days after our initial public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Warrants</w:t>
      </w:r>
    </w:p>
    <w:p>
      <w:pPr>
        <w:spacing w:after="0" w:line="128"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As of June 30, 2021, we had warrants to purchase an aggregate of 9,482,606 shares of our common stock outstanding, the exercise of which is subject to limitations imposed by federal law on foreign ownership and control of U.S. airlines, approximately 13.3% of which have vested as of June 30, 2021. During the period the warrants are outstanding, we will reserve from our authorized and unissued common stock a sufficient number of shares to provide for the issuance of shares of common stock underlying the warrants upon the exercise of the warrants. See “</w:t>
      </w:r>
      <w:r>
        <w:rPr>
          <w:rFonts w:ascii="Arial" w:cs="Arial" w:eastAsia="Arial" w:hAnsi="Arial"/>
          <w:sz w:val="14"/>
          <w:szCs w:val="14"/>
          <w:i w:val="1"/>
          <w:iCs w:val="1"/>
          <w:color w:val="auto"/>
        </w:rPr>
        <w:t>Description of Capital Stock—Warrants.</w:t>
      </w:r>
      <w:r>
        <w:rPr>
          <w:rFonts w:ascii="Arial" w:cs="Arial" w:eastAsia="Arial" w:hAnsi="Arial"/>
          <w:sz w:val="14"/>
          <w:szCs w:val="14"/>
          <w:color w:val="auto"/>
        </w:rPr>
        <w: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Options and Restricted Stock Units</w:t>
      </w:r>
    </w:p>
    <w:p>
      <w:pPr>
        <w:spacing w:after="0" w:line="128" w:lineRule="exact"/>
        <w:rPr>
          <w:sz w:val="20"/>
          <w:szCs w:val="20"/>
          <w:color w:val="auto"/>
        </w:rPr>
      </w:pPr>
    </w:p>
    <w:p>
      <w:pPr>
        <w:ind w:left="1160" w:right="1179" w:firstLine="293"/>
        <w:spacing w:after="0" w:line="292" w:lineRule="auto"/>
        <w:rPr>
          <w:sz w:val="20"/>
          <w:szCs w:val="20"/>
          <w:color w:val="auto"/>
        </w:rPr>
      </w:pPr>
      <w:r>
        <w:rPr>
          <w:rFonts w:ascii="Arial" w:cs="Arial" w:eastAsia="Arial" w:hAnsi="Arial"/>
          <w:sz w:val="13"/>
          <w:szCs w:val="13"/>
          <w:color w:val="auto"/>
        </w:rPr>
        <w:t>As of June 30, 2021, we had options to purchase an aggregate of 5,856,478 shares of our common stock outstanding, the exercise of which is subject to limitations imposed by federal law on foreign ownership and control of U.S. airlines, of which options to purchase 1,451,717 shares had met the time-based requirements of the applicable vesting schedule. In addition, as of June 30, 2021, we had 7,634 shares of common stock that may be issued upon the vesting of outstanding RSUs.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Issued Under Employee Plans</w:t>
      </w:r>
    </w:p>
    <w:p>
      <w:pPr>
        <w:spacing w:after="0" w:line="117" w:lineRule="exact"/>
        <w:rPr>
          <w:sz w:val="20"/>
          <w:szCs w:val="20"/>
          <w:color w:val="auto"/>
        </w:rPr>
      </w:pPr>
    </w:p>
    <w:p>
      <w:pPr>
        <w:ind w:left="1160" w:right="1299" w:firstLine="293"/>
        <w:spacing w:after="0" w:line="249" w:lineRule="auto"/>
        <w:rPr>
          <w:sz w:val="20"/>
          <w:szCs w:val="20"/>
          <w:color w:val="auto"/>
        </w:rPr>
      </w:pPr>
      <w:r>
        <w:rPr>
          <w:rFonts w:ascii="Arial" w:cs="Arial" w:eastAsia="Arial" w:hAnsi="Arial"/>
          <w:sz w:val="15"/>
          <w:szCs w:val="15"/>
          <w:color w:val="auto"/>
        </w:rPr>
        <w:t>We filed a registration statement on Form S-8 under the Securities Act to register our common stock issuable under the SCA Acquisition Equity Plan and the Omnibus Incentive Plan, which became effective upon filing. Accordingly, shares registered under such registration statement are available for sale in the open market, unless such shares are subject to vesting restrictions with us, Rule 144 restrictions applicable to our affiliates or the lock-up restrictions described above.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Registration Rights</w:t>
      </w:r>
    </w:p>
    <w:p>
      <w:pPr>
        <w:spacing w:after="0" w:line="128"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Subject to the lock-up agreements, certain of our stockholders will be entitled to certain rights with respect to the registration of the sale of their shares of common stock under the Securities Act. For more information, see “</w:t>
      </w:r>
      <w:r>
        <w:rPr>
          <w:rFonts w:ascii="Arial" w:cs="Arial" w:eastAsia="Arial" w:hAnsi="Arial"/>
          <w:sz w:val="15"/>
          <w:szCs w:val="15"/>
          <w:i w:val="1"/>
          <w:iCs w:val="1"/>
          <w:color w:val="auto"/>
        </w:rPr>
        <w:t>Certain Relationships and Related Party Transactions—Registration Rights Agreement</w:t>
      </w:r>
      <w:r>
        <w:rPr>
          <w:rFonts w:ascii="Arial" w:cs="Arial" w:eastAsia="Arial" w:hAnsi="Arial"/>
          <w:sz w:val="15"/>
          <w:szCs w:val="15"/>
          <w:color w:val="auto"/>
        </w:rPr>
        <w:t>.” After such registration, these shares of common stock will become freely tradable without restriction under the Securities Act except for shares purchased by affiliates.</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9" w:name="page180"/>
    <w:bookmarkEnd w:id="17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U.S. FEDERAL INCOME TAX CONSIDERATIONS</w:t>
      </w:r>
    </w:p>
    <w:p>
      <w:pPr>
        <w:spacing w:after="0" w:line="128"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83"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4"/>
          <w:szCs w:val="14"/>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0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For purposes of this discussion, the term “Non-U.S. Holder” means a beneficial owner of our common stock that is an individual, corporation, estate or trust, other than:</w:t>
      </w:r>
    </w:p>
    <w:p>
      <w:pPr>
        <w:spacing w:after="0" w:line="71" w:lineRule="exact"/>
        <w:rPr>
          <w:sz w:val="20"/>
          <w:szCs w:val="20"/>
          <w:color w:val="auto"/>
        </w:rPr>
      </w:pPr>
    </w:p>
    <w:p>
      <w:pPr>
        <w:ind w:left="1600" w:right="1239" w:hanging="143"/>
        <w:spacing w:after="0" w:line="264"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as determined for U.S. federal income tax purposes;</w:t>
      </w:r>
    </w:p>
    <w:p>
      <w:pPr>
        <w:spacing w:after="0" w:line="59" w:lineRule="exact"/>
        <w:rPr>
          <w:rFonts w:ascii="Arial" w:cs="Arial" w:eastAsia="Arial" w:hAnsi="Arial"/>
          <w:sz w:val="15"/>
          <w:szCs w:val="15"/>
          <w:color w:val="auto"/>
        </w:rPr>
      </w:pPr>
    </w:p>
    <w:p>
      <w:pPr>
        <w:ind w:left="1600" w:right="1319" w:hanging="143"/>
        <w:spacing w:after="0" w:line="254"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in the United States or under the laws of the United States, any state thereof or the District of Columbia;</w:t>
      </w:r>
    </w:p>
    <w:p>
      <w:pPr>
        <w:spacing w:after="0" w:line="78" w:lineRule="exact"/>
        <w:rPr>
          <w:rFonts w:ascii="Arial" w:cs="Arial" w:eastAsia="Arial" w:hAnsi="Arial"/>
          <w:sz w:val="15"/>
          <w:szCs w:val="15"/>
          <w:color w:val="auto"/>
        </w:rPr>
      </w:pPr>
    </w:p>
    <w:p>
      <w:pPr>
        <w:ind w:left="1600" w:right="1439" w:hanging="143"/>
        <w:spacing w:after="0" w:line="264"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70" w:lineRule="exact"/>
        <w:rPr>
          <w:rFonts w:ascii="Arial" w:cs="Arial" w:eastAsia="Arial" w:hAnsi="Arial"/>
          <w:sz w:val="15"/>
          <w:szCs w:val="15"/>
          <w:color w:val="auto"/>
        </w:rPr>
      </w:pPr>
    </w:p>
    <w:p>
      <w:pPr>
        <w:ind w:left="1600" w:right="1279" w:hanging="143"/>
        <w:spacing w:after="0" w:line="251" w:lineRule="auto"/>
        <w:tabs>
          <w:tab w:leader="none" w:pos="16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91"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05"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Distributions</w:t>
      </w:r>
    </w:p>
    <w:p>
      <w:pPr>
        <w:spacing w:after="0" w:line="128"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4"/>
          <w:szCs w:val="14"/>
          <w:i w:val="1"/>
          <w:iCs w:val="1"/>
          <w:color w:val="auto"/>
        </w:rPr>
        <w:t>U.S.</w:t>
      </w:r>
      <w:r>
        <w:rPr>
          <w:rFonts w:ascii="Arial" w:cs="Arial" w:eastAsia="Arial" w:hAnsi="Arial"/>
          <w:sz w:val="14"/>
          <w:szCs w:val="14"/>
          <w:color w:val="auto"/>
        </w:rPr>
        <w:t xml:space="preserve"> </w:t>
      </w:r>
      <w:r>
        <w:rPr>
          <w:rFonts w:ascii="Arial" w:cs="Arial" w:eastAsia="Arial" w:hAnsi="Arial"/>
          <w:sz w:val="14"/>
          <w:szCs w:val="14"/>
          <w:i w:val="1"/>
          <w:iCs w:val="1"/>
          <w:color w:val="auto"/>
        </w:rPr>
        <w:t>Trade or Business Income</w:t>
      </w:r>
      <w:r>
        <w:rPr>
          <w:rFonts w:ascii="Arial" w:cs="Arial" w:eastAsia="Arial" w:hAnsi="Arial"/>
          <w:sz w:val="14"/>
          <w:szCs w:val="14"/>
          <w:color w:val="auto"/>
        </w:rPr>
        <w:t>,” “—</w:t>
      </w:r>
      <w:r>
        <w:rPr>
          <w:rFonts w:ascii="Arial" w:cs="Arial" w:eastAsia="Arial" w:hAnsi="Arial"/>
          <w:sz w:val="14"/>
          <w:szCs w:val="14"/>
          <w:i w:val="1"/>
          <w:iCs w:val="1"/>
          <w:color w:val="auto"/>
        </w:rPr>
        <w:t>Information Reporting and Backup Withholding</w:t>
      </w:r>
      <w:r>
        <w:rPr>
          <w:rFonts w:ascii="Arial" w:cs="Arial" w:eastAsia="Arial" w:hAnsi="Arial"/>
          <w:sz w:val="14"/>
          <w:szCs w:val="14"/>
          <w:color w:val="auto"/>
        </w:rPr>
        <w:t>” and “—</w:t>
      </w:r>
      <w:r>
        <w:rPr>
          <w:rFonts w:ascii="Arial" w:cs="Arial" w:eastAsia="Arial" w:hAnsi="Arial"/>
          <w:sz w:val="14"/>
          <w:szCs w:val="14"/>
          <w:i w:val="1"/>
          <w:iCs w:val="1"/>
          <w:color w:val="auto"/>
        </w:rPr>
        <w:t>FATCA</w:t>
      </w:r>
      <w:r>
        <w:rPr>
          <w:rFonts w:ascii="Arial" w:cs="Arial" w:eastAsia="Arial" w:hAnsi="Arial"/>
          <w:sz w:val="14"/>
          <w:szCs w:val="14"/>
          <w:color w:val="auto"/>
        </w:rPr>
        <w:t>,” you</w:t>
      </w:r>
      <w:r>
        <w:rPr>
          <w:rFonts w:ascii="Arial" w:cs="Arial" w:eastAsia="Arial" w:hAnsi="Arial"/>
          <w:sz w:val="14"/>
          <w:szCs w:val="14"/>
          <w:i w:val="1"/>
          <w:iCs w:val="1"/>
          <w:color w:val="auto"/>
        </w:rPr>
        <w:t xml:space="preserve"> </w:t>
      </w:r>
      <w:r>
        <w:rPr>
          <w:rFonts w:ascii="Arial" w:cs="Arial" w:eastAsia="Arial" w:hAnsi="Arial"/>
          <w:sz w:val="14"/>
          <w:szCs w:val="14"/>
          <w:color w:val="auto"/>
        </w:rPr>
        <w:t>generally will be subject to U.S. federal 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84" w:lineRule="exact"/>
        <w:rPr>
          <w:sz w:val="20"/>
          <w:szCs w:val="20"/>
          <w:color w:val="auto"/>
        </w:rPr>
      </w:pPr>
    </w:p>
    <w:p>
      <w:pPr>
        <w:ind w:left="1160" w:right="1239" w:firstLine="293"/>
        <w:spacing w:after="0" w:line="267" w:lineRule="auto"/>
        <w:rPr>
          <w:sz w:val="20"/>
          <w:szCs w:val="20"/>
          <w:color w:val="auto"/>
        </w:rPr>
      </w:pPr>
      <w:r>
        <w:rPr>
          <w:rFonts w:ascii="Arial" w:cs="Arial" w:eastAsia="Arial" w:hAnsi="Arial"/>
          <w:sz w:val="14"/>
          <w:szCs w:val="14"/>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Sale, Exchange or Other Taxable Disposition of Common Stock</w:t>
      </w:r>
    </w:p>
    <w:p>
      <w:pPr>
        <w:spacing w:after="0" w:line="128"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Subject to the discussions below under “—</w:t>
      </w:r>
      <w:r>
        <w:rPr>
          <w:rFonts w:ascii="Arial" w:cs="Arial" w:eastAsia="Arial" w:hAnsi="Arial"/>
          <w:sz w:val="15"/>
          <w:szCs w:val="15"/>
          <w:i w:val="1"/>
          <w:iCs w:val="1"/>
          <w:color w:val="auto"/>
        </w:rPr>
        <w:t>U.S. Trade or Business Income</w:t>
      </w:r>
      <w:r>
        <w:rPr>
          <w:rFonts w:ascii="Arial" w:cs="Arial" w:eastAsia="Arial" w:hAnsi="Arial"/>
          <w:sz w:val="15"/>
          <w:szCs w:val="15"/>
          <w:color w:val="auto"/>
        </w:rPr>
        <w:t>,” “—</w:t>
      </w:r>
      <w:r>
        <w:rPr>
          <w:rFonts w:ascii="Arial" w:cs="Arial" w:eastAsia="Arial" w:hAnsi="Arial"/>
          <w:sz w:val="15"/>
          <w:szCs w:val="15"/>
          <w:i w:val="1"/>
          <w:iCs w:val="1"/>
          <w:color w:val="auto"/>
        </w:rPr>
        <w:t>Information Reporting</w:t>
      </w:r>
      <w:r>
        <w:rPr>
          <w:rFonts w:ascii="Arial" w:cs="Arial" w:eastAsia="Arial" w:hAnsi="Arial"/>
          <w:sz w:val="15"/>
          <w:szCs w:val="15"/>
          <w:color w:val="auto"/>
        </w:rPr>
        <w:t xml:space="preserve"> </w:t>
      </w:r>
      <w:r>
        <w:rPr>
          <w:rFonts w:ascii="Arial" w:cs="Arial" w:eastAsia="Arial" w:hAnsi="Arial"/>
          <w:sz w:val="15"/>
          <w:szCs w:val="15"/>
          <w:i w:val="1"/>
          <w:iCs w:val="1"/>
          <w:color w:val="auto"/>
        </w:rPr>
        <w:t>and Backup Withholding</w:t>
      </w:r>
      <w:r>
        <w:rPr>
          <w:rFonts w:ascii="Arial" w:cs="Arial" w:eastAsia="Arial" w:hAnsi="Arial"/>
          <w:sz w:val="15"/>
          <w:szCs w:val="15"/>
          <w:color w:val="auto"/>
        </w:rPr>
        <w:t>” and “—</w:t>
      </w:r>
      <w:r>
        <w:rPr>
          <w:rFonts w:ascii="Arial" w:cs="Arial" w:eastAsia="Arial" w:hAnsi="Arial"/>
          <w:sz w:val="15"/>
          <w:szCs w:val="15"/>
          <w:i w:val="1"/>
          <w:iCs w:val="1"/>
          <w:color w:val="auto"/>
        </w:rPr>
        <w:t>FATCA</w:t>
      </w:r>
      <w:r>
        <w:rPr>
          <w:rFonts w:ascii="Arial" w:cs="Arial" w:eastAsia="Arial" w:hAnsi="Arial"/>
          <w:sz w:val="15"/>
          <w:szCs w:val="15"/>
          <w:color w:val="auto"/>
        </w:rPr>
        <w:t>,” you generally will not be subject to U.S. federal income or</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tax in respect of any gain on a sale, exchange or other taxable disposition of our common stock unless:</w:t>
      </w:r>
    </w:p>
    <w:p>
      <w:pPr>
        <w:spacing w:after="0" w:line="80" w:lineRule="exact"/>
        <w:rPr>
          <w:sz w:val="20"/>
          <w:szCs w:val="20"/>
          <w:color w:val="auto"/>
        </w:rPr>
      </w:pPr>
    </w:p>
    <w:p>
      <w:pPr>
        <w:ind w:left="1600" w:right="1299" w:hanging="143"/>
        <w:spacing w:after="0" w:line="264" w:lineRule="auto"/>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gain is U.S. trade or business income, in which case, such gain will be taxed as described in “— U.S. Trade or Business Income” below;</w:t>
      </w:r>
    </w:p>
    <w:p>
      <w:pPr>
        <w:spacing w:after="0" w:line="59" w:lineRule="exact"/>
        <w:rPr>
          <w:rFonts w:ascii="Arial" w:cs="Arial" w:eastAsia="Arial" w:hAnsi="Arial"/>
          <w:sz w:val="15"/>
          <w:szCs w:val="15"/>
          <w:color w:val="auto"/>
        </w:rPr>
      </w:pPr>
    </w:p>
    <w:p>
      <w:pPr>
        <w:ind w:left="1600" w:right="1219" w:hanging="143"/>
        <w:spacing w:after="0" w:line="249" w:lineRule="auto"/>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83" w:lineRule="exact"/>
        <w:rPr>
          <w:rFonts w:ascii="Arial" w:cs="Arial" w:eastAsia="Arial" w:hAnsi="Arial"/>
          <w:sz w:val="15"/>
          <w:szCs w:val="15"/>
          <w:color w:val="auto"/>
        </w:rPr>
      </w:pPr>
    </w:p>
    <w:p>
      <w:pPr>
        <w:ind w:left="1600" w:hanging="143"/>
        <w:spacing w:after="0"/>
        <w:tabs>
          <w:tab w:leader="none" w:pos="16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we are or have been a “United States real property holding corporation” (a “USRPHC”) under</w:t>
      </w:r>
    </w:p>
    <w:p>
      <w:pPr>
        <w:spacing w:after="0" w:line="91" w:lineRule="exact"/>
        <w:rPr>
          <w:rFonts w:ascii="Arial" w:cs="Arial" w:eastAsia="Arial" w:hAnsi="Arial"/>
          <w:sz w:val="15"/>
          <w:szCs w:val="15"/>
          <w:color w:val="auto"/>
        </w:rPr>
      </w:pPr>
    </w:p>
    <w:p>
      <w:pPr>
        <w:ind w:left="1600" w:right="1319" w:hanging="143"/>
        <w:spacing w:after="0" w:line="274" w:lineRule="auto"/>
        <w:tabs>
          <w:tab w:leader="none" w:pos="1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4"/>
          <w:szCs w:val="14"/>
          <w:i w:val="1"/>
          <w:iCs w:val="1"/>
          <w:color w:val="auto"/>
        </w:rPr>
        <w:t>U.S. Trade or Business Income</w:t>
      </w:r>
      <w:r>
        <w:rPr>
          <w:rFonts w:ascii="Arial" w:cs="Arial" w:eastAsia="Arial" w:hAnsi="Arial"/>
          <w:sz w:val="14"/>
          <w:szCs w:val="14"/>
          <w:color w:val="auto"/>
        </w:rPr>
        <w:t>” below.</w:t>
      </w:r>
    </w:p>
    <w:p>
      <w:pPr>
        <w:spacing w:after="0" w:line="89"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1" w:name="page182"/>
    <w:bookmarkEnd w:id="18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U.S. Trade or Business Income</w:t>
      </w:r>
    </w:p>
    <w:p>
      <w:pPr>
        <w:spacing w:after="0" w:line="128"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4"/>
          <w:szCs w:val="14"/>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4"/>
          <w:szCs w:val="14"/>
          <w:i w:val="1"/>
          <w:iCs w:val="1"/>
          <w:color w:val="auto"/>
        </w:rPr>
        <w:t>Sale, Exchange or Other Taxable Disposition of Common Stock</w:t>
      </w:r>
      <w:r>
        <w:rPr>
          <w:rFonts w:ascii="Arial" w:cs="Arial" w:eastAsia="Arial" w:hAnsi="Arial"/>
          <w:sz w:val="14"/>
          <w:szCs w:val="14"/>
          <w:color w:val="auto"/>
        </w:rPr>
        <w:t>”).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1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97" w:lineRule="exact"/>
        <w:rPr>
          <w:sz w:val="20"/>
          <w:szCs w:val="20"/>
          <w:color w:val="auto"/>
        </w:rPr>
      </w:pPr>
    </w:p>
    <w:p>
      <w:pPr>
        <w:ind w:left="1160" w:right="1219" w:firstLine="293"/>
        <w:spacing w:after="0" w:line="265" w:lineRule="auto"/>
        <w:rPr>
          <w:sz w:val="20"/>
          <w:szCs w:val="20"/>
          <w:color w:val="auto"/>
        </w:rPr>
      </w:pPr>
      <w:r>
        <w:rPr>
          <w:rFonts w:ascii="Arial" w:cs="Arial" w:eastAsia="Arial" w:hAnsi="Arial"/>
          <w:sz w:val="14"/>
          <w:szCs w:val="14"/>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95"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FATCA</w:t>
      </w:r>
    </w:p>
    <w:p>
      <w:pPr>
        <w:spacing w:after="0" w:line="117" w:lineRule="exact"/>
        <w:rPr>
          <w:sz w:val="20"/>
          <w:szCs w:val="20"/>
          <w:color w:val="auto"/>
        </w:rPr>
      </w:pPr>
    </w:p>
    <w:p>
      <w:pPr>
        <w:ind w:left="1160" w:right="1179" w:firstLine="293"/>
        <w:spacing w:after="0" w:line="269" w:lineRule="auto"/>
        <w:rPr>
          <w:sz w:val="20"/>
          <w:szCs w:val="20"/>
          <w:color w:val="auto"/>
        </w:rPr>
      </w:pPr>
      <w:r>
        <w:rPr>
          <w:rFonts w:ascii="Arial" w:cs="Arial" w:eastAsia="Arial" w:hAnsi="Arial"/>
          <w:sz w:val="14"/>
          <w:szCs w:val="14"/>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107" w:lineRule="exact"/>
        <w:rPr>
          <w:sz w:val="20"/>
          <w:szCs w:val="20"/>
          <w:color w:val="auto"/>
        </w:rPr>
      </w:pPr>
    </w:p>
    <w:p>
      <w:pPr>
        <w:jc w:val="both"/>
        <w:ind w:left="1160" w:right="1599" w:firstLine="293"/>
        <w:spacing w:after="0" w:line="287" w:lineRule="auto"/>
        <w:rPr>
          <w:sz w:val="20"/>
          <w:szCs w:val="20"/>
          <w:color w:val="auto"/>
        </w:rPr>
      </w:pPr>
      <w:r>
        <w:rPr>
          <w:rFonts w:ascii="Arial" w:cs="Arial" w:eastAsia="Arial" w:hAnsi="Arial"/>
          <w:sz w:val="13"/>
          <w:szCs w:val="13"/>
          <w:color w:val="auto"/>
        </w:rPr>
        <w:t>FATCA currently applies to dividends made in respect of our common stock. Proposed Treasury regulations, the preamble to which state that they can be relied upon until final regulations are issued, exempt from FATCA proceeds on dispositions of stock. To avoid withholding on dividends, Non-U.S.</w:t>
      </w:r>
    </w:p>
    <w:p>
      <w:pPr>
        <w:spacing w:after="0" w:line="2" w:lineRule="exact"/>
        <w:rPr>
          <w:sz w:val="20"/>
          <w:szCs w:val="20"/>
          <w:color w:val="auto"/>
        </w:rPr>
      </w:pPr>
    </w:p>
    <w:p>
      <w:pPr>
        <w:ind w:left="1160" w:right="1199"/>
        <w:spacing w:after="0" w:line="273" w:lineRule="auto"/>
        <w:rPr>
          <w:sz w:val="20"/>
          <w:szCs w:val="20"/>
          <w:color w:val="auto"/>
        </w:rPr>
      </w:pPr>
      <w:r>
        <w:rPr>
          <w:rFonts w:ascii="Arial" w:cs="Arial" w:eastAsia="Arial" w:hAnsi="Arial"/>
          <w:sz w:val="14"/>
          <w:szCs w:val="14"/>
          <w:color w:val="auto"/>
        </w:rPr>
        <w:t>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UNDERWRITING (CONFLICT OF INTEREST)</w:t>
      </w:r>
    </w:p>
    <w:p>
      <w:pPr>
        <w:spacing w:after="0" w:line="128"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the selling stockholder has agreed to sell to them, severally, the number of shares indicated below:</w:t>
      </w:r>
    </w:p>
    <w:p>
      <w:pPr>
        <w:sectPr>
          <w:pgSz w:w="11900" w:h="16838" w:orient="portrait"/>
          <w:cols w:equalWidth="0" w:num="1">
            <w:col w:w="9019"/>
          </w:cols>
          <w:pgMar w:left="1440" w:top="134" w:right="1440" w:bottom="1440" w:gutter="0" w:footer="0" w:header="0"/>
        </w:sectPr>
      </w:pPr>
    </w:p>
    <w:p>
      <w:pPr>
        <w:spacing w:after="0" w:line="249" w:lineRule="exact"/>
        <w:rPr>
          <w:sz w:val="20"/>
          <w:szCs w:val="20"/>
          <w:color w:val="auto"/>
        </w:rPr>
      </w:pPr>
    </w:p>
    <w:p>
      <w:pPr>
        <w:ind w:left="1460"/>
        <w:spacing w:after="0"/>
        <w:rPr>
          <w:sz w:val="20"/>
          <w:szCs w:val="20"/>
          <w:color w:val="auto"/>
        </w:rPr>
      </w:pPr>
      <w:r>
        <w:rPr>
          <w:rFonts w:ascii="Arial" w:cs="Arial" w:eastAsia="Arial" w:hAnsi="Arial"/>
          <w:sz w:val="9"/>
          <w:szCs w:val="9"/>
          <w:b w:val="1"/>
          <w:bCs w:val="1"/>
          <w:color w:val="auto"/>
        </w:rPr>
        <w:t>Name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Number of</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13335</wp:posOffset>
            </wp:positionV>
            <wp:extent cx="3865245" cy="1397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6280" w:space="720"/>
            <w:col w:w="2019"/>
          </w:cols>
          <w:pgMar w:left="1440" w:top="134" w:right="1440" w:bottom="1440" w:gutter="0" w:footer="0" w:header="0"/>
          <w:type w:val="continuous"/>
        </w:sectPr>
      </w:pPr>
    </w:p>
    <w:p>
      <w:pPr>
        <w:ind w:left="1460"/>
        <w:spacing w:after="0"/>
        <w:rPr>
          <w:sz w:val="20"/>
          <w:szCs w:val="20"/>
          <w:color w:val="auto"/>
        </w:rPr>
      </w:pPr>
      <w:r>
        <w:rPr>
          <w:rFonts w:ascii="Arial" w:cs="Arial" w:eastAsia="Arial" w:hAnsi="Arial"/>
          <w:sz w:val="15"/>
          <w:szCs w:val="15"/>
          <w:color w:val="auto"/>
        </w:rPr>
        <w:t>Barclays Capital Inc.</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8890</wp:posOffset>
            </wp:positionV>
            <wp:extent cx="3865245" cy="132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Apollo Global Securities, LLC</w:t>
      </w:r>
    </w:p>
    <w:p>
      <w:pPr>
        <w:spacing w:after="0" w:line="36"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Total:</w:t>
      </w:r>
    </w:p>
    <w:p>
      <w:pPr>
        <w:spacing w:after="0" w:line="124" w:lineRule="exact"/>
        <w:rPr>
          <w:sz w:val="20"/>
          <w:szCs w:val="20"/>
          <w:color w:val="auto"/>
        </w:rPr>
      </w:pPr>
    </w:p>
    <w:p>
      <w:pPr>
        <w:ind w:left="1160" w:right="1299" w:firstLine="293"/>
        <w:spacing w:after="0" w:line="289" w:lineRule="auto"/>
        <w:rPr>
          <w:sz w:val="20"/>
          <w:szCs w:val="20"/>
          <w:color w:val="auto"/>
        </w:rPr>
      </w:pPr>
      <w:r>
        <w:rPr>
          <w:rFonts w:ascii="Arial" w:cs="Arial" w:eastAsia="Arial" w:hAnsi="Arial"/>
          <w:sz w:val="13"/>
          <w:szCs w:val="13"/>
          <w:color w:val="auto"/>
        </w:rPr>
        <w:t>The underwriters and the representatives are collectively referred to as the “underwriters” and the “representatives,” respectively. The underwriters may offer and sell the shares through certain of their affiliates or other registered broker-dealers or selling agents.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described below.</w:t>
      </w:r>
    </w:p>
    <w:p>
      <w:pPr>
        <w:spacing w:after="0" w:line="72" w:lineRule="exact"/>
        <w:rPr>
          <w:sz w:val="20"/>
          <w:szCs w:val="20"/>
          <w:color w:val="auto"/>
        </w:rPr>
      </w:pPr>
    </w:p>
    <w:p>
      <w:pPr>
        <w:ind w:left="1160" w:right="1199" w:firstLine="293"/>
        <w:spacing w:after="0" w:line="290" w:lineRule="auto"/>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 this prospectus and part to certain dealers at the public offering</w:t>
      </w:r>
    </w:p>
    <w:p>
      <w:pPr>
        <w:spacing w:after="0" w:line="1" w:lineRule="exact"/>
        <w:rPr>
          <w:sz w:val="20"/>
          <w:szCs w:val="20"/>
          <w:color w:val="auto"/>
        </w:rPr>
      </w:pPr>
    </w:p>
    <w:p>
      <w:pPr>
        <w:ind w:left="1160" w:right="1219"/>
        <w:spacing w:after="0" w:line="246" w:lineRule="auto"/>
        <w:rPr>
          <w:sz w:val="20"/>
          <w:szCs w:val="20"/>
          <w:color w:val="auto"/>
        </w:rPr>
      </w:pPr>
      <w:r>
        <w:rPr>
          <w:rFonts w:ascii="Arial" w:cs="Arial" w:eastAsia="Arial" w:hAnsi="Arial"/>
          <w:sz w:val="15"/>
          <w:szCs w:val="15"/>
          <w:color w:val="auto"/>
        </w:rPr>
        <w:t>price less a concession not to exceed $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0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The selling stockholder has granted to the underwriters an option, exercisable for 30 days from the date</w:t>
      </w:r>
    </w:p>
    <w:p>
      <w:pPr>
        <w:spacing w:after="0" w:line="37" w:lineRule="exact"/>
        <w:rPr>
          <w:sz w:val="20"/>
          <w:szCs w:val="20"/>
          <w:color w:val="auto"/>
        </w:rPr>
      </w:pPr>
    </w:p>
    <w:p>
      <w:pPr>
        <w:ind w:left="1160" w:right="1239"/>
        <w:spacing w:after="0" w:line="265" w:lineRule="auto"/>
        <w:rPr>
          <w:sz w:val="20"/>
          <w:szCs w:val="20"/>
          <w:color w:val="auto"/>
        </w:rPr>
      </w:pPr>
      <w:r>
        <w:rPr>
          <w:rFonts w:ascii="Arial" w:cs="Arial" w:eastAsia="Arial" w:hAnsi="Arial"/>
          <w:sz w:val="14"/>
          <w:szCs w:val="14"/>
          <w:color w:val="auto"/>
        </w:rPr>
        <w:t>of this prospectus, to purchase up to additional shares of common stock at the public offering price listed on the cover page of this prospectus, less underwriting discounts and commissions. The underwriters may exercise this option solely to the extent that they sold more shares than the shares set out above.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96" w:lineRule="exact"/>
        <w:rPr>
          <w:sz w:val="20"/>
          <w:szCs w:val="20"/>
          <w:color w:val="auto"/>
        </w:rPr>
      </w:pPr>
    </w:p>
    <w:p>
      <w:pPr>
        <w:ind w:left="1160" w:right="1379" w:firstLine="293"/>
        <w:spacing w:after="0" w:line="264" w:lineRule="auto"/>
        <w:rPr>
          <w:sz w:val="20"/>
          <w:szCs w:val="20"/>
          <w:color w:val="auto"/>
        </w:rPr>
      </w:pPr>
      <w:r>
        <w:rPr>
          <w:rFonts w:ascii="Arial" w:cs="Arial" w:eastAsia="Arial" w:hAnsi="Arial"/>
          <w:sz w:val="15"/>
          <w:szCs w:val="15"/>
          <w:color w:val="auto"/>
        </w:rPr>
        <w:t>We, the selling stockholder and the underwriters have agreed to indemnify each other against certain liabilities, including liabilities under the Securities Act.</w:t>
      </w:r>
    </w:p>
    <w:p>
      <w:pPr>
        <w:spacing w:after="0" w:line="82" w:lineRule="exact"/>
        <w:rPr>
          <w:sz w:val="20"/>
          <w:szCs w:val="20"/>
          <w:color w:val="auto"/>
        </w:rPr>
      </w:pPr>
    </w:p>
    <w:p>
      <w:pPr>
        <w:ind w:left="1160" w:right="1199" w:firstLine="293"/>
        <w:spacing w:after="0" w:line="264" w:lineRule="auto"/>
        <w:rPr>
          <w:sz w:val="20"/>
          <w:szCs w:val="20"/>
          <w:color w:val="auto"/>
        </w:rPr>
      </w:pPr>
      <w:r>
        <w:rPr>
          <w:rFonts w:ascii="Arial" w:cs="Arial" w:eastAsia="Arial" w:hAnsi="Arial"/>
          <w:sz w:val="15"/>
          <w:szCs w:val="15"/>
          <w:color w:val="auto"/>
        </w:rPr>
        <w:t>The underwriters have informed us that they do not intend sales to discretionary accounts to exceed 5% of the total number of shares of our common stock offered by them.</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Commissions and Discounts</w:t>
      </w:r>
    </w:p>
    <w:p>
      <w:pPr>
        <w:spacing w:after="0" w:line="128" w:lineRule="exact"/>
        <w:rPr>
          <w:sz w:val="20"/>
          <w:szCs w:val="20"/>
          <w:color w:val="auto"/>
        </w:rPr>
      </w:pPr>
    </w:p>
    <w:p>
      <w:pPr>
        <w:ind w:left="1160" w:right="1299" w:firstLine="293"/>
        <w:spacing w:after="0" w:line="290" w:lineRule="auto"/>
        <w:rPr>
          <w:sz w:val="20"/>
          <w:szCs w:val="20"/>
          <w:color w:val="auto"/>
        </w:rPr>
      </w:pPr>
      <w:r>
        <w:rPr>
          <w:rFonts w:ascii="Arial" w:cs="Arial" w:eastAsia="Arial" w:hAnsi="Arial"/>
          <w:sz w:val="13"/>
          <w:szCs w:val="13"/>
          <w:color w:val="auto"/>
        </w:rPr>
        <w:t>The following table shows the per share and total public offering price, underwriting discounts and commissions, and proceeds before expenses to the selling stockholder. These amounts are shown assuming</w:t>
      </w:r>
    </w:p>
    <w:p>
      <w:pPr>
        <w:spacing w:after="0" w:line="1" w:lineRule="exact"/>
        <w:rPr>
          <w:sz w:val="20"/>
          <w:szCs w:val="20"/>
          <w:color w:val="auto"/>
        </w:rPr>
      </w:pPr>
    </w:p>
    <w:p>
      <w:pPr>
        <w:ind w:left="1160" w:right="1299"/>
        <w:spacing w:after="0" w:line="249" w:lineRule="auto"/>
        <w:rPr>
          <w:sz w:val="20"/>
          <w:szCs w:val="20"/>
          <w:color w:val="auto"/>
        </w:rPr>
      </w:pPr>
      <w:r>
        <w:rPr>
          <w:rFonts w:ascii="Arial" w:cs="Arial" w:eastAsia="Arial" w:hAnsi="Arial"/>
          <w:sz w:val="15"/>
          <w:szCs w:val="15"/>
          <w:color w:val="auto"/>
        </w:rPr>
        <w:t>both no exercise and full exercise of the underwriters’ option to purchase up to an additional shares of common stock from the selling stockholder.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84" w:name="page185"/>
    <w:bookmarkEnd w:id="18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8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420" w:type="dxa"/>
            <w:vAlign w:val="bottom"/>
          </w:tcPr>
          <w:p>
            <w:pPr>
              <w:spacing w:after="0"/>
              <w:rPr>
                <w:sz w:val="13"/>
                <w:szCs w:val="13"/>
                <w:color w:val="auto"/>
              </w:rPr>
            </w:pPr>
          </w:p>
        </w:tc>
      </w:tr>
      <w:tr>
        <w:trPr>
          <w:trHeight w:val="21"/>
        </w:trPr>
        <w:tc>
          <w:tcPr>
            <w:tcW w:w="51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38"/>
        </w:trPr>
        <w:tc>
          <w:tcPr>
            <w:tcW w:w="5160" w:type="dxa"/>
            <w:vAlign w:val="bottom"/>
          </w:tcPr>
          <w:p>
            <w:pPr>
              <w:spacing w:after="0"/>
              <w:rPr>
                <w:sz w:val="12"/>
                <w:szCs w:val="12"/>
                <w:color w:val="auto"/>
              </w:rPr>
            </w:pP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Per</w:t>
            </w:r>
          </w:p>
        </w:tc>
        <w:tc>
          <w:tcPr>
            <w:tcW w:w="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No</w:t>
            </w: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Full</w:t>
            </w:r>
          </w:p>
        </w:tc>
      </w:tr>
      <w:tr>
        <w:trPr>
          <w:trHeight w:val="150"/>
        </w:trPr>
        <w:tc>
          <w:tcPr>
            <w:tcW w:w="516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w:t>
            </w:r>
          </w:p>
        </w:tc>
        <w:tc>
          <w:tcPr>
            <w:tcW w:w="6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0"/>
              </w:rPr>
              <w:t>Exercise</w:t>
            </w: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w w:val="80"/>
              </w:rPr>
              <w:t>Exercise</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5"/>
                <w:szCs w:val="15"/>
                <w:color w:val="auto"/>
              </w:rPr>
              <w:t>$</w:t>
            </w:r>
          </w:p>
        </w:tc>
      </w:tr>
      <w:tr>
        <w:trPr>
          <w:trHeight w:val="187"/>
        </w:trPr>
        <w:tc>
          <w:tcPr>
            <w:tcW w:w="5160" w:type="dxa"/>
            <w:vAlign w:val="bottom"/>
          </w:tcPr>
          <w:p>
            <w:pPr>
              <w:spacing w:after="0"/>
              <w:rPr>
                <w:sz w:val="20"/>
                <w:szCs w:val="20"/>
                <w:color w:val="auto"/>
              </w:rPr>
            </w:pPr>
            <w:r>
              <w:rPr>
                <w:rFonts w:ascii="Arial" w:cs="Arial" w:eastAsia="Arial" w:hAnsi="Arial"/>
                <w:sz w:val="15"/>
                <w:szCs w:val="15"/>
                <w:color w:val="auto"/>
              </w:rPr>
              <w:t>Underwriting discounts and commissions to be paid by the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2"/>
        </w:trPr>
        <w:tc>
          <w:tcPr>
            <w:tcW w:w="5160" w:type="dxa"/>
            <w:vAlign w:val="bottom"/>
          </w:tcPr>
          <w:p>
            <w:pPr>
              <w:ind w:left="160"/>
              <w:spacing w:after="0"/>
              <w:rPr>
                <w:sz w:val="20"/>
                <w:szCs w:val="20"/>
                <w:color w:val="auto"/>
              </w:rPr>
            </w:pPr>
            <w:r>
              <w:rPr>
                <w:rFonts w:ascii="Arial" w:cs="Arial" w:eastAsia="Arial" w:hAnsi="Arial"/>
                <w:sz w:val="15"/>
                <w:szCs w:val="15"/>
                <w:color w:val="auto"/>
              </w:rPr>
              <w:t>selling stockholder:</w:t>
            </w:r>
          </w:p>
        </w:tc>
        <w:tc>
          <w:tcPr>
            <w:tcW w:w="320" w:type="dxa"/>
            <w:vAlign w:val="bottom"/>
          </w:tcPr>
          <w:p>
            <w:pPr>
              <w:ind w:left="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420" w:type="dxa"/>
            <w:vAlign w:val="bottom"/>
          </w:tcPr>
          <w:p>
            <w:pPr>
              <w:jc w:val="right"/>
              <w:ind w:right="21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420" w:type="dxa"/>
            <w:vAlign w:val="bottom"/>
          </w:tcPr>
          <w:p>
            <w:pPr>
              <w:jc w:val="right"/>
              <w:ind w:right="213"/>
              <w:spacing w:after="0"/>
              <w:rPr>
                <w:sz w:val="20"/>
                <w:szCs w:val="20"/>
                <w:color w:val="auto"/>
              </w:rPr>
            </w:pPr>
            <w:r>
              <w:rPr>
                <w:rFonts w:ascii="Arial" w:cs="Arial" w:eastAsia="Arial" w:hAnsi="Arial"/>
                <w:sz w:val="15"/>
                <w:szCs w:val="15"/>
                <w:color w:val="auto"/>
              </w:rPr>
              <w:t>$</w:t>
            </w:r>
          </w:p>
        </w:tc>
      </w:tr>
      <w:tr>
        <w:trPr>
          <w:trHeight w:val="214"/>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the selling stockholder</w:t>
            </w: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-515620</wp:posOffset>
            </wp:positionV>
            <wp:extent cx="111760"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-515620</wp:posOffset>
            </wp:positionV>
            <wp:extent cx="111760"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-515620</wp:posOffset>
            </wp:positionV>
            <wp:extent cx="55880"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estimated offering expenses payable by us, exclusive of the underwriting discounts and</w:t>
      </w:r>
    </w:p>
    <w:p>
      <w:pPr>
        <w:spacing w:after="0" w:line="4" w:lineRule="exact"/>
        <w:rPr>
          <w:sz w:val="20"/>
          <w:szCs w:val="20"/>
          <w:color w:val="auto"/>
        </w:rPr>
      </w:pPr>
    </w:p>
    <w:p>
      <w:pPr>
        <w:ind w:left="1160" w:right="1699"/>
        <w:spacing w:after="0" w:line="245" w:lineRule="auto"/>
        <w:rPr>
          <w:sz w:val="20"/>
          <w:szCs w:val="20"/>
          <w:color w:val="auto"/>
        </w:rPr>
      </w:pPr>
      <w:r>
        <w:rPr>
          <w:rFonts w:ascii="Arial" w:cs="Arial" w:eastAsia="Arial" w:hAnsi="Arial"/>
          <w:sz w:val="14"/>
          <w:szCs w:val="14"/>
          <w:color w:val="auto"/>
        </w:rPr>
        <w:t>commissions, are approximately $ million. We have agreed to reimburse the underwriters for expense relating to clearance of this offering with the Financial Industry Regulatory Authority, Inc.</w:t>
      </w:r>
    </w:p>
    <w:p>
      <w:pPr>
        <w:spacing w:after="0" w:line="1" w:lineRule="exact"/>
        <w:rPr>
          <w:sz w:val="20"/>
          <w:szCs w:val="20"/>
          <w:color w:val="auto"/>
        </w:rPr>
      </w:pPr>
    </w:p>
    <w:p>
      <w:pPr>
        <w:ind w:left="1160" w:right="1199"/>
        <w:spacing w:after="0" w:line="236" w:lineRule="auto"/>
        <w:rPr>
          <w:sz w:val="20"/>
          <w:szCs w:val="20"/>
          <w:color w:val="auto"/>
        </w:rPr>
      </w:pPr>
      <w:r>
        <w:rPr>
          <w:rFonts w:ascii="Arial" w:cs="Arial" w:eastAsia="Arial" w:hAnsi="Arial"/>
          <w:sz w:val="15"/>
          <w:szCs w:val="15"/>
          <w:color w:val="auto"/>
        </w:rPr>
        <w:t>(“FINRA”) up to $ . The underwriters have also agreed to reimburse us for certain expenses incurred by us with respect to this offering.</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Listing</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Our common stock is listed on Nasdaq under the trading symbol “SNCY.”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Lock-Up Agreements</w:t>
      </w:r>
    </w:p>
    <w:p>
      <w:pPr>
        <w:spacing w:after="0" w:line="128" w:lineRule="exact"/>
        <w:rPr>
          <w:sz w:val="20"/>
          <w:szCs w:val="20"/>
          <w:color w:val="auto"/>
        </w:rPr>
      </w:pPr>
    </w:p>
    <w:p>
      <w:pPr>
        <w:jc w:val="both"/>
        <w:ind w:left="1160" w:right="1339" w:firstLine="293"/>
        <w:spacing w:after="0" w:line="235" w:lineRule="auto"/>
        <w:rPr>
          <w:sz w:val="20"/>
          <w:szCs w:val="20"/>
          <w:color w:val="auto"/>
        </w:rPr>
      </w:pPr>
      <w:r>
        <w:rPr>
          <w:rFonts w:ascii="Arial" w:cs="Arial" w:eastAsia="Arial" w:hAnsi="Arial"/>
          <w:sz w:val="15"/>
          <w:szCs w:val="15"/>
          <w:color w:val="auto"/>
        </w:rPr>
        <w:t>In connection with our initial public offering, we, the Apollo Stockholder and all of our directors and executive officers and Amazon agreed that, without the prior written consent of Barclays Capital Inc. and Morgan Stanley &amp; Co. LLC on behalf of the underwriters, we and they will not, during the period ending 180 days after the date of the final prospectus (the “IPO Prospectus”) related to our initial public offering (the “restricted period”):</w:t>
      </w:r>
    </w:p>
    <w:p>
      <w:pPr>
        <w:spacing w:after="0" w:line="67" w:lineRule="exact"/>
        <w:rPr>
          <w:sz w:val="20"/>
          <w:szCs w:val="20"/>
          <w:color w:val="auto"/>
        </w:rPr>
      </w:pPr>
    </w:p>
    <w:p>
      <w:pPr>
        <w:ind w:left="1600" w:right="1319" w:hanging="143"/>
        <w:spacing w:after="0" w:line="251" w:lineRule="auto"/>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47" w:lineRule="exact"/>
        <w:rPr>
          <w:rFonts w:ascii="Arial" w:cs="Arial" w:eastAsia="Arial" w:hAnsi="Arial"/>
          <w:sz w:val="15"/>
          <w:szCs w:val="15"/>
          <w:color w:val="auto"/>
        </w:rPr>
      </w:pPr>
    </w:p>
    <w:p>
      <w:pPr>
        <w:ind w:left="1600" w:right="1179" w:hanging="143"/>
        <w:spacing w:after="0" w:line="264" w:lineRule="auto"/>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file any registration statement with the SEC relating to the offering of any shares of common stock or any securities convertible into or exercisable or exchangeable for common stock; or</w:t>
      </w:r>
    </w:p>
    <w:p>
      <w:pPr>
        <w:spacing w:after="0" w:line="38" w:lineRule="exact"/>
        <w:rPr>
          <w:rFonts w:ascii="Arial" w:cs="Arial" w:eastAsia="Arial" w:hAnsi="Arial"/>
          <w:sz w:val="15"/>
          <w:szCs w:val="15"/>
          <w:color w:val="auto"/>
        </w:rPr>
      </w:pPr>
    </w:p>
    <w:p>
      <w:pPr>
        <w:ind w:left="1600" w:right="1499" w:hanging="143"/>
        <w:spacing w:after="0" w:line="264" w:lineRule="auto"/>
        <w:tabs>
          <w:tab w:leader="none" w:pos="16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w:t>
      </w:r>
    </w:p>
    <w:p>
      <w:pPr>
        <w:spacing w:after="0" w:line="93" w:lineRule="exact"/>
        <w:rPr>
          <w:sz w:val="20"/>
          <w:szCs w:val="20"/>
          <w:color w:val="auto"/>
        </w:rPr>
      </w:pPr>
    </w:p>
    <w:p>
      <w:pPr>
        <w:ind w:left="1160" w:right="1199"/>
        <w:spacing w:after="0" w:line="235" w:lineRule="auto"/>
        <w:rPr>
          <w:sz w:val="20"/>
          <w:szCs w:val="20"/>
          <w:color w:val="auto"/>
        </w:rPr>
      </w:pPr>
      <w:r>
        <w:rPr>
          <w:rFonts w:ascii="Arial" w:cs="Arial" w:eastAsia="Arial" w:hAnsi="Arial"/>
          <w:sz w:val="15"/>
          <w:szCs w:val="15"/>
          <w:color w:val="auto"/>
        </w:rPr>
        <w:t>or publicly disclose the intention to do any of the foregoing, whether any such transaction described above is to be settled by delivery of common stock or such other securities, in cash or otherwise. Each of PAR Capital and the Blackrock Entities also agreed not to sell any common stock or securities convertible into or exercisable or exchangeable for shares of common stock for a period of 180 days from the date of the IPO Prospectus, subject to certain exceptions.</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lock-up agreement applicable to the Company is subject to certain specified exceptions, including:</w:t>
      </w:r>
    </w:p>
    <w:p>
      <w:pPr>
        <w:spacing w:after="0" w:line="16" w:lineRule="exact"/>
        <w:rPr>
          <w:sz w:val="20"/>
          <w:szCs w:val="20"/>
          <w:color w:val="auto"/>
        </w:rPr>
      </w:pPr>
    </w:p>
    <w:p>
      <w:pPr>
        <w:ind w:left="1160" w:right="1199" w:firstLine="4"/>
        <w:spacing w:after="0" w:line="247" w:lineRule="auto"/>
        <w:tabs>
          <w:tab w:leader="none" w:pos="1347" w:val="left"/>
        </w:tabs>
        <w:numPr>
          <w:ilvl w:val="0"/>
          <w:numId w:val="91"/>
        </w:numPr>
        <w:rPr>
          <w:rFonts w:ascii="Arial" w:cs="Arial" w:eastAsia="Arial" w:hAnsi="Arial"/>
          <w:sz w:val="14"/>
          <w:szCs w:val="14"/>
          <w:color w:val="auto"/>
        </w:rPr>
      </w:pPr>
      <w:r>
        <w:rPr>
          <w:rFonts w:ascii="Arial" w:cs="Arial" w:eastAsia="Arial" w:hAnsi="Arial"/>
          <w:sz w:val="14"/>
          <w:szCs w:val="14"/>
          <w:color w:val="auto"/>
        </w:rPr>
        <w:t>any issuance of common stock, options to purchase shares of common stock, restricted stock units and other equity incentive compensation pursuant to equity plans or similar plans described in the IPO Prospectus, common stock issued upon exercise of currently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the IPO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 (iv) during the restricted period shall not exceed 5% of the total number of shares of common stock issued and outstanding on the closing date of the initial public offering provided that, in the case of any issuance pursuant to (v), the transferee or distributee agrees in writing to be bound by the lock-up restrictions.</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4"/>
          <w:szCs w:val="14"/>
          <w:color w:val="auto"/>
        </w:rPr>
        <w:t>The lock-up agreements applicable to the Apollo Stockholder, all of our directors and executive officers and Amazon are subject to specified exceptions, including: (i) bona fide gifts; (ii) transfers to any trust for the direct or indirect benefit of the lock-up party or the immediate family of the lockup party;</w:t>
      </w:r>
    </w:p>
    <w:p>
      <w:pPr>
        <w:spacing w:after="0" w:line="1" w:lineRule="exact"/>
        <w:rPr>
          <w:sz w:val="20"/>
          <w:szCs w:val="20"/>
          <w:color w:val="auto"/>
        </w:rPr>
      </w:pPr>
    </w:p>
    <w:p>
      <w:pPr>
        <w:ind w:left="1160" w:right="1239" w:firstLine="4"/>
        <w:spacing w:after="0" w:line="245" w:lineRule="auto"/>
        <w:tabs>
          <w:tab w:leader="none" w:pos="1434" w:val="left"/>
        </w:tabs>
        <w:numPr>
          <w:ilvl w:val="0"/>
          <w:numId w:val="92"/>
        </w:numPr>
        <w:rPr>
          <w:rFonts w:ascii="Arial" w:cs="Arial" w:eastAsia="Arial" w:hAnsi="Arial"/>
          <w:sz w:val="14"/>
          <w:szCs w:val="14"/>
          <w:color w:val="auto"/>
        </w:rPr>
      </w:pPr>
      <w:r>
        <w:rPr>
          <w:rFonts w:ascii="Arial" w:cs="Arial" w:eastAsia="Arial" w:hAnsi="Arial"/>
          <w:sz w:val="14"/>
          <w:szCs w:val="14"/>
          <w:color w:val="auto"/>
        </w:rPr>
        <w:t>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the IPO Prospectus, and the receipt by the lock-up signatory from the Company of shares of common stock upon such exercise; (C) transfers to the Company upon the “net” or “cashless” exercise of stock options or other equity awards granted pursuant to equity incentive plans;</w:t>
      </w:r>
    </w:p>
    <w:p>
      <w:pPr>
        <w:spacing w:after="0" w:line="4" w:lineRule="exact"/>
        <w:rPr>
          <w:rFonts w:ascii="Arial" w:cs="Arial" w:eastAsia="Arial" w:hAnsi="Arial"/>
          <w:sz w:val="14"/>
          <w:szCs w:val="14"/>
          <w:color w:val="auto"/>
        </w:rPr>
      </w:pPr>
    </w:p>
    <w:p>
      <w:pPr>
        <w:ind w:left="1160" w:right="1199"/>
        <w:spacing w:after="0" w:line="245" w:lineRule="auto"/>
        <w:rPr>
          <w:rFonts w:ascii="Arial" w:cs="Arial" w:eastAsia="Arial" w:hAnsi="Arial"/>
          <w:sz w:val="14"/>
          <w:szCs w:val="14"/>
          <w:color w:val="auto"/>
        </w:rPr>
      </w:pPr>
      <w:r>
        <w:rPr>
          <w:rFonts w:ascii="Arial" w:cs="Arial" w:eastAsia="Arial" w:hAnsi="Arial"/>
          <w:sz w:val="14"/>
          <w:szCs w:val="14"/>
          <w:color w:val="auto"/>
        </w:rPr>
        <w:t>(D) transfers for the primary purpose of satisfying any tax or other governmental withholding obligation with respect to any award of equity-based compensation granted pursuant to our equity incentive plans described in the IPO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the IPO Prospectus;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(xi) if the holder is a corporation, partnership or limited liability company, (A)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Barclays Capital Inc. and Morgan Stanley &amp; Co. LLC,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w:t>
      </w:r>
    </w:p>
    <w:p>
      <w:pPr>
        <w:spacing w:after="0" w:line="9" w:lineRule="exact"/>
        <w:rPr>
          <w:rFonts w:ascii="Arial" w:cs="Arial" w:eastAsia="Arial" w:hAnsi="Arial"/>
          <w:sz w:val="14"/>
          <w:szCs w:val="14"/>
          <w:color w:val="auto"/>
        </w:rPr>
      </w:pPr>
    </w:p>
    <w:p>
      <w:pPr>
        <w:ind w:left="1160" w:right="1239" w:firstLine="4"/>
        <w:spacing w:after="0" w:line="236" w:lineRule="auto"/>
        <w:tabs>
          <w:tab w:leader="none" w:pos="1347"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through (v), (vii), (xi) and (xiv), the transferee or distributee agrees in writing to be bound by the lockup restrictions.</w:t>
      </w:r>
    </w:p>
    <w:p>
      <w:pPr>
        <w:spacing w:after="0" w:line="99"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Barclays Capital Inc. and Morgan Stanley &amp; Co. LLC, in their sole discretion, may release our common stock and other securities subject to the lock-up agreements described above in whole or in part at any time, subject to applicable notice requirements. We, the Apollo Stockholder, our directors and executive officers and Amazon will not enter into any lock -up or related agreements in connection with the offering to which this prospectus relates; however, except as described below, the lock-up agreements described in the IPO Prospectus will remain in full force and effect.</w:t>
      </w:r>
    </w:p>
    <w:p>
      <w:pPr>
        <w:spacing w:after="0" w:line="90"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4"/>
          <w:szCs w:val="14"/>
          <w:color w:val="auto"/>
        </w:rPr>
        <w:t>In connection with this offering, Barclays Capital Inc. and Morgan Stanley &amp; Co. LLC have agreed to release certain restrictions under the lock-up agreement that was executed in connection with our initial</w:t>
      </w:r>
    </w:p>
    <w:p>
      <w:pPr>
        <w:spacing w:after="0" w:line="1" w:lineRule="exact"/>
        <w:rPr>
          <w:sz w:val="20"/>
          <w:szCs w:val="20"/>
          <w:color w:val="auto"/>
        </w:rPr>
      </w:pPr>
    </w:p>
    <w:p>
      <w:pPr>
        <w:ind w:left="1160" w:right="1259"/>
        <w:spacing w:after="0" w:line="249" w:lineRule="auto"/>
        <w:rPr>
          <w:sz w:val="20"/>
          <w:szCs w:val="20"/>
          <w:color w:val="auto"/>
        </w:rPr>
      </w:pPr>
      <w:r>
        <w:rPr>
          <w:rFonts w:ascii="Arial" w:cs="Arial" w:eastAsia="Arial" w:hAnsi="Arial"/>
          <w:sz w:val="14"/>
          <w:szCs w:val="14"/>
          <w:color w:val="auto"/>
        </w:rPr>
        <w:t>public offering with respect to up to shares of our common stock (including the shares of the common stock pursuant to the underwriters’ option to purchase additional shares) in this offering that are held by the selling stockholder, provided that the release of shares of our common stock held by the selling stockholder is limited to the shares actually sold in this offering, and to permit the filing of the registration statement to which this prospectus forms a part. Notwithstanding the foregoing, the lock-up agreements executed in connection with our initial public offering remain in full force and effect.</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Price Stabilization, Short Positions and Penalty Bids</w:t>
      </w:r>
    </w:p>
    <w:p>
      <w:pPr>
        <w:spacing w:after="0" w:line="128" w:lineRule="exact"/>
        <w:rPr>
          <w:sz w:val="20"/>
          <w:szCs w:val="20"/>
          <w:color w:val="auto"/>
        </w:rPr>
      </w:pPr>
    </w:p>
    <w:p>
      <w:pPr>
        <w:ind w:left="1160" w:right="1239" w:firstLine="293"/>
        <w:spacing w:after="0" w:line="294" w:lineRule="auto"/>
        <w:rPr>
          <w:sz w:val="20"/>
          <w:szCs w:val="20"/>
          <w:color w:val="auto"/>
        </w:rPr>
      </w:pPr>
      <w:r>
        <w:rPr>
          <w:rFonts w:ascii="Arial" w:cs="Arial" w:eastAsia="Arial" w:hAnsi="Arial"/>
          <w:sz w:val="13"/>
          <w:szCs w:val="13"/>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64" w:lineRule="auto"/>
        <w:rPr>
          <w:sz w:val="20"/>
          <w:szCs w:val="20"/>
          <w:color w:val="auto"/>
        </w:rPr>
      </w:pPr>
      <w:r>
        <w:rPr>
          <w:rFonts w:ascii="Arial" w:cs="Arial" w:eastAsia="Arial" w:hAnsi="Arial"/>
          <w:sz w:val="14"/>
          <w:szCs w:val="14"/>
          <w:color w:val="auto"/>
        </w:rPr>
        <w:t>position. A short sale is covered if the short position is no greater than the number of shares available for purchase by the underwriters under their option. The underwriters can close out a covered short sale by exercising their option or purchasing shares in the open market. In determining the source of shares to close out a covered short sale, the underwriters will consider, among other things, the open market price of shares compared to the price available under their option. The underwriters may also sell shares in excess of their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Electronic Distribution</w:t>
      </w:r>
    </w:p>
    <w:p>
      <w:pPr>
        <w:spacing w:after="0" w:line="128"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Other Relationships</w:t>
      </w:r>
    </w:p>
    <w:p>
      <w:pPr>
        <w:spacing w:after="0" w:line="117"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 Barclays Bank PLC, the administrative agent, the collateral agent, a lender and a joint lead arranger under the Credit Facilities, is an affiliate of Barclays Capital Inc., one of the underwriters in this offering. In addition, affiliates of Morgan Stanley &amp; Co. LLC are lenders and joint lead arrangers under the Credit Facilities.</w:t>
      </w:r>
    </w:p>
    <w:p>
      <w:pPr>
        <w:spacing w:after="0" w:line="97" w:lineRule="exact"/>
        <w:rPr>
          <w:sz w:val="20"/>
          <w:szCs w:val="20"/>
          <w:color w:val="auto"/>
        </w:rPr>
      </w:pPr>
    </w:p>
    <w:p>
      <w:pPr>
        <w:ind w:left="1160" w:right="1239" w:firstLine="293"/>
        <w:spacing w:after="0" w:line="247" w:lineRule="auto"/>
        <w:rPr>
          <w:sz w:val="20"/>
          <w:szCs w:val="20"/>
          <w:color w:val="auto"/>
        </w:rPr>
      </w:pPr>
      <w:r>
        <w:rPr>
          <w:rFonts w:ascii="Arial" w:cs="Arial" w:eastAsia="Arial" w:hAnsi="Arial"/>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Conflict of Interest</w:t>
      </w:r>
    </w:p>
    <w:p>
      <w:pPr>
        <w:spacing w:after="0" w:line="128"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Apollo Global Securities, LLC will not confirm sales of the securities to any account over which it exercises discretionary authority without the specific written approval of the account holder.</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Selling Restrictions</w:t>
      </w:r>
    </w:p>
    <w:p>
      <w:pPr>
        <w:spacing w:after="0" w:line="128"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13" w:lineRule="exact"/>
        <w:rPr>
          <w:sz w:val="20"/>
          <w:szCs w:val="20"/>
          <w:color w:val="auto"/>
        </w:rPr>
      </w:pPr>
    </w:p>
    <w:p>
      <w:pPr>
        <w:ind w:left="1160" w:right="1219" w:firstLine="293"/>
        <w:spacing w:after="0" w:line="253" w:lineRule="auto"/>
        <w:rPr>
          <w:sz w:val="20"/>
          <w:szCs w:val="20"/>
          <w:color w:val="auto"/>
        </w:rPr>
      </w:pPr>
      <w:r>
        <w:rPr>
          <w:rFonts w:ascii="Arial" w:cs="Arial" w:eastAsia="Arial" w:hAnsi="Arial"/>
          <w:sz w:val="14"/>
          <w:szCs w:val="14"/>
          <w:color w:val="auto"/>
        </w:rPr>
        <w:t>In relation to each EEA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91" w:lineRule="exact"/>
        <w:rPr>
          <w:sz w:val="20"/>
          <w:szCs w:val="20"/>
          <w:color w:val="auto"/>
        </w:rPr>
      </w:pPr>
    </w:p>
    <w:p>
      <w:pPr>
        <w:ind w:left="1760" w:right="1639" w:hanging="303"/>
        <w:spacing w:after="0" w:line="264" w:lineRule="auto"/>
        <w:tabs>
          <w:tab w:leader="none" w:pos="17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92"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89" w:lineRule="exact"/>
        <w:rPr>
          <w:rFonts w:ascii="Arial" w:cs="Arial" w:eastAsia="Arial" w:hAnsi="Arial"/>
          <w:sz w:val="15"/>
          <w:szCs w:val="15"/>
          <w:color w:val="auto"/>
        </w:rPr>
      </w:pPr>
    </w:p>
    <w:p>
      <w:pPr>
        <w:ind w:left="1760" w:hanging="303"/>
        <w:spacing w:after="0"/>
        <w:tabs>
          <w:tab w:leader="none" w:pos="17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24" w:lineRule="exact"/>
        <w:rPr>
          <w:sz w:val="20"/>
          <w:szCs w:val="20"/>
          <w:color w:val="auto"/>
        </w:rPr>
      </w:pPr>
    </w:p>
    <w:p>
      <w:pPr>
        <w:jc w:val="both"/>
        <w:ind w:left="1160" w:right="1599"/>
        <w:spacing w:after="0" w:line="239" w:lineRule="auto"/>
        <w:rPr>
          <w:sz w:val="20"/>
          <w:szCs w:val="20"/>
          <w:color w:val="auto"/>
        </w:rPr>
      </w:pPr>
      <w:r>
        <w:rPr>
          <w:rFonts w:ascii="Arial" w:cs="Arial" w:eastAsia="Arial" w:hAnsi="Arial"/>
          <w:sz w:val="15"/>
          <w:szCs w:val="15"/>
          <w:color w:val="auto"/>
        </w:rPr>
        <w:t>provided that no such offer of shares shall require the Company and or any representative to publish a prospectus pursuant to Article 3 of the Prospectus Regulation or supplement a prospectus pursuant to Article 23 of the Prospectus Regulation.</w:t>
      </w:r>
    </w:p>
    <w:p>
      <w:pPr>
        <w:spacing w:after="0" w:line="89" w:lineRule="exact"/>
        <w:rPr>
          <w:sz w:val="20"/>
          <w:szCs w:val="20"/>
          <w:color w:val="auto"/>
        </w:rPr>
      </w:pPr>
    </w:p>
    <w:p>
      <w:pPr>
        <w:ind w:left="1160" w:right="1419" w:firstLine="293"/>
        <w:spacing w:after="0" w:line="284" w:lineRule="auto"/>
        <w:rPr>
          <w:sz w:val="20"/>
          <w:szCs w:val="20"/>
          <w:color w:val="auto"/>
        </w:rPr>
      </w:pPr>
      <w:r>
        <w:rPr>
          <w:rFonts w:ascii="Arial" w:cs="Arial" w:eastAsia="Arial" w:hAnsi="Arial"/>
          <w:sz w:val="13"/>
          <w:szCs w:val="13"/>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72"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it is a qualified investor within the meaning of the Prospectus Regulation.</w:t>
      </w:r>
    </w:p>
    <w:p>
      <w:pPr>
        <w:spacing w:after="0" w:line="102" w:lineRule="exact"/>
        <w:rPr>
          <w:sz w:val="20"/>
          <w:szCs w:val="20"/>
          <w:color w:val="auto"/>
        </w:rPr>
      </w:pPr>
    </w:p>
    <w:p>
      <w:pPr>
        <w:ind w:left="1160" w:right="1239" w:firstLine="293"/>
        <w:spacing w:after="0" w:line="274" w:lineRule="auto"/>
        <w:rPr>
          <w:sz w:val="20"/>
          <w:szCs w:val="20"/>
          <w:color w:val="auto"/>
        </w:rPr>
      </w:pPr>
      <w:r>
        <w:rPr>
          <w:rFonts w:ascii="Arial" w:cs="Arial" w:eastAsia="Arial" w:hAnsi="Arial"/>
          <w:sz w:val="14"/>
          <w:szCs w:val="14"/>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United Kingdom</w:t>
      </w:r>
    </w:p>
    <w:p>
      <w:pPr>
        <w:spacing w:after="0" w:line="113"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w:t>
      </w:r>
    </w:p>
    <w:p>
      <w:pPr>
        <w:spacing w:after="0" w:line="1" w:lineRule="exact"/>
        <w:rPr>
          <w:sz w:val="20"/>
          <w:szCs w:val="20"/>
          <w:color w:val="auto"/>
        </w:rPr>
      </w:pPr>
    </w:p>
    <w:p>
      <w:pPr>
        <w:ind w:left="1160" w:right="1359" w:firstLine="4"/>
        <w:spacing w:after="0" w:line="246" w:lineRule="auto"/>
        <w:tabs>
          <w:tab w:leader="none" w:pos="1434" w:val="left"/>
        </w:tabs>
        <w:numPr>
          <w:ilvl w:val="0"/>
          <w:numId w:val="95"/>
        </w:numPr>
        <w:rPr>
          <w:rFonts w:ascii="Arial" w:cs="Arial" w:eastAsia="Arial" w:hAnsi="Arial"/>
          <w:sz w:val="15"/>
          <w:szCs w:val="15"/>
          <w:color w:val="auto"/>
        </w:rPr>
      </w:pPr>
      <w:r>
        <w:rPr>
          <w:rFonts w:ascii="Arial" w:cs="Arial" w:eastAsia="Arial" w:hAnsi="Arial"/>
          <w:sz w:val="15"/>
          <w:szCs w:val="15"/>
          <w:color w:val="auto"/>
        </w:rPr>
        <w:t>outside the UK; or (iv) persons to whom an invitation or inducement to engage in investment activity (within the meaning of Section 21 of the FSMA) in connection with the issue or sale of any shares may otherwise lawfully be</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79"/>
        <w:spacing w:after="0" w:line="253" w:lineRule="auto"/>
        <w:rPr>
          <w:sz w:val="20"/>
          <w:szCs w:val="20"/>
          <w:color w:val="auto"/>
        </w:rPr>
      </w:pPr>
      <w:r>
        <w:rPr>
          <w:rFonts w:ascii="Arial" w:cs="Arial" w:eastAsia="Arial" w:hAnsi="Arial"/>
          <w:sz w:val="14"/>
          <w:szCs w:val="14"/>
          <w:color w:val="auto"/>
        </w:rPr>
        <w:t>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91" w:lineRule="exact"/>
        <w:rPr>
          <w:sz w:val="20"/>
          <w:szCs w:val="20"/>
          <w:color w:val="auto"/>
        </w:rPr>
      </w:pPr>
    </w:p>
    <w:p>
      <w:pPr>
        <w:ind w:left="1160" w:right="1319" w:firstLine="293"/>
        <w:spacing w:after="0" w:line="236"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91" w:lineRule="exact"/>
        <w:rPr>
          <w:sz w:val="20"/>
          <w:szCs w:val="20"/>
          <w:color w:val="auto"/>
        </w:rPr>
      </w:pPr>
    </w:p>
    <w:p>
      <w:pPr>
        <w:ind w:left="1760" w:right="1379" w:hanging="303"/>
        <w:spacing w:after="0" w:line="264" w:lineRule="auto"/>
        <w:tabs>
          <w:tab w:leader="none" w:pos="17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92" w:lineRule="exact"/>
        <w:rPr>
          <w:rFonts w:ascii="Arial" w:cs="Arial" w:eastAsia="Arial" w:hAnsi="Arial"/>
          <w:sz w:val="15"/>
          <w:szCs w:val="15"/>
          <w:color w:val="auto"/>
        </w:rPr>
      </w:pPr>
    </w:p>
    <w:p>
      <w:pPr>
        <w:ind w:left="1760" w:right="1179" w:hanging="303"/>
        <w:spacing w:after="0" w:line="254" w:lineRule="auto"/>
        <w:tabs>
          <w:tab w:leader="none" w:pos="17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9" w:lineRule="exact"/>
        <w:rPr>
          <w:rFonts w:ascii="Arial" w:cs="Arial" w:eastAsia="Arial" w:hAnsi="Arial"/>
          <w:sz w:val="15"/>
          <w:szCs w:val="15"/>
          <w:color w:val="auto"/>
        </w:rPr>
      </w:pPr>
    </w:p>
    <w:p>
      <w:pPr>
        <w:ind w:left="1760" w:hanging="303"/>
        <w:spacing w:after="0"/>
        <w:tabs>
          <w:tab w:leader="none" w:pos="17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24" w:lineRule="exact"/>
        <w:rPr>
          <w:sz w:val="20"/>
          <w:szCs w:val="20"/>
          <w:color w:val="auto"/>
        </w:rPr>
      </w:pPr>
    </w:p>
    <w:p>
      <w:pPr>
        <w:ind w:left="1160" w:right="1239"/>
        <w:spacing w:after="0" w:line="233" w:lineRule="auto"/>
        <w:rPr>
          <w:sz w:val="20"/>
          <w:szCs w:val="20"/>
          <w:color w:val="auto"/>
        </w:rPr>
      </w:pPr>
      <w:r>
        <w:rPr>
          <w:rFonts w:ascii="Arial" w:cs="Arial" w:eastAsia="Arial" w:hAnsi="Arial"/>
          <w:sz w:val="15"/>
          <w:szCs w:val="15"/>
          <w:color w:val="auto"/>
        </w:rPr>
        <w:t>provided that no such offer of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0"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Each person in the UK who acquires any shares in hereby or to whom any offer is made will be deemed to have represented, acknowledged and agreed to and with the Company, the underwriters and their affiliates that it meets the criteria outlined in this section.</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Canada</w:t>
      </w:r>
    </w:p>
    <w:p>
      <w:pPr>
        <w:spacing w:after="0" w:line="113" w:lineRule="exact"/>
        <w:rPr>
          <w:sz w:val="20"/>
          <w:szCs w:val="20"/>
          <w:color w:val="auto"/>
        </w:rPr>
      </w:pPr>
    </w:p>
    <w:p>
      <w:pPr>
        <w:ind w:left="1160" w:right="1299" w:firstLine="293"/>
        <w:spacing w:after="0" w:line="286" w:lineRule="auto"/>
        <w:rPr>
          <w:sz w:val="20"/>
          <w:szCs w:val="20"/>
          <w:color w:val="auto"/>
        </w:rPr>
      </w:pPr>
      <w:r>
        <w:rPr>
          <w:rFonts w:ascii="Arial" w:cs="Arial" w:eastAsia="Arial" w:hAnsi="Arial"/>
          <w:sz w:val="13"/>
          <w:szCs w:val="13"/>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Exemptions </w:t>
      </w:r>
      <w:r>
        <w:rPr>
          <w:rFonts w:ascii="Arial" w:cs="Arial" w:eastAsia="Arial" w:hAnsi="Arial"/>
          <w:sz w:val="13"/>
          <w:szCs w:val="13"/>
          <w:color w:val="auto"/>
        </w:rPr>
        <w:t>or subsection 73.3(1) of the</w:t>
      </w:r>
      <w:r>
        <w:rPr>
          <w:rFonts w:ascii="Arial" w:cs="Arial" w:eastAsia="Arial" w:hAnsi="Arial"/>
          <w:sz w:val="13"/>
          <w:szCs w:val="13"/>
          <w:i w:val="1"/>
          <w:iCs w:val="1"/>
          <w:color w:val="auto"/>
        </w:rPr>
        <w:t xml:space="preserve"> Securities Act </w:t>
      </w:r>
      <w:r>
        <w:rPr>
          <w:rFonts w:ascii="Arial" w:cs="Arial" w:eastAsia="Arial" w:hAnsi="Arial"/>
          <w:sz w:val="13"/>
          <w:szCs w:val="13"/>
          <w:color w:val="auto"/>
        </w:rPr>
        <w:t>(Ontario), and are permitted clients, as defined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National Instrument 31-103 </w:t>
      </w:r>
      <w:r>
        <w:rPr>
          <w:rFonts w:ascii="Arial" w:cs="Arial" w:eastAsia="Arial" w:hAnsi="Arial"/>
          <w:sz w:val="13"/>
          <w:szCs w:val="13"/>
          <w:i w:val="1"/>
          <w:iCs w:val="1"/>
          <w:color w:val="auto"/>
        </w:rPr>
        <w:t>Registration Requirements, Exemptions and Ongoing Registrant Obligations</w:t>
      </w:r>
      <w:r>
        <w:rPr>
          <w:rFonts w:ascii="Arial" w:cs="Arial" w:eastAsia="Arial" w:hAnsi="Arial"/>
          <w:sz w:val="13"/>
          <w:szCs w:val="13"/>
          <w:color w:val="auto"/>
        </w:rPr>
        <w:t>.</w:t>
      </w:r>
    </w:p>
    <w:p>
      <w:pPr>
        <w:spacing w:after="0" w:line="1" w:lineRule="exact"/>
        <w:rPr>
          <w:sz w:val="20"/>
          <w:szCs w:val="20"/>
          <w:color w:val="auto"/>
        </w:rPr>
      </w:pPr>
    </w:p>
    <w:p>
      <w:pPr>
        <w:ind w:left="1160" w:right="1279"/>
        <w:spacing w:after="0" w:line="249" w:lineRule="auto"/>
        <w:rPr>
          <w:sz w:val="20"/>
          <w:szCs w:val="20"/>
          <w:color w:val="auto"/>
        </w:rPr>
      </w:pPr>
      <w:r>
        <w:rPr>
          <w:rFonts w:ascii="Arial" w:cs="Arial" w:eastAsia="Arial" w:hAnsi="Arial"/>
          <w:sz w:val="15"/>
          <w:szCs w:val="15"/>
          <w:color w:val="auto"/>
        </w:rPr>
        <w:t>Any resale of the shares of Class A common stock must be made in accordance with an exemption from, or in a transaction not subject to, the prospectus requirements of applicable securities laws.</w:t>
      </w:r>
    </w:p>
    <w:p>
      <w:pPr>
        <w:spacing w:after="0" w:line="104" w:lineRule="exact"/>
        <w:rPr>
          <w:sz w:val="20"/>
          <w:szCs w:val="20"/>
          <w:color w:val="auto"/>
        </w:rPr>
      </w:pPr>
    </w:p>
    <w:p>
      <w:pPr>
        <w:ind w:left="1160" w:right="1299" w:firstLine="293"/>
        <w:spacing w:after="0" w:line="269"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3" w:lineRule="exact"/>
        <w:rPr>
          <w:sz w:val="20"/>
          <w:szCs w:val="20"/>
          <w:color w:val="auto"/>
        </w:rPr>
      </w:pPr>
    </w:p>
    <w:p>
      <w:pPr>
        <w:ind w:left="1160" w:right="1639" w:firstLine="293"/>
        <w:spacing w:after="0" w:line="254" w:lineRule="auto"/>
        <w:rPr>
          <w:sz w:val="20"/>
          <w:szCs w:val="20"/>
          <w:color w:val="auto"/>
        </w:rPr>
      </w:pPr>
      <w:r>
        <w:rPr>
          <w:rFonts w:ascii="Arial" w:cs="Arial" w:eastAsia="Arial" w:hAnsi="Arial"/>
          <w:sz w:val="15"/>
          <w:szCs w:val="15"/>
          <w:color w:val="auto"/>
        </w:rPr>
        <w:t xml:space="preserve">Pursuant to section 3A.3 of National Instrument 33-105 </w:t>
      </w:r>
      <w:r>
        <w:rPr>
          <w:rFonts w:ascii="Arial" w:cs="Arial" w:eastAsia="Arial" w:hAnsi="Arial"/>
          <w:sz w:val="15"/>
          <w:szCs w:val="15"/>
          <w:i w:val="1"/>
          <w:iCs w:val="1"/>
          <w:color w:val="auto"/>
        </w:rPr>
        <w:t>Underwriting Conflicts</w:t>
      </w:r>
      <w:r>
        <w:rPr>
          <w:rFonts w:ascii="Arial" w:cs="Arial" w:eastAsia="Arial" w:hAnsi="Arial"/>
          <w:sz w:val="15"/>
          <w:szCs w:val="15"/>
          <w:color w:val="auto"/>
        </w:rPr>
        <w:t xml:space="preserve"> (NI 33-105), the underwriters are not required to comply with the disclosure requirements of NI 33-105 regarding underwriter conflicts of interest in connection with this offering.</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Hong Kong</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Shares of our Class A common stock may not be offered or sold by means of any document other than</w:t>
      </w:r>
    </w:p>
    <w:p>
      <w:pPr>
        <w:spacing w:after="0" w:line="25" w:lineRule="exact"/>
        <w:rPr>
          <w:sz w:val="20"/>
          <w:szCs w:val="20"/>
          <w:color w:val="auto"/>
        </w:rPr>
      </w:pPr>
    </w:p>
    <w:p>
      <w:pPr>
        <w:ind w:left="1160" w:right="1499" w:firstLine="4"/>
        <w:spacing w:after="0" w:line="246" w:lineRule="auto"/>
        <w:tabs>
          <w:tab w:leader="none" w:pos="1347" w:val="left"/>
        </w:tabs>
        <w:numPr>
          <w:ilvl w:val="0"/>
          <w:numId w:val="97"/>
        </w:numPr>
        <w:rPr>
          <w:rFonts w:ascii="Arial" w:cs="Arial" w:eastAsia="Arial" w:hAnsi="Arial"/>
          <w:sz w:val="15"/>
          <w:szCs w:val="15"/>
          <w:color w:val="auto"/>
        </w:rPr>
      </w:pPr>
      <w:r>
        <w:rPr>
          <w:rFonts w:ascii="Arial" w:cs="Arial" w:eastAsia="Arial" w:hAnsi="Arial"/>
          <w:sz w:val="15"/>
          <w:szCs w:val="15"/>
          <w:color w:val="auto"/>
        </w:rPr>
        <w:t>in circumstances which do not constitute an offer to the public within the meaning of the Companies Ordinance (Cap. 32, Laws of Hong Kong), (ii) to “professional investors” within the meaning of the Securities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19"/>
        <w:spacing w:after="0" w:line="232" w:lineRule="auto"/>
        <w:rPr>
          <w:sz w:val="20"/>
          <w:szCs w:val="20"/>
          <w:color w:val="auto"/>
        </w:rPr>
      </w:pPr>
      <w:r>
        <w:rPr>
          <w:rFonts w:ascii="Arial" w:cs="Arial" w:eastAsia="Arial" w:hAnsi="Arial"/>
          <w:sz w:val="15"/>
          <w:szCs w:val="15"/>
          <w:color w:val="auto"/>
        </w:rPr>
        <w:t>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Singapore</w:t>
      </w:r>
    </w:p>
    <w:p>
      <w:pPr>
        <w:spacing w:after="0" w:line="124"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8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Where shares of our common stock are subscribed or purchased under Section 275 by a relevant person which is:</w:t>
      </w:r>
    </w:p>
    <w:p>
      <w:pPr>
        <w:spacing w:after="0" w:line="94" w:lineRule="exact"/>
        <w:rPr>
          <w:sz w:val="20"/>
          <w:szCs w:val="20"/>
          <w:color w:val="auto"/>
        </w:rPr>
      </w:pPr>
    </w:p>
    <w:p>
      <w:pPr>
        <w:ind w:left="1760" w:right="1459" w:hanging="303"/>
        <w:spacing w:after="0" w:line="254" w:lineRule="auto"/>
        <w:tabs>
          <w:tab w:leader="none" w:pos="1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the sole business of which is to hold investments and the entire share capital of which is owned by one or more individuals, each of whom is an accredited investor; or</w:t>
      </w:r>
    </w:p>
    <w:p>
      <w:pPr>
        <w:spacing w:after="0" w:line="89" w:lineRule="exact"/>
        <w:rPr>
          <w:rFonts w:ascii="Arial" w:cs="Arial" w:eastAsia="Arial" w:hAnsi="Arial"/>
          <w:sz w:val="15"/>
          <w:szCs w:val="15"/>
          <w:color w:val="auto"/>
        </w:rPr>
      </w:pPr>
    </w:p>
    <w:p>
      <w:pPr>
        <w:ind w:left="1760" w:right="1299" w:hanging="303"/>
        <w:spacing w:after="0" w:line="264" w:lineRule="auto"/>
        <w:tabs>
          <w:tab w:leader="none" w:pos="17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is an accredited investor,</w:t>
      </w:r>
    </w:p>
    <w:p>
      <w:pPr>
        <w:spacing w:after="0" w:line="93" w:lineRule="exact"/>
        <w:rPr>
          <w:sz w:val="20"/>
          <w:szCs w:val="20"/>
          <w:color w:val="auto"/>
        </w:rPr>
      </w:pPr>
    </w:p>
    <w:p>
      <w:pPr>
        <w:ind w:left="1160" w:right="1339"/>
        <w:spacing w:after="0" w:line="236" w:lineRule="auto"/>
        <w:rPr>
          <w:sz w:val="20"/>
          <w:szCs w:val="20"/>
          <w:color w:val="auto"/>
        </w:rPr>
      </w:pPr>
      <w:r>
        <w:rPr>
          <w:rFonts w:ascii="Arial" w:cs="Arial" w:eastAsia="Arial" w:hAnsi="Arial"/>
          <w:sz w:val="15"/>
          <w:szCs w:val="15"/>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91" w:lineRule="exact"/>
        <w:rPr>
          <w:sz w:val="20"/>
          <w:szCs w:val="20"/>
          <w:color w:val="auto"/>
        </w:rPr>
      </w:pPr>
    </w:p>
    <w:p>
      <w:pPr>
        <w:ind w:left="1760" w:right="1339" w:hanging="303"/>
        <w:spacing w:after="0" w:line="264" w:lineRule="auto"/>
        <w:tabs>
          <w:tab w:leader="none" w:pos="17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pursuant to Section 275(1A), and in accordance with the conditions, specified in Section 275 of the SFA;</w:t>
      </w:r>
    </w:p>
    <w:p>
      <w:pPr>
        <w:spacing w:after="0" w:line="92" w:lineRule="exact"/>
        <w:rPr>
          <w:rFonts w:ascii="Arial" w:cs="Arial" w:eastAsia="Arial" w:hAnsi="Arial"/>
          <w:sz w:val="15"/>
          <w:szCs w:val="15"/>
          <w:color w:val="auto"/>
        </w:rPr>
      </w:pPr>
    </w:p>
    <w:p>
      <w:pPr>
        <w:ind w:left="1760" w:hanging="303"/>
        <w:spacing w:after="0"/>
        <w:tabs>
          <w:tab w:leader="none" w:pos="17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where no consideration is given for the transfer; or</w:t>
      </w:r>
    </w:p>
    <w:p>
      <w:pPr>
        <w:spacing w:after="0" w:line="113" w:lineRule="exact"/>
        <w:rPr>
          <w:rFonts w:ascii="Arial" w:cs="Arial" w:eastAsia="Arial" w:hAnsi="Arial"/>
          <w:sz w:val="15"/>
          <w:szCs w:val="15"/>
          <w:color w:val="auto"/>
        </w:rPr>
      </w:pPr>
    </w:p>
    <w:p>
      <w:pPr>
        <w:ind w:left="1760" w:hanging="303"/>
        <w:spacing w:after="0"/>
        <w:tabs>
          <w:tab w:leader="none" w:pos="17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24"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Japan</w:t>
      </w:r>
    </w:p>
    <w:p>
      <w:pPr>
        <w:spacing w:after="0" w:line="113" w:lineRule="exact"/>
        <w:rPr>
          <w:sz w:val="20"/>
          <w:szCs w:val="20"/>
          <w:color w:val="auto"/>
        </w:rPr>
      </w:pPr>
    </w:p>
    <w:p>
      <w:pPr>
        <w:jc w:val="both"/>
        <w:ind w:left="1160" w:right="1379" w:firstLine="293"/>
        <w:spacing w:after="0" w:line="239" w:lineRule="auto"/>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00"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0" w:name="page191"/>
    <w:bookmarkEnd w:id="190"/>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179"/>
        <w:spacing w:after="0" w:line="300" w:lineRule="auto"/>
        <w:rPr>
          <w:sz w:val="20"/>
          <w:szCs w:val="20"/>
          <w:color w:val="auto"/>
        </w:rPr>
      </w:pPr>
      <w:r>
        <w:rPr>
          <w:rFonts w:ascii="Arial" w:cs="Arial" w:eastAsia="Arial" w:hAnsi="Arial"/>
          <w:sz w:val="14"/>
          <w:szCs w:val="14"/>
          <w:color w:val="auto"/>
        </w:rPr>
        <w:t>the benefit of, any resident of Japan except pursuant to an exemption from the registration requirements, and otherwise in compliance with, the FIEL and the other applicable laws and regulations of Japan.</w:t>
      </w:r>
    </w:p>
    <w:p>
      <w:pPr>
        <w:spacing w:after="0" w:line="125"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For Qualified Institutional Investors (“QII”)</w:t>
      </w:r>
    </w:p>
    <w:p>
      <w:pPr>
        <w:spacing w:after="0" w:line="124"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For Non-QII Investors</w:t>
      </w:r>
    </w:p>
    <w:p>
      <w:pPr>
        <w:spacing w:after="0" w:line="113" w:lineRule="exact"/>
        <w:rPr>
          <w:sz w:val="20"/>
          <w:szCs w:val="20"/>
          <w:color w:val="auto"/>
        </w:rPr>
      </w:pPr>
    </w:p>
    <w:p>
      <w:pPr>
        <w:ind w:left="1160" w:right="1219" w:firstLine="293"/>
        <w:spacing w:after="0" w:line="294" w:lineRule="auto"/>
        <w:rPr>
          <w:sz w:val="20"/>
          <w:szCs w:val="20"/>
          <w:color w:val="auto"/>
        </w:rPr>
      </w:pPr>
      <w:r>
        <w:rPr>
          <w:rFonts w:ascii="Arial" w:cs="Arial" w:eastAsia="Arial" w:hAnsi="Arial"/>
          <w:sz w:val="13"/>
          <w:szCs w:val="13"/>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LEGAL MATTERS</w:t>
      </w:r>
    </w:p>
    <w:p>
      <w:pPr>
        <w:spacing w:after="0" w:line="128" w:lineRule="exact"/>
        <w:rPr>
          <w:sz w:val="20"/>
          <w:szCs w:val="20"/>
          <w:color w:val="auto"/>
        </w:rPr>
      </w:pPr>
    </w:p>
    <w:p>
      <w:pPr>
        <w:ind w:left="1160" w:right="1339" w:firstLine="293"/>
        <w:spacing w:after="0" w:line="251" w:lineRule="auto"/>
        <w:rPr>
          <w:sz w:val="20"/>
          <w:szCs w:val="20"/>
          <w:color w:val="auto"/>
        </w:rPr>
      </w:pPr>
      <w:r>
        <w:rPr>
          <w:rFonts w:ascii="Arial" w:cs="Arial" w:eastAsia="Arial" w:hAnsi="Arial"/>
          <w:sz w:val="15"/>
          <w:szCs w:val="15"/>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28"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 xml:space="preserve">The consolidated financial statements of Sun Country Airlines Holdings, Inc. as of December 31, 2020 and 2019, for the years ended December 31, 2020 and 2019 and for the periods from January 1, 2018 to April 10, 2018 and April 11, 2018 to December 31, 2018 have been included herein in reliance upon the report of KPMG LLP, independent registered public accounting firm, appearing elsewhere herein, and upon the authority of said firm as experts in accounting and auditing. The audit report covering the December 31, 2020 consolidated financial statements refers to the Company’s change in its method of accounting for revenue recognition and leases as of January 1, 2019 due to the adoption of Accounting Standards Update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Accounting Standards Update 2016-02,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28" w:lineRule="exact"/>
        <w:rPr>
          <w:sz w:val="20"/>
          <w:szCs w:val="20"/>
          <w:color w:val="auto"/>
        </w:rPr>
      </w:pPr>
    </w:p>
    <w:p>
      <w:pPr>
        <w:ind w:left="1160" w:right="1279" w:firstLine="293"/>
        <w:spacing w:after="0" w:line="266" w:lineRule="auto"/>
        <w:rPr>
          <w:sz w:val="20"/>
          <w:szCs w:val="20"/>
          <w:color w:val="auto"/>
        </w:rPr>
      </w:pPr>
      <w:r>
        <w:rPr>
          <w:rFonts w:ascii="Arial" w:cs="Arial" w:eastAsia="Arial" w:hAnsi="Arial"/>
          <w:sz w:val="14"/>
          <w:szCs w:val="14"/>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83" w:lineRule="exact"/>
        <w:rPr>
          <w:sz w:val="20"/>
          <w:szCs w:val="20"/>
          <w:color w:val="auto"/>
        </w:rPr>
      </w:pPr>
    </w:p>
    <w:p>
      <w:pPr>
        <w:ind w:left="1160" w:right="1379" w:firstLine="293"/>
        <w:spacing w:after="0" w:line="341" w:lineRule="auto"/>
        <w:rPr>
          <w:sz w:val="20"/>
          <w:szCs w:val="20"/>
          <w:color w:val="auto"/>
        </w:rPr>
      </w:pPr>
      <w:r>
        <w:rPr>
          <w:rFonts w:ascii="Arial" w:cs="Arial" w:eastAsia="Arial" w:hAnsi="Arial"/>
          <w:sz w:val="13"/>
          <w:szCs w:val="13"/>
          <w:color w:val="auto"/>
        </w:rPr>
        <w:t>The SEC maintains an Internet site that contains reports, proxy and information statements and other information regarding registrants that file electronically with the SEC. The SEC’s website address is</w:t>
      </w:r>
    </w:p>
    <w:p>
      <w:pPr>
        <w:spacing w:after="0" w:line="4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We are subject to the reporting and information requirements of the Exchange Act and, as a result, are required to file annual, quarterly and current reports, proxy statements and other information with the SEC. We make these filings available on our website (www.ir.suncountry.com). Our website and the information contained on, or that can be accessed through, our website will not be deemed to be incorporated by reference in, and are not considered part of, this prospectus.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140"/>
        <w:spacing w:after="0"/>
        <w:rPr>
          <w:rFonts w:ascii="Arial" w:cs="Arial" w:eastAsia="Arial" w:hAnsi="Arial"/>
          <w:sz w:val="12"/>
          <w:szCs w:val="12"/>
          <w:color w:val="003366"/>
        </w:rPr>
      </w:pPr>
      <w:hyperlink w:anchor="page3">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b w:val="1"/>
                <w:bCs w:val="1"/>
                <w:color w:val="auto"/>
                <w:w w:val="82"/>
              </w:rPr>
              <w:t>PAGE</w:t>
            </w:r>
          </w:p>
        </w:tc>
      </w:tr>
      <w:tr>
        <w:trPr>
          <w:trHeight w:val="21"/>
        </w:trPr>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80"/>
        </w:trPr>
        <w:tc>
          <w:tcPr>
            <w:tcW w:w="3600" w:type="dxa"/>
            <w:vAlign w:val="bottom"/>
            <w:tcBorders>
              <w:bottom w:val="single" w:sz="8" w:color="0000EE"/>
              <w:right w:val="single" w:sz="8" w:color="CCEEFF"/>
            </w:tcBorders>
            <w:gridSpan w:val="8"/>
            <w:shd w:val="clear" w:color="auto" w:fill="CCEEFF"/>
          </w:tcPr>
          <w:p>
            <w:pPr>
              <w:spacing w:after="0" w:line="167" w:lineRule="exact"/>
              <w:rPr>
                <w:rFonts w:ascii="Arial" w:cs="Arial" w:eastAsia="Arial" w:hAnsi="Arial"/>
                <w:sz w:val="15"/>
                <w:szCs w:val="15"/>
                <w:color w:val="0000EE"/>
                <w:w w:val="92"/>
              </w:rPr>
            </w:pPr>
            <w:hyperlink w:anchor="page195">
              <w:r>
                <w:rPr>
                  <w:rFonts w:ascii="Arial" w:cs="Arial" w:eastAsia="Arial" w:hAnsi="Arial"/>
                  <w:sz w:val="15"/>
                  <w:szCs w:val="15"/>
                  <w:color w:val="0000EE"/>
                  <w:w w:val="92"/>
                </w:rPr>
                <w:t>Report of Independent Registered Public Accounting Firm</w:t>
              </w:r>
            </w:hyperlink>
          </w:p>
        </w:tc>
        <w:tc>
          <w:tcPr>
            <w:tcW w:w="2780" w:type="dxa"/>
            <w:vAlign w:val="bottom"/>
            <w:tcBorders>
              <w:bottom w:val="single" w:sz="8" w:color="CCEEFF"/>
              <w:right w:val="single" w:sz="8" w:color="CCEEFF"/>
            </w:tcBorders>
            <w:gridSpan w:val="11"/>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0000EE"/>
            </w:tcBorders>
            <w:shd w:val="clear" w:color="auto" w:fill="CCEEFF"/>
          </w:tcPr>
          <w:p>
            <w:pPr>
              <w:jc w:val="right"/>
              <w:spacing w:after="0" w:line="167" w:lineRule="exact"/>
              <w:rPr>
                <w:rFonts w:ascii="Arial" w:cs="Arial" w:eastAsia="Arial" w:hAnsi="Arial"/>
                <w:sz w:val="15"/>
                <w:szCs w:val="15"/>
                <w:color w:val="0000EE"/>
                <w:w w:val="88"/>
              </w:rPr>
            </w:pPr>
            <w:hyperlink w:anchor="page195">
              <w:r>
                <w:rPr>
                  <w:rFonts w:ascii="Arial" w:cs="Arial" w:eastAsia="Arial" w:hAnsi="Arial"/>
                  <w:sz w:val="15"/>
                  <w:szCs w:val="15"/>
                  <w:color w:val="0000EE"/>
                  <w:w w:val="88"/>
                </w:rPr>
                <w:t>F-2</w:t>
              </w:r>
            </w:hyperlink>
          </w:p>
        </w:tc>
      </w:tr>
      <w:tr>
        <w:trPr>
          <w:trHeight w:val="209"/>
        </w:trPr>
        <w:tc>
          <w:tcPr>
            <w:tcW w:w="6380" w:type="dxa"/>
            <w:vAlign w:val="bottom"/>
            <w:gridSpan w:val="19"/>
          </w:tcPr>
          <w:p>
            <w:pPr>
              <w:spacing w:after="0"/>
              <w:rPr>
                <w:sz w:val="20"/>
                <w:szCs w:val="20"/>
                <w:color w:val="auto"/>
              </w:rPr>
            </w:pPr>
            <w:r>
              <w:rPr>
                <w:rFonts w:ascii="Arial" w:cs="Arial" w:eastAsia="Arial" w:hAnsi="Arial"/>
                <w:sz w:val="15"/>
                <w:szCs w:val="15"/>
                <w:color w:val="auto"/>
              </w:rPr>
              <w:t>Audited Consolidated Financial Statements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196">
              <w:r>
                <w:rPr>
                  <w:rFonts w:ascii="Arial" w:cs="Arial" w:eastAsia="Arial" w:hAnsi="Arial"/>
                  <w:sz w:val="15"/>
                  <w:szCs w:val="15"/>
                  <w:color w:val="0000EE"/>
                </w:rPr>
                <w:t>Consolidated Balance Sheets as of December 31, 2020 and 2019</w:t>
              </w:r>
            </w:hyperlink>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rFonts w:ascii="Arial" w:cs="Arial" w:eastAsia="Arial" w:hAnsi="Arial"/>
                <w:sz w:val="15"/>
                <w:szCs w:val="15"/>
                <w:color w:val="0000EE"/>
                <w:w w:val="88"/>
              </w:rPr>
            </w:pPr>
            <w:hyperlink w:anchor="page196">
              <w:r>
                <w:rPr>
                  <w:rFonts w:ascii="Arial" w:cs="Arial" w:eastAsia="Arial" w:hAnsi="Arial"/>
                  <w:sz w:val="15"/>
                  <w:szCs w:val="15"/>
                  <w:color w:val="0000EE"/>
                  <w:w w:val="88"/>
                </w:rPr>
                <w:t>F-3</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176"/>
        </w:trPr>
        <w:tc>
          <w:tcPr>
            <w:tcW w:w="6380" w:type="dxa"/>
            <w:vAlign w:val="bottom"/>
            <w:gridSpan w:val="19"/>
          </w:tcPr>
          <w:p>
            <w:pPr>
              <w:ind w:left="160"/>
              <w:spacing w:after="0"/>
              <w:rPr>
                <w:rFonts w:ascii="Arial" w:cs="Arial" w:eastAsia="Arial" w:hAnsi="Arial"/>
                <w:sz w:val="15"/>
                <w:szCs w:val="15"/>
                <w:color w:val="0000EE"/>
                <w:w w:val="95"/>
              </w:rPr>
            </w:pPr>
            <w:hyperlink w:anchor="page198">
              <w:r>
                <w:rPr>
                  <w:rFonts w:ascii="Arial" w:cs="Arial" w:eastAsia="Arial" w:hAnsi="Arial"/>
                  <w:sz w:val="15"/>
                  <w:szCs w:val="15"/>
                  <w:color w:val="0000EE"/>
                  <w:w w:val="95"/>
                </w:rPr>
                <w:t>Consolidated Statements of Operations for the years ended December 31, 2020 and 2019 and for</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20" w:type="dxa"/>
            <w:vAlign w:val="bottom"/>
            <w:tcBorders>
              <w:top w:val="single" w:sz="8" w:color="0000EE"/>
            </w:tcBorders>
            <w:gridSpan w:val="13"/>
          </w:tcPr>
          <w:p>
            <w:pPr>
              <w:spacing w:after="0" w:line="156" w:lineRule="exact"/>
              <w:rPr>
                <w:rFonts w:ascii="Arial" w:cs="Arial" w:eastAsia="Arial" w:hAnsi="Arial"/>
                <w:sz w:val="15"/>
                <w:szCs w:val="15"/>
                <w:color w:val="0000EE"/>
                <w:w w:val="94"/>
              </w:rPr>
            </w:pPr>
            <w:hyperlink w:anchor="page198">
              <w:r>
                <w:rPr>
                  <w:rFonts w:ascii="Arial" w:cs="Arial" w:eastAsia="Arial" w:hAnsi="Arial"/>
                  <w:sz w:val="15"/>
                  <w:szCs w:val="15"/>
                  <w:color w:val="0000EE"/>
                  <w:w w:val="94"/>
                </w:rPr>
                <w:t>the periods from January 1, 2018 to April 10, 2018 and April 11, 2018 to December 31, 2018</w:t>
              </w:r>
            </w:hyperlink>
          </w:p>
        </w:tc>
        <w:tc>
          <w:tcPr>
            <w:tcW w:w="2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line="156" w:lineRule="exact"/>
              <w:rPr>
                <w:rFonts w:ascii="Arial" w:cs="Arial" w:eastAsia="Arial" w:hAnsi="Arial"/>
                <w:sz w:val="15"/>
                <w:szCs w:val="15"/>
                <w:color w:val="0000EE"/>
                <w:w w:val="88"/>
              </w:rPr>
            </w:pPr>
            <w:hyperlink w:anchor="page198">
              <w:r>
                <w:rPr>
                  <w:rFonts w:ascii="Arial" w:cs="Arial" w:eastAsia="Arial" w:hAnsi="Arial"/>
                  <w:sz w:val="15"/>
                  <w:szCs w:val="15"/>
                  <w:color w:val="0000EE"/>
                  <w:w w:val="88"/>
                </w:rPr>
                <w:t>F-5</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6"/>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w w:val="97"/>
              </w:rPr>
            </w:pPr>
            <w:hyperlink w:anchor="page199">
              <w:r>
                <w:rPr>
                  <w:rFonts w:ascii="Arial" w:cs="Arial" w:eastAsia="Arial" w:hAnsi="Arial"/>
                  <w:sz w:val="15"/>
                  <w:szCs w:val="15"/>
                  <w:color w:val="0000EE"/>
                  <w:w w:val="97"/>
                </w:rPr>
                <w:t>Consolidated Statements of Changes in Stockholders’ Equity for the years ended December 31,</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56"/>
        </w:trPr>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940" w:type="dxa"/>
            <w:vAlign w:val="bottom"/>
            <w:tcBorders>
              <w:bottom w:val="single" w:sz="8" w:color="0000EE"/>
            </w:tcBorders>
            <w:gridSpan w:val="16"/>
            <w:shd w:val="clear" w:color="auto" w:fill="CCEEFF"/>
          </w:tcPr>
          <w:p>
            <w:pPr>
              <w:spacing w:after="0" w:line="156" w:lineRule="exact"/>
              <w:rPr>
                <w:rFonts w:ascii="Arial" w:cs="Arial" w:eastAsia="Arial" w:hAnsi="Arial"/>
                <w:sz w:val="15"/>
                <w:szCs w:val="15"/>
                <w:color w:val="0000EE"/>
                <w:w w:val="93"/>
              </w:rPr>
            </w:pPr>
            <w:hyperlink w:anchor="page199">
              <w:r>
                <w:rPr>
                  <w:rFonts w:ascii="Arial" w:cs="Arial" w:eastAsia="Arial" w:hAnsi="Arial"/>
                  <w:sz w:val="15"/>
                  <w:szCs w:val="15"/>
                  <w:color w:val="0000EE"/>
                  <w:w w:val="93"/>
                </w:rPr>
                <w:t>2020 and 2019 and for the periods from January 1, 2018 to April 10, 2018 and April 11, 2018 to</w:t>
              </w:r>
            </w:hyperlink>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0000EE"/>
            </w:tcBorders>
            <w:gridSpan w:val="3"/>
            <w:shd w:val="clear" w:color="auto" w:fill="CCEEFF"/>
          </w:tcPr>
          <w:p>
            <w:pPr>
              <w:spacing w:after="0" w:line="156" w:lineRule="exact"/>
              <w:rPr>
                <w:rFonts w:ascii="Arial" w:cs="Arial" w:eastAsia="Arial" w:hAnsi="Arial"/>
                <w:sz w:val="15"/>
                <w:szCs w:val="15"/>
                <w:color w:val="0000EE"/>
                <w:w w:val="89"/>
              </w:rPr>
            </w:pPr>
            <w:hyperlink w:anchor="page199">
              <w:r>
                <w:rPr>
                  <w:rFonts w:ascii="Arial" w:cs="Arial" w:eastAsia="Arial" w:hAnsi="Arial"/>
                  <w:sz w:val="15"/>
                  <w:szCs w:val="15"/>
                  <w:color w:val="0000EE"/>
                  <w:w w:val="89"/>
                </w:rPr>
                <w:t>December 31, 2018</w:t>
              </w:r>
            </w:hyperlink>
          </w:p>
        </w:tc>
        <w:tc>
          <w:tcPr>
            <w:tcW w:w="4880" w:type="dxa"/>
            <w:vAlign w:val="bottom"/>
            <w:tcBorders>
              <w:bottom w:val="single" w:sz="8" w:color="CCEEFF"/>
              <w:right w:val="single" w:sz="8" w:color="CCEEFF"/>
            </w:tcBorders>
            <w:gridSpan w:val="14"/>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0000EE"/>
            </w:tcBorders>
            <w:shd w:val="clear" w:color="auto" w:fill="CCEEFF"/>
          </w:tcPr>
          <w:p>
            <w:pPr>
              <w:jc w:val="right"/>
              <w:spacing w:after="0" w:line="156" w:lineRule="exact"/>
              <w:rPr>
                <w:rFonts w:ascii="Arial" w:cs="Arial" w:eastAsia="Arial" w:hAnsi="Arial"/>
                <w:sz w:val="15"/>
                <w:szCs w:val="15"/>
                <w:color w:val="0000EE"/>
                <w:w w:val="88"/>
              </w:rPr>
            </w:pPr>
            <w:hyperlink w:anchor="page199">
              <w:r>
                <w:rPr>
                  <w:rFonts w:ascii="Arial" w:cs="Arial" w:eastAsia="Arial" w:hAnsi="Arial"/>
                  <w:sz w:val="15"/>
                  <w:szCs w:val="15"/>
                  <w:color w:val="0000EE"/>
                  <w:w w:val="88"/>
                </w:rPr>
                <w:t>F-6</w:t>
              </w:r>
            </w:hyperlink>
          </w:p>
        </w:tc>
      </w:tr>
      <w:tr>
        <w:trPr>
          <w:trHeight w:val="176"/>
        </w:trPr>
        <w:tc>
          <w:tcPr>
            <w:tcW w:w="6380" w:type="dxa"/>
            <w:vAlign w:val="bottom"/>
            <w:gridSpan w:val="19"/>
          </w:tcPr>
          <w:p>
            <w:pPr>
              <w:ind w:left="160"/>
              <w:spacing w:after="0"/>
              <w:rPr>
                <w:rFonts w:ascii="Arial" w:cs="Arial" w:eastAsia="Arial" w:hAnsi="Arial"/>
                <w:sz w:val="15"/>
                <w:szCs w:val="15"/>
                <w:color w:val="0000EE"/>
                <w:w w:val="94"/>
              </w:rPr>
            </w:pPr>
            <w:hyperlink w:anchor="page200">
              <w:r>
                <w:rPr>
                  <w:rFonts w:ascii="Arial" w:cs="Arial" w:eastAsia="Arial" w:hAnsi="Arial"/>
                  <w:sz w:val="15"/>
                  <w:szCs w:val="15"/>
                  <w:color w:val="0000EE"/>
                  <w:w w:val="94"/>
                </w:rPr>
                <w:t>Consolidated Statements of Cash Flows for the years ended December 31, 2020 and 2019 and for</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60" w:type="dxa"/>
            <w:vAlign w:val="bottom"/>
            <w:tcBorders>
              <w:top w:val="single" w:sz="8" w:color="0000EE"/>
            </w:tcBorders>
            <w:gridSpan w:val="14"/>
          </w:tcPr>
          <w:p>
            <w:pPr>
              <w:spacing w:after="0" w:line="156" w:lineRule="exact"/>
              <w:rPr>
                <w:rFonts w:ascii="Arial" w:cs="Arial" w:eastAsia="Arial" w:hAnsi="Arial"/>
                <w:sz w:val="15"/>
                <w:szCs w:val="15"/>
                <w:color w:val="0000EE"/>
                <w:w w:val="95"/>
              </w:rPr>
            </w:pPr>
            <w:hyperlink w:anchor="page200">
              <w:r>
                <w:rPr>
                  <w:rFonts w:ascii="Arial" w:cs="Arial" w:eastAsia="Arial" w:hAnsi="Arial"/>
                  <w:sz w:val="15"/>
                  <w:szCs w:val="15"/>
                  <w:color w:val="0000EE"/>
                  <w:w w:val="95"/>
                </w:rPr>
                <w:t>the periods from January 1, 2018 to April 10, 2018 and April 11, 2018 to December 31, 2018</w:t>
              </w:r>
            </w:hyperlink>
          </w:p>
        </w:tc>
        <w:tc>
          <w:tcPr>
            <w:tcW w:w="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line="156" w:lineRule="exact"/>
              <w:rPr>
                <w:rFonts w:ascii="Arial" w:cs="Arial" w:eastAsia="Arial" w:hAnsi="Arial"/>
                <w:sz w:val="15"/>
                <w:szCs w:val="15"/>
                <w:color w:val="0000EE"/>
                <w:w w:val="88"/>
              </w:rPr>
            </w:pPr>
            <w:hyperlink w:anchor="page200">
              <w:r>
                <w:rPr>
                  <w:rFonts w:ascii="Arial" w:cs="Arial" w:eastAsia="Arial" w:hAnsi="Arial"/>
                  <w:sz w:val="15"/>
                  <w:szCs w:val="15"/>
                  <w:color w:val="0000EE"/>
                  <w:w w:val="88"/>
                </w:rPr>
                <w:t>F-7</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202">
              <w:r>
                <w:rPr>
                  <w:rFonts w:ascii="Arial" w:cs="Arial" w:eastAsia="Arial" w:hAnsi="Arial"/>
                  <w:sz w:val="15"/>
                  <w:szCs w:val="15"/>
                  <w:color w:val="0000EE"/>
                </w:rPr>
                <w:t>Notes to Consolidated Financial Statements</w:t>
              </w:r>
            </w:hyperlink>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rFonts w:ascii="Arial" w:cs="Arial" w:eastAsia="Arial" w:hAnsi="Arial"/>
                <w:sz w:val="15"/>
                <w:szCs w:val="15"/>
                <w:color w:val="0000EE"/>
                <w:w w:val="88"/>
              </w:rPr>
            </w:pPr>
            <w:hyperlink w:anchor="page202">
              <w:r>
                <w:rPr>
                  <w:rFonts w:ascii="Arial" w:cs="Arial" w:eastAsia="Arial" w:hAnsi="Arial"/>
                  <w:sz w:val="15"/>
                  <w:szCs w:val="15"/>
                  <w:color w:val="0000EE"/>
                  <w:w w:val="88"/>
                </w:rPr>
                <w:t>F-9</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308"/>
        </w:trPr>
        <w:tc>
          <w:tcPr>
            <w:tcW w:w="6380" w:type="dxa"/>
            <w:vAlign w:val="bottom"/>
            <w:gridSpan w:val="19"/>
          </w:tcPr>
          <w:p>
            <w:pPr>
              <w:spacing w:after="0"/>
              <w:rPr>
                <w:sz w:val="20"/>
                <w:szCs w:val="20"/>
                <w:color w:val="auto"/>
              </w:rPr>
            </w:pPr>
            <w:r>
              <w:rPr>
                <w:rFonts w:ascii="Arial" w:cs="Arial" w:eastAsia="Arial" w:hAnsi="Arial"/>
                <w:sz w:val="15"/>
                <w:szCs w:val="15"/>
                <w:color w:val="auto"/>
              </w:rPr>
              <w:t>Unaudited Condensed Consolidated Financial Statements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241">
              <w:r>
                <w:rPr>
                  <w:rFonts w:ascii="Arial" w:cs="Arial" w:eastAsia="Arial" w:hAnsi="Arial"/>
                  <w:sz w:val="15"/>
                  <w:szCs w:val="15"/>
                  <w:color w:val="0000EE"/>
                </w:rPr>
                <w:t>Condensed Consolidated Balance Sheets as of March 31, 2021 and December 31, 2020</w:t>
              </w:r>
            </w:hyperlink>
          </w:p>
        </w:tc>
        <w:tc>
          <w:tcPr>
            <w:tcW w:w="300" w:type="dxa"/>
            <w:vAlign w:val="bottom"/>
            <w:gridSpan w:val="2"/>
            <w:shd w:val="clear" w:color="auto" w:fill="CCEEFF"/>
          </w:tcPr>
          <w:p>
            <w:pPr>
              <w:jc w:val="right"/>
              <w:spacing w:after="0"/>
              <w:rPr>
                <w:rFonts w:ascii="Arial" w:cs="Arial" w:eastAsia="Arial" w:hAnsi="Arial"/>
                <w:sz w:val="15"/>
                <w:szCs w:val="15"/>
                <w:color w:val="0000EE"/>
                <w:w w:val="90"/>
              </w:rPr>
            </w:pPr>
            <w:hyperlink w:anchor="page241">
              <w:r>
                <w:rPr>
                  <w:rFonts w:ascii="Arial" w:cs="Arial" w:eastAsia="Arial" w:hAnsi="Arial"/>
                  <w:sz w:val="15"/>
                  <w:szCs w:val="15"/>
                  <w:color w:val="0000EE"/>
                  <w:w w:val="90"/>
                </w:rPr>
                <w:t>F-48</w:t>
              </w:r>
            </w:hyperlink>
          </w:p>
        </w:tc>
      </w:tr>
      <w:tr>
        <w:trPr>
          <w:trHeight w:val="33"/>
        </w:trPr>
        <w:tc>
          <w:tcPr>
            <w:tcW w:w="160" w:type="dxa"/>
            <w:vAlign w:val="bottom"/>
            <w:shd w:val="clear" w:color="auto" w:fill="CCEEFF"/>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r>
      <w:tr>
        <w:trPr>
          <w:trHeight w:val="176"/>
        </w:trPr>
        <w:tc>
          <w:tcPr>
            <w:tcW w:w="6380" w:type="dxa"/>
            <w:vAlign w:val="bottom"/>
            <w:gridSpan w:val="19"/>
          </w:tcPr>
          <w:p>
            <w:pPr>
              <w:ind w:left="160"/>
              <w:spacing w:after="0"/>
              <w:rPr>
                <w:rFonts w:ascii="Arial" w:cs="Arial" w:eastAsia="Arial" w:hAnsi="Arial"/>
                <w:sz w:val="15"/>
                <w:szCs w:val="15"/>
                <w:color w:val="0000EE"/>
                <w:w w:val="92"/>
              </w:rPr>
            </w:pPr>
            <w:hyperlink w:anchor="page243">
              <w:r>
                <w:rPr>
                  <w:rFonts w:ascii="Arial" w:cs="Arial" w:eastAsia="Arial" w:hAnsi="Arial"/>
                  <w:sz w:val="15"/>
                  <w:szCs w:val="15"/>
                  <w:color w:val="0000EE"/>
                  <w:w w:val="92"/>
                </w:rPr>
                <w:t>Condensed Consolidated Statements of Operations for the three months ended March 31, 2021 and</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440" w:type="dxa"/>
            <w:vAlign w:val="bottom"/>
            <w:tcBorders>
              <w:top w:val="single" w:sz="8" w:color="0000EE"/>
            </w:tcBorders>
            <w:gridSpan w:val="2"/>
          </w:tcPr>
          <w:p>
            <w:pPr>
              <w:ind w:left="140"/>
              <w:spacing w:after="0" w:line="156" w:lineRule="exact"/>
              <w:rPr>
                <w:rFonts w:ascii="Arial" w:cs="Arial" w:eastAsia="Arial" w:hAnsi="Arial"/>
                <w:sz w:val="15"/>
                <w:szCs w:val="15"/>
                <w:color w:val="0000EE"/>
                <w:w w:val="83"/>
              </w:rPr>
            </w:pPr>
            <w:hyperlink w:anchor="page243">
              <w:r>
                <w:rPr>
                  <w:rFonts w:ascii="Arial" w:cs="Arial" w:eastAsia="Arial" w:hAnsi="Arial"/>
                  <w:sz w:val="15"/>
                  <w:szCs w:val="15"/>
                  <w:color w:val="0000EE"/>
                  <w:w w:val="83"/>
                </w:rPr>
                <w:t>2020</w:t>
              </w:r>
            </w:hyperlink>
          </w:p>
        </w:tc>
        <w:tc>
          <w:tcPr>
            <w:tcW w:w="26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140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spacing w:after="0" w:line="156" w:lineRule="exact"/>
              <w:rPr>
                <w:rFonts w:ascii="Arial" w:cs="Arial" w:eastAsia="Arial" w:hAnsi="Arial"/>
                <w:sz w:val="15"/>
                <w:szCs w:val="15"/>
                <w:color w:val="0000EE"/>
                <w:w w:val="90"/>
              </w:rPr>
            </w:pPr>
            <w:hyperlink w:anchor="page243">
              <w:r>
                <w:rPr>
                  <w:rFonts w:ascii="Arial" w:cs="Arial" w:eastAsia="Arial" w:hAnsi="Arial"/>
                  <w:sz w:val="15"/>
                  <w:szCs w:val="15"/>
                  <w:color w:val="0000EE"/>
                  <w:w w:val="90"/>
                </w:rPr>
                <w:t>F-50</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6"/>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w w:val="99"/>
              </w:rPr>
            </w:pPr>
            <w:hyperlink w:anchor="page244">
              <w:r>
                <w:rPr>
                  <w:rFonts w:ascii="Arial" w:cs="Arial" w:eastAsia="Arial" w:hAnsi="Arial"/>
                  <w:sz w:val="15"/>
                  <w:szCs w:val="15"/>
                  <w:color w:val="0000EE"/>
                  <w:w w:val="99"/>
                </w:rPr>
                <w:t>Condensed Consolidated Statements of Changes in Stockholders’ Equity for the three months</w:t>
              </w:r>
            </w:hyperlink>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80"/>
        </w:trPr>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1980" w:type="dxa"/>
            <w:vAlign w:val="bottom"/>
            <w:tcBorders>
              <w:top w:val="single" w:sz="8" w:color="0000EE"/>
              <w:bottom w:val="single" w:sz="8" w:color="0000EE"/>
            </w:tcBorders>
            <w:gridSpan w:val="4"/>
            <w:shd w:val="clear" w:color="auto" w:fill="CCEEFF"/>
          </w:tcPr>
          <w:p>
            <w:pPr>
              <w:spacing w:after="0" w:line="156" w:lineRule="exact"/>
              <w:rPr>
                <w:rFonts w:ascii="Arial" w:cs="Arial" w:eastAsia="Arial" w:hAnsi="Arial"/>
                <w:sz w:val="15"/>
                <w:szCs w:val="15"/>
                <w:color w:val="0000EE"/>
                <w:w w:val="90"/>
              </w:rPr>
            </w:pPr>
            <w:hyperlink w:anchor="page244">
              <w:r>
                <w:rPr>
                  <w:rFonts w:ascii="Arial" w:cs="Arial" w:eastAsia="Arial" w:hAnsi="Arial"/>
                  <w:sz w:val="15"/>
                  <w:szCs w:val="15"/>
                  <w:color w:val="0000EE"/>
                  <w:w w:val="90"/>
                </w:rPr>
                <w:t>ended March 31, 2021 and 2020</w:t>
              </w:r>
            </w:hyperlink>
          </w:p>
        </w:tc>
        <w:tc>
          <w:tcPr>
            <w:tcW w:w="3620" w:type="dxa"/>
            <w:vAlign w:val="bottom"/>
            <w:tcBorders>
              <w:top w:val="single" w:sz="8" w:color="0000EE"/>
              <w:bottom w:val="single" w:sz="8" w:color="CCEEFF"/>
            </w:tcBorders>
            <w:gridSpan w:val="5"/>
            <w:shd w:val="clear" w:color="auto" w:fill="CCEEFF"/>
          </w:tcPr>
          <w:p>
            <w:pPr>
              <w:spacing w:after="0"/>
              <w:rPr>
                <w:sz w:val="15"/>
                <w:szCs w:val="15"/>
                <w:color w:val="auto"/>
              </w:rPr>
            </w:pPr>
          </w:p>
        </w:tc>
        <w:tc>
          <w:tcPr>
            <w:tcW w:w="480" w:type="dxa"/>
            <w:vAlign w:val="bottom"/>
            <w:tcBorders>
              <w:top w:val="single" w:sz="8" w:color="CCEEFF"/>
              <w:bottom w:val="single" w:sz="8" w:color="CCEEFF"/>
              <w:right w:val="single" w:sz="8" w:color="CCEEFF"/>
            </w:tcBorders>
            <w:gridSpan w:val="8"/>
            <w:shd w:val="clear" w:color="auto" w:fill="CCEEFF"/>
          </w:tcPr>
          <w:p>
            <w:pPr>
              <w:spacing w:after="0"/>
              <w:rPr>
                <w:sz w:val="15"/>
                <w:szCs w:val="15"/>
                <w:color w:val="auto"/>
              </w:rPr>
            </w:pPr>
          </w:p>
        </w:tc>
        <w:tc>
          <w:tcPr>
            <w:tcW w:w="300" w:type="dxa"/>
            <w:vAlign w:val="bottom"/>
            <w:tcBorders>
              <w:top w:val="single" w:sz="8" w:color="CCEEFF"/>
              <w:bottom w:val="single" w:sz="8" w:color="0000EE"/>
            </w:tcBorders>
            <w:gridSpan w:val="2"/>
            <w:shd w:val="clear" w:color="auto" w:fill="CCEEFF"/>
          </w:tcPr>
          <w:p>
            <w:pPr>
              <w:jc w:val="right"/>
              <w:spacing w:after="0" w:line="156" w:lineRule="exact"/>
              <w:rPr>
                <w:rFonts w:ascii="Arial" w:cs="Arial" w:eastAsia="Arial" w:hAnsi="Arial"/>
                <w:sz w:val="15"/>
                <w:szCs w:val="15"/>
                <w:color w:val="0000EE"/>
                <w:w w:val="90"/>
              </w:rPr>
            </w:pPr>
            <w:hyperlink w:anchor="page244">
              <w:r>
                <w:rPr>
                  <w:rFonts w:ascii="Arial" w:cs="Arial" w:eastAsia="Arial" w:hAnsi="Arial"/>
                  <w:sz w:val="15"/>
                  <w:szCs w:val="15"/>
                  <w:color w:val="0000EE"/>
                  <w:w w:val="90"/>
                </w:rPr>
                <w:t>F-51</w:t>
              </w:r>
            </w:hyperlink>
          </w:p>
        </w:tc>
      </w:tr>
      <w:tr>
        <w:trPr>
          <w:trHeight w:val="176"/>
        </w:trPr>
        <w:tc>
          <w:tcPr>
            <w:tcW w:w="6380" w:type="dxa"/>
            <w:vAlign w:val="bottom"/>
            <w:gridSpan w:val="19"/>
          </w:tcPr>
          <w:p>
            <w:pPr>
              <w:ind w:left="160"/>
              <w:spacing w:after="0"/>
              <w:rPr>
                <w:rFonts w:ascii="Arial" w:cs="Arial" w:eastAsia="Arial" w:hAnsi="Arial"/>
                <w:sz w:val="15"/>
                <w:szCs w:val="15"/>
                <w:color w:val="0000EE"/>
                <w:w w:val="96"/>
              </w:rPr>
            </w:pPr>
            <w:hyperlink w:anchor="page245">
              <w:r>
                <w:rPr>
                  <w:rFonts w:ascii="Arial" w:cs="Arial" w:eastAsia="Arial" w:hAnsi="Arial"/>
                  <w:sz w:val="15"/>
                  <w:szCs w:val="15"/>
                  <w:color w:val="0000EE"/>
                  <w:w w:val="96"/>
                </w:rPr>
                <w:t>Condensed Consolidated Statements of Cash Flows for the three months ended March 31, 2021</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700" w:type="dxa"/>
            <w:vAlign w:val="bottom"/>
            <w:tcBorders>
              <w:top w:val="single" w:sz="8" w:color="0000EE"/>
            </w:tcBorders>
            <w:gridSpan w:val="10"/>
          </w:tcPr>
          <w:p>
            <w:pPr>
              <w:spacing w:after="0" w:line="156" w:lineRule="exact"/>
              <w:rPr>
                <w:rFonts w:ascii="Arial" w:cs="Arial" w:eastAsia="Arial" w:hAnsi="Arial"/>
                <w:sz w:val="15"/>
                <w:szCs w:val="15"/>
                <w:color w:val="0000EE"/>
              </w:rPr>
            </w:pPr>
            <w:hyperlink w:anchor="page245">
              <w:r>
                <w:rPr>
                  <w:rFonts w:ascii="Arial" w:cs="Arial" w:eastAsia="Arial" w:hAnsi="Arial"/>
                  <w:sz w:val="15"/>
                  <w:szCs w:val="15"/>
                  <w:color w:val="0000EE"/>
                </w:rPr>
                <w:t>and 2020</w:t>
              </w:r>
            </w:hyperlink>
          </w:p>
        </w:tc>
        <w:tc>
          <w:tcPr>
            <w:tcW w:w="380" w:type="dxa"/>
            <w:vAlign w:val="bottom"/>
            <w:gridSpan w:val="7"/>
          </w:tcPr>
          <w:p>
            <w:pPr>
              <w:spacing w:after="0"/>
              <w:rPr>
                <w:sz w:val="13"/>
                <w:szCs w:val="13"/>
                <w:color w:val="auto"/>
              </w:rPr>
            </w:pPr>
          </w:p>
        </w:tc>
        <w:tc>
          <w:tcPr>
            <w:tcW w:w="300" w:type="dxa"/>
            <w:vAlign w:val="bottom"/>
            <w:gridSpan w:val="2"/>
          </w:tcPr>
          <w:p>
            <w:pPr>
              <w:jc w:val="right"/>
              <w:spacing w:after="0" w:line="156" w:lineRule="exact"/>
              <w:rPr>
                <w:rFonts w:ascii="Arial" w:cs="Arial" w:eastAsia="Arial" w:hAnsi="Arial"/>
                <w:sz w:val="15"/>
                <w:szCs w:val="15"/>
                <w:color w:val="0000EE"/>
                <w:w w:val="90"/>
              </w:rPr>
            </w:pPr>
            <w:hyperlink w:anchor="page245">
              <w:r>
                <w:rPr>
                  <w:rFonts w:ascii="Arial" w:cs="Arial" w:eastAsia="Arial" w:hAnsi="Arial"/>
                  <w:sz w:val="15"/>
                  <w:szCs w:val="15"/>
                  <w:color w:val="0000EE"/>
                  <w:w w:val="90"/>
                </w:rPr>
                <w:t>F-52</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7"/>
        </w:trPr>
        <w:tc>
          <w:tcPr>
            <w:tcW w:w="6380" w:type="dxa"/>
            <w:vAlign w:val="bottom"/>
            <w:tcBorders>
              <w:right w:val="single" w:sz="8" w:color="CCEEFF"/>
            </w:tcBorders>
            <w:gridSpan w:val="19"/>
            <w:shd w:val="clear" w:color="auto" w:fill="CCEEFF"/>
          </w:tcPr>
          <w:p>
            <w:pPr>
              <w:ind w:left="160"/>
              <w:spacing w:after="0"/>
              <w:rPr>
                <w:rFonts w:ascii="Arial" w:cs="Arial" w:eastAsia="Arial" w:hAnsi="Arial"/>
                <w:sz w:val="15"/>
                <w:szCs w:val="15"/>
                <w:color w:val="0000EE"/>
              </w:rPr>
            </w:pPr>
            <w:hyperlink w:anchor="page246">
              <w:r>
                <w:rPr>
                  <w:rFonts w:ascii="Arial" w:cs="Arial" w:eastAsia="Arial" w:hAnsi="Arial"/>
                  <w:sz w:val="15"/>
                  <w:szCs w:val="15"/>
                  <w:color w:val="0000EE"/>
                </w:rPr>
                <w:t>Notes to Condensed Consolidated Financial Statements</w:t>
              </w:r>
            </w:hyperlink>
          </w:p>
        </w:tc>
        <w:tc>
          <w:tcPr>
            <w:tcW w:w="300" w:type="dxa"/>
            <w:vAlign w:val="bottom"/>
            <w:gridSpan w:val="2"/>
            <w:shd w:val="clear" w:color="auto" w:fill="CCEEFF"/>
          </w:tcPr>
          <w:p>
            <w:pPr>
              <w:jc w:val="right"/>
              <w:spacing w:after="0"/>
              <w:rPr>
                <w:rFonts w:ascii="Arial" w:cs="Arial" w:eastAsia="Arial" w:hAnsi="Arial"/>
                <w:sz w:val="15"/>
                <w:szCs w:val="15"/>
                <w:color w:val="0000EE"/>
                <w:w w:val="90"/>
              </w:rPr>
            </w:pPr>
            <w:hyperlink w:anchor="page246">
              <w:r>
                <w:rPr>
                  <w:rFonts w:ascii="Arial" w:cs="Arial" w:eastAsia="Arial" w:hAnsi="Arial"/>
                  <w:sz w:val="15"/>
                  <w:szCs w:val="15"/>
                  <w:color w:val="0000EE"/>
                  <w:w w:val="90"/>
                </w:rPr>
                <w:t>F-53</w:t>
              </w:r>
            </w:hyperlink>
          </w:p>
        </w:tc>
      </w:tr>
      <w:tr>
        <w:trPr>
          <w:trHeight w:val="22"/>
        </w:trPr>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-2636520</wp:posOffset>
            </wp:positionV>
            <wp:extent cx="4039235"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0392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the Stockholders and Board of Directors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Sun Country Airlines Holdings, Inc.:</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Opinion on the Consolidated Financial Statements</w:t>
      </w:r>
    </w:p>
    <w:p>
      <w:pPr>
        <w:spacing w:after="0" w:line="113"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We have audited the accompanying consolidated balance sheets of Sun Country Airlines Holdings, Inc. and subsidiaries (the Company) as of December 31, 2020 and 2019, the related consolidated statements of operations, changes in stockholders’ equity, and cash flows for the years ended December 31, 2020 and 2019, and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ended December 31, 2020 and 2019, and for the periods from January 1, 2018 to April 10, 2018 and April 11, 2018 to December 31, 2018, in conformity with U.S. generally accepted accounting principles.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Change in Accounting Principle</w:t>
      </w:r>
    </w:p>
    <w:p>
      <w:pPr>
        <w:spacing w:after="0" w:line="124"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 xml:space="preserve">As discussed in Note 2 to the consolidated financial statements, the Company has changed its method of accounting for revenue recognition and leases as of January 1, 2019 due to the adoption of Accounting Standards Update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and Accounting Standards Update 2016-02</w:t>
      </w:r>
      <w:r>
        <w:rPr>
          <w:rFonts w:ascii="Arial" w:cs="Arial" w:eastAsia="Arial" w:hAnsi="Arial"/>
          <w:sz w:val="15"/>
          <w:szCs w:val="15"/>
          <w:i w:val="1"/>
          <w:iCs w:val="1"/>
          <w:color w:val="auto"/>
        </w:rPr>
        <w:t>, Leases.</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Basis for Opinion</w:t>
      </w:r>
    </w:p>
    <w:p>
      <w:pPr>
        <w:spacing w:after="0" w:line="124"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 KPMG LLP</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We have served as the Company’s auditor since 2018.</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Minneapolis, Minnesota</w:t>
      </w:r>
    </w:p>
    <w:p>
      <w:pPr>
        <w:spacing w:after="0" w:line="14" w:lineRule="exact"/>
        <w:rPr>
          <w:sz w:val="20"/>
          <w:szCs w:val="20"/>
          <w:color w:val="auto"/>
        </w:rPr>
      </w:pPr>
    </w:p>
    <w:p>
      <w:pPr>
        <w:ind w:left="1160" w:right="1299"/>
        <w:spacing w:after="0" w:line="249" w:lineRule="auto"/>
        <w:rPr>
          <w:sz w:val="20"/>
          <w:szCs w:val="20"/>
          <w:color w:val="auto"/>
        </w:rPr>
      </w:pPr>
      <w:r>
        <w:rPr>
          <w:rFonts w:ascii="Arial" w:cs="Arial" w:eastAsia="Arial" w:hAnsi="Arial"/>
          <w:sz w:val="15"/>
          <w:szCs w:val="15"/>
          <w:color w:val="auto"/>
        </w:rPr>
        <w:t>February 23, 2021, except for the third and fourth paragraphs of Note 20—Subsequent Events, as to which the date is March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6" w:name="page197"/>
    <w:bookmarkEnd w:id="196"/>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62,028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51,006</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13,472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5,694</w:t>
            </w:r>
          </w:p>
        </w:tc>
        <w:tc>
          <w:tcPr>
            <w:tcW w:w="60" w:type="dxa"/>
            <w:vAlign w:val="bottom"/>
          </w:tcPr>
          <w:p>
            <w:pPr>
              <w:spacing w:after="0"/>
              <w:rPr>
                <w:sz w:val="18"/>
                <w:szCs w:val="18"/>
                <w:color w:val="auto"/>
              </w:rPr>
            </w:pPr>
          </w:p>
        </w:tc>
      </w:tr>
      <w:tr>
        <w:trPr>
          <w:trHeight w:val="187"/>
        </w:trPr>
        <w:tc>
          <w:tcPr>
            <w:tcW w:w="5160" w:type="dxa"/>
            <w:vAlign w:val="bottom"/>
          </w:tcPr>
          <w:p>
            <w:pPr>
              <w:ind w:left="160"/>
              <w:spacing w:after="0"/>
              <w:rPr>
                <w:sz w:val="20"/>
                <w:szCs w:val="20"/>
                <w:color w:val="auto"/>
              </w:rPr>
            </w:pPr>
            <w:r>
              <w:rPr>
                <w:rFonts w:ascii="Arial" w:cs="Arial" w:eastAsia="Arial" w:hAnsi="Arial"/>
                <w:sz w:val="15"/>
                <w:szCs w:val="15"/>
                <w:color w:val="auto"/>
                <w:w w:val="96"/>
              </w:rPr>
              <w:t>Accounts Receivable, net of an allowance for credit losses of $224 and $630,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516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28,690</w:t>
            </w: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22,408</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Short-term Lessor Maintenance Deposits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w w:val="99"/>
              </w:rPr>
              <w:t>Inventory, net of a reserve for obsolescence of $996 and $550, respectively</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5,407</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5,273</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8,002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7,717</w:t>
            </w: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Derivative Assets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2,233</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5,553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2,752</w:t>
            </w:r>
          </w:p>
        </w:tc>
        <w:tc>
          <w:tcPr>
            <w:tcW w:w="6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126,740</w:t>
            </w: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112,525</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Property &amp; Equipment,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Aircraft and Flight Equipment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331,685</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142,100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Leasehold Improvements and Ground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13,526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12,701</w:t>
            </w:r>
          </w:p>
        </w:tc>
        <w:tc>
          <w:tcPr>
            <w:tcW w:w="60" w:type="dxa"/>
            <w:vAlign w:val="bottom"/>
          </w:tcPr>
          <w:p>
            <w:pPr>
              <w:spacing w:after="0"/>
              <w:rPr>
                <w:sz w:val="18"/>
                <w:szCs w:val="18"/>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Computer Hardware and Software</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7,845</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8,702</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117,833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201,026</w:t>
            </w:r>
          </w:p>
        </w:tc>
        <w:tc>
          <w:tcPr>
            <w:tcW w:w="60" w:type="dxa"/>
            <w:vAlign w:val="bottom"/>
          </w:tcPr>
          <w:p>
            <w:pPr>
              <w:spacing w:after="0"/>
              <w:rPr>
                <w:sz w:val="19"/>
                <w:szCs w:val="19"/>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Rotable Parts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8,691</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8,276</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Property &amp; Equipment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479,580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372,805</w:t>
            </w:r>
          </w:p>
        </w:tc>
        <w:tc>
          <w:tcPr>
            <w:tcW w:w="60" w:type="dxa"/>
            <w:vAlign w:val="bottom"/>
          </w:tcPr>
          <w:p>
            <w:pPr>
              <w:spacing w:after="0"/>
              <w:rPr>
                <w:sz w:val="18"/>
                <w:szCs w:val="18"/>
                <w:color w:val="auto"/>
              </w:rPr>
            </w:pPr>
          </w:p>
        </w:tc>
      </w:tr>
      <w:tr>
        <w:trPr>
          <w:trHeight w:val="225"/>
        </w:trPr>
        <w:tc>
          <w:tcPr>
            <w:tcW w:w="5160" w:type="dxa"/>
            <w:vAlign w:val="bottom"/>
          </w:tcPr>
          <w:p>
            <w:pPr>
              <w:ind w:left="160"/>
              <w:spacing w:after="0"/>
              <w:rPr>
                <w:sz w:val="20"/>
                <w:szCs w:val="20"/>
                <w:color w:val="auto"/>
              </w:rPr>
            </w:pPr>
            <w:r>
              <w:rPr>
                <w:rFonts w:ascii="Arial" w:cs="Arial" w:eastAsia="Arial" w:hAnsi="Arial"/>
                <w:sz w:val="15"/>
                <w:szCs w:val="15"/>
                <w:color w:val="auto"/>
              </w:rPr>
              <w:t>Accumulated Depreciation &amp; Amortization</w:t>
            </w: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(65,065)</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(27,728)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Property &amp; Equipment, net</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414,515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345,077</w:t>
            </w:r>
          </w:p>
        </w:tc>
        <w:tc>
          <w:tcPr>
            <w:tcW w:w="60" w:type="dxa"/>
            <w:vAlign w:val="bottom"/>
          </w:tcPr>
          <w:p>
            <w:pPr>
              <w:spacing w:after="0"/>
              <w:rPr>
                <w:sz w:val="18"/>
                <w:szCs w:val="18"/>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222,223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Other Intangible Assets, net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93,110</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97,110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121,269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147,148</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10,253</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17,970</w:t>
            </w:r>
          </w:p>
        </w:tc>
      </w:tr>
      <w:tr>
        <w:trPr>
          <w:trHeight w:val="220"/>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Long-term Lessor Maintenance Deposits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22,584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28,266</w:t>
            </w:r>
          </w:p>
        </w:tc>
        <w:tc>
          <w:tcPr>
            <w:tcW w:w="60" w:type="dxa"/>
            <w:vAlign w:val="bottom"/>
          </w:tcPr>
          <w:p>
            <w:pPr>
              <w:spacing w:after="0"/>
              <w:rPr>
                <w:sz w:val="19"/>
                <w:szCs w:val="19"/>
                <w:color w:val="auto"/>
              </w:rPr>
            </w:pPr>
          </w:p>
        </w:tc>
      </w:tr>
      <w:tr>
        <w:trPr>
          <w:trHeight w:val="220"/>
        </w:trPr>
        <w:tc>
          <w:tcPr>
            <w:tcW w:w="5160" w:type="dxa"/>
            <w:vAlign w:val="bottom"/>
          </w:tcPr>
          <w:p>
            <w:pPr>
              <w:ind w:left="160"/>
              <w:spacing w:after="0"/>
              <w:rPr>
                <w:sz w:val="20"/>
                <w:szCs w:val="20"/>
                <w:color w:val="auto"/>
              </w:rPr>
            </w:pPr>
            <w:r>
              <w:rPr>
                <w:rFonts w:ascii="Arial" w:cs="Arial" w:eastAsia="Arial" w:hAnsi="Arial"/>
                <w:sz w:val="15"/>
                <w:szCs w:val="15"/>
                <w:color w:val="auto"/>
              </w:rPr>
              <w:t>Deferred Tax Asset</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36,216</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35,428</w:t>
            </w:r>
          </w:p>
        </w:tc>
      </w:tr>
      <w:tr>
        <w:trPr>
          <w:trHeight w:val="225"/>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6,357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2,129</w:t>
            </w:r>
          </w:p>
        </w:tc>
        <w:tc>
          <w:tcPr>
            <w:tcW w:w="60" w:type="dxa"/>
            <w:vAlign w:val="bottom"/>
          </w:tcPr>
          <w:p>
            <w:pPr>
              <w:spacing w:after="0"/>
              <w:rPr>
                <w:sz w:val="19"/>
                <w:szCs w:val="19"/>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5160" w:type="dxa"/>
            <w:vAlign w:val="bottom"/>
          </w:tcPr>
          <w:p>
            <w:pPr>
              <w:ind w:left="300"/>
              <w:spacing w:after="0"/>
              <w:rPr>
                <w:sz w:val="20"/>
                <w:szCs w:val="20"/>
                <w:color w:val="auto"/>
              </w:rPr>
            </w:pPr>
            <w:r>
              <w:rPr>
                <w:rFonts w:ascii="Arial" w:cs="Arial" w:eastAsia="Arial" w:hAnsi="Arial"/>
                <w:sz w:val="15"/>
                <w:szCs w:val="15"/>
                <w:color w:val="auto"/>
              </w:rPr>
              <w:t>Total Other Assets</w:t>
            </w:r>
          </w:p>
        </w:tc>
        <w:tc>
          <w:tcPr>
            <w:tcW w:w="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512,012</w:t>
            </w: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550,274</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1,007,876</w:t>
            </w:r>
          </w:p>
        </w:tc>
        <w:tc>
          <w:tcPr>
            <w:tcW w:w="60" w:type="dxa"/>
            <w:vAlign w:val="bottom"/>
          </w:tcPr>
          <w:p>
            <w:pPr>
              <w:spacing w:after="0"/>
              <w:rPr>
                <w:sz w:val="21"/>
                <w:szCs w:val="2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3816350"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3816350"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381635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-4443095</wp:posOffset>
            </wp:positionV>
            <wp:extent cx="3809365"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auto"/>
        </w:rPr>
        <w:t>CONSOLIDATED BALANCE SHEETS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16,368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16,621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5,883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101,075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116,660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Derivative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9,281</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10,421</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7,016</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14,092</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34,492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Current Maturities of 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26,118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13,197</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5"/>
        </w:trPr>
        <w:tc>
          <w:tcPr>
            <w:tcW w:w="516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253,743</w:t>
            </w:r>
          </w:p>
        </w:tc>
        <w:tc>
          <w:tcPr>
            <w:tcW w:w="80" w:type="dxa"/>
            <w:vAlign w:val="bottom"/>
          </w:tcPr>
          <w:p>
            <w:pPr>
              <w:spacing w:after="0"/>
              <w:rPr>
                <w:sz w:val="17"/>
                <w:szCs w:val="17"/>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353,551</w:t>
            </w: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28,128</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37,409</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95,710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15,053</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8,800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112,707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141,879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256,345</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73,720</w:t>
            </w:r>
          </w:p>
        </w:tc>
      </w:tr>
      <w:tr>
        <w:trPr>
          <w:trHeight w:val="214"/>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Long-term Liabilities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7,764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1"/>
        </w:trPr>
        <w:tc>
          <w:tcPr>
            <w:tcW w:w="5160" w:type="dxa"/>
            <w:vAlign w:val="bottom"/>
          </w:tcPr>
          <w:p>
            <w:pPr>
              <w:ind w:left="300"/>
              <w:spacing w:after="0"/>
              <w:rPr>
                <w:sz w:val="20"/>
                <w:szCs w:val="20"/>
                <w:color w:val="auto"/>
              </w:rPr>
            </w:pPr>
            <w:r>
              <w:rPr>
                <w:rFonts w:ascii="Arial" w:cs="Arial" w:eastAsia="Arial" w:hAnsi="Arial"/>
                <w:sz w:val="15"/>
                <w:szCs w:val="15"/>
                <w:color w:val="auto"/>
              </w:rPr>
              <w:t>Total Long-term Liabilities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515,707</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370,601</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769,450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724,152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5"/>
                <w:szCs w:val="15"/>
                <w:b w:val="1"/>
                <w:bCs w:val="1"/>
                <w:color w:val="auto"/>
              </w:rPr>
              <w:t>Commitments and Contingencies (Note 17)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Common Stock</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239,162</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239,141</w:t>
            </w:r>
          </w:p>
        </w:tc>
      </w:tr>
      <w:tr>
        <w:trPr>
          <w:trHeight w:val="187"/>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w w:val="97"/>
              </w:rPr>
              <w:t>At December 31, 2020, common stock $0.01 par value, 94,443,000 shares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authorized, 46,839,659 issued. At December 31, 2019, common stock</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with no par value, 94,443,000 shares authorized, 6,800,065 issued, and</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w w:val="98"/>
              </w:rPr>
              <w:t>warrants to acquire common stock at an exercise price of approximately</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7"/>
        </w:trPr>
        <w:tc>
          <w:tcPr>
            <w:tcW w:w="51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$0.0005 of 40,005,885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160" w:type="dxa"/>
            <w:vAlign w:val="bottom"/>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5"/>
                <w:szCs w:val="15"/>
                <w:color w:val="auto"/>
              </w:rPr>
              <w:t>(3,500)</w:t>
            </w:r>
          </w:p>
        </w:tc>
      </w:tr>
      <w:tr>
        <w:trPr>
          <w:trHeight w:val="209"/>
        </w:trPr>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Additional Paid In Capital</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9,831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5160" w:type="dxa"/>
            <w:vAlign w:val="bottom"/>
          </w:tcPr>
          <w:p>
            <w:pPr>
              <w:ind w:left="160"/>
              <w:spacing w:after="0"/>
              <w:rPr>
                <w:sz w:val="20"/>
                <w:szCs w:val="20"/>
                <w:color w:val="auto"/>
              </w:rPr>
            </w:pPr>
            <w:r>
              <w:rPr>
                <w:rFonts w:ascii="Arial" w:cs="Arial" w:eastAsia="Arial" w:hAnsi="Arial"/>
                <w:sz w:val="15"/>
                <w:szCs w:val="15"/>
                <w:color w:val="auto"/>
              </w:rPr>
              <w:t>Retained Earnings</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38,324</w:t>
            </w: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color w:val="auto"/>
              </w:rPr>
              <w:t>42,228</w:t>
            </w: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16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Stockholders’ Equity</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283,817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283,724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w w:val="83"/>
              </w:rPr>
              <w:t>1,053,267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w w:val="83"/>
              </w:rPr>
              <w:t>1,007,876</w:t>
            </w:r>
          </w:p>
        </w:tc>
        <w:tc>
          <w:tcPr>
            <w:tcW w:w="4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-320040</wp:posOffset>
            </wp:positionV>
            <wp:extent cx="3816350"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16350"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163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-4799330</wp:posOffset>
            </wp:positionV>
            <wp:extent cx="380936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09365" cy="6985"/>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155"/>
        </w:trPr>
        <w:tc>
          <w:tcPr>
            <w:tcW w:w="2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5"/>
            <w:vMerge w:val="restart"/>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63"/>
        </w:trPr>
        <w:tc>
          <w:tcPr>
            <w:tcW w:w="2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1040" w:type="dxa"/>
            <w:vAlign w:val="bottom"/>
            <w:tcBorders>
              <w:right w:val="single" w:sz="8" w:color="auto"/>
            </w:tcBorders>
            <w:gridSpan w:val="5"/>
            <w:vMerge w:val="restart"/>
          </w:tcPr>
          <w:p>
            <w:pPr>
              <w:ind w:left="60"/>
              <w:spacing w:after="0" w:line="132" w:lineRule="exact"/>
              <w:rPr>
                <w:sz w:val="20"/>
                <w:szCs w:val="20"/>
                <w:color w:val="auto"/>
              </w:rPr>
            </w:pPr>
            <w:r>
              <w:rPr>
                <w:rFonts w:ascii="Arial" w:cs="Arial" w:eastAsia="Arial" w:hAnsi="Arial"/>
                <w:sz w:val="12"/>
                <w:szCs w:val="12"/>
                <w:b w:val="1"/>
                <w:bCs w:val="1"/>
                <w:color w:val="auto"/>
              </w:rPr>
              <w:t>April 11, 2018 to</w:t>
            </w:r>
          </w:p>
        </w:tc>
        <w:tc>
          <w:tcPr>
            <w:tcW w:w="120" w:type="dxa"/>
            <w:vAlign w:val="bottom"/>
          </w:tcPr>
          <w:p>
            <w:pPr>
              <w:spacing w:after="0"/>
              <w:rPr>
                <w:sz w:val="5"/>
                <w:szCs w:val="5"/>
                <w:color w:val="auto"/>
              </w:rPr>
            </w:pPr>
          </w:p>
        </w:tc>
        <w:tc>
          <w:tcPr>
            <w:tcW w:w="860" w:type="dxa"/>
            <w:vAlign w:val="bottom"/>
            <w:gridSpan w:val="3"/>
            <w:vMerge w:val="restart"/>
          </w:tcPr>
          <w:p>
            <w:pPr>
              <w:jc w:val="center"/>
              <w:ind w:right="20"/>
              <w:spacing w:after="0" w:line="132" w:lineRule="exact"/>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48"/>
        </w:trPr>
        <w:tc>
          <w:tcPr>
            <w:tcW w:w="28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right w:val="single" w:sz="8" w:color="auto"/>
            </w:tcBorders>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w w:val="83"/>
              </w:rPr>
              <w:t>December 31, 2018</w:t>
            </w:r>
          </w:p>
        </w:tc>
        <w:tc>
          <w:tcPr>
            <w:tcW w:w="10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183"/>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359,232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688,833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172,897</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5,445</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12,551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49,107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24,555</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401,486</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701,384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197,452</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right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83,392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165,666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119,553</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45,790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141,641</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140,739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90,263</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36,964</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30,989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49,908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36,831</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28,329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27,416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35,286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15,491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9,508</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16,570</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35,388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17,180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48,086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34,877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20,596</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41,719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23,828</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8,619</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31,256</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44,400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25,977</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(64,563)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(6,706)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48,718</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68,187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40,877</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17,994</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384,101</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623,262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377,699</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171,336</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17,385</w:t>
            </w:r>
          </w:p>
        </w:tc>
        <w:tc>
          <w:tcPr>
            <w:tcW w:w="6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78,122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7,232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26,116</w:t>
            </w:r>
          </w:p>
        </w:tc>
        <w:tc>
          <w:tcPr>
            <w:tcW w:w="0" w:type="dxa"/>
            <w:vAlign w:val="bottom"/>
          </w:tcPr>
          <w:p>
            <w:pPr>
              <w:spacing w:after="0"/>
              <w:rPr>
                <w:sz w:val="1"/>
                <w:szCs w:val="1"/>
                <w:color w:val="auto"/>
              </w:rPr>
            </w:pPr>
          </w:p>
        </w:tc>
      </w:tr>
      <w:tr>
        <w:trPr>
          <w:trHeight w:val="266"/>
        </w:trPr>
        <w:tc>
          <w:tcPr>
            <w:tcW w:w="28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right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right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377</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937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258</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(22,073)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(17,170)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(6,060)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(371)</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(1,729)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(1,636)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5"/>
                <w:szCs w:val="15"/>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(22,067)</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(7,438)</w:t>
            </w: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Income / (Loss) before Income Tax</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(4,682)</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60,160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(206)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 / (Benefit)</w:t>
            </w:r>
          </w:p>
        </w:tc>
        <w:tc>
          <w:tcPr>
            <w:tcW w:w="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(778)</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14,088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5"/>
                <w:szCs w:val="15"/>
                <w:color w:val="auto"/>
              </w:rPr>
              <w:t>Net Income /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 (Loss) per share to common</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160"/>
              <w:spacing w:after="0"/>
              <w:rPr>
                <w:sz w:val="20"/>
                <w:szCs w:val="20"/>
                <w:color w:val="auto"/>
              </w:rPr>
            </w:pPr>
            <w:r>
              <w:rPr>
                <w:rFonts w:ascii="Arial" w:cs="Arial" w:eastAsia="Arial" w:hAnsi="Arial"/>
                <w:sz w:val="15"/>
                <w:szCs w:val="15"/>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87"/>
        </w:trPr>
        <w:tc>
          <w:tcPr>
            <w:tcW w:w="2840" w:type="dxa"/>
            <w:vAlign w:val="bottom"/>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Income Tax Expense</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6,036</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20"/>
                <w:szCs w:val="20"/>
                <w:color w:val="auto"/>
              </w:rPr>
            </w:pPr>
            <w:r>
              <w:rPr>
                <w:rFonts w:ascii="Arial" w:cs="Arial" w:eastAsia="Arial" w:hAnsi="Arial"/>
                <w:sz w:val="15"/>
                <w:szCs w:val="15"/>
                <w:color w:val="auto"/>
              </w:rPr>
              <w:t>Pro Forma Net Income</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19,874</w:t>
            </w:r>
          </w:p>
        </w:tc>
        <w:tc>
          <w:tcPr>
            <w:tcW w:w="0" w:type="dxa"/>
            <w:vAlign w:val="bottom"/>
          </w:tcPr>
          <w:p>
            <w:pPr>
              <w:spacing w:after="0"/>
              <w:rPr>
                <w:sz w:val="1"/>
                <w:szCs w:val="1"/>
                <w:color w:val="auto"/>
              </w:rPr>
            </w:pPr>
          </w:p>
        </w:tc>
      </w:tr>
      <w:tr>
        <w:trPr>
          <w:trHeight w:val="198"/>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 Forma Net Income per share–Basic</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and diluted</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Arial" w:cs="Arial" w:eastAsia="Arial" w:hAnsi="Arial"/>
                <w:sz w:val="15"/>
                <w:szCs w:val="15"/>
                <w:color w:val="auto"/>
              </w:rPr>
              <w:t>Pro Forma shares used for computation–</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-1896745</wp:posOffset>
            </wp:positionV>
            <wp:extent cx="34925"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-2036445</wp:posOffset>
            </wp:positionV>
            <wp:extent cx="34925"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-2036445</wp:posOffset>
            </wp:positionV>
            <wp:extent cx="20256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-2036445</wp:posOffset>
            </wp:positionV>
            <wp:extent cx="174625"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-2036445</wp:posOffset>
            </wp:positionV>
            <wp:extent cx="237871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-2294890</wp:posOffset>
            </wp:positionV>
            <wp:extent cx="3492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-2294890</wp:posOffset>
            </wp:positionV>
            <wp:extent cx="20256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-2294890</wp:posOffset>
            </wp:positionV>
            <wp:extent cx="17462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-2294890</wp:posOffset>
            </wp:positionV>
            <wp:extent cx="2378710"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-2846070</wp:posOffset>
            </wp:positionV>
            <wp:extent cx="3492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-2846070</wp:posOffset>
            </wp:positionV>
            <wp:extent cx="20256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-2846070</wp:posOffset>
            </wp:positionV>
            <wp:extent cx="17462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-2846070</wp:posOffset>
            </wp:positionV>
            <wp:extent cx="2378710"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-2985135</wp:posOffset>
            </wp:positionV>
            <wp:extent cx="3492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-3124835</wp:posOffset>
            </wp:positionV>
            <wp:extent cx="3492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-3124835</wp:posOffset>
            </wp:positionV>
            <wp:extent cx="20256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-3124835</wp:posOffset>
            </wp:positionV>
            <wp:extent cx="17462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-3124835</wp:posOffset>
            </wp:positionV>
            <wp:extent cx="2378710"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-4505960</wp:posOffset>
            </wp:positionV>
            <wp:extent cx="3492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-4645660</wp:posOffset>
            </wp:positionV>
            <wp:extent cx="3492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-4645660</wp:posOffset>
            </wp:positionV>
            <wp:extent cx="20256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-4645660</wp:posOffset>
            </wp:positionV>
            <wp:extent cx="17462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-4645660</wp:posOffset>
            </wp:positionV>
            <wp:extent cx="2378710"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-5140960</wp:posOffset>
            </wp:positionV>
            <wp:extent cx="365569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65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Arial" w:cs="Arial" w:eastAsia="Arial" w:hAnsi="Arial"/>
                <w:sz w:val="12"/>
                <w:szCs w:val="12"/>
                <w:b w:val="1"/>
                <w:bCs w:val="1"/>
                <w:color w:val="auto"/>
              </w:rPr>
              <w:t>Year Ended December 31, 2018</w:t>
            </w:r>
          </w:p>
        </w:tc>
      </w:tr>
      <w:tr>
        <w:trPr>
          <w:trHeight w:val="21"/>
        </w:trPr>
        <w:tc>
          <w:tcPr>
            <w:tcW w:w="4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57"/>
        </w:trPr>
        <w:tc>
          <w:tcPr>
            <w:tcW w:w="4040" w:type="dxa"/>
            <w:vAlign w:val="bottom"/>
          </w:tcPr>
          <w:p>
            <w:pPr>
              <w:spacing w:after="0"/>
              <w:rPr>
                <w:sz w:val="20"/>
                <w:szCs w:val="20"/>
                <w:color w:val="auto"/>
              </w:rPr>
            </w:pPr>
            <w:r>
              <w:rPr>
                <w:rFonts w:ascii="Arial" w:cs="Arial" w:eastAsia="Arial" w:hAnsi="Arial"/>
                <w:sz w:val="12"/>
                <w:szCs w:val="12"/>
                <w:b w:val="1"/>
                <w:bCs w:val="1"/>
                <w:color w:val="auto"/>
              </w:rPr>
              <w:t>Predecessor</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w w:val="79"/>
              </w:rPr>
              <w:t>Shares</w:t>
            </w:r>
          </w:p>
        </w:tc>
        <w:tc>
          <w:tcPr>
            <w:tcW w:w="2080" w:type="dxa"/>
            <w:vAlign w:val="bottom"/>
          </w:tcPr>
          <w:p>
            <w:pPr>
              <w:ind w:left="520"/>
              <w:spacing w:after="0"/>
              <w:rPr>
                <w:sz w:val="20"/>
                <w:szCs w:val="20"/>
                <w:color w:val="auto"/>
              </w:rPr>
            </w:pPr>
            <w:r>
              <w:rPr>
                <w:rFonts w:ascii="Arial" w:cs="Arial" w:eastAsia="Arial" w:hAnsi="Arial"/>
                <w:sz w:val="12"/>
                <w:szCs w:val="12"/>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13335</wp:posOffset>
            </wp:positionV>
            <wp:extent cx="73977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39775"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13335</wp:posOffset>
            </wp:positionV>
            <wp:extent cx="11176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13335</wp:posOffset>
            </wp:positionV>
            <wp:extent cx="111760"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2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January 1, 2018</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$ 34,422</w:t>
            </w:r>
          </w:p>
        </w:tc>
        <w:tc>
          <w:tcPr>
            <w:tcW w:w="1160" w:type="dxa"/>
            <w:vAlign w:val="bottom"/>
            <w:tcBorders>
              <w:top w:val="single" w:sz="8" w:color="CCEEFF"/>
            </w:tcBorders>
            <w:shd w:val="clear" w:color="auto" w:fill="CCEEFF"/>
          </w:tcPr>
          <w:p>
            <w:pPr>
              <w:spacing w:after="0"/>
              <w:rPr>
                <w:sz w:val="19"/>
                <w:szCs w:val="19"/>
                <w:color w:val="auto"/>
              </w:rPr>
            </w:pPr>
          </w:p>
        </w:tc>
      </w:tr>
      <w:tr>
        <w:trPr>
          <w:trHeight w:val="209"/>
        </w:trPr>
        <w:tc>
          <w:tcPr>
            <w:tcW w:w="4060" w:type="dxa"/>
            <w:vAlign w:val="bottom"/>
            <w:gridSpan w:val="3"/>
          </w:tcPr>
          <w:p>
            <w:pPr>
              <w:ind w:left="160"/>
              <w:spacing w:after="0"/>
              <w:rPr>
                <w:sz w:val="20"/>
                <w:szCs w:val="20"/>
                <w:color w:val="auto"/>
              </w:rPr>
            </w:pPr>
            <w:r>
              <w:rPr>
                <w:rFonts w:ascii="Arial" w:cs="Arial" w:eastAsia="Arial" w:hAnsi="Arial"/>
                <w:sz w:val="15"/>
                <w:szCs w:val="15"/>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25,910</w:t>
            </w:r>
          </w:p>
        </w:tc>
        <w:tc>
          <w:tcPr>
            <w:tcW w:w="1160" w:type="dxa"/>
            <w:vAlign w:val="bottom"/>
          </w:tcPr>
          <w:p>
            <w:pPr>
              <w:spacing w:after="0"/>
              <w:rPr>
                <w:sz w:val="18"/>
                <w:szCs w:val="18"/>
                <w:color w:val="auto"/>
              </w:rPr>
            </w:pPr>
          </w:p>
        </w:tc>
      </w:tr>
      <w:tr>
        <w:trPr>
          <w:trHeight w:val="214"/>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Distributions to Stockholder</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5"/>
                <w:szCs w:val="15"/>
                <w:color w:val="auto"/>
              </w:rPr>
              <w:t>(10,549)</w:t>
            </w:r>
          </w:p>
        </w:tc>
      </w:tr>
      <w:tr>
        <w:trPr>
          <w:trHeight w:val="216"/>
        </w:trPr>
        <w:tc>
          <w:tcPr>
            <w:tcW w:w="4060" w:type="dxa"/>
            <w:vAlign w:val="bottom"/>
            <w:tcBorders>
              <w:top w:val="single" w:sz="8" w:color="CCEEFF"/>
            </w:tcBorders>
            <w:gridSpan w:val="3"/>
          </w:tcPr>
          <w:p>
            <w:pPr>
              <w:spacing w:after="0"/>
              <w:rPr>
                <w:sz w:val="20"/>
                <w:szCs w:val="20"/>
                <w:color w:val="auto"/>
              </w:rPr>
            </w:pPr>
            <w:r>
              <w:rPr>
                <w:rFonts w:ascii="Arial" w:cs="Arial" w:eastAsia="Arial" w:hAnsi="Arial"/>
                <w:sz w:val="15"/>
                <w:szCs w:val="15"/>
                <w:color w:val="auto"/>
              </w:rPr>
              <w:t>April 10, 2018</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6"/>
              </w:rPr>
              <w:t>100,000,000</w:t>
            </w: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$ 49,783</w:t>
            </w:r>
          </w:p>
        </w:tc>
        <w:tc>
          <w:tcPr>
            <w:tcW w:w="1160" w:type="dxa"/>
            <w:vAlign w:val="bottom"/>
            <w:tcBorders>
              <w:top w:val="single" w:sz="8" w:color="CCEEFF"/>
            </w:tcBorders>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Successor</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80" w:type="dxa"/>
            <w:vAlign w:val="bottom"/>
            <w:tcBorders>
              <w:top w:val="single" w:sz="8" w:color="auto"/>
            </w:tcBorders>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ind w:right="23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Loans to</w:t>
            </w:r>
          </w:p>
        </w:tc>
        <w:tc>
          <w:tcPr>
            <w:tcW w:w="4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70"/>
              <w:spacing w:after="0"/>
              <w:rPr>
                <w:sz w:val="20"/>
                <w:szCs w:val="20"/>
                <w:color w:val="auto"/>
              </w:rPr>
            </w:pPr>
            <w:r>
              <w:rPr>
                <w:rFonts w:ascii="Arial" w:cs="Arial" w:eastAsia="Arial" w:hAnsi="Arial"/>
                <w:sz w:val="12"/>
                <w:szCs w:val="12"/>
                <w:b w:val="1"/>
                <w:bCs w:val="1"/>
                <w:color w:val="auto"/>
                <w:w w:val="77"/>
              </w:rPr>
              <w:t>Contribution</w:t>
            </w:r>
          </w:p>
        </w:tc>
        <w:tc>
          <w:tcPr>
            <w:tcW w:w="760" w:type="dxa"/>
            <w:vAlign w:val="bottom"/>
            <w:gridSpan w:val="3"/>
          </w:tcPr>
          <w:p>
            <w:pPr>
              <w:jc w:val="right"/>
              <w:ind w:right="67"/>
              <w:spacing w:after="0"/>
              <w:rPr>
                <w:sz w:val="20"/>
                <w:szCs w:val="20"/>
                <w:color w:val="auto"/>
              </w:rPr>
            </w:pPr>
            <w:r>
              <w:rPr>
                <w:rFonts w:ascii="Arial" w:cs="Arial" w:eastAsia="Arial" w:hAnsi="Arial"/>
                <w:sz w:val="12"/>
                <w:szCs w:val="12"/>
                <w:b w:val="1"/>
                <w:bCs w:val="1"/>
                <w:color w:val="auto"/>
                <w:w w:val="78"/>
              </w:rPr>
              <w:t>Stockholders</w:t>
            </w: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0"/>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2018–Warrants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$165,711</w:t>
            </w:r>
          </w:p>
        </w:tc>
        <w:tc>
          <w:tcPr>
            <w:tcW w:w="16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 —</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165,711</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Capital Purchase on April 11,</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2018–Shares</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5,326,755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22,064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22,064</w:t>
            </w:r>
          </w:p>
        </w:tc>
        <w:tc>
          <w:tcPr>
            <w:tcW w:w="60" w:type="dxa"/>
            <w:vAlign w:val="bottom"/>
          </w:tcPr>
          <w:p>
            <w:pPr>
              <w:spacing w:after="0"/>
              <w:rPr>
                <w:sz w:val="16"/>
                <w:szCs w:val="16"/>
                <w:color w:val="auto"/>
              </w:rPr>
            </w:pP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Additional Capital</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43,866</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43,866</w:t>
            </w:r>
          </w:p>
        </w:tc>
        <w:tc>
          <w:tcPr>
            <w:tcW w:w="60" w:type="dxa"/>
            <w:vAlign w:val="bottom"/>
          </w:tcPr>
          <w:p>
            <w:pPr>
              <w:spacing w:after="0"/>
              <w:rPr>
                <w:sz w:val="17"/>
                <w:szCs w:val="17"/>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Stockholders Capital</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Contribution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w w:val="83"/>
              </w:rPr>
              <w:t>1,416,645</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7,500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07"/>
              <w:spacing w:after="0"/>
              <w:rPr>
                <w:sz w:val="20"/>
                <w:szCs w:val="20"/>
                <w:color w:val="auto"/>
              </w:rPr>
            </w:pPr>
            <w:r>
              <w:rPr>
                <w:rFonts w:ascii="Arial" w:cs="Arial" w:eastAsia="Arial" w:hAnsi="Arial"/>
                <w:sz w:val="15"/>
                <w:szCs w:val="15"/>
                <w:color w:val="auto"/>
                <w:w w:val="84"/>
              </w:rPr>
              <w:t>(3,500)</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4,000</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85"/>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1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373</w:t>
            </w:r>
          </w:p>
        </w:tc>
        <w:tc>
          <w:tcPr>
            <w:tcW w:w="120" w:type="dxa"/>
            <w:vAlign w:val="bottom"/>
          </w:tcPr>
          <w:p>
            <w:pPr>
              <w:spacing w:after="0"/>
              <w:rPr>
                <w:sz w:val="18"/>
                <w:szCs w:val="18"/>
                <w:color w:val="auto"/>
              </w:rPr>
            </w:pPr>
          </w:p>
        </w:tc>
        <w:tc>
          <w:tcPr>
            <w:tcW w:w="4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373</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85"/>
              </w:rPr>
              <w:t>40,005,885</w:t>
            </w:r>
          </w:p>
        </w:tc>
        <w:tc>
          <w:tcPr>
            <w:tcW w:w="760" w:type="dxa"/>
            <w:vAlign w:val="bottom"/>
            <w:tcBorders>
              <w:right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w w:val="83"/>
              </w:rPr>
              <w:t>6,743,400</w:t>
            </w:r>
          </w:p>
        </w:tc>
        <w:tc>
          <w:tcPr>
            <w:tcW w:w="72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w w:val="83"/>
              </w:rPr>
              <w:t>$239,141</w:t>
            </w:r>
          </w:p>
        </w:tc>
        <w:tc>
          <w:tcPr>
            <w:tcW w:w="760" w:type="dxa"/>
            <w:vAlign w:val="bottom"/>
            <w:tcBorders>
              <w:left w:val="single" w:sz="8" w:color="CCEEFF"/>
              <w:right w:val="single" w:sz="8" w:color="CCEEFF"/>
            </w:tcBorders>
            <w:gridSpan w:val="3"/>
            <w:shd w:val="clear" w:color="auto" w:fill="CCEEFF"/>
          </w:tcPr>
          <w:p>
            <w:pPr>
              <w:jc w:val="right"/>
              <w:ind w:right="107"/>
              <w:spacing w:after="0"/>
              <w:rPr>
                <w:sz w:val="20"/>
                <w:szCs w:val="20"/>
                <w:color w:val="auto"/>
              </w:rPr>
            </w:pPr>
            <w:r>
              <w:rPr>
                <w:rFonts w:ascii="Arial" w:cs="Arial" w:eastAsia="Arial" w:hAnsi="Arial"/>
                <w:sz w:val="15"/>
                <w:szCs w:val="15"/>
                <w:color w:val="auto"/>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83"/>
              </w:rPr>
              <w:t>$373</w:t>
            </w:r>
          </w:p>
        </w:tc>
        <w:tc>
          <w:tcPr>
            <w:tcW w:w="560" w:type="dxa"/>
            <w:vAlign w:val="bottom"/>
            <w:tcBorders>
              <w:left w:val="single" w:sz="8" w:color="CCEEFF"/>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96"/>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2019</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70"/>
              <w:spacing w:after="0"/>
              <w:rPr>
                <w:sz w:val="20"/>
                <w:szCs w:val="20"/>
                <w:color w:val="auto"/>
              </w:rPr>
            </w:pPr>
            <w:r>
              <w:rPr>
                <w:rFonts w:ascii="Arial" w:cs="Arial" w:eastAsia="Arial" w:hAnsi="Arial"/>
                <w:sz w:val="12"/>
                <w:szCs w:val="12"/>
                <w:b w:val="1"/>
                <w:bCs w:val="1"/>
                <w:color w:val="auto"/>
                <w:w w:val="89"/>
              </w:rPr>
              <w:t>Capital</w:t>
            </w:r>
          </w:p>
        </w:tc>
        <w:tc>
          <w:tcPr>
            <w:tcW w:w="760" w:type="dxa"/>
            <w:vAlign w:val="bottom"/>
            <w:gridSpan w:val="3"/>
          </w:tcPr>
          <w:p>
            <w:pPr>
              <w:jc w:val="right"/>
              <w:ind w:right="267"/>
              <w:spacing w:after="0"/>
              <w:rPr>
                <w:sz w:val="20"/>
                <w:szCs w:val="20"/>
                <w:color w:val="auto"/>
              </w:rPr>
            </w:pPr>
            <w:r>
              <w:rPr>
                <w:rFonts w:ascii="Arial" w:cs="Arial" w:eastAsia="Arial" w:hAnsi="Arial"/>
                <w:sz w:val="12"/>
                <w:szCs w:val="12"/>
                <w:b w:val="1"/>
                <w:bCs w:val="1"/>
                <w:color w:val="auto"/>
                <w:w w:val="79"/>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69"/>
              <w:spacing w:after="0"/>
              <w:rPr>
                <w:sz w:val="20"/>
                <w:szCs w:val="20"/>
                <w:color w:val="auto"/>
              </w:rPr>
            </w:pPr>
            <w:r>
              <w:rPr>
                <w:rFonts w:ascii="Arial" w:cs="Arial" w:eastAsia="Arial" w:hAnsi="Arial"/>
                <w:sz w:val="12"/>
                <w:szCs w:val="12"/>
                <w:b w:val="1"/>
                <w:bCs w:val="1"/>
                <w:color w:val="auto"/>
                <w:w w:val="99"/>
              </w:rPr>
              <w:t>Shares</w:t>
            </w:r>
          </w:p>
        </w:tc>
        <w:tc>
          <w:tcPr>
            <w:tcW w:w="720" w:type="dxa"/>
            <w:vAlign w:val="bottom"/>
          </w:tcPr>
          <w:p>
            <w:pPr>
              <w:jc w:val="right"/>
              <w:ind w:right="130"/>
              <w:spacing w:after="0"/>
              <w:rPr>
                <w:sz w:val="20"/>
                <w:szCs w:val="20"/>
                <w:color w:val="auto"/>
              </w:rPr>
            </w:pPr>
            <w:r>
              <w:rPr>
                <w:rFonts w:ascii="Arial" w:cs="Arial" w:eastAsia="Arial" w:hAnsi="Arial"/>
                <w:sz w:val="11"/>
                <w:szCs w:val="11"/>
                <w:b w:val="1"/>
                <w:bCs w:val="1"/>
                <w:color w:val="auto"/>
                <w:w w:val="75"/>
              </w:rPr>
              <w:t>Contribution</w:t>
            </w:r>
          </w:p>
        </w:tc>
        <w:tc>
          <w:tcPr>
            <w:tcW w:w="760" w:type="dxa"/>
            <w:vAlign w:val="bottom"/>
            <w:gridSpan w:val="3"/>
          </w:tcPr>
          <w:p>
            <w:pPr>
              <w:jc w:val="right"/>
              <w:ind w:right="147"/>
              <w:spacing w:after="0"/>
              <w:rPr>
                <w:sz w:val="20"/>
                <w:szCs w:val="20"/>
                <w:color w:val="auto"/>
              </w:rPr>
            </w:pPr>
            <w:r>
              <w:rPr>
                <w:rFonts w:ascii="Arial" w:cs="Arial" w:eastAsia="Arial" w:hAnsi="Arial"/>
                <w:sz w:val="11"/>
                <w:szCs w:val="11"/>
                <w:b w:val="1"/>
                <w:bCs w:val="1"/>
                <w:color w:val="auto"/>
                <w:w w:val="74"/>
              </w:rPr>
              <w:t>Stockholders</w:t>
            </w:r>
          </w:p>
        </w:tc>
        <w:tc>
          <w:tcPr>
            <w:tcW w:w="420" w:type="dxa"/>
            <w:vAlign w:val="bottom"/>
          </w:tcPr>
          <w:p>
            <w:pPr>
              <w:jc w:val="right"/>
              <w:ind w:right="110"/>
              <w:spacing w:after="0"/>
              <w:rPr>
                <w:sz w:val="20"/>
                <w:szCs w:val="20"/>
                <w:color w:val="auto"/>
              </w:rPr>
            </w:pPr>
            <w:r>
              <w:rPr>
                <w:rFonts w:ascii="Arial" w:cs="Arial" w:eastAsia="Arial" w:hAnsi="Arial"/>
                <w:sz w:val="12"/>
                <w:szCs w:val="12"/>
                <w:b w:val="1"/>
                <w:bCs w:val="1"/>
                <w:color w:val="auto"/>
                <w:w w:val="76"/>
              </w:rPr>
              <w:t>APIC</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6,743,400</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w w:val="71"/>
              </w:rPr>
              <w:t>$  373</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235,647</w:t>
            </w:r>
          </w:p>
        </w:tc>
        <w:tc>
          <w:tcPr>
            <w:tcW w:w="60" w:type="dxa"/>
            <w:vAlign w:val="bottom"/>
          </w:tcPr>
          <w:p>
            <w:pPr>
              <w:spacing w:after="0"/>
              <w:rPr>
                <w:sz w:val="17"/>
                <w:szCs w:val="17"/>
                <w:color w:val="auto"/>
              </w:rPr>
            </w:pPr>
          </w:p>
        </w:tc>
      </w:tr>
      <w:tr>
        <w:trPr>
          <w:trHeight w:val="184"/>
        </w:trPr>
        <w:tc>
          <w:tcPr>
            <w:tcW w:w="212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Cumulative Effect of New</w:t>
            </w: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Revenue Standard</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(3,477)</w:t>
            </w:r>
          </w:p>
        </w:tc>
        <w:tc>
          <w:tcPr>
            <w:tcW w:w="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(3,477)</w:t>
            </w:r>
          </w:p>
        </w:tc>
      </w:tr>
      <w:tr>
        <w:trPr>
          <w:trHeight w:val="193"/>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Shares Granted to</w:t>
            </w:r>
          </w:p>
        </w:tc>
        <w:tc>
          <w:tcPr>
            <w:tcW w:w="7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2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Stockholders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56,665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r>
      <w:tr>
        <w:trPr>
          <w:trHeight w:val="209"/>
        </w:trPr>
        <w:tc>
          <w:tcPr>
            <w:tcW w:w="212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7"/>
              <w:spacing w:after="0"/>
              <w:rPr>
                <w:sz w:val="20"/>
                <w:szCs w:val="20"/>
                <w:color w:val="auto"/>
              </w:rPr>
            </w:pPr>
            <w:r>
              <w:rPr>
                <w:rFonts w:ascii="Arial" w:cs="Arial" w:eastAsia="Arial" w:hAnsi="Arial"/>
                <w:sz w:val="15"/>
                <w:szCs w:val="15"/>
                <w:color w:val="auto"/>
                <w:w w:val="95"/>
              </w:rPr>
              <w:t>46,072</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46,072</w:t>
            </w:r>
          </w:p>
        </w:tc>
        <w:tc>
          <w:tcPr>
            <w:tcW w:w="60" w:type="dxa"/>
            <w:vAlign w:val="bottom"/>
          </w:tcPr>
          <w:p>
            <w:pPr>
              <w:spacing w:after="0"/>
              <w:rPr>
                <w:sz w:val="18"/>
                <w:szCs w:val="18"/>
                <w:color w:val="auto"/>
              </w:rPr>
            </w:pPr>
          </w:p>
        </w:tc>
      </w:tr>
      <w:tr>
        <w:trPr>
          <w:trHeight w:val="209"/>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Amazon Warrants</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5"/>
                <w:szCs w:val="15"/>
                <w:color w:val="auto"/>
                <w:w w:val="74"/>
              </w:rPr>
              <w:t>3,594</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3,594</w:t>
            </w:r>
          </w:p>
        </w:tc>
        <w:tc>
          <w:tcPr>
            <w:tcW w:w="60" w:type="dxa"/>
            <w:vAlign w:val="bottom"/>
          </w:tcPr>
          <w:p>
            <w:pPr>
              <w:spacing w:after="0"/>
              <w:rPr>
                <w:sz w:val="18"/>
                <w:szCs w:val="18"/>
                <w:color w:val="auto"/>
              </w:rPr>
            </w:pPr>
          </w:p>
        </w:tc>
      </w:tr>
      <w:tr>
        <w:trPr>
          <w:trHeight w:val="214"/>
        </w:trPr>
        <w:tc>
          <w:tcPr>
            <w:tcW w:w="2120" w:type="dxa"/>
            <w:vAlign w:val="bottom"/>
            <w:gridSpan w:val="2"/>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50"/>
              <w:spacing w:after="0"/>
              <w:rPr>
                <w:sz w:val="20"/>
                <w:szCs w:val="20"/>
                <w:color w:val="auto"/>
              </w:rPr>
            </w:pPr>
            <w:r>
              <w:rPr>
                <w:rFonts w:ascii="Arial" w:cs="Arial" w:eastAsia="Arial" w:hAnsi="Arial"/>
                <w:sz w:val="15"/>
                <w:szCs w:val="15"/>
                <w:color w:val="auto"/>
                <w:w w:val="74"/>
              </w:rPr>
              <w:t>1,888</w:t>
            </w:r>
          </w:p>
        </w:tc>
        <w:tc>
          <w:tcPr>
            <w:tcW w:w="120" w:type="dxa"/>
            <w:vAlign w:val="bottom"/>
          </w:tcPr>
          <w:p>
            <w:pPr>
              <w:spacing w:after="0"/>
              <w:rPr>
                <w:sz w:val="18"/>
                <w:szCs w:val="18"/>
                <w:color w:val="auto"/>
              </w:rPr>
            </w:pPr>
          </w:p>
        </w:tc>
        <w:tc>
          <w:tcPr>
            <w:tcW w:w="4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1,888</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82"/>
              </w:rPr>
              <w:t>40,005,885</w:t>
            </w:r>
          </w:p>
        </w:tc>
        <w:tc>
          <w:tcPr>
            <w:tcW w:w="76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5"/>
                <w:szCs w:val="15"/>
                <w:color w:val="auto"/>
                <w:w w:val="80"/>
              </w:rPr>
              <w:t>6,800,065</w:t>
            </w:r>
          </w:p>
        </w:tc>
        <w:tc>
          <w:tcPr>
            <w:tcW w:w="72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5"/>
                <w:szCs w:val="15"/>
                <w:color w:val="auto"/>
                <w:w w:val="73"/>
              </w:rPr>
              <w:t>$239,141</w:t>
            </w:r>
          </w:p>
        </w:tc>
        <w:tc>
          <w:tcPr>
            <w:tcW w:w="760" w:type="dxa"/>
            <w:vAlign w:val="bottom"/>
            <w:tcBorders>
              <w:left w:val="single" w:sz="8" w:color="CCEEFF"/>
              <w:right w:val="single" w:sz="8" w:color="CCEEFF"/>
            </w:tcBorders>
            <w:gridSpan w:val="3"/>
            <w:shd w:val="clear" w:color="auto" w:fill="CCEEFF"/>
          </w:tcPr>
          <w:p>
            <w:pPr>
              <w:jc w:val="right"/>
              <w:ind w:right="187"/>
              <w:spacing w:after="0"/>
              <w:rPr>
                <w:sz w:val="20"/>
                <w:szCs w:val="20"/>
                <w:color w:val="auto"/>
              </w:rPr>
            </w:pPr>
            <w:r>
              <w:rPr>
                <w:rFonts w:ascii="Arial" w:cs="Arial" w:eastAsia="Arial" w:hAnsi="Arial"/>
                <w:sz w:val="15"/>
                <w:szCs w:val="15"/>
                <w:color w:val="auto"/>
                <w:w w:val="85"/>
              </w:rPr>
              <w:t>$(3,500)</w:t>
            </w:r>
          </w:p>
        </w:tc>
        <w:tc>
          <w:tcPr>
            <w:tcW w:w="4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3"/>
                <w:szCs w:val="13"/>
                <w:color w:val="auto"/>
                <w:w w:val="70"/>
              </w:rPr>
              <w:t>$5,855</w:t>
            </w:r>
          </w:p>
        </w:tc>
        <w:tc>
          <w:tcPr>
            <w:tcW w:w="560" w:type="dxa"/>
            <w:vAlign w:val="bottom"/>
            <w:tcBorders>
              <w:left w:val="single" w:sz="8" w:color="CCEEFF"/>
              <w:right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81"/>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20"/>
                <w:szCs w:val="20"/>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6"/>
        </w:trPr>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6"/>
                <w:szCs w:val="6"/>
                <w:b w:val="1"/>
                <w:bCs w:val="1"/>
                <w:color w:val="auto"/>
                <w:w w:val="74"/>
              </w:rPr>
              <w:t>2020</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8"/>
        </w:trPr>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210"/>
              <w:spacing w:after="0"/>
              <w:rPr>
                <w:sz w:val="20"/>
                <w:szCs w:val="20"/>
                <w:color w:val="auto"/>
              </w:rPr>
            </w:pPr>
            <w:r>
              <w:rPr>
                <w:rFonts w:ascii="Arial" w:cs="Arial" w:eastAsia="Arial" w:hAnsi="Arial"/>
                <w:sz w:val="12"/>
                <w:szCs w:val="12"/>
                <w:b w:val="1"/>
                <w:bCs w:val="1"/>
                <w:color w:val="auto"/>
              </w:rPr>
              <w:t>Capital</w:t>
            </w:r>
          </w:p>
        </w:tc>
        <w:tc>
          <w:tcPr>
            <w:tcW w:w="760" w:type="dxa"/>
            <w:vAlign w:val="bottom"/>
            <w:gridSpan w:val="3"/>
          </w:tcPr>
          <w:p>
            <w:pPr>
              <w:jc w:val="right"/>
              <w:ind w:right="207"/>
              <w:spacing w:after="0"/>
              <w:rPr>
                <w:sz w:val="20"/>
                <w:szCs w:val="20"/>
                <w:color w:val="auto"/>
              </w:rPr>
            </w:pPr>
            <w:r>
              <w:rPr>
                <w:rFonts w:ascii="Arial" w:cs="Arial" w:eastAsia="Arial" w:hAnsi="Arial"/>
                <w:sz w:val="12"/>
                <w:szCs w:val="12"/>
                <w:b w:val="1"/>
                <w:bCs w:val="1"/>
                <w:color w:val="auto"/>
                <w:w w:val="91"/>
              </w:rPr>
              <w:t>Loans to</w:t>
            </w:r>
          </w:p>
        </w:tc>
        <w:tc>
          <w:tcPr>
            <w:tcW w:w="4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0"/>
        </w:trPr>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Warrants</w:t>
            </w:r>
          </w:p>
        </w:tc>
        <w:tc>
          <w:tcPr>
            <w:tcW w:w="760" w:type="dxa"/>
            <w:vAlign w:val="bottom"/>
          </w:tcPr>
          <w:p>
            <w:pPr>
              <w:jc w:val="right"/>
              <w:ind w:right="209"/>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50"/>
              <w:spacing w:after="0"/>
              <w:rPr>
                <w:sz w:val="20"/>
                <w:szCs w:val="20"/>
                <w:color w:val="auto"/>
              </w:rPr>
            </w:pPr>
            <w:r>
              <w:rPr>
                <w:rFonts w:ascii="Arial" w:cs="Arial" w:eastAsia="Arial" w:hAnsi="Arial"/>
                <w:sz w:val="12"/>
                <w:szCs w:val="12"/>
                <w:b w:val="1"/>
                <w:bCs w:val="1"/>
                <w:color w:val="auto"/>
                <w:w w:val="80"/>
              </w:rPr>
              <w:t>Contribution</w:t>
            </w:r>
          </w:p>
        </w:tc>
        <w:tc>
          <w:tcPr>
            <w:tcW w:w="76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w w:val="76"/>
              </w:rPr>
              <w:t>Stockholders</w:t>
            </w:r>
          </w:p>
        </w:tc>
        <w:tc>
          <w:tcPr>
            <w:tcW w:w="420" w:type="dxa"/>
            <w:vAlign w:val="bottom"/>
          </w:tcPr>
          <w:p>
            <w:pPr>
              <w:jc w:val="right"/>
              <w:ind w:right="90"/>
              <w:spacing w:after="0"/>
              <w:rPr>
                <w:sz w:val="20"/>
                <w:szCs w:val="20"/>
                <w:color w:val="auto"/>
              </w:rPr>
            </w:pPr>
            <w:r>
              <w:rPr>
                <w:rFonts w:ascii="Arial" w:cs="Arial" w:eastAsia="Arial" w:hAnsi="Arial"/>
                <w:sz w:val="12"/>
                <w:szCs w:val="12"/>
                <w:b w:val="1"/>
                <w:bCs w:val="1"/>
                <w:color w:val="auto"/>
                <w:w w:val="83"/>
              </w:rPr>
              <w:t>APIC</w:t>
            </w:r>
          </w:p>
        </w:tc>
        <w:tc>
          <w:tcPr>
            <w:tcW w:w="56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w w:val="81"/>
              </w:rPr>
              <w:t>Earnings</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4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90"/>
              </w:rPr>
              <w:t>40,005,885</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95"/>
              </w:rPr>
              <w:t>6,800,065</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w w:val="86"/>
              </w:rPr>
              <w:t>$239,141</w:t>
            </w:r>
          </w:p>
        </w:tc>
        <w:tc>
          <w:tcPr>
            <w:tcW w:w="760" w:type="dxa"/>
            <w:vAlign w:val="bottom"/>
            <w:tcBorders>
              <w:left w:val="single" w:sz="8" w:color="CCEEFF"/>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4"/>
              </w:rPr>
              <w:t>$5,855</w:t>
            </w:r>
          </w:p>
        </w:tc>
        <w:tc>
          <w:tcPr>
            <w:tcW w:w="560" w:type="dxa"/>
            <w:vAlign w:val="bottom"/>
            <w:tcBorders>
              <w:left w:val="single" w:sz="8" w:color="CCEEFF"/>
              <w:right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84"/>
              </w:rPr>
              <w:t>$42,228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283,724</w:t>
            </w:r>
          </w:p>
        </w:tc>
        <w:tc>
          <w:tcPr>
            <w:tcW w:w="60" w:type="dxa"/>
            <w:vAlign w:val="bottom"/>
          </w:tcPr>
          <w:p>
            <w:pPr>
              <w:spacing w:after="0"/>
              <w:rPr>
                <w:sz w:val="17"/>
                <w:szCs w:val="17"/>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120" w:type="dxa"/>
            <w:vAlign w:val="bottom"/>
            <w:gridSpan w:val="2"/>
          </w:tcPr>
          <w:p>
            <w:pPr>
              <w:spacing w:after="0"/>
              <w:rPr>
                <w:sz w:val="20"/>
                <w:szCs w:val="20"/>
                <w:color w:val="auto"/>
              </w:rPr>
            </w:pPr>
            <w:r>
              <w:rPr>
                <w:rFonts w:ascii="Arial" w:cs="Arial" w:eastAsia="Arial" w:hAnsi="Arial"/>
                <w:sz w:val="15"/>
                <w:szCs w:val="15"/>
                <w:color w:val="auto"/>
              </w:rPr>
              <w:t>Exercise of Apollo Warrants</w:t>
            </w:r>
          </w:p>
        </w:tc>
        <w:tc>
          <w:tcPr>
            <w:tcW w:w="1540" w:type="dxa"/>
            <w:vAlign w:val="bottom"/>
            <w:gridSpan w:val="2"/>
          </w:tcPr>
          <w:p>
            <w:pPr>
              <w:jc w:val="right"/>
              <w:ind w:right="29"/>
              <w:spacing w:after="0"/>
              <w:rPr>
                <w:sz w:val="20"/>
                <w:szCs w:val="20"/>
                <w:color w:val="auto"/>
              </w:rPr>
            </w:pPr>
            <w:r>
              <w:rPr>
                <w:rFonts w:ascii="Arial" w:cs="Arial" w:eastAsia="Arial" w:hAnsi="Arial"/>
                <w:sz w:val="15"/>
                <w:szCs w:val="15"/>
                <w:color w:val="auto"/>
                <w:w w:val="86"/>
              </w:rPr>
              <w:t>(40,005,885) 40,005,885</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21</w:t>
            </w:r>
          </w:p>
        </w:tc>
        <w:tc>
          <w:tcPr>
            <w:tcW w:w="60" w:type="dxa"/>
            <w:vAlign w:val="bottom"/>
          </w:tcPr>
          <w:p>
            <w:pPr>
              <w:spacing w:after="0"/>
              <w:rPr>
                <w:sz w:val="15"/>
                <w:szCs w:val="15"/>
                <w:color w:val="auto"/>
              </w:rPr>
            </w:pPr>
          </w:p>
        </w:tc>
      </w:tr>
      <w:tr>
        <w:trPr>
          <w:trHeight w:val="187"/>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Income (Loss) .</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5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(3,904)</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(3,904)</w:t>
            </w:r>
          </w:p>
        </w:tc>
        <w:tc>
          <w:tcPr>
            <w:tcW w:w="60" w:type="dxa"/>
            <w:vAlign w:val="bottom"/>
          </w:tcPr>
          <w:p>
            <w:pPr>
              <w:spacing w:after="0"/>
              <w:rPr>
                <w:sz w:val="16"/>
                <w:szCs w:val="16"/>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5"/>
                <w:szCs w:val="15"/>
                <w:color w:val="auto"/>
              </w:rPr>
              <w:t>Amazon Warrants .</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10"/>
              <w:spacing w:after="0"/>
              <w:rPr>
                <w:sz w:val="20"/>
                <w:szCs w:val="20"/>
                <w:color w:val="auto"/>
              </w:rPr>
            </w:pPr>
            <w:r>
              <w:rPr>
                <w:rFonts w:ascii="Arial" w:cs="Arial" w:eastAsia="Arial" w:hAnsi="Arial"/>
                <w:sz w:val="15"/>
                <w:szCs w:val="15"/>
                <w:color w:val="auto"/>
                <w:w w:val="85"/>
              </w:rPr>
              <w:t>1,866</w:t>
            </w:r>
          </w:p>
        </w:tc>
        <w:tc>
          <w:tcPr>
            <w:tcW w:w="120" w:type="dxa"/>
            <w:vAlign w:val="bottom"/>
          </w:tcPr>
          <w:p>
            <w:pPr>
              <w:spacing w:after="0"/>
              <w:rPr>
                <w:sz w:val="16"/>
                <w:szCs w:val="16"/>
                <w:color w:val="auto"/>
              </w:rPr>
            </w:pPr>
          </w:p>
        </w:tc>
        <w:tc>
          <w:tcPr>
            <w:tcW w:w="4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1,866</w:t>
            </w:r>
          </w:p>
        </w:tc>
        <w:tc>
          <w:tcPr>
            <w:tcW w:w="60" w:type="dxa"/>
            <w:vAlign w:val="bottom"/>
          </w:tcPr>
          <w:p>
            <w:pPr>
              <w:spacing w:after="0"/>
              <w:rPr>
                <w:sz w:val="16"/>
                <w:szCs w:val="16"/>
                <w:color w:val="auto"/>
              </w:rPr>
            </w:pPr>
          </w:p>
        </w:tc>
      </w:tr>
      <w:tr>
        <w:trPr>
          <w:trHeight w:val="214"/>
        </w:trPr>
        <w:tc>
          <w:tcPr>
            <w:tcW w:w="2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Stock-based Compensation</w:t>
            </w:r>
          </w:p>
        </w:tc>
        <w:tc>
          <w:tcPr>
            <w:tcW w:w="7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rPr>
              <w:t>33,709</w:t>
            </w:r>
          </w:p>
        </w:tc>
        <w:tc>
          <w:tcPr>
            <w:tcW w:w="72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4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5"/>
                <w:szCs w:val="15"/>
                <w:color w:val="auto"/>
                <w:w w:val="85"/>
              </w:rPr>
              <w:t>2,110</w:t>
            </w:r>
          </w:p>
        </w:tc>
        <w:tc>
          <w:tcPr>
            <w:tcW w:w="1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2,110</w:t>
            </w:r>
          </w:p>
        </w:tc>
        <w:tc>
          <w:tcPr>
            <w:tcW w:w="60" w:type="dxa"/>
            <w:vAlign w:val="bottom"/>
          </w:tcPr>
          <w:p>
            <w:pPr>
              <w:spacing w:after="0"/>
              <w:rPr>
                <w:sz w:val="18"/>
                <w:szCs w:val="18"/>
                <w:color w:val="auto"/>
              </w:rPr>
            </w:pPr>
          </w:p>
        </w:tc>
      </w:tr>
      <w:tr>
        <w:trPr>
          <w:trHeight w:val="20"/>
        </w:trPr>
        <w:tc>
          <w:tcPr>
            <w:tcW w:w="480" w:type="dxa"/>
            <w:vAlign w:val="bottom"/>
            <w:shd w:val="clear" w:color="auto" w:fill="CCEEFF"/>
          </w:tcPr>
          <w:p>
            <w:pPr>
              <w:spacing w:after="0" w:line="20" w:lineRule="exact"/>
              <w:rPr>
                <w:sz w:val="1"/>
                <w:szCs w:val="1"/>
                <w:color w:val="auto"/>
              </w:rPr>
            </w:pPr>
          </w:p>
        </w:tc>
        <w:tc>
          <w:tcPr>
            <w:tcW w:w="16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left w:val="single" w:sz="8" w:color="CCEEFF"/>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2120" w:type="dxa"/>
            <w:vAlign w:val="bottom"/>
            <w:gridSpan w:val="2"/>
          </w:tcPr>
          <w:p>
            <w:pPr>
              <w:spacing w:after="0"/>
              <w:rPr>
                <w:sz w:val="20"/>
                <w:szCs w:val="20"/>
                <w:color w:val="auto"/>
              </w:rPr>
            </w:pPr>
            <w:r>
              <w:rPr>
                <w:rFonts w:ascii="Arial" w:cs="Arial" w:eastAsia="Arial" w:hAnsi="Arial"/>
                <w:sz w:val="15"/>
                <w:szCs w:val="15"/>
                <w:color w:val="auto"/>
              </w:rPr>
              <w:t>December 31, 2020</w:t>
            </w:r>
          </w:p>
        </w:tc>
        <w:tc>
          <w:tcPr>
            <w:tcW w:w="78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9"/>
              <w:spacing w:after="0"/>
              <w:rPr>
                <w:sz w:val="20"/>
                <w:szCs w:val="20"/>
                <w:color w:val="auto"/>
              </w:rPr>
            </w:pPr>
            <w:r>
              <w:rPr>
                <w:rFonts w:ascii="Arial" w:cs="Arial" w:eastAsia="Arial" w:hAnsi="Arial"/>
                <w:sz w:val="15"/>
                <w:szCs w:val="15"/>
                <w:color w:val="auto"/>
                <w:w w:val="85"/>
              </w:rPr>
              <w:t>46,839,659</w:t>
            </w:r>
          </w:p>
        </w:tc>
        <w:tc>
          <w:tcPr>
            <w:tcW w:w="720" w:type="dxa"/>
            <w:vAlign w:val="bottom"/>
          </w:tcPr>
          <w:p>
            <w:pPr>
              <w:jc w:val="right"/>
              <w:ind w:right="90"/>
              <w:spacing w:after="0"/>
              <w:rPr>
                <w:sz w:val="20"/>
                <w:szCs w:val="20"/>
                <w:color w:val="auto"/>
              </w:rPr>
            </w:pPr>
            <w:r>
              <w:rPr>
                <w:rFonts w:ascii="Arial" w:cs="Arial" w:eastAsia="Arial" w:hAnsi="Arial"/>
                <w:sz w:val="15"/>
                <w:szCs w:val="15"/>
                <w:color w:val="auto"/>
                <w:w w:val="86"/>
              </w:rPr>
              <w:t>$239,162</w:t>
            </w:r>
          </w:p>
        </w:tc>
        <w:tc>
          <w:tcPr>
            <w:tcW w:w="760" w:type="dxa"/>
            <w:vAlign w:val="bottom"/>
            <w:gridSpan w:val="3"/>
          </w:tcPr>
          <w:p>
            <w:pPr>
              <w:jc w:val="right"/>
              <w:ind w:right="127"/>
              <w:spacing w:after="0"/>
              <w:rPr>
                <w:sz w:val="20"/>
                <w:szCs w:val="20"/>
                <w:color w:val="auto"/>
              </w:rPr>
            </w:pPr>
            <w:r>
              <w:rPr>
                <w:rFonts w:ascii="Arial" w:cs="Arial" w:eastAsia="Arial" w:hAnsi="Arial"/>
                <w:sz w:val="15"/>
                <w:szCs w:val="15"/>
                <w:color w:val="auto"/>
                <w:w w:val="96"/>
              </w:rPr>
              <w:t>$(3,500)</w:t>
            </w:r>
          </w:p>
        </w:tc>
        <w:tc>
          <w:tcPr>
            <w:tcW w:w="420" w:type="dxa"/>
            <w:vAlign w:val="bottom"/>
          </w:tcPr>
          <w:p>
            <w:pPr>
              <w:jc w:val="right"/>
              <w:ind w:right="10"/>
              <w:spacing w:after="0"/>
              <w:rPr>
                <w:sz w:val="20"/>
                <w:szCs w:val="20"/>
                <w:color w:val="auto"/>
              </w:rPr>
            </w:pPr>
            <w:r>
              <w:rPr>
                <w:rFonts w:ascii="Arial" w:cs="Arial" w:eastAsia="Arial" w:hAnsi="Arial"/>
                <w:sz w:val="14"/>
                <w:szCs w:val="14"/>
                <w:color w:val="auto"/>
                <w:w w:val="74"/>
              </w:rPr>
              <w:t>$9,831</w:t>
            </w:r>
          </w:p>
        </w:tc>
        <w:tc>
          <w:tcPr>
            <w:tcW w:w="560" w:type="dxa"/>
            <w:vAlign w:val="bottom"/>
            <w:gridSpan w:val="2"/>
          </w:tcPr>
          <w:p>
            <w:pPr>
              <w:jc w:val="right"/>
              <w:ind w:right="7"/>
              <w:spacing w:after="0"/>
              <w:rPr>
                <w:sz w:val="20"/>
                <w:szCs w:val="20"/>
                <w:color w:val="auto"/>
              </w:rPr>
            </w:pPr>
            <w:r>
              <w:rPr>
                <w:rFonts w:ascii="Arial" w:cs="Arial" w:eastAsia="Arial" w:hAnsi="Arial"/>
                <w:sz w:val="15"/>
                <w:szCs w:val="15"/>
                <w:color w:val="auto"/>
                <w:w w:val="84"/>
              </w:rPr>
              <w:t>$38,324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6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-3103880</wp:posOffset>
            </wp:positionV>
            <wp:extent cx="111760"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-3103880</wp:posOffset>
            </wp:positionV>
            <wp:extent cx="10477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-3103880</wp:posOffset>
            </wp:positionV>
            <wp:extent cx="13970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-3103880</wp:posOffset>
            </wp:positionV>
            <wp:extent cx="16065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-3103880</wp:posOffset>
            </wp:positionV>
            <wp:extent cx="97790"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-3103880</wp:posOffset>
            </wp:positionV>
            <wp:extent cx="183451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834515" cy="698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-4359910</wp:posOffset>
            </wp:positionV>
            <wp:extent cx="69850"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-4359910</wp:posOffset>
            </wp:positionV>
            <wp:extent cx="69850"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-4359910</wp:posOffset>
            </wp:positionV>
            <wp:extent cx="69850"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-4359910</wp:posOffset>
            </wp:positionV>
            <wp:extent cx="69850"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-4359910</wp:posOffset>
            </wp:positionV>
            <wp:extent cx="69850"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-4359910</wp:posOffset>
            </wp:positionV>
            <wp:extent cx="1827530"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827530"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-1443355</wp:posOffset>
            </wp:positionV>
            <wp:extent cx="6286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-1443355</wp:posOffset>
            </wp:positionV>
            <wp:extent cx="6286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-1443355</wp:posOffset>
            </wp:positionV>
            <wp:extent cx="125730"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-1443355</wp:posOffset>
            </wp:positionV>
            <wp:extent cx="14668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-1443355</wp:posOffset>
            </wp:positionV>
            <wp:extent cx="83820"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181419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814195"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-2489835</wp:posOffset>
            </wp:positionV>
            <wp:extent cx="5588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-2489835</wp:posOffset>
            </wp:positionV>
            <wp:extent cx="55880"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-2489835</wp:posOffset>
            </wp:positionV>
            <wp:extent cx="5588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-2489835</wp:posOffset>
            </wp:positionV>
            <wp:extent cx="5588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-2489835</wp:posOffset>
            </wp:positionV>
            <wp:extent cx="5588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-2489835</wp:posOffset>
            </wp:positionV>
            <wp:extent cx="1807210"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807210" cy="6985"/>
                    </a:xfrm>
                    <a:prstGeom prst="rect">
                      <a:avLst/>
                    </a:prstGeom>
                    <a:noFill/>
                  </pic:spPr>
                </pic:pic>
              </a:graphicData>
            </a:graphic>
          </wp:anchor>
        </w:drawing>
        <w:drawing>
          <wp:anchor simplePos="0" relativeHeight="251657728" behindDoc="1" locked="0" layoutInCell="0" allowOverlap="1">
            <wp:simplePos x="0" y="0"/>
            <wp:positionH relativeFrom="column">
              <wp:posOffset>4569460</wp:posOffset>
            </wp:positionH>
            <wp:positionV relativeFrom="paragraph">
              <wp:posOffset>-829310</wp:posOffset>
            </wp:positionV>
            <wp:extent cx="4191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-829310</wp:posOffset>
            </wp:positionV>
            <wp:extent cx="41910"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3906520</wp:posOffset>
            </wp:positionH>
            <wp:positionV relativeFrom="paragraph">
              <wp:posOffset>-829310</wp:posOffset>
            </wp:positionV>
            <wp:extent cx="4191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-829310</wp:posOffset>
            </wp:positionV>
            <wp:extent cx="4191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-829310</wp:posOffset>
            </wp:positionV>
            <wp:extent cx="4191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-829310</wp:posOffset>
            </wp:positionV>
            <wp:extent cx="182753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82753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165"/>
        </w:trPr>
        <w:tc>
          <w:tcPr>
            <w:tcW w:w="3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Successor</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4"/>
              </w:rPr>
              <w:t>Year Ended December 31,</w:t>
            </w: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right w:val="single" w:sz="8" w:color="auto"/>
            </w:tcBorders>
            <w:gridSpan w:val="4"/>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4"/>
                <w:szCs w:val="4"/>
                <w:color w:val="auto"/>
              </w:rPr>
            </w:pPr>
          </w:p>
        </w:tc>
        <w:tc>
          <w:tcPr>
            <w:tcW w:w="920" w:type="dxa"/>
            <w:vAlign w:val="bottom"/>
            <w:gridSpan w:val="3"/>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Borders>
              <w:right w:val="single" w:sz="8" w:color="auto"/>
            </w:tcBorders>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18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Income / (Loss)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 (3,904)</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$ 46,072</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   (367)</w:t>
            </w:r>
          </w:p>
        </w:tc>
        <w:tc>
          <w:tcPr>
            <w:tcW w:w="10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$ 25,910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5"/>
                <w:szCs w:val="15"/>
                <w:b w:val="1"/>
                <w:bCs w:val="1"/>
                <w:color w:val="auto"/>
                <w:w w:val="92"/>
              </w:rPr>
              <w:t>Adjustments to reconcile Net Income / (Loss) to</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160"/>
              <w:spacing w:after="0"/>
              <w:rPr>
                <w:sz w:val="20"/>
                <w:szCs w:val="20"/>
                <w:color w:val="auto"/>
              </w:rPr>
            </w:pPr>
            <w:r>
              <w:rPr>
                <w:rFonts w:ascii="Arial" w:cs="Arial" w:eastAsia="Arial" w:hAnsi="Arial"/>
                <w:sz w:val="15"/>
                <w:szCs w:val="15"/>
                <w:b w:val="1"/>
                <w:bCs w:val="1"/>
                <w:color w:val="auto"/>
              </w:rPr>
              <w:t>Cash from Operating Activities: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Depreciation and Amortization</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48,086</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34,877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14,405</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2,526</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Right-of-use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180" w:type="dxa"/>
            <w:vAlign w:val="bottom"/>
          </w:tcPr>
          <w:p>
            <w:pPr>
              <w:ind w:left="300"/>
              <w:spacing w:after="0"/>
              <w:rPr>
                <w:sz w:val="20"/>
                <w:szCs w:val="20"/>
                <w:color w:val="auto"/>
              </w:rPr>
            </w:pPr>
            <w:r>
              <w:rPr>
                <w:rFonts w:ascii="Arial" w:cs="Arial" w:eastAsia="Arial" w:hAnsi="Arial"/>
                <w:sz w:val="15"/>
                <w:szCs w:val="15"/>
                <w:color w:val="auto"/>
              </w:rPr>
              <w:t>Assets</w:t>
            </w:r>
          </w:p>
        </w:tc>
        <w:tc>
          <w:tcPr>
            <w:tcW w:w="540" w:type="dxa"/>
            <w:vAlign w:val="bottom"/>
          </w:tcPr>
          <w:p>
            <w:pPr>
              <w:jc w:val="right"/>
              <w:spacing w:after="0"/>
              <w:rPr>
                <w:sz w:val="20"/>
                <w:szCs w:val="20"/>
                <w:color w:val="auto"/>
              </w:rPr>
            </w:pPr>
            <w:r>
              <w:rPr>
                <w:rFonts w:ascii="Arial" w:cs="Arial" w:eastAsia="Arial" w:hAnsi="Arial"/>
                <w:sz w:val="15"/>
                <w:szCs w:val="15"/>
                <w:color w:val="auto"/>
              </w:rPr>
              <w:t>25,880</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33,541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Loss on Asset Transactions, net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(811)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Unrealized Loss (Gain) on Fuel Derivatives</w:t>
            </w:r>
          </w:p>
        </w:tc>
        <w:tc>
          <w:tcPr>
            <w:tcW w:w="540" w:type="dxa"/>
            <w:vAlign w:val="bottom"/>
          </w:tcPr>
          <w:p>
            <w:pPr>
              <w:jc w:val="right"/>
              <w:spacing w:after="0"/>
              <w:rPr>
                <w:sz w:val="20"/>
                <w:szCs w:val="20"/>
                <w:color w:val="auto"/>
              </w:rPr>
            </w:pPr>
            <w:r>
              <w:rPr>
                <w:rFonts w:ascii="Arial" w:cs="Arial" w:eastAsia="Arial" w:hAnsi="Arial"/>
                <w:sz w:val="15"/>
                <w:szCs w:val="15"/>
                <w:color w:val="auto"/>
              </w:rPr>
              <w:t>12,206</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(10,791)</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12,006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Over-market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(10,421)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(14,064)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(17,275)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Deferred Income Taxes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(789)</w:t>
            </w:r>
          </w:p>
        </w:tc>
        <w:tc>
          <w:tcPr>
            <w:tcW w:w="540" w:type="dxa"/>
            <w:vAlign w:val="bottom"/>
          </w:tcPr>
          <w:p>
            <w:pPr>
              <w:jc w:val="right"/>
              <w:spacing w:after="0"/>
              <w:rPr>
                <w:sz w:val="20"/>
                <w:szCs w:val="20"/>
                <w:color w:val="auto"/>
              </w:rPr>
            </w:pPr>
            <w:r>
              <w:rPr>
                <w:rFonts w:ascii="Arial" w:cs="Arial" w:eastAsia="Arial" w:hAnsi="Arial"/>
                <w:sz w:val="15"/>
                <w:szCs w:val="15"/>
                <w:color w:val="auto"/>
              </w:rPr>
              <w:t>14,022</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147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Amazon Warrants Vested</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1,866</w:t>
            </w: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Stock-based Compensation Expense</w:t>
            </w:r>
          </w:p>
        </w:tc>
        <w:tc>
          <w:tcPr>
            <w:tcW w:w="540" w:type="dxa"/>
            <w:vAlign w:val="bottom"/>
          </w:tcPr>
          <w:p>
            <w:pPr>
              <w:jc w:val="right"/>
              <w:spacing w:after="0"/>
              <w:rPr>
                <w:sz w:val="20"/>
                <w:szCs w:val="20"/>
                <w:color w:val="auto"/>
              </w:rPr>
            </w:pPr>
            <w:r>
              <w:rPr>
                <w:rFonts w:ascii="Arial" w:cs="Arial" w:eastAsia="Arial" w:hAnsi="Arial"/>
                <w:sz w:val="15"/>
                <w:szCs w:val="15"/>
                <w:color w:val="auto"/>
              </w:rPr>
              <w:t>2,110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1,888</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373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Amortization of Debt Issuance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252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5"/>
                <w:szCs w:val="15"/>
                <w:b w:val="1"/>
                <w:bCs w:val="1"/>
                <w:color w:val="auto"/>
                <w:w w:val="98"/>
              </w:rPr>
              <w:t>Changes in Operating Assets and Liabilities: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Accounts Receivable</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(6,282)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(11,353)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20,732</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8,148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Due From Predecessor Parent</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(7,370)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Inventory</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(614)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156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Prepaid Expenses</w:t>
            </w:r>
          </w:p>
        </w:tc>
        <w:tc>
          <w:tcPr>
            <w:tcW w:w="54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2,278</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(6,171)</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(5,519)</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Lessor Maintenance Deposits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(9,415)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(14,193)</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(3,148)</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540" w:type="dxa"/>
            <w:vAlign w:val="bottom"/>
          </w:tcPr>
          <w:p>
            <w:pPr>
              <w:jc w:val="right"/>
              <w:spacing w:after="0"/>
              <w:rPr>
                <w:sz w:val="20"/>
                <w:szCs w:val="20"/>
                <w:color w:val="auto"/>
              </w:rPr>
            </w:pPr>
            <w:r>
              <w:rPr>
                <w:rFonts w:ascii="Arial" w:cs="Arial" w:eastAsia="Arial" w:hAnsi="Arial"/>
                <w:sz w:val="15"/>
                <w:szCs w:val="15"/>
                <w:color w:val="auto"/>
              </w:rPr>
              <w:t>1,290</w:t>
            </w: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(1,179)</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133</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(1,151)</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(5,447)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(718)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Accounts Payable</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(7,174)</w:t>
            </w:r>
          </w:p>
        </w:tc>
        <w:tc>
          <w:tcPr>
            <w:tcW w:w="540" w:type="dxa"/>
            <w:vAlign w:val="bottom"/>
          </w:tcPr>
          <w:p>
            <w:pPr>
              <w:jc w:val="right"/>
              <w:spacing w:after="0"/>
              <w:rPr>
                <w:sz w:val="20"/>
                <w:szCs w:val="20"/>
                <w:color w:val="auto"/>
              </w:rPr>
            </w:pPr>
            <w:r>
              <w:rPr>
                <w:rFonts w:ascii="Arial" w:cs="Arial" w:eastAsia="Arial" w:hAnsi="Arial"/>
                <w:sz w:val="15"/>
                <w:szCs w:val="15"/>
                <w:color w:val="auto"/>
              </w:rPr>
              <w:t>9,037</w:t>
            </w: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(9,710)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5"/>
                <w:szCs w:val="15"/>
                <w:color w:val="auto"/>
              </w:rPr>
              <w:t>21,690</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(7,845)</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(1,868)</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(15,584)</w:t>
            </w:r>
          </w:p>
        </w:tc>
        <w:tc>
          <w:tcPr>
            <w:tcW w:w="540" w:type="dxa"/>
            <w:vAlign w:val="bottom"/>
          </w:tcPr>
          <w:p>
            <w:pPr>
              <w:jc w:val="right"/>
              <w:spacing w:after="0"/>
              <w:rPr>
                <w:sz w:val="20"/>
                <w:szCs w:val="20"/>
                <w:color w:val="auto"/>
              </w:rPr>
            </w:pPr>
            <w:r>
              <w:rPr>
                <w:rFonts w:ascii="Arial" w:cs="Arial" w:eastAsia="Arial" w:hAnsi="Arial"/>
                <w:sz w:val="15"/>
                <w:szCs w:val="15"/>
                <w:color w:val="auto"/>
              </w:rPr>
              <w:t>11,309</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33,470</w:t>
            </w:r>
          </w:p>
        </w:tc>
        <w:tc>
          <w:tcPr>
            <w:tcW w:w="100" w:type="dxa"/>
            <w:vAlign w:val="bottom"/>
            <w:tcBorders>
              <w:right w:val="single" w:sz="8" w:color="auto"/>
            </w:tcBorders>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(33,983)</w:t>
            </w:r>
          </w:p>
        </w:tc>
        <w:tc>
          <w:tcPr>
            <w:tcW w:w="0" w:type="dxa"/>
            <w:vAlign w:val="bottom"/>
          </w:tcPr>
          <w:p>
            <w:pPr>
              <w:spacing w:after="0"/>
              <w:rPr>
                <w:sz w:val="1"/>
                <w:szCs w:val="1"/>
                <w:color w:val="auto"/>
              </w:rPr>
            </w:pPr>
          </w:p>
        </w:tc>
      </w:tr>
      <w:tr>
        <w:trPr>
          <w:trHeight w:val="209"/>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Loyalty Program Liabilities</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(823)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(5,925)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(13,216)</w:t>
            </w:r>
          </w:p>
        </w:tc>
        <w:tc>
          <w:tcPr>
            <w:tcW w:w="10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9"/>
        </w:trPr>
        <w:tc>
          <w:tcPr>
            <w:tcW w:w="3180" w:type="dxa"/>
            <w:vAlign w:val="bottom"/>
          </w:tcPr>
          <w:p>
            <w:pPr>
              <w:ind w:left="160"/>
              <w:spacing w:after="0"/>
              <w:rPr>
                <w:sz w:val="20"/>
                <w:szCs w:val="20"/>
                <w:color w:val="auto"/>
              </w:rPr>
            </w:pPr>
            <w:r>
              <w:rPr>
                <w:rFonts w:ascii="Arial" w:cs="Arial" w:eastAsia="Arial" w:hAnsi="Arial"/>
                <w:sz w:val="15"/>
                <w:szCs w:val="15"/>
                <w:color w:val="auto"/>
              </w:rPr>
              <w:t>Reduction in Operating Lease Obligations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(28,352)</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(34,365)</w:t>
            </w:r>
          </w:p>
        </w:tc>
        <w:tc>
          <w:tcPr>
            <w:tcW w:w="22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3,635</w:t>
            </w: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(3,581)</w:t>
            </w:r>
          </w:p>
        </w:tc>
        <w:tc>
          <w:tcPr>
            <w:tcW w:w="100" w:type="dxa"/>
            <w:vAlign w:val="bottom"/>
            <w:tcBorders>
              <w:right w:val="single" w:sz="8" w:color="auto"/>
            </w:tcBorders>
            <w:shd w:val="clear" w:color="auto" w:fill="CCEEFF"/>
          </w:tcPr>
          <w:p>
            <w:pPr>
              <w:spacing w:after="0"/>
              <w:rPr>
                <w:sz w:val="20"/>
                <w:szCs w:val="20"/>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(3,585)</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w w:val="94"/>
              </w:rPr>
              <w:t>Net Cash Provided by Operating Activities</w:t>
            </w:r>
          </w:p>
        </w:tc>
        <w:tc>
          <w:tcPr>
            <w:tcW w:w="540" w:type="dxa"/>
            <w:vAlign w:val="bottom"/>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63,272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13,764</w:t>
            </w:r>
          </w:p>
        </w:tc>
        <w:tc>
          <w:tcPr>
            <w:tcW w:w="2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gridSpan w:val="2"/>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4,583</w:t>
            </w:r>
          </w:p>
        </w:tc>
        <w:tc>
          <w:tcPr>
            <w:tcW w:w="0" w:type="dxa"/>
            <w:vAlign w:val="bottom"/>
          </w:tcPr>
          <w:p>
            <w:pPr>
              <w:spacing w:after="0"/>
              <w:rPr>
                <w:sz w:val="1"/>
                <w:szCs w:val="1"/>
                <w:color w:val="auto"/>
              </w:rPr>
            </w:pPr>
          </w:p>
        </w:tc>
      </w:tr>
      <w:tr>
        <w:trPr>
          <w:trHeight w:val="205"/>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Purchases of Property &amp; Equipment</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(96,298)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(69,816)</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(78,687)</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(2,577)</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Property &amp;</w:t>
            </w:r>
          </w:p>
        </w:tc>
        <w:tc>
          <w:tcPr>
            <w:tcW w:w="5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Purchase of Investments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(927)</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(3,394)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(5,372)</w:t>
            </w:r>
          </w:p>
        </w:tc>
        <w:tc>
          <w:tcPr>
            <w:tcW w:w="100" w:type="dxa"/>
            <w:vAlign w:val="bottom"/>
            <w:tcBorders>
              <w:right w:val="single" w:sz="8" w:color="auto"/>
            </w:tcBorders>
          </w:tcPr>
          <w:p>
            <w:pPr>
              <w:spacing w:after="0"/>
              <w:rPr>
                <w:sz w:val="19"/>
                <w:szCs w:val="19"/>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47"/>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Proceeds from the Sale of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w:t>
            </w:r>
          </w:p>
        </w:tc>
        <w:tc>
          <w:tcPr>
            <w:tcW w:w="20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w:t>
            </w:r>
          </w:p>
        </w:tc>
        <w:tc>
          <w:tcPr>
            <w:tcW w:w="20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80" w:type="dxa"/>
            <w:vAlign w:val="bottom"/>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(96,028)</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(69,564)</w:t>
            </w: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(80,823)</w:t>
            </w:r>
          </w:p>
        </w:tc>
        <w:tc>
          <w:tcPr>
            <w:tcW w:w="100" w:type="dxa"/>
            <w:vAlign w:val="bottom"/>
            <w:tcBorders>
              <w:right w:val="single" w:sz="8" w:color="auto"/>
            </w:tcBorders>
          </w:tcPr>
          <w:p>
            <w:pPr>
              <w:spacing w:after="0"/>
              <w:rPr>
                <w:sz w:val="21"/>
                <w:szCs w:val="21"/>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5"/>
                <w:szCs w:val="15"/>
                <w:color w:val="auto"/>
              </w:rPr>
              <w:t>(2,594)</w:t>
            </w:r>
          </w:p>
        </w:tc>
        <w:tc>
          <w:tcPr>
            <w:tcW w:w="0" w:type="dxa"/>
            <w:vAlign w:val="bottom"/>
          </w:tcPr>
          <w:p>
            <w:pPr>
              <w:spacing w:after="0"/>
              <w:rPr>
                <w:sz w:val="1"/>
                <w:szCs w:val="1"/>
                <w:color w:val="auto"/>
              </w:rPr>
            </w:pPr>
          </w:p>
        </w:tc>
      </w:tr>
      <w:tr>
        <w:trPr>
          <w:trHeight w:val="216"/>
        </w:trPr>
        <w:tc>
          <w:tcPr>
            <w:tcW w:w="31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160"/>
              <w:spacing w:after="0"/>
              <w:rPr>
                <w:sz w:val="20"/>
                <w:szCs w:val="20"/>
                <w:color w:val="auto"/>
              </w:rPr>
            </w:pPr>
            <w:r>
              <w:rPr>
                <w:rFonts w:ascii="Arial" w:cs="Arial" w:eastAsia="Arial" w:hAnsi="Arial"/>
                <w:sz w:val="15"/>
                <w:szCs w:val="15"/>
                <w:color w:val="auto"/>
              </w:rPr>
              <w:t>Cash Contributions from Stockholders</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47,866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1"/>
        </w:trPr>
        <w:tc>
          <w:tcPr>
            <w:tcW w:w="3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Distributions to Stockholder</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(10,549)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-431800</wp:posOffset>
            </wp:positionV>
            <wp:extent cx="125730"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-431800</wp:posOffset>
            </wp:positionV>
            <wp:extent cx="362585"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-431800</wp:posOffset>
            </wp:positionV>
            <wp:extent cx="244475"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-431800</wp:posOffset>
            </wp:positionV>
            <wp:extent cx="2483485"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-1443355</wp:posOffset>
            </wp:positionV>
            <wp:extent cx="12573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-1443355</wp:posOffset>
            </wp:positionV>
            <wp:extent cx="362585"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-1443355</wp:posOffset>
            </wp:positionV>
            <wp:extent cx="24447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-1443355</wp:posOffset>
            </wp:positionV>
            <wp:extent cx="2483485"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48348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-5196840</wp:posOffset>
            </wp:positionV>
            <wp:extent cx="3648710"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STATEMENTS OF CASH FLOWS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5"/>
              </w:rPr>
              <w:t>Successor</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6"/>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2"/>
                <w:szCs w:val="12"/>
                <w:b w:val="1"/>
                <w:bCs w:val="1"/>
                <w:color w:val="auto"/>
                <w:w w:val="96"/>
              </w:rPr>
              <w:t>Year Ended December 31,</w:t>
            </w:r>
          </w:p>
        </w:tc>
        <w:tc>
          <w:tcPr>
            <w:tcW w:w="104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2"/>
                <w:szCs w:val="12"/>
                <w:b w:val="1"/>
                <w:bCs w:val="1"/>
                <w:color w:val="auto"/>
                <w:w w:val="85"/>
              </w:rPr>
              <w:t>For the Period</w:t>
            </w:r>
          </w:p>
        </w:tc>
        <w:tc>
          <w:tcPr>
            <w:tcW w:w="6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55"/>
        </w:trPr>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6"/>
              </w:rPr>
              <w:t>April 11, 2018 to</w:t>
            </w:r>
          </w:p>
        </w:tc>
        <w:tc>
          <w:tcPr>
            <w:tcW w:w="60" w:type="dxa"/>
            <w:vAlign w:val="bottom"/>
          </w:tcPr>
          <w:p>
            <w:pPr>
              <w:spacing w:after="0"/>
              <w:rPr>
                <w:sz w:val="4"/>
                <w:szCs w:val="4"/>
                <w:color w:val="auto"/>
              </w:rPr>
            </w:pPr>
          </w:p>
        </w:tc>
        <w:tc>
          <w:tcPr>
            <w:tcW w:w="920" w:type="dxa"/>
            <w:vAlign w:val="bottom"/>
            <w:gridSpan w:val="4"/>
            <w:vMerge w:val="restart"/>
          </w:tcPr>
          <w:p>
            <w:pPr>
              <w:jc w:val="center"/>
              <w:ind w:right="40"/>
              <w:spacing w:after="0" w:line="114" w:lineRule="exact"/>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Borders>
              <w:right w:val="single" w:sz="8" w:color="auto"/>
            </w:tcBorders>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Warrants</w:t>
            </w: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Proceeds from Borrowings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265,307</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41,630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63,341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Proceeds received for Amazon Warrants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Repayment of Finance Lease Obligations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(89,697)</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(8,258)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(3,160)</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9"/>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Repayment of Borrowings</w:t>
            </w: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(69,906)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(10,153)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(5,854)</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14"/>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Debt Issuance Costs</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(4,186)</w:t>
            </w: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Cash Provided by (Used in) Financing</w:t>
            </w: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101,539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27,329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1"/>
              </w:rPr>
              <w:t>102,193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(10,680)</w:t>
            </w:r>
          </w:p>
        </w:tc>
        <w:tc>
          <w:tcPr>
            <w:tcW w:w="0" w:type="dxa"/>
            <w:vAlign w:val="bottom"/>
          </w:tcPr>
          <w:p>
            <w:pPr>
              <w:spacing w:after="0"/>
              <w:rPr>
                <w:sz w:val="1"/>
                <w:szCs w:val="1"/>
                <w:color w:val="auto"/>
              </w:rPr>
            </w:pPr>
          </w:p>
        </w:tc>
      </w:tr>
      <w:tr>
        <w:trPr>
          <w:trHeight w:val="185"/>
        </w:trPr>
        <w:tc>
          <w:tcPr>
            <w:tcW w:w="320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Net Increase / (Decrease) in Cash, Cash</w:t>
            </w: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Equivalents and Restricted Cash</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5,885</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21,037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35,133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(8,691)</w:t>
            </w:r>
          </w:p>
        </w:tc>
        <w:tc>
          <w:tcPr>
            <w:tcW w:w="0" w:type="dxa"/>
            <w:vAlign w:val="bottom"/>
          </w:tcPr>
          <w:p>
            <w:pPr>
              <w:spacing w:after="0"/>
              <w:rPr>
                <w:sz w:val="1"/>
                <w:szCs w:val="1"/>
                <w:color w:val="auto"/>
              </w:rPr>
            </w:pPr>
          </w:p>
        </w:tc>
      </w:tr>
      <w:tr>
        <w:trPr>
          <w:trHeight w:val="200"/>
        </w:trPr>
        <w:tc>
          <w:tcPr>
            <w:tcW w:w="3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2"/>
              </w:rPr>
              <w:t>Cash, Cash Equivalents and Restricted Cash–</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Beginning of the Period</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64,478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43,441</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8,308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1"/>
              </w:rPr>
              <w:t>16,999</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w w:val="88"/>
              </w:rPr>
              <w:t>Cash, Cash Equivalents and Restricted Cash–End</w:t>
            </w: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70,363</w:t>
            </w:r>
          </w:p>
        </w:tc>
        <w:tc>
          <w:tcPr>
            <w:tcW w:w="180" w:type="dxa"/>
            <w:vAlign w:val="bottom"/>
            <w:vMerge w:val="restart"/>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64,478</w:t>
            </w:r>
          </w:p>
        </w:tc>
        <w:tc>
          <w:tcPr>
            <w:tcW w:w="16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w w:val="95"/>
              </w:rPr>
              <w:t>43,441</w:t>
            </w:r>
          </w:p>
        </w:tc>
        <w:tc>
          <w:tcPr>
            <w:tcW w:w="100" w:type="dxa"/>
            <w:vAlign w:val="bottom"/>
            <w:tcBorders>
              <w:right w:val="single" w:sz="8" w:color="auto"/>
            </w:tcBorders>
          </w:tcPr>
          <w:p>
            <w:pPr>
              <w:spacing w:after="0"/>
              <w:rPr>
                <w:sz w:val="16"/>
                <w:szCs w:val="16"/>
                <w:color w:val="auto"/>
              </w:rPr>
            </w:pP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8,308</w:t>
            </w:r>
          </w:p>
        </w:tc>
        <w:tc>
          <w:tcPr>
            <w:tcW w:w="0" w:type="dxa"/>
            <w:vAlign w:val="bottom"/>
          </w:tcPr>
          <w:p>
            <w:pPr>
              <w:spacing w:after="0"/>
              <w:rPr>
                <w:sz w:val="1"/>
                <w:szCs w:val="1"/>
                <w:color w:val="auto"/>
              </w:rPr>
            </w:pPr>
          </w:p>
        </w:tc>
      </w:tr>
      <w:tr>
        <w:trPr>
          <w:trHeight w:val="196"/>
        </w:trPr>
        <w:tc>
          <w:tcPr>
            <w:tcW w:w="3200" w:type="dxa"/>
            <w:vAlign w:val="bottom"/>
            <w:gridSpan w:val="2"/>
          </w:tcPr>
          <w:p>
            <w:pPr>
              <w:ind w:left="160"/>
              <w:spacing w:after="0"/>
              <w:rPr>
                <w:sz w:val="20"/>
                <w:szCs w:val="20"/>
                <w:color w:val="auto"/>
              </w:rPr>
            </w:pPr>
            <w:r>
              <w:rPr>
                <w:rFonts w:ascii="Arial" w:cs="Arial" w:eastAsia="Arial" w:hAnsi="Arial"/>
                <w:sz w:val="15"/>
                <w:szCs w:val="15"/>
                <w:b w:val="1"/>
                <w:bCs w:val="1"/>
                <w:color w:val="auto"/>
              </w:rPr>
              <w:t>of the Period</w:t>
            </w: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Supplemental information:</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Cash Payments for Interest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20,304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16,424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4,364</w:t>
            </w:r>
          </w:p>
        </w:tc>
        <w:tc>
          <w:tcPr>
            <w:tcW w:w="100" w:type="dxa"/>
            <w:vAlign w:val="bottom"/>
            <w:tcBorders>
              <w:right w:val="single" w:sz="8" w:color="auto"/>
            </w:tcBorders>
          </w:tcPr>
          <w:p>
            <w:pPr>
              <w:spacing w:after="0"/>
              <w:rPr>
                <w:sz w:val="19"/>
                <w:szCs w:val="19"/>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220"/>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Cash Payments for Income Taxes, net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rPr>
              <w:t>Non-cash transactions: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98"/>
              </w:rPr>
              <w:t>Lease Deposits Applied Against the Purchase</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of Aircraft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19,976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Aircraft and Flight Equipment Acquired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through Finance Leases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84"/>
              </w:rPr>
              <w:t>108,978</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84,773</w:t>
            </w:r>
          </w:p>
        </w:tc>
        <w:tc>
          <w:tcPr>
            <w:tcW w:w="100" w:type="dxa"/>
            <w:vAlign w:val="bottom"/>
            <w:tcBorders>
              <w:right w:val="single" w:sz="8" w:color="auto"/>
            </w:tcBorders>
          </w:tcPr>
          <w:p>
            <w:pPr>
              <w:spacing w:after="0"/>
              <w:rPr>
                <w:sz w:val="16"/>
                <w:szCs w:val="16"/>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Right-of-use Assets Acquired through</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Operating Leases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gridSpan w:val="2"/>
          </w:tcPr>
          <w:p>
            <w:pPr>
              <w:ind w:left="160"/>
              <w:spacing w:after="0"/>
              <w:rPr>
                <w:sz w:val="20"/>
                <w:szCs w:val="20"/>
                <w:color w:val="auto"/>
              </w:rPr>
            </w:pPr>
            <w:r>
              <w:rPr>
                <w:rFonts w:ascii="Arial" w:cs="Arial" w:eastAsia="Arial" w:hAnsi="Arial"/>
                <w:sz w:val="15"/>
                <w:szCs w:val="15"/>
                <w:color w:val="auto"/>
              </w:rPr>
              <w:t>Purchases of Property &amp; Equipment in</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0" w:type="dxa"/>
            <w:vAlign w:val="bottom"/>
            <w:gridSpan w:val="2"/>
          </w:tcPr>
          <w:p>
            <w:pPr>
              <w:ind w:left="300"/>
              <w:spacing w:after="0"/>
              <w:rPr>
                <w:sz w:val="20"/>
                <w:szCs w:val="20"/>
                <w:color w:val="auto"/>
              </w:rPr>
            </w:pPr>
            <w:r>
              <w:rPr>
                <w:rFonts w:ascii="Arial" w:cs="Arial" w:eastAsia="Arial" w:hAnsi="Arial"/>
                <w:sz w:val="15"/>
                <w:szCs w:val="15"/>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734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991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32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3,500</w:t>
            </w:r>
          </w:p>
        </w:tc>
        <w:tc>
          <w:tcPr>
            <w:tcW w:w="100" w:type="dxa"/>
            <w:vAlign w:val="bottom"/>
            <w:tcBorders>
              <w:right w:val="single" w:sz="8" w:color="auto"/>
            </w:tcBorders>
            <w:shd w:val="clear" w:color="auto" w:fill="CCEEFF"/>
          </w:tcPr>
          <w:p>
            <w:pPr>
              <w:spacing w:after="0"/>
              <w:rPr>
                <w:sz w:val="19"/>
                <w:szCs w:val="19"/>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-2741295</wp:posOffset>
            </wp:positionV>
            <wp:extent cx="12573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5730"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-2741295</wp:posOffset>
            </wp:positionV>
            <wp:extent cx="34163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-2741295</wp:posOffset>
            </wp:positionV>
            <wp:extent cx="223520"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235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-2741295</wp:posOffset>
            </wp:positionV>
            <wp:extent cx="249745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49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-3662045</wp:posOffset>
            </wp:positionV>
            <wp:extent cx="3648710"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648710"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64" w:lineRule="auto"/>
        <w:rPr>
          <w:sz w:val="20"/>
          <w:szCs w:val="20"/>
          <w:color w:val="auto"/>
        </w:rPr>
      </w:pPr>
      <w:r>
        <w:rPr>
          <w:rFonts w:ascii="Arial" w:cs="Arial" w:eastAsia="Arial" w:hAnsi="Arial"/>
          <w:sz w:val="15"/>
          <w:szCs w:val="15"/>
          <w:color w:val="auto"/>
        </w:rPr>
        <w:t>The following provides a reconciliation of Cash, Cash Equivalents and Restricted Cash to the amounts reported on the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3"/>
            <w:vMerge w:val="restart"/>
          </w:tcPr>
          <w:p>
            <w:pPr>
              <w:jc w:val="center"/>
              <w:ind w:right="420"/>
              <w:spacing w:after="0"/>
              <w:rPr>
                <w:sz w:val="20"/>
                <w:szCs w:val="20"/>
                <w:color w:val="auto"/>
              </w:rPr>
            </w:pPr>
            <w:r>
              <w:rPr>
                <w:rFonts w:ascii="Arial" w:cs="Arial" w:eastAsia="Arial" w:hAnsi="Arial"/>
                <w:sz w:val="12"/>
                <w:szCs w:val="12"/>
                <w:b w:val="1"/>
                <w:bCs w:val="1"/>
                <w:color w:val="auto"/>
                <w:w w:val="75"/>
              </w:rPr>
              <w:t>Successor</w:t>
            </w: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4"/>
            <w:vMerge w:val="restart"/>
          </w:tcPr>
          <w:p>
            <w:pPr>
              <w:jc w:val="right"/>
              <w:ind w:right="60"/>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line="20" w:lineRule="exact"/>
              <w:rPr>
                <w:sz w:val="1"/>
                <w:szCs w:val="1"/>
                <w:color w:val="auto"/>
              </w:rPr>
            </w:pPr>
          </w:p>
        </w:tc>
      </w:tr>
      <w:tr>
        <w:trPr>
          <w:trHeight w:val="122"/>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2019</w:t>
            </w:r>
          </w:p>
        </w:tc>
        <w:tc>
          <w:tcPr>
            <w:tcW w:w="1040" w:type="dxa"/>
            <w:vAlign w:val="bottom"/>
            <w:tcBorders>
              <w:right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0"/>
              </w:rPr>
              <w:t>December 31, 2018</w:t>
            </w:r>
          </w:p>
        </w:tc>
        <w:tc>
          <w:tcPr>
            <w:tcW w:w="8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$62,028</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$51,006</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$29,600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8,335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13,472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13,841</w:t>
            </w:r>
          </w:p>
        </w:tc>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rPr>
              <w:t>Total Cash, Cash Equivalents and</w:t>
            </w: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40" w:type="dxa"/>
            <w:vAlign w:val="bottom"/>
            <w:vMerge w:val="continue"/>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$70,363</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$64,478</w:t>
            </w:r>
          </w:p>
        </w:tc>
        <w:tc>
          <w:tcPr>
            <w:tcW w:w="18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$43,441</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79"/>
              </w:rPr>
              <w:t>8,308</w:t>
            </w:r>
          </w:p>
        </w:tc>
        <w:tc>
          <w:tcPr>
            <w:tcW w:w="0" w:type="dxa"/>
            <w:vAlign w:val="bottom"/>
          </w:tcPr>
          <w:p>
            <w:pPr>
              <w:spacing w:after="0"/>
              <w:rPr>
                <w:sz w:val="1"/>
                <w:szCs w:val="1"/>
                <w:color w:val="auto"/>
              </w:rPr>
            </w:pPr>
          </w:p>
        </w:tc>
      </w:tr>
      <w:tr>
        <w:trPr>
          <w:trHeight w:val="232"/>
        </w:trPr>
        <w:tc>
          <w:tcPr>
            <w:tcW w:w="26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Restricted Cash</w:t>
            </w: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vMerge w:val="continue"/>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-278130</wp:posOffset>
            </wp:positionV>
            <wp:extent cx="90805"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90805"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-278130</wp:posOffset>
            </wp:positionV>
            <wp:extent cx="341630"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163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-278130</wp:posOffset>
            </wp:positionV>
            <wp:extent cx="40449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-278130</wp:posOffset>
            </wp:positionV>
            <wp:extent cx="2532380"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532380"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-557530</wp:posOffset>
            </wp:positionV>
            <wp:extent cx="10477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-557530</wp:posOffset>
            </wp:positionV>
            <wp:extent cx="111760"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-557530</wp:posOffset>
            </wp:positionV>
            <wp:extent cx="238569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38569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2" w:name="page203"/>
    <w:bookmarkEnd w:id="202"/>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w:t>
      </w:r>
    </w:p>
    <w:p>
      <w:pPr>
        <w:spacing w:after="0" w:line="128" w:lineRule="exact"/>
        <w:rPr>
          <w:sz w:val="20"/>
          <w:szCs w:val="20"/>
          <w:color w:val="auto"/>
        </w:rPr>
      </w:pPr>
    </w:p>
    <w:p>
      <w:pPr>
        <w:ind w:left="1160" w:right="1279" w:firstLine="293"/>
        <w:spacing w:after="0" w:line="252" w:lineRule="auto"/>
        <w:rPr>
          <w:sz w:val="20"/>
          <w:szCs w:val="20"/>
          <w:color w:val="auto"/>
        </w:rPr>
      </w:pPr>
      <w:r>
        <w:rPr>
          <w:rFonts w:ascii="Arial" w:cs="Arial" w:eastAsia="Arial" w:hAnsi="Arial"/>
          <w:sz w:val="14"/>
          <w:szCs w:val="14"/>
          <w:color w:val="auto"/>
        </w:rPr>
        <w:t>Sun Country Airlines Holdings, Inc. f/k/a SCA Acquisition Holdings, LLC (the “Successor”) was formed on December 8, 2017 by funds managed by affiliates of Apollo Global Management (“Apollo”) for the purpose of purchasing (the “Acquisition”) Sun Country, Inc. d/b/a Sun Country Airlines (the “Predecessor”). Sun Country, Inc. f/k/a MN Airlines, LLC is a privately-owned certified air carrier providing scheduled passenger service, air cargo service, charter air transportation and related services. Except as otherwise stated, the financial information, accounting policies, and activities of Sun Country Airlines are referred to as those of the Company (the “Company”, “SCA” or “Sun Country”).</w:t>
      </w:r>
    </w:p>
    <w:p>
      <w:pPr>
        <w:spacing w:after="0" w:line="80" w:lineRule="exact"/>
        <w:rPr>
          <w:sz w:val="20"/>
          <w:szCs w:val="20"/>
          <w:color w:val="auto"/>
        </w:rPr>
      </w:pPr>
    </w:p>
    <w:p>
      <w:pPr>
        <w:ind w:left="1160" w:right="1319" w:firstLine="293"/>
        <w:spacing w:after="0" w:line="274" w:lineRule="auto"/>
        <w:rPr>
          <w:sz w:val="20"/>
          <w:szCs w:val="20"/>
          <w:color w:val="auto"/>
        </w:rPr>
      </w:pPr>
      <w:r>
        <w:rPr>
          <w:rFonts w:ascii="Arial" w:cs="Arial" w:eastAsia="Arial" w:hAnsi="Arial"/>
          <w:sz w:val="14"/>
          <w:szCs w:val="14"/>
          <w:color w:val="auto"/>
        </w:rPr>
        <w:t>On April 11, 2018 (the “Acquisition Date”), SCA Acquisition Holdings, LLC acquired 100 percent of MN Airlines’ stockholder equity. The Acquisition was accounted for as a business combination using the purchase method of accounting, which requires, among other things, that assets acquired and liabilities assumed be recognized on the balance sheet at their fair value as of the Acquisition Date.</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Reorganization Transactions</w:t>
      </w:r>
    </w:p>
    <w:p>
      <w:pPr>
        <w:spacing w:after="0" w:line="128"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color w:val="auto"/>
        </w:rPr>
        <w:t>On January 31, 2020, all 40,005,885 outstanding Apollo Warrants were exercised to purchase common stock of SCA Acquisition Holdings, LLC. Also on January 31, 2020, SCA Acquisition Holdings, LLC was converted into a Delaware corporation pursuant to a statutory conversion and changed its name to Sun Country Airlines Holdings, Inc. In connection with the conversion to a corporation, all of the outstanding shares of SCA Acquisition Holdings, LLC common stock with a $0.01 par value were converted into shares of Sun Country Airlines Holdings, Inc. common stock. The outstanding warrants held by Amazon to purchase shares of SCA Acquisition Holdings, LLC common stock were converted into warrants to purchase shares of Sun Country Airlines Holdings, Inc. common stock and all of the outstanding options to purchase shares of SCA Acquisition Holdings, LLC common stock were converted into options to purchase shares of Sun Country Airlines Holdings, Inc. common stock.</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Amazon Agreement</w:t>
      </w:r>
    </w:p>
    <w:p>
      <w:pPr>
        <w:spacing w:after="0" w:line="128"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On December 13, 2019, the Company signed a six-year contract (with two, two-year extension options, for a maximum term of 10 years) with Amazon.com Services, Inc. (together with its affiliates, “Amazon”) to provide air cargo services (“Amazon Agreement”). The option to renew the Amazon Agreement for two additional two-year terms is at Amazon’s sole discretion, subject to Amazon providing Sun Country with at least 180 days’ prior written notice before the expiration of the then-current term. Sun Country began flying for Amazon in the second quarter of 2020. On June 27, 2020, Amazon and the Company signed an amendment to the December 13, 2019 agreement that added two aircraft. As of December 31, 2020, Sun Country operates 12 Boeing 737-800 cargo aircraft for Amazon.</w:t>
      </w:r>
    </w:p>
    <w:p>
      <w:pPr>
        <w:spacing w:after="0" w:line="83" w:lineRule="exact"/>
        <w:rPr>
          <w:sz w:val="20"/>
          <w:szCs w:val="20"/>
          <w:color w:val="auto"/>
        </w:rPr>
      </w:pPr>
    </w:p>
    <w:p>
      <w:pPr>
        <w:jc w:val="both"/>
        <w:ind w:left="1160" w:right="1379" w:firstLine="293"/>
        <w:spacing w:after="0" w:line="274" w:lineRule="auto"/>
        <w:rPr>
          <w:sz w:val="20"/>
          <w:szCs w:val="20"/>
          <w:color w:val="auto"/>
        </w:rPr>
      </w:pPr>
      <w:r>
        <w:rPr>
          <w:rFonts w:ascii="Arial" w:cs="Arial" w:eastAsia="Arial" w:hAnsi="Arial"/>
          <w:sz w:val="14"/>
          <w:szCs w:val="14"/>
          <w:color w:val="auto"/>
        </w:rPr>
        <w:t>Amazon supplies the aircraft and reimburses the Company for certain operating expenses, including fuel and heavy maintenance. The aircraft fly under the Company’s air carrier operating certificate and the Company supplies the crew, non-heavy maintenance and insurance for the aircraft. Amazon pays a fixed monthly fee per aircraft as well as a set rate per flight cycle and block hour flown.</w:t>
      </w:r>
    </w:p>
    <w:p>
      <w:pPr>
        <w:spacing w:after="0" w:line="89" w:lineRule="exact"/>
        <w:rPr>
          <w:sz w:val="20"/>
          <w:szCs w:val="20"/>
          <w:color w:val="auto"/>
        </w:rPr>
      </w:pPr>
    </w:p>
    <w:p>
      <w:pPr>
        <w:ind w:left="1160" w:right="1179" w:firstLine="293"/>
        <w:spacing w:after="0" w:line="266" w:lineRule="auto"/>
        <w:rPr>
          <w:sz w:val="20"/>
          <w:szCs w:val="20"/>
          <w:color w:val="auto"/>
        </w:rPr>
      </w:pPr>
      <w:r>
        <w:rPr>
          <w:rFonts w:ascii="Arial" w:cs="Arial" w:eastAsia="Arial" w:hAnsi="Arial"/>
          <w:sz w:val="14"/>
          <w:szCs w:val="14"/>
          <w:color w:val="auto"/>
        </w:rPr>
        <w:t>In December 2019, in connection with the Amazon Agreement, the Company issued warrants to Amazon to purchase an aggregate of up to 9,482,606 shares of common stock at an exercise price of approximately $15.17 per share, which represented approximately 15% of the Company’s common stock on that date. The exercise period of these warrants is through the eighth anniversary of the issue date. The Amazon warrants were valued at $7.38 per share. The fair value of the warrants was determined using a Monte Carlo simulation which involves inputs such as expected volatility, the risk-free rate of return and the probability of achieving varying outcomes under the Amazon Agreement. The fair value of warrants that are expected to vest in the future will be recorded as contra-revenue over the vesting term of the warrants on a pro-rata basis as the flights occur. For so long as Amazon holds these warrants or any shares of common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3" w:name="page204"/>
    <w:bookmarkEnd w:id="203"/>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 (continued)</w:t>
      </w:r>
    </w:p>
    <w:p>
      <w:pPr>
        <w:spacing w:after="0" w:line="183" w:lineRule="exact"/>
        <w:rPr>
          <w:sz w:val="20"/>
          <w:szCs w:val="20"/>
          <w:color w:val="auto"/>
        </w:rPr>
      </w:pPr>
    </w:p>
    <w:p>
      <w:pPr>
        <w:ind w:left="1160" w:right="1239"/>
        <w:spacing w:after="0" w:line="248" w:lineRule="auto"/>
        <w:rPr>
          <w:sz w:val="20"/>
          <w:szCs w:val="20"/>
          <w:color w:val="auto"/>
        </w:rPr>
      </w:pPr>
      <w:r>
        <w:rPr>
          <w:rFonts w:ascii="Arial" w:cs="Arial" w:eastAsia="Arial" w:hAnsi="Arial"/>
          <w:sz w:val="15"/>
          <w:szCs w:val="15"/>
          <w:color w:val="auto"/>
        </w:rPr>
        <w:t>stock issued upon exercise of the warrants and the Amazon Agreement remains in effect, Amazon will have the right to nominate a member or an observer to SCA’s board of directors.</w:t>
      </w:r>
    </w:p>
    <w:p>
      <w:pPr>
        <w:spacing w:after="0" w:line="94" w:lineRule="exact"/>
        <w:rPr>
          <w:sz w:val="20"/>
          <w:szCs w:val="20"/>
          <w:color w:val="auto"/>
        </w:rPr>
      </w:pPr>
    </w:p>
    <w:p>
      <w:pPr>
        <w:ind w:left="1160" w:right="1219" w:firstLine="293"/>
        <w:spacing w:after="0" w:line="258" w:lineRule="auto"/>
        <w:rPr>
          <w:sz w:val="20"/>
          <w:szCs w:val="20"/>
          <w:color w:val="auto"/>
        </w:rPr>
      </w:pPr>
      <w:r>
        <w:rPr>
          <w:rFonts w:ascii="Arial" w:cs="Arial" w:eastAsia="Arial" w:hAnsi="Arial"/>
          <w:sz w:val="14"/>
          <w:szCs w:val="14"/>
          <w:color w:val="auto"/>
        </w:rPr>
        <w:t>Of the 9,482,606 total Amazon warrants issued, 632,183 vested upon execution of the Amazon Agreement on December 13, 2019. Thereafter, an additional 63,217 warrants will vest for each milestone of $8 million in payments made by Amazon to the Company, excluding reimbursable and direct pass-through expenses. During the year ended December 31, 2020, 252,869 warrants vested.</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 AND SUMMARY OF SIGNIFICANT ACCOUNTING POLICIES</w:t>
      </w:r>
    </w:p>
    <w:p>
      <w:pPr>
        <w:spacing w:after="0" w:line="113" w:lineRule="exact"/>
        <w:rPr>
          <w:sz w:val="20"/>
          <w:szCs w:val="20"/>
          <w:color w:val="auto"/>
        </w:rPr>
      </w:pPr>
    </w:p>
    <w:p>
      <w:pPr>
        <w:ind w:left="1160" w:right="1219" w:firstLine="293"/>
        <w:spacing w:after="0" w:line="238" w:lineRule="auto"/>
        <w:rPr>
          <w:sz w:val="20"/>
          <w:szCs w:val="20"/>
          <w:color w:val="auto"/>
        </w:rPr>
      </w:pPr>
      <w:r>
        <w:rPr>
          <w:rFonts w:ascii="Arial" w:cs="Arial" w:eastAsia="Arial" w:hAnsi="Arial"/>
          <w:sz w:val="15"/>
          <w:szCs w:val="15"/>
          <w:b w:val="1"/>
          <w:bCs w:val="1"/>
          <w:color w:val="auto"/>
        </w:rPr>
        <w:t>Principles of Consolidation—</w:t>
      </w:r>
      <w:r>
        <w:rPr>
          <w:rFonts w:ascii="Arial" w:cs="Arial" w:eastAsia="Arial" w:hAnsi="Arial"/>
          <w:sz w:val="15"/>
          <w:szCs w:val="15"/>
          <w:color w:val="auto"/>
        </w:rPr>
        <w:t>The consolidated financial statements include the accounts of Sun Country</w:t>
      </w:r>
      <w:r>
        <w:rPr>
          <w:rFonts w:ascii="Arial" w:cs="Arial" w:eastAsia="Arial" w:hAnsi="Arial"/>
          <w:sz w:val="15"/>
          <w:szCs w:val="15"/>
          <w:b w:val="1"/>
          <w:bCs w:val="1"/>
          <w:color w:val="auto"/>
        </w:rPr>
        <w:t xml:space="preserve"> </w:t>
      </w:r>
      <w:r>
        <w:rPr>
          <w:rFonts w:ascii="Arial" w:cs="Arial" w:eastAsia="Arial" w:hAnsi="Arial"/>
          <w:sz w:val="15"/>
          <w:szCs w:val="15"/>
          <w:color w:val="auto"/>
        </w:rPr>
        <w:t>Airlines Holdings, Inc. and its subsidiaries and have been prepared in accordance with U.S. Generally Accepted Accounting Principles (“GAAP”). All material intercompany balances and transactions have been eliminated in consolidation.</w:t>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The Company operates its fiscal year on a calendar year basis.</w:t>
      </w:r>
    </w:p>
    <w:p>
      <w:pPr>
        <w:spacing w:after="0" w:line="120" w:lineRule="exact"/>
        <w:rPr>
          <w:sz w:val="20"/>
          <w:szCs w:val="20"/>
          <w:color w:val="auto"/>
        </w:rPr>
      </w:pPr>
    </w:p>
    <w:p>
      <w:pPr>
        <w:ind w:left="1160" w:right="1199" w:firstLine="293"/>
        <w:spacing w:after="0" w:line="275" w:lineRule="auto"/>
        <w:rPr>
          <w:sz w:val="20"/>
          <w:szCs w:val="20"/>
          <w:color w:val="auto"/>
        </w:rPr>
      </w:pPr>
      <w:r>
        <w:rPr>
          <w:rFonts w:ascii="Arial" w:cs="Arial" w:eastAsia="Arial" w:hAnsi="Arial"/>
          <w:sz w:val="13"/>
          <w:szCs w:val="13"/>
          <w:b w:val="1"/>
          <w:bCs w:val="1"/>
          <w:color w:val="auto"/>
        </w:rPr>
        <w:t>Use of Estimates—</w:t>
      </w:r>
      <w:r>
        <w:rPr>
          <w:rFonts w:ascii="Arial" w:cs="Arial" w:eastAsia="Arial" w:hAnsi="Arial"/>
          <w:sz w:val="13"/>
          <w:szCs w:val="13"/>
          <w:color w:val="auto"/>
        </w:rPr>
        <w:t>Preparation of the financial statements in conformity with GAAP requires</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to make estimates and assumptions that 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and acquired intangibles, maintenance deposits, loyalty program liabilities, passenger revenue breakage, valuation of derivative positions, valuation of warrants issued to Amazon, and income taxes.</w:t>
      </w:r>
    </w:p>
    <w:p>
      <w:pPr>
        <w:spacing w:after="0" w:line="64"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Change in Presentation—</w:t>
      </w:r>
      <w:r>
        <w:rPr>
          <w:rFonts w:ascii="Arial" w:cs="Arial" w:eastAsia="Arial" w:hAnsi="Arial"/>
          <w:sz w:val="15"/>
          <w:szCs w:val="15"/>
          <w:color w:val="auto"/>
        </w:rPr>
        <w:t>The Company changed the prior year presentations within the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Statements of Cash Flows to present the change in Accrued Transportation Taxes on its own line, which was previously included in the change in Other Liabilities.</w:t>
      </w:r>
    </w:p>
    <w:p>
      <w:pPr>
        <w:spacing w:after="0" w:line="151" w:lineRule="exact"/>
        <w:rPr>
          <w:sz w:val="20"/>
          <w:szCs w:val="20"/>
          <w:color w:val="auto"/>
        </w:rPr>
      </w:pPr>
    </w:p>
    <w:p>
      <w:pPr>
        <w:ind w:left="1160" w:right="1579"/>
        <w:spacing w:after="0" w:line="254" w:lineRule="auto"/>
        <w:rPr>
          <w:sz w:val="20"/>
          <w:szCs w:val="20"/>
          <w:color w:val="auto"/>
        </w:rPr>
      </w:pPr>
      <w:r>
        <w:rPr>
          <w:rFonts w:ascii="Arial" w:cs="Arial" w:eastAsia="Arial" w:hAnsi="Arial"/>
          <w:sz w:val="15"/>
          <w:szCs w:val="15"/>
          <w:b w:val="1"/>
          <w:bCs w:val="1"/>
          <w:color w:val="auto"/>
        </w:rPr>
        <w:t>A summary of significant accounting policies consistently applied in the preparation of the accompanying financial statements is as follows:</w:t>
      </w:r>
    </w:p>
    <w:p>
      <w:pPr>
        <w:spacing w:after="0" w:line="85"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Cash and Equivalents—</w:t>
      </w:r>
      <w:r>
        <w:rPr>
          <w:rFonts w:ascii="Arial" w:cs="Arial" w:eastAsia="Arial" w:hAnsi="Arial"/>
          <w:sz w:val="15"/>
          <w:szCs w:val="15"/>
          <w:color w:val="auto"/>
        </w:rPr>
        <w:t>The Company considers all highly liquid investments with an original maturity</w:t>
      </w:r>
      <w:r>
        <w:rPr>
          <w:rFonts w:ascii="Arial" w:cs="Arial" w:eastAsia="Arial" w:hAnsi="Arial"/>
          <w:sz w:val="15"/>
          <w:szCs w:val="15"/>
          <w:b w:val="1"/>
          <w:bCs w:val="1"/>
          <w:color w:val="auto"/>
        </w:rPr>
        <w:t xml:space="preserve"> </w:t>
      </w:r>
      <w:r>
        <w:rPr>
          <w:rFonts w:ascii="Arial" w:cs="Arial" w:eastAsia="Arial" w:hAnsi="Arial"/>
          <w:sz w:val="15"/>
          <w:szCs w:val="15"/>
          <w:color w:val="auto"/>
        </w:rPr>
        <w:t>of three months or less to be cash equivalents. The Company maintains cash balances at several financial institutions; at times, such balances may be in excess of insurance limits. The Company has not experienced any losses on these balances.</w:t>
      </w:r>
    </w:p>
    <w:p>
      <w:pPr>
        <w:spacing w:after="0" w:line="96" w:lineRule="exact"/>
        <w:rPr>
          <w:sz w:val="20"/>
          <w:szCs w:val="20"/>
          <w:color w:val="auto"/>
        </w:rPr>
      </w:pPr>
    </w:p>
    <w:p>
      <w:pPr>
        <w:jc w:val="both"/>
        <w:ind w:left="1160" w:right="1339" w:firstLine="293"/>
        <w:spacing w:after="0" w:line="236" w:lineRule="auto"/>
        <w:rPr>
          <w:sz w:val="20"/>
          <w:szCs w:val="20"/>
          <w:color w:val="auto"/>
        </w:rPr>
      </w:pPr>
      <w:r>
        <w:rPr>
          <w:rFonts w:ascii="Arial" w:cs="Arial" w:eastAsia="Arial" w:hAnsi="Arial"/>
          <w:sz w:val="15"/>
          <w:szCs w:val="15"/>
          <w:b w:val="1"/>
          <w:bCs w:val="1"/>
          <w:color w:val="auto"/>
        </w:rPr>
        <w:t>Restricted Cash—</w:t>
      </w:r>
      <w:r>
        <w:rPr>
          <w:rFonts w:ascii="Arial" w:cs="Arial" w:eastAsia="Arial" w:hAnsi="Arial"/>
          <w:sz w:val="15"/>
          <w:szCs w:val="15"/>
          <w:color w:val="auto"/>
        </w:rPr>
        <w:t>Charter revenue receipts received prior to the date of transportation are recorded as</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Cash and as a component of the Air Traffic Liabilities. Department of Transportation (“DOT”) regulations require that charter revenue receipts received prior to the date of transportation are maintained in a separate third - party escrow account and the restrictions are released once transportation is provided, which is typically within 12 months of booking.</w:t>
      </w:r>
    </w:p>
    <w:p>
      <w:pPr>
        <w:spacing w:after="0" w:line="86" w:lineRule="exact"/>
        <w:rPr>
          <w:sz w:val="20"/>
          <w:szCs w:val="20"/>
          <w:color w:val="auto"/>
        </w:rPr>
      </w:pPr>
    </w:p>
    <w:p>
      <w:pPr>
        <w:ind w:left="1160" w:right="1379" w:firstLine="293"/>
        <w:spacing w:after="0" w:line="267" w:lineRule="auto"/>
        <w:rPr>
          <w:sz w:val="20"/>
          <w:szCs w:val="20"/>
          <w:color w:val="auto"/>
        </w:rPr>
      </w:pPr>
      <w:r>
        <w:rPr>
          <w:rFonts w:ascii="Arial" w:cs="Arial" w:eastAsia="Arial" w:hAnsi="Arial"/>
          <w:sz w:val="14"/>
          <w:szCs w:val="14"/>
          <w:b w:val="1"/>
          <w:bCs w:val="1"/>
          <w:color w:val="auto"/>
        </w:rPr>
        <w:t>Investments—</w:t>
      </w:r>
      <w:r>
        <w:rPr>
          <w:rFonts w:ascii="Arial" w:cs="Arial" w:eastAsia="Arial" w:hAnsi="Arial"/>
          <w:sz w:val="14"/>
          <w:szCs w:val="14"/>
          <w:color w:val="auto"/>
        </w:rPr>
        <w:t>Investments consist of certificates of deposit and are recorded at cost, plus accrued</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The certificates of deposit serve as collateral for letters of credit required by various airports and other vendors. All of the certificates have original maturities greater than 90 days.</w:t>
      </w:r>
    </w:p>
    <w:p>
      <w:pPr>
        <w:spacing w:after="0" w:line="78" w:lineRule="exact"/>
        <w:rPr>
          <w:sz w:val="20"/>
          <w:szCs w:val="20"/>
          <w:color w:val="auto"/>
        </w:rPr>
      </w:pPr>
    </w:p>
    <w:p>
      <w:pPr>
        <w:ind w:left="1160" w:right="1319" w:firstLine="293"/>
        <w:spacing w:after="0" w:line="234" w:lineRule="auto"/>
        <w:rPr>
          <w:sz w:val="20"/>
          <w:szCs w:val="20"/>
          <w:color w:val="auto"/>
        </w:rPr>
      </w:pPr>
      <w:r>
        <w:rPr>
          <w:rFonts w:ascii="Arial" w:cs="Arial" w:eastAsia="Arial" w:hAnsi="Arial"/>
          <w:sz w:val="15"/>
          <w:szCs w:val="15"/>
          <w:b w:val="1"/>
          <w:bCs w:val="1"/>
          <w:color w:val="auto"/>
        </w:rPr>
        <w:t>Accounts Receivable—</w:t>
      </w:r>
      <w:r>
        <w:rPr>
          <w:rFonts w:ascii="Arial" w:cs="Arial" w:eastAsia="Arial" w:hAnsi="Arial"/>
          <w:sz w:val="15"/>
          <w:szCs w:val="15"/>
          <w:color w:val="auto"/>
        </w:rPr>
        <w:t>Accounts receivable are recorded at the amount due from customers and do not</w:t>
      </w:r>
      <w:r>
        <w:rPr>
          <w:rFonts w:ascii="Arial" w:cs="Arial" w:eastAsia="Arial" w:hAnsi="Arial"/>
          <w:sz w:val="15"/>
          <w:szCs w:val="15"/>
          <w:b w:val="1"/>
          <w:bCs w:val="1"/>
          <w:color w:val="auto"/>
        </w:rPr>
        <w:t xml:space="preserve"> </w:t>
      </w:r>
      <w:r>
        <w:rPr>
          <w:rFonts w:ascii="Arial" w:cs="Arial" w:eastAsia="Arial" w:hAnsi="Arial"/>
          <w:sz w:val="15"/>
          <w:szCs w:val="15"/>
          <w:color w:val="auto"/>
        </w:rPr>
        <w:t>bear interest. They consist primarily of amounts due from Amazon, credit card companies associated with ticket sales and charter service customers. The balances at December 31, 2020 and 2019 also included $2,178 and $5,862, respectively, due from aircraft lessors related to maintenance deposits. Accounts outstanding longer than the contractual payment terms are considered past due. SCA determines its allowances for credit losses by considering a number of factors, including the length of time accounts receivable are past due,</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spacing w:after="0" w:line="274" w:lineRule="auto"/>
        <w:rPr>
          <w:sz w:val="20"/>
          <w:szCs w:val="20"/>
          <w:color w:val="auto"/>
        </w:rPr>
      </w:pPr>
      <w:r>
        <w:rPr>
          <w:rFonts w:ascii="Arial" w:cs="Arial" w:eastAsia="Arial" w:hAnsi="Arial"/>
          <w:sz w:val="14"/>
          <w:szCs w:val="14"/>
          <w:color w:val="auto"/>
        </w:rPr>
        <w:t>SCA’s previous loss history, the customer’s current ability to pay its obligation to SCA, and the condition of the general economy and the industry as a whole. During the years ended December 31, 2020 and 2019, $982 and $343 in accounts receivable were written off, respectively. No accounts were written off during the periods from April 11, 2018 to December 31, 2018 or from January 1, 2018 to April 10, 2018.</w:t>
      </w:r>
    </w:p>
    <w:p>
      <w:pPr>
        <w:spacing w:after="0" w:line="85" w:lineRule="exact"/>
        <w:rPr>
          <w:sz w:val="20"/>
          <w:szCs w:val="20"/>
          <w:color w:val="auto"/>
        </w:rPr>
      </w:pPr>
    </w:p>
    <w:p>
      <w:pPr>
        <w:ind w:left="1160" w:right="1279" w:firstLine="293"/>
        <w:spacing w:after="0" w:line="248" w:lineRule="auto"/>
        <w:rPr>
          <w:sz w:val="20"/>
          <w:szCs w:val="20"/>
          <w:color w:val="auto"/>
        </w:rPr>
      </w:pPr>
      <w:r>
        <w:rPr>
          <w:rFonts w:ascii="Arial" w:cs="Arial" w:eastAsia="Arial" w:hAnsi="Arial"/>
          <w:sz w:val="15"/>
          <w:szCs w:val="15"/>
          <w:b w:val="1"/>
          <w:bCs w:val="1"/>
          <w:color w:val="auto"/>
        </w:rPr>
        <w:t>Lessor Maintenance Deposits—</w:t>
      </w:r>
      <w:r>
        <w:rPr>
          <w:rFonts w:ascii="Arial" w:cs="Arial" w:eastAsia="Arial" w:hAnsi="Arial"/>
          <w:sz w:val="15"/>
          <w:szCs w:val="15"/>
          <w:color w:val="auto"/>
        </w:rPr>
        <w:t>SCA’s aircraft lease agreements provide that SCA pay 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reserves monthly to aircraft lessors to be held as collateral in advance of major maintenance activities required to be performed by SCA. Maintenance reserve payments are variable based on actual flight hours or cycles. These lease agreements provide that maintenance reserves are reimbursable to SCA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97" w:lineRule="exact"/>
        <w:rPr>
          <w:sz w:val="20"/>
          <w:szCs w:val="20"/>
          <w:color w:val="auto"/>
        </w:rPr>
      </w:pPr>
    </w:p>
    <w:p>
      <w:pPr>
        <w:ind w:left="1160" w:right="1599" w:firstLine="293"/>
        <w:spacing w:after="0" w:line="271" w:lineRule="auto"/>
        <w:rPr>
          <w:sz w:val="20"/>
          <w:szCs w:val="20"/>
          <w:color w:val="auto"/>
        </w:rPr>
      </w:pPr>
      <w:r>
        <w:rPr>
          <w:rFonts w:ascii="Arial" w:cs="Arial" w:eastAsia="Arial" w:hAnsi="Arial"/>
          <w:sz w:val="14"/>
          <w:szCs w:val="14"/>
          <w:color w:val="auto"/>
        </w:rPr>
        <w:t>Maintenance reserve payments that are expected to be recoverable via reimbursable expenses are reflected as Lessor Maintenance Deposits on the accompanying Consolidated Balance Sheets. These deposits are expected to be reimbursed to SCA upon performance of maintenance activities. Upon completion of the maintenance event, the lessor is billed and the amount due is recorded in Account Receivable. Amounts not deemed probable of recovery are expensed as incurred.</w:t>
      </w:r>
    </w:p>
    <w:p>
      <w:pPr>
        <w:spacing w:after="0" w:line="91"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At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02" w:lineRule="exact"/>
        <w:rPr>
          <w:sz w:val="20"/>
          <w:szCs w:val="20"/>
          <w:color w:val="auto"/>
        </w:rPr>
      </w:pPr>
    </w:p>
    <w:p>
      <w:pPr>
        <w:ind w:left="1160" w:right="1319" w:firstLine="293"/>
        <w:spacing w:after="0" w:line="271" w:lineRule="auto"/>
        <w:rPr>
          <w:sz w:val="20"/>
          <w:szCs w:val="20"/>
          <w:color w:val="auto"/>
        </w:rPr>
      </w:pPr>
      <w:r>
        <w:rPr>
          <w:rFonts w:ascii="Arial" w:cs="Arial" w:eastAsia="Arial" w:hAnsi="Arial"/>
          <w:sz w:val="14"/>
          <w:szCs w:val="14"/>
          <w:color w:val="auto"/>
        </w:rPr>
        <w:t>The Company’s lease agreements entered into subsequent to the Acquisition Date are structured to allow SCA to access and recover the unused maintenance reserve payments. As such, maintenance reserve payments related to these lease agreements are expected to be recovered in full and are reflected as Lessor Maintenance Deposits on the accompanying Consolidated Balance Sheets. Maintenance reserve payments related to seasonal aircraft are expensed when incurred.</w:t>
      </w:r>
    </w:p>
    <w:p>
      <w:pPr>
        <w:spacing w:after="0" w:line="76"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b w:val="1"/>
          <w:bCs w:val="1"/>
          <w:color w:val="auto"/>
        </w:rPr>
        <w:t>Inventory—</w:t>
      </w:r>
      <w:r>
        <w:rPr>
          <w:rFonts w:ascii="Arial" w:cs="Arial" w:eastAsia="Arial" w:hAnsi="Arial"/>
          <w:sz w:val="15"/>
          <w:szCs w:val="15"/>
          <w:color w:val="auto"/>
        </w:rPr>
        <w:t>Parts related to flight equipment, which cannot be economically repaired, reconditioned or</w:t>
      </w:r>
      <w:r>
        <w:rPr>
          <w:rFonts w:ascii="Arial" w:cs="Arial" w:eastAsia="Arial" w:hAnsi="Arial"/>
          <w:sz w:val="15"/>
          <w:szCs w:val="15"/>
          <w:b w:val="1"/>
          <w:bCs w:val="1"/>
          <w:color w:val="auto"/>
        </w:rPr>
        <w:t xml:space="preserve"> </w:t>
      </w:r>
      <w:r>
        <w:rPr>
          <w:rFonts w:ascii="Arial" w:cs="Arial" w:eastAsia="Arial" w:hAnsi="Arial"/>
          <w:sz w:val="15"/>
          <w:szCs w:val="15"/>
          <w:color w:val="auto"/>
        </w:rPr>
        <w:t>reused after removal from the aircraft, are carried at average cost and charged to operations as consumed. An allowance for obsolescence is provided over the remaining useful life of the related fleet for spare parts expected to be on hand at the date that aircraft type is retired from service. SCA also provides an allowance for parts identified as excess to reduce the carrying costs to the lower of cost or net realizable value. These parts are assumed to have an estimated residual value of 10% of the original cost. Depreciation Expense was $481 and $426 for the years ended December 31, 2020 and 2019, respectively and $308 and $92 for the period April 11, 2018 through December 31, 2018 and the period January 1, 2018 through April 10, 2018, respectively.</w:t>
      </w:r>
    </w:p>
    <w:p>
      <w:pPr>
        <w:spacing w:after="0" w:line="105" w:lineRule="exact"/>
        <w:rPr>
          <w:sz w:val="20"/>
          <w:szCs w:val="20"/>
          <w:color w:val="auto"/>
        </w:rPr>
      </w:pPr>
    </w:p>
    <w:p>
      <w:pPr>
        <w:ind w:left="1160" w:right="1259" w:firstLine="293"/>
        <w:spacing w:after="0" w:line="257" w:lineRule="auto"/>
        <w:rPr>
          <w:sz w:val="20"/>
          <w:szCs w:val="20"/>
          <w:color w:val="auto"/>
        </w:rPr>
      </w:pPr>
      <w:r>
        <w:rPr>
          <w:rFonts w:ascii="Arial" w:cs="Arial" w:eastAsia="Arial" w:hAnsi="Arial"/>
          <w:sz w:val="15"/>
          <w:szCs w:val="15"/>
          <w:b w:val="1"/>
          <w:bCs w:val="1"/>
          <w:color w:val="auto"/>
        </w:rPr>
        <w:t>Property &amp; Equipment—</w:t>
      </w:r>
      <w:r>
        <w:rPr>
          <w:rFonts w:ascii="Arial" w:cs="Arial" w:eastAsia="Arial" w:hAnsi="Arial"/>
          <w:sz w:val="15"/>
          <w:szCs w:val="15"/>
          <w:color w:val="auto"/>
        </w:rPr>
        <w:t>Property and equipment are recorded at cost or fair value at the Acquisition</w:t>
      </w:r>
      <w:r>
        <w:rPr>
          <w:rFonts w:ascii="Arial" w:cs="Arial" w:eastAsia="Arial" w:hAnsi="Arial"/>
          <w:sz w:val="15"/>
          <w:szCs w:val="15"/>
          <w:b w:val="1"/>
          <w:bCs w:val="1"/>
          <w:color w:val="auto"/>
        </w:rPr>
        <w:t xml:space="preserve"> </w:t>
      </w:r>
      <w:r>
        <w:rPr>
          <w:rFonts w:ascii="Arial" w:cs="Arial" w:eastAsia="Arial" w:hAnsi="Arial"/>
          <w:sz w:val="15"/>
          <w:szCs w:val="15"/>
          <w:color w:val="auto"/>
        </w:rPr>
        <w:t>Date and depreciated on a straight-line basis to an estimated residual value over their estimated useful lives or lease term, whichever is shorter,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ectPr>
          <w:pgSz w:w="11900" w:h="16838" w:orient="portrait"/>
          <w:cols w:equalWidth="0" w:num="1">
            <w:col w:w="9019"/>
          </w:cols>
          <w:pgMar w:left="1440" w:top="134" w:right="1440" w:bottom="1440" w:gutter="0" w:footer="0" w:header="0"/>
        </w:sectPr>
      </w:pP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Airframes</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Engines—Core</w:t>
      </w:r>
    </w:p>
    <w:p>
      <w:pPr>
        <w:spacing w:after="0" w:line="25" w:lineRule="exact"/>
        <w:rPr>
          <w:sz w:val="20"/>
          <w:szCs w:val="20"/>
          <w:color w:val="auto"/>
        </w:rPr>
      </w:pPr>
    </w:p>
    <w:p>
      <w:pPr>
        <w:ind w:left="1160"/>
        <w:spacing w:after="0" w:line="300" w:lineRule="auto"/>
        <w:rPr>
          <w:sz w:val="20"/>
          <w:szCs w:val="20"/>
          <w:color w:val="auto"/>
        </w:rPr>
      </w:pPr>
      <w:r>
        <w:rPr>
          <w:rFonts w:ascii="Arial" w:cs="Arial" w:eastAsia="Arial" w:hAnsi="Arial"/>
          <w:sz w:val="14"/>
          <w:szCs w:val="14"/>
          <w:color w:val="auto"/>
        </w:rPr>
        <w:t>Engines—Initial Greentime (time remaining until the first scheduled major maintenance event)</w:t>
      </w:r>
    </w:p>
    <w:p>
      <w:pPr>
        <w:spacing w:after="0" w:line="4" w:lineRule="exact"/>
        <w:rPr>
          <w:sz w:val="20"/>
          <w:szCs w:val="20"/>
          <w:color w:val="auto"/>
        </w:rPr>
      </w:pPr>
    </w:p>
    <w:p>
      <w:pPr>
        <w:ind w:left="1160" w:right="520"/>
        <w:spacing w:after="0" w:line="305" w:lineRule="auto"/>
        <w:rPr>
          <w:sz w:val="20"/>
          <w:szCs w:val="20"/>
          <w:color w:val="auto"/>
        </w:rPr>
      </w:pPr>
      <w:r>
        <w:rPr>
          <w:rFonts w:ascii="Arial" w:cs="Arial" w:eastAsia="Arial" w:hAnsi="Arial"/>
          <w:sz w:val="15"/>
          <w:szCs w:val="15"/>
          <w:color w:val="auto"/>
        </w:rPr>
        <w:t>Leasehold Improvements, Aircraft, other Office and Ground Equipment Computer Hardware and Software</w:t>
      </w:r>
    </w:p>
    <w:p>
      <w:pPr>
        <w:spacing w:after="0" w:line="2" w:lineRule="exact"/>
        <w:rPr>
          <w:sz w:val="20"/>
          <w:szCs w:val="20"/>
          <w:color w:val="auto"/>
        </w:rPr>
      </w:pPr>
    </w:p>
    <w:p>
      <w:pPr>
        <w:ind w:left="1160" w:right="180"/>
        <w:spacing w:after="0" w:line="325" w:lineRule="auto"/>
        <w:rPr>
          <w:sz w:val="20"/>
          <w:szCs w:val="20"/>
          <w:color w:val="auto"/>
        </w:rPr>
      </w:pPr>
      <w:r>
        <w:rPr>
          <w:rFonts w:ascii="Arial" w:cs="Arial" w:eastAsia="Arial" w:hAnsi="Arial"/>
          <w:sz w:val="15"/>
          <w:szCs w:val="15"/>
          <w:color w:val="auto"/>
        </w:rPr>
        <w:t>Property and Equipment under Finance Leases Rotable Parts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10-25 years (depending on age)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7 or 12 years (based on remaining cycles)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1st scheduled maintenance event</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5-7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3-5 years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3-25 years (or life of lease, if shorter)</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6-16 years (average remaining life of aircraft fleet)</w:t>
      </w:r>
    </w:p>
    <w:p>
      <w:pPr>
        <w:spacing w:after="0" w:line="135" w:lineRule="exact"/>
        <w:rPr>
          <w:sz w:val="20"/>
          <w:szCs w:val="20"/>
          <w:color w:val="auto"/>
        </w:rPr>
      </w:pPr>
    </w:p>
    <w:p>
      <w:pPr>
        <w:sectPr>
          <w:pgSz w:w="11900" w:h="16838" w:orient="portrait"/>
          <w:cols w:equalWidth="0" w:num="2">
            <w:col w:w="4200" w:space="400"/>
            <w:col w:w="4419"/>
          </w:cols>
          <w:pgMar w:left="1440" w:top="134" w:right="1440" w:bottom="1440" w:gutter="0" w:footer="0" w:header="0"/>
          <w:type w:val="continuous"/>
        </w:sectPr>
      </w:pPr>
    </w:p>
    <w:p>
      <w:pPr>
        <w:ind w:left="1160" w:right="1219" w:firstLine="293"/>
        <w:spacing w:after="0" w:line="236" w:lineRule="auto"/>
        <w:rPr>
          <w:sz w:val="20"/>
          <w:szCs w:val="20"/>
          <w:color w:val="auto"/>
        </w:rPr>
      </w:pPr>
      <w:r>
        <w:rPr>
          <w:rFonts w:ascii="Arial" w:cs="Arial" w:eastAsia="Arial" w:hAnsi="Arial"/>
          <w:sz w:val="15"/>
          <w:szCs w:val="15"/>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02" w:lineRule="exact"/>
        <w:rPr>
          <w:sz w:val="20"/>
          <w:szCs w:val="20"/>
          <w:color w:val="auto"/>
        </w:rPr>
      </w:pPr>
    </w:p>
    <w:p>
      <w:pPr>
        <w:ind w:left="1160" w:right="1299" w:firstLine="293"/>
        <w:spacing w:after="0" w:line="279" w:lineRule="auto"/>
        <w:rPr>
          <w:sz w:val="20"/>
          <w:szCs w:val="20"/>
          <w:color w:val="auto"/>
        </w:rPr>
      </w:pPr>
      <w:r>
        <w:rPr>
          <w:rFonts w:ascii="Arial" w:cs="Arial" w:eastAsia="Arial" w:hAnsi="Arial"/>
          <w:sz w:val="13"/>
          <w:szCs w:val="13"/>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7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Finance leases are recorded at net present value of future minimum lease payments.</w:t>
      </w:r>
    </w:p>
    <w:p>
      <w:pPr>
        <w:spacing w:after="0" w:line="113" w:lineRule="exact"/>
        <w:rPr>
          <w:sz w:val="20"/>
          <w:szCs w:val="20"/>
          <w:color w:val="auto"/>
        </w:rPr>
      </w:pPr>
    </w:p>
    <w:p>
      <w:pPr>
        <w:ind w:left="1160" w:right="1199" w:firstLine="293"/>
        <w:spacing w:after="0" w:line="239" w:lineRule="auto"/>
        <w:rPr>
          <w:sz w:val="20"/>
          <w:szCs w:val="20"/>
          <w:color w:val="auto"/>
        </w:rPr>
      </w:pPr>
      <w:r>
        <w:rPr>
          <w:rFonts w:ascii="Arial" w:cs="Arial" w:eastAsia="Arial" w:hAnsi="Arial"/>
          <w:sz w:val="15"/>
          <w:szCs w:val="15"/>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96" w:lineRule="exact"/>
        <w:rPr>
          <w:sz w:val="20"/>
          <w:szCs w:val="20"/>
          <w:color w:val="auto"/>
        </w:rPr>
      </w:pPr>
    </w:p>
    <w:p>
      <w:pPr>
        <w:ind w:left="1160" w:right="1279" w:firstLine="293"/>
        <w:spacing w:after="0" w:line="250" w:lineRule="auto"/>
        <w:rPr>
          <w:sz w:val="20"/>
          <w:szCs w:val="20"/>
          <w:color w:val="auto"/>
        </w:rPr>
      </w:pPr>
      <w:r>
        <w:rPr>
          <w:rFonts w:ascii="Arial" w:cs="Arial" w:eastAsia="Arial" w:hAnsi="Arial"/>
          <w:sz w:val="14"/>
          <w:szCs w:val="14"/>
          <w:b w:val="1"/>
          <w:bCs w:val="1"/>
          <w:color w:val="auto"/>
        </w:rPr>
        <w:t>Evaluation of Long-Lived Assets—</w:t>
      </w:r>
      <w:r>
        <w:rPr>
          <w:rFonts w:ascii="Arial" w:cs="Arial" w:eastAsia="Arial" w:hAnsi="Arial"/>
          <w:sz w:val="14"/>
          <w:szCs w:val="14"/>
          <w:color w:val="auto"/>
        </w:rPr>
        <w:t>Long-lived assets, such as Property &amp; Equipment and finite-lived</w:t>
      </w:r>
      <w:r>
        <w:rPr>
          <w:rFonts w:ascii="Arial" w:cs="Arial" w:eastAsia="Arial" w:hAnsi="Arial"/>
          <w:sz w:val="14"/>
          <w:szCs w:val="14"/>
          <w:b w:val="1"/>
          <w:bCs w:val="1"/>
          <w:color w:val="auto"/>
        </w:rPr>
        <w:t xml:space="preserve"> </w:t>
      </w:r>
      <w:r>
        <w:rPr>
          <w:rFonts w:ascii="Arial" w:cs="Arial" w:eastAsia="Arial" w:hAnsi="Arial"/>
          <w:sz w:val="14"/>
          <w:szCs w:val="14"/>
          <w:color w:val="auto"/>
        </w:rPr>
        <w:t>Intangible Assets are reviewed for impairment whenever events or changes in circumstances indicate that the carrying amount of an asset may not be recoverable. If circumstances require a long-lived asset or asset group be tested for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 -party independent appraisals, as considered necessary. No impairment losses were recognized during the years ended December 31, 2020 or 2019 or for the periods April 11, 2018 to December 31, 2018 and January 1, 2018 to April 10, 2018. See Note 3—Impact of the COVID-19 Pandemic.</w:t>
      </w:r>
    </w:p>
    <w:p>
      <w:pPr>
        <w:spacing w:after="0" w:line="89" w:lineRule="exact"/>
        <w:rPr>
          <w:sz w:val="20"/>
          <w:szCs w:val="20"/>
          <w:color w:val="auto"/>
        </w:rPr>
      </w:pPr>
    </w:p>
    <w:p>
      <w:pPr>
        <w:ind w:left="1160" w:right="1319" w:firstLine="293"/>
        <w:spacing w:after="0" w:line="238" w:lineRule="auto"/>
        <w:rPr>
          <w:sz w:val="20"/>
          <w:szCs w:val="20"/>
          <w:color w:val="auto"/>
        </w:rPr>
      </w:pPr>
      <w:r>
        <w:rPr>
          <w:rFonts w:ascii="Arial" w:cs="Arial" w:eastAsia="Arial" w:hAnsi="Arial"/>
          <w:sz w:val="15"/>
          <w:szCs w:val="15"/>
          <w:b w:val="1"/>
          <w:bCs w:val="1"/>
          <w:color w:val="auto"/>
        </w:rPr>
        <w:t>Equity Incentive Plan—</w:t>
      </w:r>
      <w:r>
        <w:rPr>
          <w:rFonts w:ascii="Arial" w:cs="Arial" w:eastAsia="Arial" w:hAnsi="Arial"/>
          <w:sz w:val="15"/>
          <w:szCs w:val="15"/>
          <w:color w:val="auto"/>
        </w:rPr>
        <w:t>The Company recognizes all employee equity- based compensation as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Consolidated Financial Statements over the requisite service period. The Company has elected to account for forfeitures as they occur, rather than forecasting the future forfeitures. See Note 11 for further information on the Equity Incentive Plan.</w:t>
      </w:r>
    </w:p>
    <w:p>
      <w:pPr>
        <w:spacing w:after="0" w:line="85" w:lineRule="exact"/>
        <w:rPr>
          <w:sz w:val="20"/>
          <w:szCs w:val="20"/>
          <w:color w:val="auto"/>
        </w:rPr>
      </w:pPr>
    </w:p>
    <w:p>
      <w:pPr>
        <w:ind w:left="1160" w:right="1299" w:firstLine="293"/>
        <w:spacing w:after="0" w:line="256" w:lineRule="auto"/>
        <w:rPr>
          <w:sz w:val="20"/>
          <w:szCs w:val="20"/>
          <w:color w:val="auto"/>
        </w:rPr>
      </w:pPr>
      <w:r>
        <w:rPr>
          <w:rFonts w:ascii="Arial" w:cs="Arial" w:eastAsia="Arial" w:hAnsi="Arial"/>
          <w:sz w:val="14"/>
          <w:szCs w:val="14"/>
          <w:b w:val="1"/>
          <w:bCs w:val="1"/>
          <w:color w:val="auto"/>
        </w:rPr>
        <w:t>Stockholders’ Equity—</w:t>
      </w:r>
      <w:r>
        <w:rPr>
          <w:rFonts w:ascii="Arial" w:cs="Arial" w:eastAsia="Arial" w:hAnsi="Arial"/>
          <w:sz w:val="14"/>
          <w:szCs w:val="14"/>
          <w:color w:val="auto"/>
        </w:rPr>
        <w:t>As of the Acquisition Date, the Company issued 5,326,755 shares of Common</w:t>
      </w:r>
      <w:r>
        <w:rPr>
          <w:rFonts w:ascii="Arial" w:cs="Arial" w:eastAsia="Arial" w:hAnsi="Arial"/>
          <w:sz w:val="14"/>
          <w:szCs w:val="14"/>
          <w:b w:val="1"/>
          <w:bCs w:val="1"/>
          <w:color w:val="auto"/>
        </w:rPr>
        <w:t xml:space="preserve"> </w:t>
      </w:r>
      <w:r>
        <w:rPr>
          <w:rFonts w:ascii="Arial" w:cs="Arial" w:eastAsia="Arial" w:hAnsi="Arial"/>
          <w:sz w:val="14"/>
          <w:szCs w:val="14"/>
          <w:color w:val="auto"/>
        </w:rPr>
        <w:t>Stock with no par value. Also on the Acquisition Date, the Company issued 40,005,885 warrants to Apollo allowing them to acquire shares of Common Stock of the Company at the exercise price of approximately $0.0005 per share. On January 31, 2020, all 40,005,885 outstanding Apollo warrants were exercised to purchase common stock of SCA Acquisition Holdings, LLC.</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06" w:name="page207"/>
    <w:bookmarkEnd w:id="206"/>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2"/>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In conjunction with the issuance of 1,416,645 shares of Common Stock in 2018 to two stockholders, the Company issued, recourse promissory notes of $3,500 which are included as Loans to Stockholders on the Consolidated Statements of Changes in Stockholders’ Equity. In February of 2021, the promissory notes were repaid in full with equivalent shares of stock.</w:t>
      </w:r>
    </w:p>
    <w:p>
      <w:pPr>
        <w:spacing w:after="0" w:line="102" w:lineRule="exact"/>
        <w:rPr>
          <w:sz w:val="20"/>
          <w:szCs w:val="20"/>
          <w:color w:val="auto"/>
        </w:rPr>
      </w:pPr>
    </w:p>
    <w:p>
      <w:pPr>
        <w:ind w:left="1160" w:right="1419" w:firstLine="293"/>
        <w:spacing w:after="0" w:line="264" w:lineRule="auto"/>
        <w:rPr>
          <w:sz w:val="20"/>
          <w:szCs w:val="20"/>
          <w:color w:val="auto"/>
        </w:rPr>
      </w:pPr>
      <w:r>
        <w:rPr>
          <w:rFonts w:ascii="Arial" w:cs="Arial" w:eastAsia="Arial" w:hAnsi="Arial"/>
          <w:sz w:val="15"/>
          <w:szCs w:val="15"/>
          <w:color w:val="auto"/>
        </w:rPr>
        <w:t>As of December 31, 2020, Amazon held approximately 885,052 vested warrants to acquire common stock of the Company at an exercise price of approximately $15.17 per share.</w:t>
      </w:r>
    </w:p>
    <w:p>
      <w:pPr>
        <w:spacing w:after="0" w:line="78"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b w:val="1"/>
          <w:bCs w:val="1"/>
          <w:color w:val="auto"/>
        </w:rPr>
        <w:t>Deferred Offering Costs—</w:t>
      </w:r>
      <w:r>
        <w:rPr>
          <w:rFonts w:ascii="Arial" w:cs="Arial" w:eastAsia="Arial" w:hAnsi="Arial"/>
          <w:sz w:val="15"/>
          <w:szCs w:val="15"/>
          <w:color w:val="auto"/>
        </w:rPr>
        <w:t>These consist of legal, accounting and other fees and costs relating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planned Initial Public Offering (“IPO”), and are capitalized and recorded in Other Current Assets on the Consolidated Balance Sheets. The deferred offering costs will be offset against the proceeds received upon the closing of the planned IPO. In the event that the Company’s plans for an IPO are terminated, all of the deferred offering costs will be written off within operating expenses in the Company’s Consolidated Statements of Operations. As of December 31, 2020 and 2019, respectively, $4,552 and $2,268 of deferred offering costs were capitalized.</w:t>
      </w:r>
    </w:p>
    <w:p>
      <w:pPr>
        <w:spacing w:after="0" w:line="104" w:lineRule="exact"/>
        <w:rPr>
          <w:sz w:val="20"/>
          <w:szCs w:val="20"/>
          <w:color w:val="auto"/>
        </w:rPr>
      </w:pPr>
    </w:p>
    <w:p>
      <w:pPr>
        <w:ind w:left="1160" w:right="1239" w:firstLine="293"/>
        <w:spacing w:after="0" w:line="291" w:lineRule="auto"/>
        <w:rPr>
          <w:sz w:val="20"/>
          <w:szCs w:val="20"/>
          <w:color w:val="auto"/>
        </w:rPr>
      </w:pPr>
      <w:r>
        <w:rPr>
          <w:rFonts w:ascii="Arial" w:cs="Arial" w:eastAsia="Arial" w:hAnsi="Arial"/>
          <w:sz w:val="13"/>
          <w:szCs w:val="13"/>
          <w:b w:val="1"/>
          <w:bCs w:val="1"/>
          <w:color w:val="auto"/>
        </w:rPr>
        <w:t>Goodwill and Other Intangible Assets—</w:t>
      </w:r>
      <w:r>
        <w:rPr>
          <w:rFonts w:ascii="Arial" w:cs="Arial" w:eastAsia="Arial" w:hAnsi="Arial"/>
          <w:sz w:val="13"/>
          <w:szCs w:val="13"/>
          <w:color w:val="auto"/>
        </w:rPr>
        <w:t>Goodwill represents the excess purchase price over the</w:t>
      </w:r>
      <w:r>
        <w:rPr>
          <w:rFonts w:ascii="Arial" w:cs="Arial" w:eastAsia="Arial" w:hAnsi="Arial"/>
          <w:sz w:val="13"/>
          <w:szCs w:val="13"/>
          <w:b w:val="1"/>
          <w:bCs w:val="1"/>
          <w:color w:val="auto"/>
        </w:rPr>
        <w:t xml:space="preserve"> </w:t>
      </w:r>
      <w:r>
        <w:rPr>
          <w:rFonts w:ascii="Arial" w:cs="Arial" w:eastAsia="Arial" w:hAnsi="Arial"/>
          <w:sz w:val="13"/>
          <w:szCs w:val="13"/>
          <w:color w:val="auto"/>
        </w:rPr>
        <w:t>estimated fair value of net assets acquired in a 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SCA has two reporting units: Passenger Services and Cargo Services. Cargo Services was identified as a separate reporting unit in the fourth quarter of 2020, when all 12 cargo aircraft were in service and SCA’s Chief Operating Decision Maker began to regularly review financial information at the cargo operations level.</w:t>
      </w:r>
    </w:p>
    <w:p>
      <w:pPr>
        <w:spacing w:after="0" w:line="81" w:lineRule="exact"/>
        <w:rPr>
          <w:sz w:val="20"/>
          <w:szCs w:val="20"/>
          <w:color w:val="auto"/>
        </w:rPr>
      </w:pPr>
    </w:p>
    <w:p>
      <w:pPr>
        <w:ind w:left="1160" w:right="1379" w:firstLine="293"/>
        <w:spacing w:after="0" w:line="266" w:lineRule="auto"/>
        <w:rPr>
          <w:sz w:val="20"/>
          <w:szCs w:val="20"/>
          <w:color w:val="auto"/>
        </w:rPr>
      </w:pPr>
      <w:r>
        <w:rPr>
          <w:rFonts w:ascii="Arial" w:cs="Arial" w:eastAsia="Arial" w:hAnsi="Arial"/>
          <w:sz w:val="14"/>
          <w:szCs w:val="14"/>
          <w:color w:val="auto"/>
        </w:rPr>
        <w:t>The value of Goodwill and Other Indefinite-lived Intangible Assets is assessed under either a qualitative or quantitative approach. Under a qualitative approach, SCA considers various market factors, including certain key assumptions, such as the market value of other airlines, fuel prices, the overall economy, passenger yields and changes to the regulatory environment. SCA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86" w:lineRule="exact"/>
        <w:rPr>
          <w:sz w:val="20"/>
          <w:szCs w:val="20"/>
          <w:color w:val="auto"/>
        </w:rPr>
      </w:pPr>
    </w:p>
    <w:p>
      <w:pPr>
        <w:ind w:left="1160" w:right="1299" w:firstLine="293"/>
        <w:spacing w:after="0" w:line="285" w:lineRule="auto"/>
        <w:rPr>
          <w:sz w:val="20"/>
          <w:szCs w:val="20"/>
          <w:color w:val="auto"/>
        </w:rPr>
      </w:pPr>
      <w:r>
        <w:rPr>
          <w:rFonts w:ascii="Arial" w:cs="Arial" w:eastAsia="Arial" w:hAnsi="Arial"/>
          <w:sz w:val="13"/>
          <w:szCs w:val="13"/>
          <w:color w:val="auto"/>
        </w:rPr>
        <w:t>When the Company evaluates Goodwill for impairment using a quantitative approach, the Company estimates the fair value of the consolidated reporting unit by considering both comparable public company multiples (a market approach) and projected discounted future cash flows (an income approach). When the Company performs a quantitative impairment assessment of indefinite-lived intangible assets, fair value is estimated based on (1) recent market transactions, where available, (2) the royalty method for the Sun Country tradename (which assumes hypothetical royalties generated from using SCA’s tradename) or</w:t>
      </w:r>
    </w:p>
    <w:p>
      <w:pPr>
        <w:ind w:left="1160"/>
        <w:spacing w:after="0"/>
        <w:rPr>
          <w:sz w:val="20"/>
          <w:szCs w:val="20"/>
          <w:color w:val="auto"/>
        </w:rPr>
      </w:pPr>
      <w:r>
        <w:rPr>
          <w:rFonts w:ascii="Arial" w:cs="Arial" w:eastAsia="Arial" w:hAnsi="Arial"/>
          <w:sz w:val="15"/>
          <w:szCs w:val="15"/>
          <w:color w:val="auto"/>
        </w:rPr>
        <w:t>(3) projected discounted future cash flows (an income approach).</w:t>
      </w:r>
    </w:p>
    <w:p>
      <w:pPr>
        <w:spacing w:after="0" w:line="113" w:lineRule="exact"/>
        <w:rPr>
          <w:sz w:val="20"/>
          <w:szCs w:val="20"/>
          <w:color w:val="auto"/>
        </w:rPr>
      </w:pPr>
    </w:p>
    <w:p>
      <w:pPr>
        <w:jc w:val="both"/>
        <w:ind w:left="1160" w:right="1219" w:firstLine="293"/>
        <w:spacing w:after="0" w:line="251" w:lineRule="auto"/>
        <w:rPr>
          <w:sz w:val="20"/>
          <w:szCs w:val="20"/>
          <w:color w:val="auto"/>
        </w:rPr>
      </w:pPr>
      <w:r>
        <w:rPr>
          <w:rFonts w:ascii="Arial" w:cs="Arial" w:eastAsia="Arial" w:hAnsi="Arial"/>
          <w:sz w:val="15"/>
          <w:szCs w:val="15"/>
          <w:color w:val="auto"/>
        </w:rPr>
        <w:t>The Company performed its most recent annual Goodwill and Other Indefinite-Lived Intangible Assets impairment analysis as of October 1, 2020 and did not recognize any impairment losses for the years ended December 31, 2020 or 2019 or for the periods April 11, 2018 to December 31, 2018 and January 1, 2018 to April 10, 2018. See Note 3—Impact of the COVID-19 Pandemic.</w:t>
      </w:r>
    </w:p>
    <w:p>
      <w:pPr>
        <w:spacing w:after="0" w:line="98" w:lineRule="exact"/>
        <w:rPr>
          <w:sz w:val="20"/>
          <w:szCs w:val="20"/>
          <w:color w:val="auto"/>
        </w:rPr>
      </w:pPr>
    </w:p>
    <w:p>
      <w:pPr>
        <w:ind w:left="1160" w:right="1559" w:firstLine="293"/>
        <w:spacing w:after="0" w:line="269" w:lineRule="auto"/>
        <w:rPr>
          <w:sz w:val="20"/>
          <w:szCs w:val="20"/>
          <w:color w:val="auto"/>
        </w:rPr>
      </w:pPr>
      <w:r>
        <w:rPr>
          <w:rFonts w:ascii="Arial" w:cs="Arial" w:eastAsia="Arial" w:hAnsi="Arial"/>
          <w:sz w:val="15"/>
          <w:szCs w:val="15"/>
          <w:b w:val="1"/>
          <w:bCs w:val="1"/>
          <w:color w:val="auto"/>
        </w:rPr>
        <w:t>Long-term Debt—</w:t>
      </w:r>
      <w:r>
        <w:rPr>
          <w:rFonts w:ascii="Arial" w:cs="Arial" w:eastAsia="Arial" w:hAnsi="Arial"/>
          <w:sz w:val="15"/>
          <w:szCs w:val="15"/>
          <w:color w:val="auto"/>
        </w:rPr>
        <w:t>Debt finance costs are capitalized and amortized over the term of the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7" w:name="page208"/>
    <w:bookmarkEnd w:id="207"/>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1" w:lineRule="exact"/>
        <w:rPr>
          <w:sz w:val="20"/>
          <w:szCs w:val="20"/>
          <w:color w:val="auto"/>
        </w:rPr>
      </w:pPr>
    </w:p>
    <w:p>
      <w:pPr>
        <w:ind w:left="1160" w:right="1199" w:firstLine="293"/>
        <w:spacing w:after="0" w:line="241" w:lineRule="auto"/>
        <w:rPr>
          <w:sz w:val="20"/>
          <w:szCs w:val="20"/>
          <w:color w:val="auto"/>
        </w:rPr>
      </w:pPr>
      <w:r>
        <w:rPr>
          <w:rFonts w:ascii="Arial" w:cs="Arial" w:eastAsia="Arial" w:hAnsi="Arial"/>
          <w:sz w:val="15"/>
          <w:szCs w:val="15"/>
          <w:b w:val="1"/>
          <w:bCs w:val="1"/>
          <w:color w:val="auto"/>
        </w:rPr>
        <w:t>Revenue Recognition—</w:t>
      </w:r>
      <w:r>
        <w:rPr>
          <w:rFonts w:ascii="Arial" w:cs="Arial" w:eastAsia="Arial" w:hAnsi="Arial"/>
          <w:sz w:val="15"/>
          <w:szCs w:val="15"/>
          <w:color w:val="auto"/>
        </w:rPr>
        <w:t>Scheduled passenger service, charter service, and most ancillary revenues are</w:t>
      </w:r>
      <w:r>
        <w:rPr>
          <w:rFonts w:ascii="Arial" w:cs="Arial" w:eastAsia="Arial" w:hAnsi="Arial"/>
          <w:sz w:val="15"/>
          <w:szCs w:val="15"/>
          <w:b w:val="1"/>
          <w:bCs w:val="1"/>
          <w:color w:val="auto"/>
        </w:rPr>
        <w:t xml:space="preserve"> </w:t>
      </w:r>
      <w:r>
        <w:rPr>
          <w:rFonts w:ascii="Arial" w:cs="Arial" w:eastAsia="Arial" w:hAnsi="Arial"/>
          <w:sz w:val="15"/>
          <w:szCs w:val="15"/>
          <w:color w:val="auto"/>
        </w:rPr>
        <w:t>recognized when the passenger flight occurs. Revenues exclude amounts collected on behalf of other parties including, transportation taxes.</w:t>
      </w:r>
    </w:p>
    <w:p>
      <w:pPr>
        <w:spacing w:after="0" w:line="100"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can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 Due to inherent uncertainly of the current operating environment as a result of COVID-19, adjustments to these estimates could be material in the future.</w:t>
      </w:r>
    </w:p>
    <w:p>
      <w:pPr>
        <w:spacing w:after="0" w:line="70" w:lineRule="exact"/>
        <w:rPr>
          <w:sz w:val="20"/>
          <w:szCs w:val="20"/>
          <w:color w:val="auto"/>
        </w:rPr>
      </w:pPr>
    </w:p>
    <w:p>
      <w:pPr>
        <w:ind w:left="1160" w:right="1299" w:firstLine="293"/>
        <w:spacing w:after="0" w:line="255" w:lineRule="auto"/>
        <w:rPr>
          <w:sz w:val="20"/>
          <w:szCs w:val="20"/>
          <w:color w:val="auto"/>
        </w:rPr>
      </w:pPr>
      <w:r>
        <w:rPr>
          <w:rFonts w:ascii="Arial" w:cs="Arial" w:eastAsia="Arial" w:hAnsi="Arial"/>
          <w:sz w:val="14"/>
          <w:szCs w:val="14"/>
          <w:color w:val="auto"/>
        </w:rPr>
        <w:t>Ancillary revenue for baggage fees, seat selection fees, and on-board sales is recognized when the associated flight occurs. Prior to adoption of the new revenue recognition model effective January 1, 2019, the Company recognized revenue for change fees as the transactions occurred. Under the new standard, revenue for change fees is deferred and recognized when the passenger travel is provided. Fees received in advance of the flight date are initially recorded as an air traffic liability.</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Charter revenue is recognized at the time of departure when transportation is provided.</w:t>
      </w:r>
    </w:p>
    <w:p>
      <w:pPr>
        <w:spacing w:after="0" w:line="124"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4"/>
          <w:szCs w:val="14"/>
          <w:color w:val="auto"/>
        </w:rPr>
        <w:t>Cargo revenue is typically recognized based on hours flown, number of flights, and the amount of aircraft resources provided during a reporting period. Pursuant to ASC 606, Revenue from Contracts with Customers, the Amazon Agreement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Amazon Agreement.</w:t>
      </w:r>
    </w:p>
    <w:p>
      <w:pPr>
        <w:spacing w:after="0" w:line="81"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Loyalty Program—</w:t>
      </w:r>
      <w:r>
        <w:rPr>
          <w:rFonts w:ascii="Arial" w:cs="Arial" w:eastAsia="Arial" w:hAnsi="Arial"/>
          <w:sz w:val="14"/>
          <w:szCs w:val="14"/>
          <w:color w:val="auto"/>
        </w:rPr>
        <w:t>The Company records a liability for points earned by passengers under its Sun</w:t>
      </w:r>
      <w:r>
        <w:rPr>
          <w:rFonts w:ascii="Arial" w:cs="Arial" w:eastAsia="Arial" w:hAnsi="Arial"/>
          <w:sz w:val="14"/>
          <w:szCs w:val="14"/>
          <w:b w:val="1"/>
          <w:bCs w:val="1"/>
          <w:color w:val="auto"/>
        </w:rPr>
        <w:t xml:space="preserve"> </w:t>
      </w:r>
      <w:r>
        <w:rPr>
          <w:rFonts w:ascii="Arial" w:cs="Arial" w:eastAsia="Arial" w:hAnsi="Arial"/>
          <w:sz w:val="14"/>
          <w:szCs w:val="14"/>
          <w:color w:val="auto"/>
        </w:rPr>
        <w:t>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consider other facts, such as program changes and modifications that could affect the ultimate usage pattern of loyalty points.</w:t>
      </w:r>
    </w:p>
    <w:p>
      <w:pPr>
        <w:spacing w:after="0" w:line="92" w:lineRule="exact"/>
        <w:rPr>
          <w:sz w:val="20"/>
          <w:szCs w:val="20"/>
          <w:color w:val="auto"/>
        </w:rPr>
      </w:pPr>
    </w:p>
    <w:p>
      <w:pPr>
        <w:ind w:left="1160" w:right="1299" w:firstLine="293"/>
        <w:spacing w:after="0" w:line="235" w:lineRule="auto"/>
        <w:rPr>
          <w:sz w:val="20"/>
          <w:szCs w:val="20"/>
          <w:color w:val="auto"/>
        </w:rPr>
      </w:pPr>
      <w:r>
        <w:rPr>
          <w:rFonts w:ascii="Arial" w:cs="Arial" w:eastAsia="Arial" w:hAnsi="Arial"/>
          <w:sz w:val="15"/>
          <w:szCs w:val="15"/>
          <w:b w:val="1"/>
          <w:bCs w:val="1"/>
          <w:color w:val="auto"/>
        </w:rPr>
        <w:t>Co-branded Credit Card Program—</w:t>
      </w:r>
      <w:r>
        <w:rPr>
          <w:rFonts w:ascii="Arial" w:cs="Arial" w:eastAsia="Arial" w:hAnsi="Arial"/>
          <w:sz w:val="15"/>
          <w:szCs w:val="15"/>
          <w:color w:val="auto"/>
        </w:rPr>
        <w:t>Under the Company’s co-branded credit card program, funds</w:t>
      </w:r>
      <w:r>
        <w:rPr>
          <w:rFonts w:ascii="Arial" w:cs="Arial" w:eastAsia="Arial" w:hAnsi="Arial"/>
          <w:sz w:val="15"/>
          <w:szCs w:val="15"/>
          <w:b w:val="1"/>
          <w:bCs w:val="1"/>
          <w:color w:val="auto"/>
        </w:rPr>
        <w:t xml:space="preserve"> </w:t>
      </w:r>
      <w:r>
        <w:rPr>
          <w:rFonts w:ascii="Arial" w:cs="Arial" w:eastAsia="Arial" w:hAnsi="Arial"/>
          <w:sz w:val="15"/>
          <w:szCs w:val="15"/>
          <w:color w:val="auto"/>
        </w:rPr>
        <w:t>received for the marketing of a co- branded credit card and delivery of loyalty points are accounted for as a multiple- 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jc w:val="both"/>
        <w:ind w:left="1160" w:right="1299"/>
        <w:spacing w:after="0" w:line="251" w:lineRule="auto"/>
        <w:rPr>
          <w:sz w:val="20"/>
          <w:szCs w:val="20"/>
          <w:color w:val="auto"/>
        </w:rPr>
      </w:pPr>
      <w:r>
        <w:rPr>
          <w:rFonts w:ascii="Arial" w:cs="Arial" w:eastAsia="Arial" w:hAnsi="Arial"/>
          <w:sz w:val="15"/>
          <w:szCs w:val="15"/>
          <w:color w:val="auto"/>
        </w:rPr>
        <w:t>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98" w:lineRule="exact"/>
        <w:rPr>
          <w:sz w:val="20"/>
          <w:szCs w:val="20"/>
          <w:color w:val="auto"/>
        </w:rPr>
      </w:pPr>
    </w:p>
    <w:p>
      <w:pPr>
        <w:ind w:left="1160" w:right="1199" w:firstLine="293"/>
        <w:spacing w:after="0" w:line="276" w:lineRule="auto"/>
        <w:rPr>
          <w:sz w:val="20"/>
          <w:szCs w:val="20"/>
          <w:color w:val="auto"/>
        </w:rPr>
      </w:pPr>
      <w:r>
        <w:rPr>
          <w:rFonts w:ascii="Arial" w:cs="Arial" w:eastAsia="Arial" w:hAnsi="Arial"/>
          <w:sz w:val="14"/>
          <w:szCs w:val="14"/>
          <w:b w:val="1"/>
          <w:bCs w:val="1"/>
          <w:color w:val="auto"/>
        </w:rPr>
        <w:t>Airframe and Engine Maintenance—</w:t>
      </w:r>
      <w:r>
        <w:rPr>
          <w:rFonts w:ascii="Arial" w:cs="Arial" w:eastAsia="Arial" w:hAnsi="Arial"/>
          <w:sz w:val="14"/>
          <w:szCs w:val="14"/>
          <w:color w:val="auto"/>
        </w:rPr>
        <w:t>For leased aircraft, the Company applies the expense as incurred</w:t>
      </w:r>
      <w:r>
        <w:rPr>
          <w:rFonts w:ascii="Arial" w:cs="Arial" w:eastAsia="Arial" w:hAnsi="Arial"/>
          <w:sz w:val="14"/>
          <w:szCs w:val="14"/>
          <w:b w:val="1"/>
          <w:bCs w:val="1"/>
          <w:color w:val="auto"/>
        </w:rPr>
        <w:t xml:space="preserve"> </w:t>
      </w:r>
      <w:r>
        <w:rPr>
          <w:rFonts w:ascii="Arial" w:cs="Arial" w:eastAsia="Arial" w:hAnsi="Arial"/>
          <w:sz w:val="14"/>
          <w:szCs w:val="14"/>
          <w:color w:val="auto"/>
        </w:rPr>
        <w:t>method for maintenance events, where routine maintenance, airframe, and engine overhauls are charged to expense as incurred, except certain costs covered by third-party maintenance agreements, which are charged to expense based on an hourly fee, as defined by the contract.</w:t>
      </w:r>
    </w:p>
    <w:p>
      <w:pPr>
        <w:spacing w:after="0" w:line="76"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color w:val="auto"/>
        </w:rPr>
        <w:t>The Company applies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 condition of related parts.</w:t>
      </w:r>
    </w:p>
    <w:p>
      <w:pPr>
        <w:spacing w:after="0" w:line="94" w:lineRule="exact"/>
        <w:rPr>
          <w:sz w:val="20"/>
          <w:szCs w:val="20"/>
          <w:color w:val="auto"/>
        </w:rPr>
      </w:pPr>
    </w:p>
    <w:p>
      <w:pPr>
        <w:ind w:left="1160" w:right="1319" w:firstLine="293"/>
        <w:spacing w:after="0" w:line="249" w:lineRule="auto"/>
        <w:rPr>
          <w:sz w:val="20"/>
          <w:szCs w:val="20"/>
          <w:color w:val="auto"/>
        </w:rPr>
      </w:pPr>
      <w:r>
        <w:rPr>
          <w:rFonts w:ascii="Arial" w:cs="Arial" w:eastAsia="Arial" w:hAnsi="Arial"/>
          <w:sz w:val="15"/>
          <w:szCs w:val="15"/>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pacing w:after="0" w:line="101" w:lineRule="exact"/>
        <w:rPr>
          <w:sz w:val="20"/>
          <w:szCs w:val="20"/>
          <w:color w:val="auto"/>
        </w:rPr>
      </w:pPr>
    </w:p>
    <w:p>
      <w:pPr>
        <w:ind w:left="1160" w:right="1259" w:firstLine="293"/>
        <w:spacing w:after="0" w:line="267"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Deferred income taxes are recognized for the tax consequences in future years of</w:t>
      </w:r>
      <w:r>
        <w:rPr>
          <w:rFonts w:ascii="Arial" w:cs="Arial" w:eastAsia="Arial" w:hAnsi="Arial"/>
          <w:sz w:val="14"/>
          <w:szCs w:val="14"/>
          <w:b w:val="1"/>
          <w:bCs w:val="1"/>
          <w:color w:val="auto"/>
        </w:rPr>
        <w:t xml:space="preserve"> </w:t>
      </w:r>
      <w:r>
        <w:rPr>
          <w:rFonts w:ascii="Arial" w:cs="Arial" w:eastAsia="Arial" w:hAnsi="Arial"/>
          <w:sz w:val="14"/>
          <w:szCs w:val="14"/>
          <w:color w:val="auto"/>
        </w:rPr>
        <w:t>differences between the tax basis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80" w:lineRule="exact"/>
        <w:rPr>
          <w:sz w:val="20"/>
          <w:szCs w:val="20"/>
          <w:color w:val="auto"/>
        </w:rPr>
      </w:pPr>
    </w:p>
    <w:p>
      <w:pPr>
        <w:ind w:left="1160" w:right="1259" w:firstLine="293"/>
        <w:spacing w:after="0" w:line="298" w:lineRule="auto"/>
        <w:rPr>
          <w:sz w:val="20"/>
          <w:szCs w:val="20"/>
          <w:color w:val="auto"/>
        </w:rPr>
      </w:pPr>
      <w:r>
        <w:rPr>
          <w:rFonts w:ascii="Arial" w:cs="Arial" w:eastAsia="Arial" w:hAnsi="Arial"/>
          <w:sz w:val="13"/>
          <w:szCs w:val="13"/>
          <w:b w:val="1"/>
          <w:bCs w:val="1"/>
          <w:color w:val="auto"/>
        </w:rPr>
        <w:t>Concentration Risk—</w:t>
      </w:r>
      <w:r>
        <w:rPr>
          <w:rFonts w:ascii="Arial" w:cs="Arial" w:eastAsia="Arial" w:hAnsi="Arial"/>
          <w:sz w:val="13"/>
          <w:szCs w:val="13"/>
          <w:color w:val="auto"/>
        </w:rPr>
        <w:t>Approximately 41% of the Company’s Accounts Receivable balance as of</w:t>
      </w:r>
      <w:r>
        <w:rPr>
          <w:rFonts w:ascii="Arial" w:cs="Arial" w:eastAsia="Arial" w:hAnsi="Arial"/>
          <w:sz w:val="13"/>
          <w:szCs w:val="13"/>
          <w:b w:val="1"/>
          <w:bCs w:val="1"/>
          <w:color w:val="auto"/>
        </w:rPr>
        <w:t xml:space="preserve"> </w:t>
      </w:r>
      <w:r>
        <w:rPr>
          <w:rFonts w:ascii="Arial" w:cs="Arial" w:eastAsia="Arial" w:hAnsi="Arial"/>
          <w:sz w:val="13"/>
          <w:szCs w:val="13"/>
          <w:color w:val="auto"/>
        </w:rPr>
        <w:t>December 31, 2020 was due from Amazon. In addition, approximately 8% and 19% of the Company’s Accounts Receivable balances as of December 31, 2020 and 2019, respectively, were from major financial institutions for tickets purchased via credit cards. One financial institution accounted for approximately 5% and 16% of the Company’s Accounts Receivable balance as of December 31, 2020 and 2019, respectively.</w:t>
      </w:r>
    </w:p>
    <w:p>
      <w:pPr>
        <w:spacing w:after="0" w:line="76" w:lineRule="exact"/>
        <w:rPr>
          <w:sz w:val="20"/>
          <w:szCs w:val="20"/>
          <w:color w:val="auto"/>
        </w:rPr>
      </w:pPr>
    </w:p>
    <w:p>
      <w:pPr>
        <w:ind w:left="1160" w:right="1299" w:firstLine="293"/>
        <w:spacing w:after="0" w:line="264" w:lineRule="auto"/>
        <w:rPr>
          <w:sz w:val="20"/>
          <w:szCs w:val="20"/>
          <w:color w:val="auto"/>
        </w:rPr>
      </w:pPr>
      <w:r>
        <w:rPr>
          <w:rFonts w:ascii="Arial" w:cs="Arial" w:eastAsia="Arial" w:hAnsi="Arial"/>
          <w:sz w:val="15"/>
          <w:szCs w:val="15"/>
          <w:color w:val="auto"/>
        </w:rPr>
        <w:t>Approximately 57%, 58% and 48% of the Company’s fuel purchases were made from two vendors for the years ended December 31, 2020, 2019 and 2018, respectively.</w:t>
      </w:r>
    </w:p>
    <w:p>
      <w:pPr>
        <w:spacing w:after="0" w:line="93"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5"/>
          <w:szCs w:val="15"/>
          <w:color w:val="auto"/>
        </w:rPr>
        <w:t>Approximately 52% of the Company’s workforce were under union contracts as of December 31, 2020 with three different unions: Air Line Pilots Association (“ALPA”), International Brotherhood of Teamsters (“IBT”) and Transport Workers Union (“TWU”). Approximately 98% of the Company’s union workforce are under contracts that have expired or will be expiring within a year.</w:t>
      </w:r>
    </w:p>
    <w:p>
      <w:pPr>
        <w:spacing w:after="0" w:line="9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Company’s airline employee groups represented by unions: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9" w:name="page210"/>
    <w:bookmarkEnd w:id="209"/>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Number of</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Date on which</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8"/>
              </w:rPr>
              <w:t>Active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4"/>
              </w:rPr>
              <w:t>Collective Bargaining</w:t>
            </w: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Employees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2"/>
              </w:rPr>
              <w:t>Agreement Becomes</w:t>
            </w:r>
          </w:p>
        </w:tc>
      </w:tr>
      <w:tr>
        <w:trPr>
          <w:trHeight w:val="150"/>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Employee Group</w:t>
            </w: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2"/>
              </w:rPr>
              <w:t>Represented</w:t>
            </w:r>
          </w:p>
        </w:tc>
        <w:tc>
          <w:tcPr>
            <w:tcW w:w="560" w:type="dxa"/>
            <w:vAlign w:val="bottom"/>
            <w:gridSpan w:val="2"/>
          </w:tcPr>
          <w:p>
            <w:pPr>
              <w:ind w:left="40"/>
              <w:spacing w:after="0"/>
              <w:rPr>
                <w:sz w:val="20"/>
                <w:szCs w:val="20"/>
                <w:color w:val="auto"/>
              </w:rPr>
            </w:pPr>
            <w:r>
              <w:rPr>
                <w:rFonts w:ascii="Arial" w:cs="Arial" w:eastAsia="Arial" w:hAnsi="Arial"/>
                <w:sz w:val="12"/>
                <w:szCs w:val="12"/>
                <w:b w:val="1"/>
                <w:bCs w:val="1"/>
                <w:color w:val="auto"/>
              </w:rPr>
              <w:t>Union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3"/>
              </w:rPr>
              <w:t>Amendable</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0"/>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Pilots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395</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ALPA</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October 31, 2020</w:t>
            </w:r>
          </w:p>
        </w:tc>
      </w:tr>
      <w:tr>
        <w:trPr>
          <w:trHeight w:val="209"/>
        </w:trPr>
        <w:tc>
          <w:tcPr>
            <w:tcW w:w="3520" w:type="dxa"/>
            <w:vAlign w:val="bottom"/>
            <w:gridSpan w:val="2"/>
          </w:tcPr>
          <w:p>
            <w:pPr>
              <w:spacing w:after="0"/>
              <w:rPr>
                <w:sz w:val="20"/>
                <w:szCs w:val="20"/>
                <w:color w:val="auto"/>
              </w:rPr>
            </w:pPr>
            <w:r>
              <w:rPr>
                <w:rFonts w:ascii="Arial" w:cs="Arial" w:eastAsia="Arial" w:hAnsi="Arial"/>
                <w:sz w:val="15"/>
                <w:szCs w:val="15"/>
                <w:color w:val="auto"/>
              </w:rPr>
              <w:t>Sun Country Flight Attendants</w:t>
            </w:r>
          </w:p>
        </w:tc>
        <w:tc>
          <w:tcPr>
            <w:tcW w:w="600" w:type="dxa"/>
            <w:vAlign w:val="bottom"/>
          </w:tcPr>
          <w:p>
            <w:pPr>
              <w:jc w:val="right"/>
              <w:ind w:right="135"/>
              <w:spacing w:after="0"/>
              <w:rPr>
                <w:sz w:val="20"/>
                <w:szCs w:val="20"/>
                <w:color w:val="auto"/>
              </w:rPr>
            </w:pPr>
            <w:r>
              <w:rPr>
                <w:rFonts w:ascii="Arial" w:cs="Arial" w:eastAsia="Arial" w:hAnsi="Arial"/>
                <w:sz w:val="15"/>
                <w:szCs w:val="15"/>
                <w:color w:val="auto"/>
              </w:rPr>
              <w:t>466</w:t>
            </w:r>
          </w:p>
        </w:tc>
        <w:tc>
          <w:tcPr>
            <w:tcW w:w="1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IBT</w:t>
            </w:r>
          </w:p>
        </w:tc>
        <w:tc>
          <w:tcPr>
            <w:tcW w:w="1220" w:type="dxa"/>
            <w:vAlign w:val="bottom"/>
          </w:tcPr>
          <w:p>
            <w:pPr>
              <w:jc w:val="right"/>
              <w:spacing w:after="0"/>
              <w:rPr>
                <w:sz w:val="20"/>
                <w:szCs w:val="20"/>
                <w:color w:val="auto"/>
              </w:rPr>
            </w:pPr>
            <w:r>
              <w:rPr>
                <w:rFonts w:ascii="Arial" w:cs="Arial" w:eastAsia="Arial" w:hAnsi="Arial"/>
                <w:sz w:val="15"/>
                <w:szCs w:val="15"/>
                <w:color w:val="auto"/>
                <w:w w:val="91"/>
              </w:rPr>
              <w:t>December 31, 2019</w:t>
            </w:r>
          </w:p>
        </w:tc>
      </w:tr>
      <w:tr>
        <w:trPr>
          <w:trHeight w:val="209"/>
        </w:trPr>
        <w:tc>
          <w:tcPr>
            <w:tcW w:w="3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Sun Country Dispatchers</w:t>
            </w: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TWU</w:t>
            </w: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November 30,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-403860</wp:posOffset>
            </wp:positionV>
            <wp:extent cx="11176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-403860</wp:posOffset>
            </wp:positionV>
            <wp:extent cx="11176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-403860</wp:posOffset>
            </wp:positionV>
            <wp:extent cx="11176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Adopted Accounting Standards</w:t>
      </w:r>
    </w:p>
    <w:p>
      <w:pPr>
        <w:spacing w:after="0" w:line="117" w:lineRule="exact"/>
        <w:rPr>
          <w:sz w:val="20"/>
          <w:szCs w:val="20"/>
          <w:color w:val="auto"/>
        </w:rPr>
      </w:pPr>
    </w:p>
    <w:p>
      <w:pPr>
        <w:ind w:left="1160" w:right="1239" w:firstLine="293"/>
        <w:spacing w:after="0" w:line="233" w:lineRule="auto"/>
        <w:rPr>
          <w:sz w:val="20"/>
          <w:szCs w:val="20"/>
          <w:color w:val="auto"/>
        </w:rPr>
      </w:pPr>
      <w:r>
        <w:rPr>
          <w:rFonts w:ascii="Arial" w:cs="Arial" w:eastAsia="Arial" w:hAnsi="Arial"/>
          <w:sz w:val="15"/>
          <w:szCs w:val="15"/>
          <w:b w:val="1"/>
          <w:bCs w:val="1"/>
          <w:i w:val="1"/>
          <w:iCs w:val="1"/>
          <w:color w:val="auto"/>
        </w:rPr>
        <w:t>Revenue from Contracts with Customers—</w:t>
      </w:r>
      <w:r>
        <w:rPr>
          <w:rFonts w:ascii="Arial" w:cs="Arial" w:eastAsia="Arial" w:hAnsi="Arial"/>
          <w:sz w:val="15"/>
          <w:szCs w:val="15"/>
          <w:color w:val="auto"/>
        </w:rPr>
        <w:t>In May 2014, the Financial Accounting Standards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(“FASB”) issued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(“New Revenue Standard”) (Topic 606).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adopted the standard using the modified retrospective method effective January 1, 2019.</w:t>
      </w:r>
    </w:p>
    <w:p>
      <w:pPr>
        <w:spacing w:after="0" w:line="102" w:lineRule="exact"/>
        <w:rPr>
          <w:sz w:val="20"/>
          <w:szCs w:val="20"/>
          <w:color w:val="auto"/>
        </w:rPr>
      </w:pPr>
    </w:p>
    <w:p>
      <w:pPr>
        <w:ind w:left="1160" w:right="1259" w:firstLine="293"/>
        <w:spacing w:after="0" w:line="271" w:lineRule="auto"/>
        <w:rPr>
          <w:sz w:val="20"/>
          <w:szCs w:val="20"/>
          <w:color w:val="auto"/>
        </w:rPr>
      </w:pPr>
      <w:r>
        <w:rPr>
          <w:rFonts w:ascii="Arial" w:cs="Arial" w:eastAsia="Arial" w:hAnsi="Arial"/>
          <w:sz w:val="13"/>
          <w:szCs w:val="13"/>
          <w:color w:val="auto"/>
        </w:rPr>
        <w:t>The adoption of the New Revenue Standard impacts the Company’s accounting for outstanding loyalty points earned through travel by SCA loyalty program members. There is no change in accounting for issuances of loyalty points to SCA’s co-branded card partner as those are currently reported in accordance with the New Revenue Standard. Through December 31, 2018, the Company used the incremental cost method to account for the portion of the loyalty program liabilities related to points earned through travel, which were valued based on the estimated incremental cost of carrying one additional passenger. The New Revenue Standard required the Company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85" w:lineRule="exact"/>
        <w:rPr>
          <w:sz w:val="20"/>
          <w:szCs w:val="20"/>
          <w:color w:val="auto"/>
        </w:rPr>
      </w:pPr>
    </w:p>
    <w:p>
      <w:pPr>
        <w:ind w:left="1160" w:right="1179" w:firstLine="293"/>
        <w:spacing w:after="0" w:line="264" w:lineRule="auto"/>
        <w:rPr>
          <w:sz w:val="20"/>
          <w:szCs w:val="20"/>
          <w:color w:val="auto"/>
        </w:rPr>
      </w:pPr>
      <w:r>
        <w:rPr>
          <w:rFonts w:ascii="Arial" w:cs="Arial" w:eastAsia="Arial" w:hAnsi="Arial"/>
          <w:sz w:val="14"/>
          <w:szCs w:val="14"/>
          <w:color w:val="auto"/>
        </w:rPr>
        <w:t>Upon adoption of the New Revenue Standard, the Company reclassified certain ancillary revenues from Other Revenue to Passenger Revenue. In addition, certain fees previously recognized when incurred by the customer are deferred and recognized as revenue when passenger travel is provided.</w:t>
      </w:r>
    </w:p>
    <w:p>
      <w:pPr>
        <w:spacing w:after="0" w:line="73"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Upon adoption of the standard on January 1, 2019 the Company made an adjustment to reduce Retained Earnings by $3,477.</w:t>
      </w:r>
    </w:p>
    <w:p>
      <w:pPr>
        <w:spacing w:after="0" w:line="94" w:lineRule="exact"/>
        <w:rPr>
          <w:sz w:val="20"/>
          <w:szCs w:val="20"/>
          <w:color w:val="auto"/>
        </w:rPr>
      </w:pPr>
    </w:p>
    <w:p>
      <w:pPr>
        <w:ind w:left="1160" w:right="1179" w:firstLine="293"/>
        <w:spacing w:after="0" w:line="233" w:lineRule="auto"/>
        <w:rPr>
          <w:sz w:val="20"/>
          <w:szCs w:val="20"/>
          <w:color w:val="auto"/>
        </w:rPr>
      </w:pPr>
      <w:r>
        <w:rPr>
          <w:rFonts w:ascii="Arial" w:cs="Arial" w:eastAsia="Arial" w:hAnsi="Arial"/>
          <w:sz w:val="15"/>
          <w:szCs w:val="15"/>
          <w:b w:val="1"/>
          <w:bCs w:val="1"/>
          <w:i w:val="1"/>
          <w:iCs w:val="1"/>
          <w:color w:val="auto"/>
        </w:rPr>
        <w:t>Leases—</w:t>
      </w:r>
      <w:r>
        <w:rPr>
          <w:rFonts w:ascii="Arial" w:cs="Arial" w:eastAsia="Arial" w:hAnsi="Arial"/>
          <w:sz w:val="15"/>
          <w:szCs w:val="15"/>
          <w:color w:val="auto"/>
        </w:rPr>
        <w:t>In February 2016, the FASB issued ASU 2016-02,</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Leases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(Topic 842) (“ASC 842”).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guidance, lessees are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elected to early adopt the standard effective January 1, 2019 using the modified retrospective adoption method.</w:t>
      </w:r>
    </w:p>
    <w:p>
      <w:pPr>
        <w:spacing w:after="0" w:line="102"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Upon adoption of the standard on January 1, 2019 the Company recorded an Operating Lease Right-of-use (“ROU”) Asset of $178,577 (net of balance sheet reclassifications) and Operating Lease Liabilities of $204,790 on the Consolidated Balance Sheet. This ROU Asset was net of $27,004 reclassified from Over-market Liabilities and $791 reclassified from Prepaid Rent.</w:t>
      </w:r>
    </w:p>
    <w:p>
      <w:pPr>
        <w:spacing w:after="0" w:line="91"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b w:val="1"/>
          <w:bCs w:val="1"/>
          <w:i w:val="1"/>
          <w:iCs w:val="1"/>
          <w:color w:val="auto"/>
        </w:rPr>
        <w:t>Capitalized Software Costs—</w:t>
      </w:r>
      <w:r>
        <w:rPr>
          <w:rFonts w:ascii="Arial" w:cs="Arial" w:eastAsia="Arial" w:hAnsi="Arial"/>
          <w:sz w:val="14"/>
          <w:szCs w:val="14"/>
          <w:color w:val="auto"/>
        </w:rPr>
        <w:t>In August 2018, the FASB issued ASU 2018- 15,</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Intangibles—Goodwill 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Other—Internal-Use Software (Subtopic 350- 40): Customer’s Accounting for Implementation Costs Incurred in a Cloud Computing Arrangement That Is a Service Contract</w:t>
      </w:r>
      <w:r>
        <w:rPr>
          <w:rFonts w:ascii="Arial" w:cs="Arial" w:eastAsia="Arial" w:hAnsi="Arial"/>
          <w:sz w:val="14"/>
          <w:szCs w:val="14"/>
          <w:color w:val="auto"/>
        </w:rPr>
        <w:t>. The update addresses when costs</w:t>
      </w:r>
      <w:r>
        <w:rPr>
          <w:rFonts w:ascii="Arial" w:cs="Arial" w:eastAsia="Arial" w:hAnsi="Arial"/>
          <w:sz w:val="14"/>
          <w:szCs w:val="14"/>
          <w:i w:val="1"/>
          <w:iCs w:val="1"/>
          <w:color w:val="auto"/>
        </w:rPr>
        <w:t xml:space="preserve"> </w:t>
      </w:r>
      <w:r>
        <w:rPr>
          <w:rFonts w:ascii="Arial" w:cs="Arial" w:eastAsia="Arial" w:hAnsi="Arial"/>
          <w:sz w:val="14"/>
          <w:szCs w:val="14"/>
          <w:color w:val="auto"/>
        </w:rPr>
        <w:t>should be capitalized rather than expensed, the term to use when amortizing capitalized costs, and how to</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200" w:right="1879" w:hanging="36"/>
        <w:spacing w:after="0" w:line="269" w:lineRule="auto"/>
        <w:tabs>
          <w:tab w:leader="none" w:pos="1311"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 (continued)</w:t>
      </w:r>
    </w:p>
    <w:p>
      <w:pPr>
        <w:spacing w:after="0" w:line="145" w:lineRule="exact"/>
        <w:rPr>
          <w:sz w:val="20"/>
          <w:szCs w:val="20"/>
          <w:color w:val="auto"/>
        </w:rPr>
      </w:pPr>
    </w:p>
    <w:p>
      <w:pPr>
        <w:ind w:left="1160" w:right="1239"/>
        <w:spacing w:after="0" w:line="269" w:lineRule="auto"/>
        <w:rPr>
          <w:sz w:val="20"/>
          <w:szCs w:val="20"/>
          <w:color w:val="auto"/>
        </w:rPr>
      </w:pPr>
      <w:r>
        <w:rPr>
          <w:rFonts w:ascii="Arial" w:cs="Arial" w:eastAsia="Arial" w:hAnsi="Arial"/>
          <w:sz w:val="14"/>
          <w:szCs w:val="14"/>
          <w:color w:val="auto"/>
        </w:rPr>
        <w:t>evaluate the unamortized portion of these capitalized implementation costs for impairment. The ASU also includes guidance on how to present implementation costs in the financial statements and creates additional disclosure requirements. ASU 2018-15 is effective for annual reporting periods beginning after December 15, 2019, with early adoption permitted. The Company early adopted the requirements of ASU 2018-15 on January 1, 2019 using the prospective transition method. The adoption resulted in the capitalization of certain costs incurred in SCA’s hosting arrangement of $2,167 in 2019.</w:t>
      </w:r>
    </w:p>
    <w:p>
      <w:pPr>
        <w:spacing w:after="0" w:line="93" w:lineRule="exact"/>
        <w:rPr>
          <w:sz w:val="20"/>
          <w:szCs w:val="20"/>
          <w:color w:val="auto"/>
        </w:rPr>
      </w:pPr>
    </w:p>
    <w:p>
      <w:pPr>
        <w:ind w:left="1160" w:right="1199" w:firstLine="293"/>
        <w:spacing w:after="0" w:line="289" w:lineRule="auto"/>
        <w:rPr>
          <w:sz w:val="20"/>
          <w:szCs w:val="20"/>
          <w:color w:val="auto"/>
        </w:rPr>
      </w:pPr>
      <w:r>
        <w:rPr>
          <w:rFonts w:ascii="Arial" w:cs="Arial" w:eastAsia="Arial" w:hAnsi="Arial"/>
          <w:sz w:val="13"/>
          <w:szCs w:val="13"/>
          <w:b w:val="1"/>
          <w:bCs w:val="1"/>
          <w:i w:val="1"/>
          <w:iCs w:val="1"/>
          <w:color w:val="auto"/>
        </w:rPr>
        <w:t>Non-employee Share-based Payment Accounting—</w:t>
      </w:r>
      <w:r>
        <w:rPr>
          <w:rFonts w:ascii="Arial" w:cs="Arial" w:eastAsia="Arial" w:hAnsi="Arial"/>
          <w:sz w:val="13"/>
          <w:szCs w:val="13"/>
          <w:color w:val="auto"/>
        </w:rPr>
        <w:t>In June 2018, the FASB issued ASU 2018-07</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Improvements to Non-employee Share-based Payment Accounting</w:t>
      </w:r>
      <w:r>
        <w:rPr>
          <w:rFonts w:ascii="Arial" w:cs="Arial" w:eastAsia="Arial" w:hAnsi="Arial"/>
          <w:sz w:val="13"/>
          <w:szCs w:val="13"/>
          <w:color w:val="auto"/>
        </w:rPr>
        <w:t>. ASU 2018-07 expands the scope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to share-based payments granted to non-employees for goods and services. Additionally, in November 2019, the FASB issued ASU 2019-08, </w:t>
      </w:r>
      <w:r>
        <w:rPr>
          <w:rFonts w:ascii="Arial" w:cs="Arial" w:eastAsia="Arial" w:hAnsi="Arial"/>
          <w:sz w:val="13"/>
          <w:szCs w:val="13"/>
          <w:i w:val="1"/>
          <w:iCs w:val="1"/>
          <w:color w:val="auto"/>
        </w:rPr>
        <w:t>Compensation—Stock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(Topic 718) and</w:t>
      </w:r>
      <w:r>
        <w:rPr>
          <w:rFonts w:ascii="Arial" w:cs="Arial" w:eastAsia="Arial" w:hAnsi="Arial"/>
          <w:sz w:val="13"/>
          <w:szCs w:val="13"/>
          <w:i w:val="1"/>
          <w:iCs w:val="1"/>
          <w:color w:val="auto"/>
        </w:rPr>
        <w:t xml:space="preserve"> Revenue from Contracts with Customers (Topic 606)</w:t>
      </w:r>
      <w:r>
        <w:rPr>
          <w:rFonts w:ascii="Arial" w:cs="Arial" w:eastAsia="Arial" w:hAnsi="Arial"/>
          <w:sz w:val="13"/>
          <w:szCs w:val="13"/>
          <w:color w:val="auto"/>
        </w:rPr>
        <w:t>, which requires entities</w:t>
      </w:r>
      <w:r>
        <w:rPr>
          <w:rFonts w:ascii="Arial" w:cs="Arial" w:eastAsia="Arial" w:hAnsi="Arial"/>
          <w:sz w:val="13"/>
          <w:szCs w:val="13"/>
          <w:i w:val="1"/>
          <w:iCs w:val="1"/>
          <w:color w:val="auto"/>
        </w:rPr>
        <w:t xml:space="preserve"> </w:t>
      </w:r>
      <w:r>
        <w:rPr>
          <w:rFonts w:ascii="Arial" w:cs="Arial" w:eastAsia="Arial" w:hAnsi="Arial"/>
          <w:sz w:val="13"/>
          <w:szCs w:val="13"/>
          <w:color w:val="auto"/>
        </w:rPr>
        <w:t>to measure and classify share based payments to a customer, in accordance with the guidance in ASC 718. The Company has elected to early adopt these ASU’s effective January 1, 2019. Warrants granted in 2019 under the Amazon Agreement are accounted for under the updated standards. The adoption of ASU 2018-07 did not have a material impact on the Company’s Consolidated Financial Statements.</w:t>
      </w:r>
    </w:p>
    <w:p>
      <w:pPr>
        <w:spacing w:after="0" w:line="72"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b w:val="1"/>
          <w:bCs w:val="1"/>
          <w:i w:val="1"/>
          <w:iCs w:val="1"/>
          <w:color w:val="auto"/>
        </w:rPr>
        <w:t>Changes to the Disclosure Requirements for Fair Value Measurement—</w:t>
      </w:r>
      <w:r>
        <w:rPr>
          <w:rFonts w:ascii="Arial" w:cs="Arial" w:eastAsia="Arial" w:hAnsi="Arial"/>
          <w:sz w:val="15"/>
          <w:szCs w:val="15"/>
          <w:color w:val="auto"/>
        </w:rPr>
        <w:t>In August 2018, the Financial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Accounting Standards Board (“FASB”) issued Accounting Standards Update (“ASU”) 2018-13,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(Topic 820): Disclosure Framework—Changes to the Disclosure Requirements for Fair Value Measurement</w:t>
      </w:r>
      <w:r>
        <w:rPr>
          <w:rFonts w:ascii="Arial" w:cs="Arial" w:eastAsia="Arial" w:hAnsi="Arial"/>
          <w:sz w:val="15"/>
          <w:szCs w:val="15"/>
          <w:color w:val="auto"/>
        </w:rPr>
        <w:t>. The update eliminates, adds, and modifies certain disclosure requirements for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measurements. The Company adopted the requirements of ASU 2018-13 prospectively on January 1, 2020. The adoption of ASU 2018-13 did not have a material impact on the Company’s Consolidated Financial Statements.</w:t>
      </w:r>
    </w:p>
    <w:p>
      <w:pPr>
        <w:spacing w:after="0" w:line="109"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b w:val="1"/>
          <w:bCs w:val="1"/>
          <w:i w:val="1"/>
          <w:iCs w:val="1"/>
          <w:color w:val="auto"/>
        </w:rPr>
        <w:t>Financial Instruments—Credit Losses—</w:t>
      </w:r>
      <w:r>
        <w:rPr>
          <w:rFonts w:ascii="Arial" w:cs="Arial" w:eastAsia="Arial" w:hAnsi="Arial"/>
          <w:sz w:val="14"/>
          <w:szCs w:val="14"/>
          <w:color w:val="auto"/>
        </w:rPr>
        <w:t>In June 2016, the FASB issued ASU 2016-13,</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Financial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 xml:space="preserve">Instruments—Credit Losses </w:t>
      </w:r>
      <w:r>
        <w:rPr>
          <w:rFonts w:ascii="Arial" w:cs="Arial" w:eastAsia="Arial" w:hAnsi="Arial"/>
          <w:sz w:val="14"/>
          <w:szCs w:val="14"/>
          <w:color w:val="auto"/>
        </w:rPr>
        <w:t>(Topic 326)</w:t>
      </w:r>
      <w:r>
        <w:rPr>
          <w:rFonts w:ascii="Arial" w:cs="Arial" w:eastAsia="Arial" w:hAnsi="Arial"/>
          <w:sz w:val="14"/>
          <w:szCs w:val="14"/>
          <w:i w:val="1"/>
          <w:iCs w:val="1"/>
          <w:color w:val="auto"/>
        </w:rPr>
        <w:t>: Measurement of Credit Losses on Financial Instruments</w:t>
      </w:r>
      <w:r>
        <w:rPr>
          <w:rFonts w:ascii="Arial" w:cs="Arial" w:eastAsia="Arial" w:hAnsi="Arial"/>
          <w:sz w:val="14"/>
          <w:szCs w:val="14"/>
          <w:color w:val="auto"/>
        </w:rPr>
        <w:t>. The</w:t>
      </w:r>
      <w:r>
        <w:rPr>
          <w:rFonts w:ascii="Arial" w:cs="Arial" w:eastAsia="Arial" w:hAnsi="Arial"/>
          <w:sz w:val="14"/>
          <w:szCs w:val="14"/>
          <w:i w:val="1"/>
          <w:iCs w:val="1"/>
          <w:color w:val="auto"/>
        </w:rPr>
        <w:t xml:space="preserve"> </w:t>
      </w:r>
      <w:r>
        <w:rPr>
          <w:rFonts w:ascii="Arial" w:cs="Arial" w:eastAsia="Arial" w:hAnsi="Arial"/>
          <w:sz w:val="14"/>
          <w:szCs w:val="14"/>
          <w:color w:val="auto"/>
        </w:rPr>
        <w:t>update requires the use of an 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Consolidated Financial Statements.</w:t>
      </w:r>
    </w:p>
    <w:p>
      <w:pPr>
        <w:spacing w:after="0" w:line="93"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b w:val="1"/>
          <w:bCs w:val="1"/>
          <w:i w:val="1"/>
          <w:iCs w:val="1"/>
          <w:color w:val="auto"/>
        </w:rPr>
        <w:t>Simplifying the Test for Goodwill Impairment—</w:t>
      </w:r>
      <w:r>
        <w:rPr>
          <w:rFonts w:ascii="Arial" w:cs="Arial" w:eastAsia="Arial" w:hAnsi="Arial"/>
          <w:sz w:val="15"/>
          <w:szCs w:val="15"/>
          <w:color w:val="auto"/>
        </w:rPr>
        <w:t>In January 2017, the FASB issued ASU 2017-04,</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Simplifying the Test for Goodwill Impairment</w:t>
      </w:r>
      <w:r>
        <w:rPr>
          <w:rFonts w:ascii="Arial" w:cs="Arial" w:eastAsia="Arial" w:hAnsi="Arial"/>
          <w:sz w:val="15"/>
          <w:szCs w:val="15"/>
          <w:color w:val="auto"/>
        </w:rPr>
        <w:t>. The new standard eliminates Step 2 from the goodwill</w:t>
      </w:r>
      <w:r>
        <w:rPr>
          <w:rFonts w:ascii="Arial" w:cs="Arial" w:eastAsia="Arial" w:hAnsi="Arial"/>
          <w:sz w:val="15"/>
          <w:szCs w:val="15"/>
          <w:i w:val="1"/>
          <w:iCs w:val="1"/>
          <w:color w:val="auto"/>
        </w:rPr>
        <w:t xml:space="preserve"> </w:t>
      </w:r>
      <w:r>
        <w:rPr>
          <w:rFonts w:ascii="Arial" w:cs="Arial" w:eastAsia="Arial" w:hAnsi="Arial"/>
          <w:sz w:val="15"/>
          <w:szCs w:val="15"/>
          <w:color w:val="auto"/>
        </w:rPr>
        <w:t>impairment test. An entity should recognize a goodwill impairment charge for the amount by which the carrying amount exceeds the reporting unit’s fair value. The standard was adopted and applied prospectively by the Company on April 1, 2020, and it did not have an impact on the Company’s Consolidated Financial Statements.</w:t>
      </w:r>
    </w:p>
    <w:p>
      <w:pPr>
        <w:spacing w:after="0" w:line="91"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Issued Accounting Standards</w:t>
      </w:r>
    </w:p>
    <w:p>
      <w:pPr>
        <w:spacing w:after="0" w:line="124" w:lineRule="exact"/>
        <w:rPr>
          <w:sz w:val="20"/>
          <w:szCs w:val="20"/>
          <w:color w:val="auto"/>
        </w:rPr>
      </w:pPr>
    </w:p>
    <w:p>
      <w:pPr>
        <w:ind w:left="1160" w:right="1219" w:firstLine="293"/>
        <w:spacing w:after="0" w:line="293" w:lineRule="auto"/>
        <w:rPr>
          <w:sz w:val="20"/>
          <w:szCs w:val="20"/>
          <w:color w:val="auto"/>
        </w:rPr>
      </w:pPr>
      <w:r>
        <w:rPr>
          <w:rFonts w:ascii="Arial" w:cs="Arial" w:eastAsia="Arial" w:hAnsi="Arial"/>
          <w:sz w:val="13"/>
          <w:szCs w:val="13"/>
          <w:b w:val="1"/>
          <w:bCs w:val="1"/>
          <w:i w:val="1"/>
          <w:iCs w:val="1"/>
          <w:color w:val="auto"/>
        </w:rPr>
        <w:t>Income Taxes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Simplifying the Accounting for Income Taxes—</w:t>
      </w:r>
      <w:r>
        <w:rPr>
          <w:rFonts w:ascii="Arial" w:cs="Arial" w:eastAsia="Arial" w:hAnsi="Arial"/>
          <w:sz w:val="13"/>
          <w:szCs w:val="13"/>
          <w:color w:val="auto"/>
        </w:rPr>
        <w:t>In December 2019, the FASB issued ASU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is not expected to have a material impact on the Company’s Consolidated Financial Statements.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1" w:name="page212"/>
    <w:bookmarkEnd w:id="211"/>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w:t>
      </w:r>
    </w:p>
    <w:p>
      <w:pPr>
        <w:spacing w:after="0" w:line="128"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4"/>
          <w:szCs w:val="14"/>
          <w:color w:val="auto"/>
        </w:rPr>
        <w:t>In December 2019, a novel strain of COVID-19 was reported in Wuhan, China. COVID- 19 has since spread to almost every country in the world, including the United States. On March 11, 2020, the World Health Organization declared COVID-19 to constitute a “Public Health Emergency of International Concern” and the U.S. federal government declared COVID- 19 a “National Emergency.” 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decline in flight bookings and an increase in cancellations beginning in</w:t>
      </w:r>
    </w:p>
    <w:p>
      <w:pPr>
        <w:spacing w:after="0" w:line="2" w:lineRule="exact"/>
        <w:rPr>
          <w:sz w:val="20"/>
          <w:szCs w:val="20"/>
          <w:color w:val="auto"/>
        </w:rPr>
      </w:pPr>
    </w:p>
    <w:p>
      <w:pPr>
        <w:ind w:left="1160" w:right="1319"/>
        <w:spacing w:after="0" w:line="232" w:lineRule="auto"/>
        <w:rPr>
          <w:sz w:val="20"/>
          <w:szCs w:val="20"/>
          <w:color w:val="auto"/>
        </w:rPr>
      </w:pPr>
      <w:r>
        <w:rPr>
          <w:rFonts w:ascii="Arial" w:cs="Arial" w:eastAsia="Arial" w:hAnsi="Arial"/>
          <w:sz w:val="15"/>
          <w:szCs w:val="15"/>
          <w:color w:val="auto"/>
        </w:rPr>
        <w:t>March 2020, as a result of the outbreak. In addition, the federal government has encouraged social distancing efforts and limits on gathering size. Many popular tourist destinations have been closed, or operations are being curtailed, reducing the demand for leisure air travel. Although flight bookings for the second half of 2020 improved compared to the first half of 2020, they remain significantly below the prior year.</w:t>
      </w:r>
    </w:p>
    <w:p>
      <w:pPr>
        <w:spacing w:after="0" w:line="88" w:lineRule="exact"/>
        <w:rPr>
          <w:sz w:val="20"/>
          <w:szCs w:val="20"/>
          <w:color w:val="auto"/>
        </w:rPr>
      </w:pPr>
    </w:p>
    <w:p>
      <w:pPr>
        <w:ind w:left="1160" w:right="1199" w:firstLine="293"/>
        <w:spacing w:after="0" w:line="250" w:lineRule="auto"/>
        <w:rPr>
          <w:sz w:val="20"/>
          <w:szCs w:val="20"/>
          <w:color w:val="auto"/>
        </w:rPr>
      </w:pPr>
      <w:r>
        <w:rPr>
          <w:rFonts w:ascii="Arial" w:cs="Arial" w:eastAsia="Arial" w:hAnsi="Arial"/>
          <w:sz w:val="14"/>
          <w:szCs w:val="14"/>
          <w:color w:val="auto"/>
        </w:rPr>
        <w:t>The timing and pace of the recovery are uncertain as certain markets have reopened, some of which have since experienced a resurgence of COVID-19 cases, while others, particularly international markets, remain closed or are enforcing extended quarantines for most U.S. residents. Additionally, some states have instituted travel restrictions or advisories for travelers from other states. As of December 31, 2020, there were restrictions in several international countries that did not allow planes from the United States to travel to these countries.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had restricted non-essential travel for their employees.</w:t>
      </w:r>
    </w:p>
    <w:p>
      <w:pPr>
        <w:spacing w:after="0" w:line="95" w:lineRule="exact"/>
        <w:rPr>
          <w:sz w:val="20"/>
          <w:szCs w:val="20"/>
          <w:color w:val="auto"/>
        </w:rPr>
      </w:pPr>
    </w:p>
    <w:p>
      <w:pPr>
        <w:ind w:left="1160" w:right="1399" w:firstLine="293"/>
        <w:spacing w:after="0" w:line="239" w:lineRule="auto"/>
        <w:rPr>
          <w:sz w:val="20"/>
          <w:szCs w:val="20"/>
          <w:color w:val="auto"/>
        </w:rPr>
      </w:pPr>
      <w:r>
        <w:rPr>
          <w:rFonts w:ascii="Arial" w:cs="Arial" w:eastAsia="Arial" w:hAnsi="Arial"/>
          <w:sz w:val="15"/>
          <w:szCs w:val="15"/>
          <w:color w:val="auto"/>
        </w:rPr>
        <w:t>It is evident that passenger air traffic demand in the foreseeable future will continue to fluctuate in response to fluctuations in COVID-19 reported cases, hospitalizations, deaths, treatment efficacy and the availability of vaccines.</w:t>
      </w:r>
    </w:p>
    <w:p>
      <w:pPr>
        <w:spacing w:after="0" w:line="100"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89"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In response to COVID-19 and the reduced consumer demand, the Company has significantly reduced planned capacity for scheduled and charter services.</w:t>
      </w:r>
    </w:p>
    <w:p>
      <w:pPr>
        <w:spacing w:after="0" w:line="94"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As the COVID-19 pandemic continues to evolve, the Company’s financial and operational outlook remains subject to change. Despite the pandemic’s impact on the Company’s passenger segment, the Company began providing air cargo service and generating cargo revenues under the Amazon Agreement in the second quarter of 2020 as planned.</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Liquidity assessment as a result of COVID-19 impacts</w:t>
      </w:r>
    </w:p>
    <w:p>
      <w:pPr>
        <w:spacing w:after="0" w:line="128" w:lineRule="exact"/>
        <w:rPr>
          <w:sz w:val="20"/>
          <w:szCs w:val="20"/>
          <w:color w:val="auto"/>
        </w:rPr>
      </w:pPr>
    </w:p>
    <w:p>
      <w:pPr>
        <w:ind w:left="1160" w:right="1339" w:firstLine="293"/>
        <w:spacing w:after="0" w:line="284" w:lineRule="auto"/>
        <w:rPr>
          <w:sz w:val="20"/>
          <w:szCs w:val="20"/>
          <w:color w:val="auto"/>
        </w:rPr>
      </w:pPr>
      <w:r>
        <w:rPr>
          <w:rFonts w:ascii="Arial" w:cs="Arial" w:eastAsia="Arial" w:hAnsi="Arial"/>
          <w:sz w:val="13"/>
          <w:szCs w:val="13"/>
          <w:color w:val="auto"/>
        </w:rPr>
        <w:t>At the onset of the pandemic, the Company identified measures to reduce its operating costs and improve its liquidity position and implemented a temporary reduction of scheduled departures, deferred non-essential capital projects, placed a hiring freeze, and negotiated the deferral of aircraft rent payments. Further, on October 8, 2020, the Company announced the elimination of certain management positions.</w:t>
      </w:r>
    </w:p>
    <w:p>
      <w:pPr>
        <w:spacing w:after="0" w:line="61"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color w:val="auto"/>
        </w:rPr>
        <w:t>Based on the foregoing measures that the Company has taken to improve its liquidity position, along with the $62,312 grant received from the United States Department of the Treasury under the Coronavirus</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539"/>
        <w:spacing w:after="0" w:line="239" w:lineRule="auto"/>
        <w:rPr>
          <w:sz w:val="20"/>
          <w:szCs w:val="20"/>
          <w:color w:val="auto"/>
        </w:rPr>
      </w:pPr>
      <w:r>
        <w:rPr>
          <w:rFonts w:ascii="Arial" w:cs="Arial" w:eastAsia="Arial" w:hAnsi="Arial"/>
          <w:sz w:val="15"/>
          <w:szCs w:val="15"/>
          <w:color w:val="auto"/>
        </w:rPr>
        <w:t>Aid, Relief, and Economic Security Act (“CARES Act”), and the $45.0 million CARES Act Loan both received in 2020 the Company currently believes that it has sufficient liquidity to meet its near-term obligations.</w:t>
      </w:r>
    </w:p>
    <w:p>
      <w:pPr>
        <w:spacing w:after="0" w:line="100" w:lineRule="exact"/>
        <w:rPr>
          <w:sz w:val="20"/>
          <w:szCs w:val="20"/>
          <w:color w:val="auto"/>
        </w:rPr>
      </w:pPr>
    </w:p>
    <w:p>
      <w:pPr>
        <w:ind w:left="1160" w:right="1279" w:firstLine="293"/>
        <w:spacing w:after="0" w:line="236" w:lineRule="auto"/>
        <w:rPr>
          <w:sz w:val="20"/>
          <w:szCs w:val="20"/>
          <w:color w:val="auto"/>
        </w:rPr>
      </w:pPr>
      <w:r>
        <w:rPr>
          <w:rFonts w:ascii="Arial" w:cs="Arial" w:eastAsia="Arial" w:hAnsi="Arial"/>
          <w:sz w:val="15"/>
          <w:szCs w:val="15"/>
          <w:color w:val="auto"/>
        </w:rPr>
        <w:t>The extent of the impact of COVID-19 on the Company’s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Impairment Consideration</w:t>
      </w:r>
    </w:p>
    <w:p>
      <w:pPr>
        <w:spacing w:after="0" w:line="117"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4"/>
          <w:szCs w:val="14"/>
          <w:color w:val="auto"/>
        </w:rPr>
        <w:t>The Company identified the impact of the COVID-19 pandemic on the Company’s operation as an indicator of potential impairment of its long-lived assets, and, as a result, performed an impairment test on its long-lived assets during each quarter of 2020. No impairment charges were recorded during 2020.</w:t>
      </w:r>
    </w:p>
    <w:p>
      <w:pPr>
        <w:spacing w:after="0" w:line="84"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Also during each quarter of 2020, the Company considered whether the projected financial impact of COVID-19 indicated that the fair value of goodwill and tradename asset may be lower than their carrying values. The Company’s considerations included future operating cash flows, changes in the market capitalization of competitors within the airline industry, and changes in the regulatory environment. Based on the assessments performed, the Company concluded that the assets were recoverable, and no impairment charges were recorded during 2020.</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CARES Act</w:t>
      </w:r>
    </w:p>
    <w:p>
      <w:pPr>
        <w:spacing w:after="0" w:line="128" w:lineRule="exact"/>
        <w:rPr>
          <w:sz w:val="20"/>
          <w:szCs w:val="20"/>
          <w:color w:val="auto"/>
        </w:rPr>
      </w:pPr>
    </w:p>
    <w:p>
      <w:pPr>
        <w:ind w:left="1160" w:right="1279" w:firstLine="293"/>
        <w:spacing w:after="0" w:line="235" w:lineRule="auto"/>
        <w:rPr>
          <w:sz w:val="20"/>
          <w:szCs w:val="20"/>
          <w:color w:val="auto"/>
        </w:rPr>
      </w:pPr>
      <w:r>
        <w:rPr>
          <w:rFonts w:ascii="Arial" w:cs="Arial" w:eastAsia="Arial" w:hAnsi="Arial"/>
          <w:sz w:val="15"/>
          <w:szCs w:val="15"/>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certain benefits outlined in the CARES Act including but not limited to payroll tax breaks, government grants and government loans.</w:t>
      </w:r>
    </w:p>
    <w:p>
      <w:pPr>
        <w:spacing w:after="0" w:line="89"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3"/>
          <w:szCs w:val="13"/>
          <w:color w:val="auto"/>
        </w:rPr>
        <w:t>On April 15, 2020, the Company was informed by the United States Department of the Treasury that it would receive a grant of $60,559 under the CARES Act Payroll Support Program. The Company received $20,187 in April 2020, and $10,093 in June, July, August and September 2020. In September 2020, the Company was awarded an additional CARES Act grant of $1,753. The amount recognized under the CARES Act grant for the year ended December 31, 2020 was $62,312, and is included within Special Items, net on the Consolidated Statements of Operations. Grant dollars were recognized as qualifying expenses were incurred from April 1, 2020 through September 30, 2020, up to the CARES Act grant amount.</w:t>
      </w:r>
    </w:p>
    <w:p>
      <w:pPr>
        <w:spacing w:after="0" w:line="80" w:lineRule="exact"/>
        <w:rPr>
          <w:sz w:val="20"/>
          <w:szCs w:val="20"/>
          <w:color w:val="auto"/>
        </w:rPr>
      </w:pPr>
    </w:p>
    <w:p>
      <w:pPr>
        <w:ind w:left="1160" w:right="1219" w:firstLine="293"/>
        <w:spacing w:after="0" w:line="232" w:lineRule="auto"/>
        <w:rPr>
          <w:sz w:val="20"/>
          <w:szCs w:val="20"/>
          <w:color w:val="auto"/>
        </w:rPr>
      </w:pPr>
      <w:r>
        <w:rPr>
          <w:rFonts w:ascii="Arial" w:cs="Arial" w:eastAsia="Arial" w:hAnsi="Arial"/>
          <w:sz w:val="15"/>
          <w:szCs w:val="15"/>
          <w:color w:val="auto"/>
        </w:rPr>
        <w:t>In connection with the Payroll Support Program, the Company is required to comply with the relevant provisions of the CARES Act, including the requirement that the grant is used exclusively for the continued payment of employee salaries, wages, and benefits, and that the Company refrain from involuntary furloughs of employees or reducing pay rates or benefits through September 30, 2020. The Company must also comply with the provisions prohibiting the repurchase of common stock and the payment of common stock dividends until September 30, 2021, as well as those restricting the payment of certain executive compensation until March 24, 2022. Finally, until March 1, 2022, the Company is required to continue to provide air service to markets served prior to March 1, 2020, to the extent determined reasonable and practicable by the DOT subject to exemptions granted by the DOT to the Company. As of December 31, 2020 and through the date of this report, the Company believes it has complied with the provisions of the Payroll Support Program.</w:t>
      </w:r>
    </w:p>
    <w:p>
      <w:pPr>
        <w:spacing w:after="0" w:line="100"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4"/>
          <w:szCs w:val="14"/>
          <w:color w:val="auto"/>
        </w:rPr>
        <w:t>The CARES Act provides an employee retention credit (“CARES Employee Retention Credit”) which is a refundable tax credit against certain employment taxes of up to five thousand dollars per employee. The credit is equal to 50% of qualified wages paid to employees during a quarter, capped at ten thousand</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5"/>
          <w:szCs w:val="15"/>
          <w:color w:val="auto"/>
        </w:rPr>
        <w:t>dollars of qualified annual wages through December 31, 2020. The Company qualified for the credit beginning on April 1, 2020. During the year ended December 31, 2020, the Company recorded $2,328 related to the CARES Employee Retention Credit within Special Items, net on the Company’s Consolidated Statements of Operations.</w:t>
      </w:r>
    </w:p>
    <w:p>
      <w:pPr>
        <w:spacing w:after="0" w:line="102"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5"/>
          <w:szCs w:val="15"/>
          <w:color w:val="auto"/>
        </w:rPr>
        <w:t>The CARES Act also provides for the deferred payment of the employer portion of social security taxes through the end of 2020, with 50% of the deferred amount due December 31, 2021 and the remaining 50% due December 31, 2022. The amount deferred as of December 31, 2020 was $4,138, of which $2,069 is recorded in Accrued Salaries, Wages, and Benefits and $2,069 is recorded in Other Long-term Liabilities on the Company’s Consolidated Balance Sheets.</w:t>
      </w:r>
    </w:p>
    <w:p>
      <w:pPr>
        <w:spacing w:after="0" w:line="94" w:lineRule="exact"/>
        <w:rPr>
          <w:sz w:val="20"/>
          <w:szCs w:val="20"/>
          <w:color w:val="auto"/>
        </w:rPr>
      </w:pPr>
    </w:p>
    <w:p>
      <w:pPr>
        <w:ind w:left="1160" w:right="1219" w:firstLine="293"/>
        <w:spacing w:after="0" w:line="264" w:lineRule="auto"/>
        <w:rPr>
          <w:sz w:val="20"/>
          <w:szCs w:val="20"/>
          <w:color w:val="auto"/>
        </w:rPr>
      </w:pPr>
      <w:r>
        <w:rPr>
          <w:rFonts w:ascii="Arial" w:cs="Arial" w:eastAsia="Arial" w:hAnsi="Arial"/>
          <w:sz w:val="15"/>
          <w:szCs w:val="15"/>
          <w:color w:val="auto"/>
        </w:rPr>
        <w:t>Under the CARES Act Loan Program, the Company received a $45,000 loan from the U.S. Department of the Treasury on October 26, 2020. See Note 9—Debt.</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On January 22, 2021, the Company was informed by the United States Department of the Treasury that</w:t>
      </w:r>
    </w:p>
    <w:p>
      <w:pPr>
        <w:spacing w:after="0" w:line="3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it would receive a grant of $32,208 under the Payroll Support Program Extension (PSP2) under the</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Appropriations Act, 2021 (PSP Extension Law). The Company received $16,104 on</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February 2, 2021, and anticipates receiving the remaining $16,104 prior to the end of March 2021. All funds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provided by the Treasury Department to PSP2 participants may only be used for the continuation of</w:t>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payment of employee salaries, wages, and benefits.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w:t>
      </w:r>
    </w:p>
    <w:p>
      <w:pPr>
        <w:spacing w:after="0" w:line="128"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On the Acquisition Date, SCA Acquisition Holdings, LLC acquired 100 percent of MN Airlines’ stockholder equity. The final purchase price, determined in accordance with the definitions and target amounts specified in the sale agreement, was $187,775. The Company did not incur any material expenses related to the Acquisition prior to the Acquisition Date.</w:t>
      </w:r>
    </w:p>
    <w:p>
      <w:pPr>
        <w:spacing w:after="0" w:line="91"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as described further below.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97" w:lineRule="exact"/>
        <w:rPr>
          <w:sz w:val="20"/>
          <w:szCs w:val="20"/>
          <w:color w:val="auto"/>
        </w:rPr>
      </w:pPr>
    </w:p>
    <w:p>
      <w:pPr>
        <w:ind w:left="1160" w:right="1339" w:firstLine="293"/>
        <w:spacing w:after="0" w:line="266" w:lineRule="auto"/>
        <w:rPr>
          <w:sz w:val="20"/>
          <w:szCs w:val="20"/>
          <w:color w:val="auto"/>
        </w:rPr>
      </w:pPr>
      <w:r>
        <w:rPr>
          <w:rFonts w:ascii="Arial" w:cs="Arial" w:eastAsia="Arial" w:hAnsi="Arial"/>
          <w:sz w:val="14"/>
          <w:szCs w:val="14"/>
          <w:color w:val="auto"/>
        </w:rPr>
        <w:t>Although the Successor continued with the same core operations after the Acquisition Date, the accompanying consolidated financial statements are presented for two 2018 periods: Successor, which relates to the 2018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60" w:lineRule="auto"/>
        <w:rPr>
          <w:sz w:val="20"/>
          <w:szCs w:val="20"/>
          <w:color w:val="auto"/>
        </w:rPr>
      </w:pPr>
      <w:r>
        <w:rPr>
          <w:rFonts w:ascii="Arial" w:cs="Arial" w:eastAsia="Arial" w:hAnsi="Arial"/>
          <w:sz w:val="14"/>
          <w:szCs w:val="14"/>
          <w:b w:val="1"/>
          <w:bCs w:val="1"/>
          <w:color w:val="auto"/>
        </w:rPr>
        <w:t>Successor—</w:t>
      </w:r>
      <w:r>
        <w:rPr>
          <w:rFonts w:ascii="Arial" w:cs="Arial" w:eastAsia="Arial" w:hAnsi="Arial"/>
          <w:sz w:val="14"/>
          <w:szCs w:val="14"/>
          <w:color w:val="auto"/>
        </w:rPr>
        <w:t>The accompanying Consolidated Financial Statements include the Successor’s assets,</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liabilities, and stockholders’ equity and the related income and expenses and cash flows. SCA Acquisition Holdings, LLC had no other operating activities since its formation other than the activities presented of its acquired wholly owned subsidiary, Sun Country, Inc., f/k/a MN Airlines, LLC.</w:t>
      </w:r>
    </w:p>
    <w:p>
      <w:pPr>
        <w:spacing w:after="0" w:line="82" w:lineRule="exact"/>
        <w:rPr>
          <w:sz w:val="20"/>
          <w:szCs w:val="20"/>
          <w:color w:val="auto"/>
        </w:rPr>
      </w:pPr>
    </w:p>
    <w:p>
      <w:pPr>
        <w:jc w:val="both"/>
        <w:ind w:left="1160" w:right="1319" w:firstLine="293"/>
        <w:spacing w:after="0" w:line="238" w:lineRule="auto"/>
        <w:rPr>
          <w:sz w:val="20"/>
          <w:szCs w:val="20"/>
          <w:color w:val="auto"/>
        </w:rPr>
      </w:pPr>
      <w:r>
        <w:rPr>
          <w:rFonts w:ascii="Arial" w:cs="Arial" w:eastAsia="Arial" w:hAnsi="Arial"/>
          <w:sz w:val="15"/>
          <w:szCs w:val="15"/>
          <w:b w:val="1"/>
          <w:bCs w:val="1"/>
          <w:color w:val="auto"/>
        </w:rPr>
        <w:t>Predecessor—</w:t>
      </w:r>
      <w:r>
        <w:rPr>
          <w:rFonts w:ascii="Arial" w:cs="Arial" w:eastAsia="Arial" w:hAnsi="Arial"/>
          <w:sz w:val="15"/>
          <w:szCs w:val="15"/>
          <w:color w:val="auto"/>
        </w:rPr>
        <w:t>The accompanying Predecessor Consolidated Financial Statements include the assets,</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liabilities, and equity and the related income and expenses and cash flows of Sun Country, Inc., f/k/a MN Airlines, LLC, which occurred prior to the Acquisition Date and are reported under its historical basis that existed prior to the Acquisition Date.</w:t>
      </w:r>
    </w:p>
    <w:p>
      <w:pPr>
        <w:spacing w:after="0" w:line="8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Fair value of the assets acquired and the liabilities assumed as of the Acquisition Date are as follows:</w:t>
      </w:r>
    </w:p>
    <w:p>
      <w:pPr>
        <w:spacing w:after="0" w:line="161"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8,308</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Investments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Accounts Receivable</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31,796</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Inventory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5,295</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Prepaid Expenses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7,617</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38,511</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Goodwill</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222,223</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104,000</w:t>
            </w:r>
          </w:p>
        </w:tc>
      </w:tr>
      <w:tr>
        <w:trPr>
          <w:trHeight w:val="209"/>
        </w:trPr>
        <w:tc>
          <w:tcPr>
            <w:tcW w:w="5520" w:type="dxa"/>
            <w:vAlign w:val="bottom"/>
          </w:tcPr>
          <w:p>
            <w:pPr>
              <w:spacing w:after="0"/>
              <w:rPr>
                <w:sz w:val="20"/>
                <w:szCs w:val="20"/>
                <w:color w:val="auto"/>
              </w:rPr>
            </w:pPr>
            <w:r>
              <w:rPr>
                <w:rFonts w:ascii="Arial" w:cs="Arial" w:eastAsia="Arial" w:hAnsi="Arial"/>
                <w:sz w:val="15"/>
                <w:szCs w:val="15"/>
                <w:color w:val="auto"/>
              </w:rPr>
              <w:t>Aircraft Lease Deposits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17,923</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49,634</w:t>
            </w:r>
          </w:p>
        </w:tc>
      </w:tr>
      <w:tr>
        <w:trPr>
          <w:trHeight w:val="225"/>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490,188</w:t>
            </w:r>
          </w:p>
        </w:tc>
      </w:tr>
      <w:tr>
        <w:trPr>
          <w:trHeight w:val="308"/>
        </w:trPr>
        <w:tc>
          <w:tcPr>
            <w:tcW w:w="552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50,016</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Accrued Salaries, Wages, and Benefits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9,006</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Accrued Transportation Taxes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12,237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Air Traffic Liabilities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72,235</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Over-market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108,017</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Finance Lease Obligations</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10,038</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Loyalty Program Liabilities</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37,165</w:t>
            </w:r>
          </w:p>
        </w:tc>
      </w:tr>
      <w:tr>
        <w:trPr>
          <w:trHeight w:val="220"/>
        </w:trPr>
        <w:tc>
          <w:tcPr>
            <w:tcW w:w="5520" w:type="dxa"/>
            <w:vAlign w:val="bottom"/>
          </w:tcPr>
          <w:p>
            <w:pPr>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941</w:t>
            </w:r>
          </w:p>
        </w:tc>
      </w:tr>
      <w:tr>
        <w:trPr>
          <w:trHeight w:val="225"/>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2,758</w:t>
            </w:r>
          </w:p>
        </w:tc>
      </w:tr>
      <w:tr>
        <w:trPr>
          <w:trHeight w:val="222"/>
        </w:trPr>
        <w:tc>
          <w:tcPr>
            <w:tcW w:w="55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Total Liabilities</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4"/>
              </w:rPr>
              <w:t>302,413</w:t>
            </w:r>
          </w:p>
        </w:tc>
      </w:tr>
      <w:tr>
        <w:trPr>
          <w:trHeight w:val="222"/>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Purchase Price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4"/>
              </w:rPr>
              <w:t>187,775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-160020</wp:posOffset>
            </wp:positionV>
            <wp:extent cx="350901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-1917700</wp:posOffset>
            </wp:positionV>
            <wp:extent cx="3509010"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2" w:lineRule="exact"/>
        <w:rPr>
          <w:sz w:val="20"/>
          <w:szCs w:val="20"/>
          <w:color w:val="auto"/>
        </w:rPr>
      </w:pPr>
    </w:p>
    <w:p>
      <w:pPr>
        <w:ind w:left="1160" w:right="1179" w:firstLine="293"/>
        <w:spacing w:after="0" w:line="235" w:lineRule="auto"/>
        <w:rPr>
          <w:sz w:val="20"/>
          <w:szCs w:val="20"/>
          <w:color w:val="auto"/>
        </w:rPr>
      </w:pPr>
      <w:r>
        <w:rPr>
          <w:rFonts w:ascii="Arial" w:cs="Arial" w:eastAsia="Arial" w:hAnsi="Arial"/>
          <w:sz w:val="15"/>
          <w:szCs w:val="15"/>
          <w:b w:val="1"/>
          <w:bCs w:val="1"/>
          <w:color w:val="auto"/>
        </w:rPr>
        <w:t>Property and Equipment—</w:t>
      </w:r>
      <w:r>
        <w:rPr>
          <w:rFonts w:ascii="Arial" w:cs="Arial" w:eastAsia="Arial" w:hAnsi="Arial"/>
          <w:sz w:val="15"/>
          <w:szCs w:val="15"/>
          <w:color w:val="auto"/>
        </w:rPr>
        <w:t>The Company acquired Property and Equipment which were valued based</w:t>
      </w:r>
      <w:r>
        <w:rPr>
          <w:rFonts w:ascii="Arial" w:cs="Arial" w:eastAsia="Arial" w:hAnsi="Arial"/>
          <w:sz w:val="15"/>
          <w:szCs w:val="15"/>
          <w:b w:val="1"/>
          <w:bCs w:val="1"/>
          <w:color w:val="auto"/>
        </w:rPr>
        <w:t xml:space="preserve"> </w:t>
      </w:r>
      <w:r>
        <w:rPr>
          <w:rFonts w:ascii="Arial" w:cs="Arial" w:eastAsia="Arial" w:hAnsi="Arial"/>
          <w:sz w:val="15"/>
          <w:szCs w:val="15"/>
          <w:color w:val="auto"/>
        </w:rPr>
        <w:t>on a combination of the cost and market approaches. The cost approach was applied based on inflationary trends to historical costs, considering the age of the asset, its physical condition, operational status and economic utility. The market was approach was applied based on market prices for similar assets. The useful lives assigned were based on their expected remaining useful lives consistent with the Company’s capitalization policy.</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79" w:lineRule="exact"/>
        <w:rPr>
          <w:sz w:val="20"/>
          <w:szCs w:val="20"/>
          <w:color w:val="auto"/>
        </w:rPr>
      </w:pPr>
    </w:p>
    <w:p>
      <w:pPr>
        <w:ind w:left="1160" w:right="1259" w:firstLine="293"/>
        <w:spacing w:after="0" w:line="250" w:lineRule="auto"/>
        <w:rPr>
          <w:sz w:val="20"/>
          <w:szCs w:val="20"/>
          <w:color w:val="auto"/>
        </w:rPr>
      </w:pPr>
      <w:r>
        <w:rPr>
          <w:rFonts w:ascii="Arial" w:cs="Arial" w:eastAsia="Arial" w:hAnsi="Arial"/>
          <w:sz w:val="14"/>
          <w:szCs w:val="14"/>
          <w:b w:val="1"/>
          <w:bCs w:val="1"/>
          <w:color w:val="auto"/>
        </w:rPr>
        <w:t>Sun Country Airlines Tradename—</w:t>
      </w:r>
      <w:r>
        <w:rPr>
          <w:rFonts w:ascii="Arial" w:cs="Arial" w:eastAsia="Arial" w:hAnsi="Arial"/>
          <w:sz w:val="14"/>
          <w:szCs w:val="14"/>
          <w:color w:val="auto"/>
        </w:rPr>
        <w:t>The Company acquired an intangible asset of $56,000 assigned to</w:t>
      </w:r>
      <w:r>
        <w:rPr>
          <w:rFonts w:ascii="Arial" w:cs="Arial" w:eastAsia="Arial" w:hAnsi="Arial"/>
          <w:sz w:val="14"/>
          <w:szCs w:val="14"/>
          <w:b w:val="1"/>
          <w:bCs w:val="1"/>
          <w:color w:val="auto"/>
        </w:rPr>
        <w:t xml:space="preserve"> </w:t>
      </w:r>
      <w:r>
        <w:rPr>
          <w:rFonts w:ascii="Arial" w:cs="Arial" w:eastAsia="Arial" w:hAnsi="Arial"/>
          <w:sz w:val="14"/>
          <w:szCs w:val="14"/>
          <w:color w:val="auto"/>
        </w:rPr>
        <w:t>the Sun Country Airlines Tradename. Sun Country has operated under this name and brand since 1983, and has high brand recognition and brand loyalty, particularly in its home market of Minneapolis/St. Paul, MN. This intangible asset was valued using a discounted cash flow analysis based on the relief from royalty method, a variation of the income approach. The relief from royalty approach utilizes certain market information by reference to the amount of after-tax cash flows the Company could generate if the trade names were licensed in an arm’s length transaction to a third party. Significant assumptions used in the discounted cash flow analysis include the projected revenue of the Company, the royalty rate, the discount rate and the terminal value. The Company expects to continue to use the brand and associated trademarks for the indefinite future.</w:t>
      </w:r>
    </w:p>
    <w:p>
      <w:pPr>
        <w:spacing w:after="0" w:line="92" w:lineRule="exact"/>
        <w:rPr>
          <w:sz w:val="20"/>
          <w:szCs w:val="20"/>
          <w:color w:val="auto"/>
        </w:rPr>
      </w:pPr>
    </w:p>
    <w:p>
      <w:pPr>
        <w:ind w:left="1160" w:right="1239" w:firstLine="293"/>
        <w:spacing w:after="0" w:line="251" w:lineRule="auto"/>
        <w:rPr>
          <w:sz w:val="20"/>
          <w:szCs w:val="20"/>
          <w:color w:val="auto"/>
        </w:rPr>
      </w:pPr>
      <w:r>
        <w:rPr>
          <w:rFonts w:ascii="Arial" w:cs="Arial" w:eastAsia="Arial" w:hAnsi="Arial"/>
          <w:sz w:val="14"/>
          <w:szCs w:val="14"/>
          <w:b w:val="1"/>
          <w:bCs w:val="1"/>
          <w:color w:val="auto"/>
        </w:rPr>
        <w:t>Customer Relationships—</w:t>
      </w:r>
      <w:r>
        <w:rPr>
          <w:rFonts w:ascii="Arial" w:cs="Arial" w:eastAsia="Arial" w:hAnsi="Arial"/>
          <w:sz w:val="14"/>
          <w:szCs w:val="14"/>
          <w:color w:val="auto"/>
        </w:rPr>
        <w:t>The Company acquired an intangible asset of $48,000 representing the fair</w:t>
      </w:r>
      <w:r>
        <w:rPr>
          <w:rFonts w:ascii="Arial" w:cs="Arial" w:eastAsia="Arial" w:hAnsi="Arial"/>
          <w:sz w:val="14"/>
          <w:szCs w:val="14"/>
          <w:b w:val="1"/>
          <w:bCs w:val="1"/>
          <w:color w:val="auto"/>
        </w:rPr>
        <w:t xml:space="preserve"> </w:t>
      </w:r>
      <w:r>
        <w:rPr>
          <w:rFonts w:ascii="Arial" w:cs="Arial" w:eastAsia="Arial" w:hAnsi="Arial"/>
          <w:sz w:val="14"/>
          <w:szCs w:val="14"/>
          <w:color w:val="auto"/>
        </w:rPr>
        <w:t>value of its customer relationships arising from Sun Country’s extensive charter business, including several large customers with long-term commitments for charter flights. This intangible asset was valued using the multi- period excess earnings method, a variation of the income approach, based on the present value of the expected incremental after-tax cash flows (or “excess earnings”) attributable to certain charter customer relationships. Significant assumptions used in the discounted cash flow analysis include the projected earnings of the customer relationships, customer retention rates and the discount rate. The customer relationship intangible asset has been assigned a useful life of 12 years and will be amortized on a straight-line basis over this life.</w:t>
      </w:r>
    </w:p>
    <w:p>
      <w:pPr>
        <w:spacing w:after="0" w:line="78" w:lineRule="exact"/>
        <w:rPr>
          <w:sz w:val="20"/>
          <w:szCs w:val="20"/>
          <w:color w:val="auto"/>
        </w:rPr>
      </w:pPr>
    </w:p>
    <w:p>
      <w:pPr>
        <w:ind w:left="1160" w:right="1199" w:firstLine="293"/>
        <w:spacing w:after="0" w:line="238" w:lineRule="auto"/>
        <w:rPr>
          <w:sz w:val="20"/>
          <w:szCs w:val="20"/>
          <w:color w:val="auto"/>
        </w:rPr>
      </w:pPr>
      <w:r>
        <w:rPr>
          <w:rFonts w:ascii="Arial" w:cs="Arial" w:eastAsia="Arial" w:hAnsi="Arial"/>
          <w:sz w:val="15"/>
          <w:szCs w:val="15"/>
          <w:b w:val="1"/>
          <w:bCs w:val="1"/>
          <w:color w:val="auto"/>
        </w:rPr>
        <w:t>Goodwill—</w:t>
      </w:r>
      <w:r>
        <w:rPr>
          <w:rFonts w:ascii="Arial" w:cs="Arial" w:eastAsia="Arial" w:hAnsi="Arial"/>
          <w:sz w:val="15"/>
          <w:szCs w:val="15"/>
          <w:color w:val="auto"/>
        </w:rPr>
        <w:t>Goodwill, of which $132,606 was tax deductible, represents the excess of the purchase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over the fair value of the underlying net assets acquired and largely results from expected growth and improved financial results for the Company as well as an assembled workforce, which does not qualify for separate recognition.</w:t>
      </w:r>
    </w:p>
    <w:p>
      <w:pPr>
        <w:spacing w:after="0" w:line="96" w:lineRule="exact"/>
        <w:rPr>
          <w:sz w:val="20"/>
          <w:szCs w:val="20"/>
          <w:color w:val="auto"/>
        </w:rPr>
      </w:pPr>
    </w:p>
    <w:p>
      <w:pPr>
        <w:ind w:left="1160" w:right="1319" w:firstLine="293"/>
        <w:spacing w:after="0" w:line="235" w:lineRule="auto"/>
        <w:rPr>
          <w:sz w:val="20"/>
          <w:szCs w:val="20"/>
          <w:color w:val="auto"/>
        </w:rPr>
      </w:pPr>
      <w:r>
        <w:rPr>
          <w:rFonts w:ascii="Arial" w:cs="Arial" w:eastAsia="Arial" w:hAnsi="Arial"/>
          <w:sz w:val="15"/>
          <w:szCs w:val="15"/>
          <w:b w:val="1"/>
          <w:bCs w:val="1"/>
          <w:color w:val="auto"/>
        </w:rPr>
        <w:t>Deferred Tax Asset—</w:t>
      </w:r>
      <w:r>
        <w:rPr>
          <w:rFonts w:ascii="Arial" w:cs="Arial" w:eastAsia="Arial" w:hAnsi="Arial"/>
          <w:sz w:val="15"/>
          <w:szCs w:val="15"/>
          <w:color w:val="auto"/>
        </w:rPr>
        <w:t>The acquisition of MN Airlines, LLC was treated as an asset acquisition for U.S.</w:t>
      </w:r>
      <w:r>
        <w:rPr>
          <w:rFonts w:ascii="Arial" w:cs="Arial" w:eastAsia="Arial" w:hAnsi="Arial"/>
          <w:sz w:val="15"/>
          <w:szCs w:val="15"/>
          <w:b w:val="1"/>
          <w:bCs w:val="1"/>
          <w:color w:val="auto"/>
        </w:rPr>
        <w:t xml:space="preserve"> </w:t>
      </w:r>
      <w:r>
        <w:rPr>
          <w:rFonts w:ascii="Arial" w:cs="Arial" w:eastAsia="Arial" w:hAnsi="Arial"/>
          <w:sz w:val="15"/>
          <w:szCs w:val="15"/>
          <w:color w:val="auto"/>
        </w:rPr>
        <w:t>federal income tax purposes in which, the Company generally received stepped-up tax basis in assets and liabilities acquired. As a result of fair value adjustments recorded in purchase accounting, the Company recorded a Deferred Tax Asset of $49,634 related to Air Traffic and Loyalty Program Liabilities deferred revenue and Over- market Liabilities. The Deferred Tax Asset has been calculated based on the expected federal and state tax rates applicable to the Company.</w:t>
      </w:r>
    </w:p>
    <w:p>
      <w:pPr>
        <w:spacing w:after="0" w:line="96" w:lineRule="exact"/>
        <w:rPr>
          <w:sz w:val="20"/>
          <w:szCs w:val="20"/>
          <w:color w:val="auto"/>
        </w:rPr>
      </w:pPr>
    </w:p>
    <w:p>
      <w:pPr>
        <w:ind w:left="1160" w:right="1239" w:firstLine="293"/>
        <w:spacing w:after="0" w:line="266" w:lineRule="auto"/>
        <w:rPr>
          <w:sz w:val="20"/>
          <w:szCs w:val="20"/>
          <w:color w:val="auto"/>
        </w:rPr>
      </w:pPr>
      <w:r>
        <w:rPr>
          <w:rFonts w:ascii="Arial" w:cs="Arial" w:eastAsia="Arial" w:hAnsi="Arial"/>
          <w:sz w:val="14"/>
          <w:szCs w:val="14"/>
          <w:b w:val="1"/>
          <w:bCs w:val="1"/>
          <w:color w:val="auto"/>
        </w:rPr>
        <w:t>Over-market Liabilities—</w:t>
      </w:r>
      <w:r>
        <w:rPr>
          <w:rFonts w:ascii="Arial" w:cs="Arial" w:eastAsia="Arial" w:hAnsi="Arial"/>
          <w:sz w:val="14"/>
          <w:szCs w:val="14"/>
          <w:color w:val="auto"/>
        </w:rPr>
        <w:t>The Company acquired liabilities related to its over-market lease rates and</w:t>
      </w:r>
      <w:r>
        <w:rPr>
          <w:rFonts w:ascii="Arial" w:cs="Arial" w:eastAsia="Arial" w:hAnsi="Arial"/>
          <w:sz w:val="14"/>
          <w:szCs w:val="14"/>
          <w:b w:val="1"/>
          <w:bCs w:val="1"/>
          <w:color w:val="auto"/>
        </w:rPr>
        <w:t xml:space="preserve"> </w:t>
      </w:r>
      <w:r>
        <w:rPr>
          <w:rFonts w:ascii="Arial" w:cs="Arial" w:eastAsia="Arial" w:hAnsi="Arial"/>
          <w:sz w:val="14"/>
          <w:szCs w:val="14"/>
          <w:color w:val="auto"/>
        </w:rPr>
        <w:t>over- market maintenance reserve payments. Aircraft leases were evaluated using an income approach, based on the present value of the expected differential cash flows between the existing aircraft lease terms as compared to current market lease terms for similar aircraft and market participants. Significant assumptions used in the discounted cash flow analysis include the discount rate and the estimated market lease rates for similar aircraft based on terms commensurate with the Company’s credit rating. The Company recognized a liability of $32,779 representing lease terms which are unfavorable compared with market terms of similar leases and will be amortized into earnings through a reduction of Aircraft Rent on a straight-line basis over the remaining life of each lease. With the adoption of ASC 842 the Company reclassified this liability to be included in the Operating Lease Right-of-use Assets.</w:t>
      </w:r>
    </w:p>
    <w:p>
      <w:pPr>
        <w:spacing w:after="0" w:line="87" w:lineRule="exact"/>
        <w:rPr>
          <w:sz w:val="20"/>
          <w:szCs w:val="20"/>
          <w:color w:val="auto"/>
        </w:rPr>
      </w:pPr>
    </w:p>
    <w:p>
      <w:pPr>
        <w:ind w:left="1160" w:right="1179" w:firstLine="293"/>
        <w:spacing w:after="0" w:line="292" w:lineRule="auto"/>
        <w:rPr>
          <w:sz w:val="20"/>
          <w:szCs w:val="20"/>
          <w:color w:val="auto"/>
        </w:rPr>
      </w:pPr>
      <w:r>
        <w:rPr>
          <w:rFonts w:ascii="Arial" w:cs="Arial" w:eastAsia="Arial" w:hAnsi="Arial"/>
          <w:sz w:val="13"/>
          <w:szCs w:val="13"/>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were evaluated using an income approach, based on the expected differential cash flows between the existing contractual maintenance payments as compared to market terms for similar aircraft under current market assumptions. Significant assumptions used in the discounted cash flow analysis include the discount rate, expected aircraft utilization (impacting the nature and timing of maintenance events) and the estimated</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BUSINESS COMBINATION (continued)</w:t>
      </w:r>
    </w:p>
    <w:p>
      <w:pPr>
        <w:spacing w:after="0" w:line="183" w:lineRule="exact"/>
        <w:rPr>
          <w:sz w:val="20"/>
          <w:szCs w:val="20"/>
          <w:color w:val="auto"/>
        </w:rPr>
      </w:pPr>
    </w:p>
    <w:p>
      <w:pPr>
        <w:ind w:left="1160" w:right="1279"/>
        <w:spacing w:after="0" w:line="294" w:lineRule="auto"/>
        <w:rPr>
          <w:sz w:val="20"/>
          <w:szCs w:val="20"/>
          <w:color w:val="auto"/>
        </w:rPr>
      </w:pPr>
      <w:r>
        <w:rPr>
          <w:rFonts w:ascii="Arial" w:cs="Arial" w:eastAsia="Arial" w:hAnsi="Arial"/>
          <w:sz w:val="13"/>
          <w:szCs w:val="13"/>
          <w:color w:val="auto"/>
        </w:rPr>
        <w:t>market terms for similar aircraft based on terms commensurate with the Company’s credit rating. These maintenance reserve payments were deemed unfavorable as a market participant would expect reimbursement based on more favorable terms, indicating that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 line basis over the remaining life of each lease.</w:t>
      </w:r>
    </w:p>
    <w:p>
      <w:pPr>
        <w:spacing w:after="0" w:line="84" w:lineRule="exact"/>
        <w:rPr>
          <w:sz w:val="20"/>
          <w:szCs w:val="20"/>
          <w:color w:val="auto"/>
        </w:rPr>
      </w:pPr>
    </w:p>
    <w:p>
      <w:pPr>
        <w:ind w:left="1160" w:right="1319" w:firstLine="293"/>
        <w:spacing w:after="0" w:line="272" w:lineRule="auto"/>
        <w:rPr>
          <w:sz w:val="20"/>
          <w:szCs w:val="20"/>
          <w:color w:val="auto"/>
        </w:rPr>
      </w:pPr>
      <w:r>
        <w:rPr>
          <w:rFonts w:ascii="Arial" w:cs="Arial" w:eastAsia="Arial" w:hAnsi="Arial"/>
          <w:sz w:val="15"/>
          <w:szCs w:val="15"/>
          <w:b w:val="1"/>
          <w:bCs w:val="1"/>
          <w:color w:val="auto"/>
        </w:rPr>
        <w:t>Loyalty Program Liabilities—</w:t>
      </w:r>
      <w:r>
        <w:rPr>
          <w:rFonts w:ascii="Arial" w:cs="Arial" w:eastAsia="Arial" w:hAnsi="Arial"/>
          <w:sz w:val="15"/>
          <w:szCs w:val="15"/>
          <w:color w:val="auto"/>
        </w:rPr>
        <w:t>The Company acquired liabilities related to loyalty program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These liabilities were adjusted to their fair value based on stated redemption rates as of the Acquisition Date, less estimated breakage.</w:t>
      </w:r>
    </w:p>
    <w:p>
      <w:pPr>
        <w:spacing w:after="0" w:line="13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w:t>
      </w:r>
    </w:p>
    <w:p>
      <w:pPr>
        <w:spacing w:after="0" w:line="117" w:lineRule="exact"/>
        <w:rPr>
          <w:sz w:val="20"/>
          <w:szCs w:val="20"/>
          <w:color w:val="auto"/>
        </w:rPr>
      </w:pPr>
    </w:p>
    <w:p>
      <w:pPr>
        <w:ind w:left="1160" w:right="1179" w:firstLine="293"/>
        <w:spacing w:after="0" w:line="268" w:lineRule="auto"/>
        <w:rPr>
          <w:sz w:val="20"/>
          <w:szCs w:val="20"/>
          <w:color w:val="auto"/>
        </w:rPr>
      </w:pPr>
      <w:r>
        <w:rPr>
          <w:rFonts w:ascii="Arial" w:cs="Arial" w:eastAsia="Arial" w:hAnsi="Arial"/>
          <w:sz w:val="14"/>
          <w:szCs w:val="14"/>
          <w:color w:val="auto"/>
        </w:rPr>
        <w:t>Sun Country is a certified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Amazon Agreement. Other revenue consists primarily of revenue from services in connection with Sun Country Vacation products.</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significant categories comprising Operating Revenues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Scheduled service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$193,047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$396,113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$224,507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$132,234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spacing w:after="0"/>
              <w:rPr>
                <w:sz w:val="20"/>
                <w:szCs w:val="20"/>
                <w:color w:val="auto"/>
              </w:rPr>
            </w:pPr>
            <w:r>
              <w:rPr>
                <w:rFonts w:ascii="Arial" w:cs="Arial" w:eastAsia="Arial" w:hAnsi="Arial"/>
                <w:sz w:val="15"/>
                <w:szCs w:val="15"/>
                <w:color w:val="auto"/>
              </w:rPr>
              <w:t>Charter service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98,130</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174,562</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111,317</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40,663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68,055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9"/>
              </w:rPr>
              <w:t>118,158</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Passenger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99"/>
              </w:rPr>
              <w:t>359,232</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99"/>
              </w:rPr>
              <w:t>688,833</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335,824</w:t>
            </w:r>
          </w:p>
        </w:tc>
        <w:tc>
          <w:tcPr>
            <w:tcW w:w="100" w:type="dxa"/>
            <w:vAlign w:val="bottom"/>
            <w:tcBorders>
              <w:right w:val="single" w:sz="8" w:color="auto"/>
            </w:tcBorders>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172,897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Cargo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36,809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140" w:type="dxa"/>
            <w:vAlign w:val="bottom"/>
            <w:gridSpan w:val="2"/>
          </w:tcPr>
          <w:p>
            <w:pPr>
              <w:spacing w:after="0" w:line="220" w:lineRule="exact"/>
              <w:rPr>
                <w:sz w:val="20"/>
                <w:szCs w:val="20"/>
                <w:color w:val="auto"/>
              </w:rPr>
            </w:pPr>
            <w:r>
              <w:rPr>
                <w:rFonts w:ascii="Arial" w:cs="Arial" w:eastAsia="Arial" w:hAnsi="Arial"/>
                <w:sz w:val="15"/>
                <w:szCs w:val="15"/>
                <w:color w:val="auto"/>
              </w:rPr>
              <w:t>Ancillary</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41,065</w:t>
            </w:r>
          </w:p>
        </w:tc>
        <w:tc>
          <w:tcPr>
            <w:tcW w:w="100" w:type="dxa"/>
            <w:vAlign w:val="bottom"/>
            <w:tcBorders>
              <w:right w:val="single" w:sz="8" w:color="auto"/>
            </w:tcBorders>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15,670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5,445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12,551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8,042</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8,885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2"/>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-1213485</wp:posOffset>
            </wp:positionV>
            <wp:extent cx="10477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-1213485</wp:posOffset>
            </wp:positionV>
            <wp:extent cx="111760"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-1213485</wp:posOffset>
            </wp:positionV>
            <wp:extent cx="111760"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-1213485</wp:posOffset>
            </wp:positionV>
            <wp:extent cx="55880"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68"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The classification of Ancillary changed as a result of the adoption of ASC 606.</w:t>
      </w:r>
    </w:p>
    <w:p>
      <w:pPr>
        <w:spacing w:after="0" w:line="124" w:lineRule="exact"/>
        <w:rPr>
          <w:sz w:val="20"/>
          <w:szCs w:val="20"/>
          <w:color w:val="auto"/>
        </w:rPr>
      </w:pPr>
    </w:p>
    <w:p>
      <w:pPr>
        <w:ind w:left="1160" w:right="1379" w:firstLine="293"/>
        <w:spacing w:after="0" w:line="300" w:lineRule="auto"/>
        <w:rPr>
          <w:sz w:val="20"/>
          <w:szCs w:val="20"/>
          <w:color w:val="auto"/>
        </w:rPr>
      </w:pPr>
      <w:r>
        <w:rPr>
          <w:rFonts w:ascii="Arial" w:cs="Arial" w:eastAsia="Arial" w:hAnsi="Arial"/>
          <w:sz w:val="14"/>
          <w:szCs w:val="14"/>
          <w:color w:val="auto"/>
        </w:rPr>
        <w:t>The Company attributes and measures its Operating Revenue by geographic region as defined by the DOT for airline reporting based upon the origin of each passenger and cargo flight segment.</w:t>
      </w:r>
    </w:p>
    <w:p>
      <w:pPr>
        <w:spacing w:after="0" w:line="70"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Total Operating Revenue by geographic region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w w:val="78"/>
              </w:rPr>
              <w:t>Successor</w:t>
            </w: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line="20" w:lineRule="exact"/>
              <w:rPr>
                <w:sz w:val="1"/>
                <w:szCs w:val="1"/>
                <w:color w:val="auto"/>
              </w:rPr>
            </w:pPr>
          </w:p>
        </w:tc>
      </w:tr>
      <w:tr>
        <w:trPr>
          <w:trHeight w:val="122"/>
        </w:trPr>
        <w:tc>
          <w:tcPr>
            <w:tcW w:w="3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4"/>
              </w:rPr>
              <w:t>April 11, 2018 to</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4"/>
              </w:rPr>
              <w:t>January 1, 2018 to</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560" w:type="dxa"/>
            <w:vAlign w:val="bottom"/>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560" w:type="dxa"/>
            <w:vAlign w:val="bottom"/>
          </w:tcPr>
          <w:p>
            <w:pPr>
              <w:jc w:val="right"/>
              <w:ind w:right="112"/>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3"/>
                <w:szCs w:val="13"/>
                <w:color w:val="auto"/>
              </w:rPr>
            </w:pPr>
          </w:p>
        </w:tc>
        <w:tc>
          <w:tcPr>
            <w:tcW w:w="10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3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Domestic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6"/>
              </w:rPr>
              <w:t>$382,463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6"/>
              </w:rPr>
              <w:t>$666,332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$368,456</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$173,995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5"/>
                <w:szCs w:val="15"/>
                <w:color w:val="auto"/>
              </w:rPr>
              <w:t>Latin America . . . . . . . . . . . . .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18,515</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33,716</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15,628</w:t>
            </w:r>
          </w:p>
        </w:tc>
        <w:tc>
          <w:tcPr>
            <w:tcW w:w="100" w:type="dxa"/>
            <w:vAlign w:val="bottom"/>
            <w:tcBorders>
              <w:right w:val="single" w:sz="8" w:color="auto"/>
            </w:tcBorders>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23,003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spacing w:after="0"/>
              <w:rPr>
                <w:sz w:val="20"/>
                <w:szCs w:val="20"/>
                <w:color w:val="auto"/>
              </w:rPr>
            </w:pPr>
            <w:r>
              <w:rPr>
                <w:rFonts w:ascii="Arial" w:cs="Arial" w:eastAsia="Arial" w:hAnsi="Arial"/>
                <w:sz w:val="15"/>
                <w:szCs w:val="15"/>
                <w:color w:val="auto"/>
              </w:rPr>
              <w:t>Other . . . . . . . . . . . . . . . . . . . . . . . . .</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508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1,336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847</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40" w:type="dxa"/>
            <w:vAlign w:val="bottom"/>
          </w:tcPr>
          <w:p>
            <w:pPr>
              <w:ind w:left="160"/>
              <w:spacing w:after="0"/>
              <w:rPr>
                <w:sz w:val="20"/>
                <w:szCs w:val="20"/>
                <w:color w:val="auto"/>
              </w:rPr>
            </w:pPr>
            <w:r>
              <w:rPr>
                <w:rFonts w:ascii="Arial" w:cs="Arial" w:eastAsia="Arial" w:hAnsi="Arial"/>
                <w:sz w:val="15"/>
                <w:szCs w:val="15"/>
                <w:color w:val="auto"/>
              </w:rPr>
              <w:t>Total Operating Revenue . . . . .</w:t>
            </w: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w w:val="86"/>
              </w:rPr>
              <w:t>$401,486</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w w:val="86"/>
              </w:rPr>
              <w:t>$701,384</w:t>
            </w: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$384,931</w:t>
            </w:r>
          </w:p>
        </w:tc>
        <w:tc>
          <w:tcPr>
            <w:tcW w:w="100" w:type="dxa"/>
            <w:vAlign w:val="bottom"/>
            <w:tcBorders>
              <w:right w:val="single" w:sz="8" w:color="auto"/>
            </w:tcBorders>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auto"/>
              </w:rPr>
              <w:t>$197,452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-585470</wp:posOffset>
            </wp:positionV>
            <wp:extent cx="104775"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-585470</wp:posOffset>
            </wp:positionV>
            <wp:extent cx="11176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-585470</wp:posOffset>
            </wp:positionV>
            <wp:extent cx="111760"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-585470</wp:posOffset>
            </wp:positionV>
            <wp:extent cx="55880"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 Balances</w:t>
      </w:r>
    </w:p>
    <w:p>
      <w:pPr>
        <w:spacing w:after="0" w:line="117" w:lineRule="exact"/>
        <w:rPr>
          <w:sz w:val="20"/>
          <w:szCs w:val="20"/>
          <w:color w:val="auto"/>
        </w:rPr>
      </w:pPr>
    </w:p>
    <w:p>
      <w:pPr>
        <w:ind w:left="1160" w:right="1299" w:firstLine="293"/>
        <w:spacing w:after="0" w:line="311" w:lineRule="auto"/>
        <w:rPr>
          <w:sz w:val="20"/>
          <w:szCs w:val="20"/>
          <w:color w:val="auto"/>
        </w:rPr>
      </w:pPr>
      <w:r>
        <w:rPr>
          <w:rFonts w:ascii="Arial" w:cs="Arial" w:eastAsia="Arial" w:hAnsi="Arial"/>
          <w:sz w:val="13"/>
          <w:szCs w:val="13"/>
          <w:color w:val="auto"/>
        </w:rPr>
        <w:t>The Company’s contract assets primarily relate to costs incurred to get the 12 Amazon cargo aircraft ready for service. The balances are included in Other Current Assets and Other Assets on the Consolidated Balance Sheets. The amount expensed during 2020 was $271 and is included in Maintenance expense.</w:t>
      </w:r>
    </w:p>
    <w:p>
      <w:pPr>
        <w:spacing w:after="0" w:line="67" w:lineRule="exact"/>
        <w:rPr>
          <w:sz w:val="20"/>
          <w:szCs w:val="20"/>
          <w:color w:val="auto"/>
        </w:rPr>
      </w:pPr>
    </w:p>
    <w:p>
      <w:pPr>
        <w:ind w:left="1160" w:right="1299" w:firstLine="293"/>
        <w:spacing w:after="0" w:line="271" w:lineRule="auto"/>
        <w:rPr>
          <w:sz w:val="20"/>
          <w:szCs w:val="20"/>
          <w:color w:val="auto"/>
        </w:rPr>
      </w:pPr>
      <w:r>
        <w:rPr>
          <w:rFonts w:ascii="Arial" w:cs="Arial" w:eastAsia="Arial" w:hAnsi="Arial"/>
          <w:sz w:val="14"/>
          <w:szCs w:val="14"/>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Amazon start-up cost payments received (reported within Other Liabilities on the Consolidated Balance Sheets).</w:t>
      </w:r>
    </w:p>
    <w:p>
      <w:pPr>
        <w:spacing w:after="0" w:line="8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Contract Assets and Liabilities are as follows:</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tcPr>
          <w:p>
            <w:pPr>
              <w:jc w:val="right"/>
              <w:ind w:right="249"/>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57"/>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1"/>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9"/>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Contract 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308"/>
        </w:trPr>
        <w:tc>
          <w:tcPr>
            <w:tcW w:w="4780" w:type="dxa"/>
            <w:vAlign w:val="bottom"/>
            <w:gridSpan w:val="2"/>
          </w:tcPr>
          <w:p>
            <w:pPr>
              <w:spacing w:after="0"/>
              <w:rPr>
                <w:sz w:val="20"/>
                <w:szCs w:val="20"/>
                <w:color w:val="auto"/>
              </w:rPr>
            </w:pPr>
            <w:r>
              <w:rPr>
                <w:rFonts w:ascii="Arial" w:cs="Arial" w:eastAsia="Arial" w:hAnsi="Arial"/>
                <w:sz w:val="15"/>
                <w:szCs w:val="15"/>
                <w:color w:val="auto"/>
              </w:rPr>
              <w:t>Costs to fulfill contract with Amazon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3,614</w:t>
            </w:r>
          </w:p>
        </w:tc>
        <w:tc>
          <w:tcPr>
            <w:tcW w:w="18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2"/>
        </w:trPr>
        <w:tc>
          <w:tcPr>
            <w:tcW w:w="4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Air Traffic Liabilities . . . . . . . . . . . . . . . . . .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101,075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116,660</w:t>
            </w:r>
          </w:p>
        </w:tc>
      </w:tr>
      <w:tr>
        <w:trPr>
          <w:trHeight w:val="209"/>
        </w:trPr>
        <w:tc>
          <w:tcPr>
            <w:tcW w:w="4780" w:type="dxa"/>
            <w:vAlign w:val="bottom"/>
            <w:gridSpan w:val="2"/>
          </w:tcPr>
          <w:p>
            <w:pPr>
              <w:spacing w:after="0"/>
              <w:rPr>
                <w:sz w:val="20"/>
                <w:szCs w:val="20"/>
                <w:color w:val="auto"/>
              </w:rPr>
            </w:pPr>
            <w:r>
              <w:rPr>
                <w:rFonts w:ascii="Arial" w:cs="Arial" w:eastAsia="Arial" w:hAnsi="Arial"/>
                <w:sz w:val="15"/>
                <w:szCs w:val="15"/>
                <w:color w:val="auto"/>
              </w:rPr>
              <w:t>Loyalty Program Liabilities . . .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22,069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22,892</w:t>
            </w:r>
          </w:p>
        </w:tc>
      </w:tr>
      <w:tr>
        <w:trPr>
          <w:trHeight w:val="214"/>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Amazon Deferred Start-up Costs Payments Received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1,633</w:t>
            </w:r>
          </w:p>
        </w:tc>
      </w:tr>
      <w:tr>
        <w:trPr>
          <w:trHeight w:val="21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Total Contract Liabilities . . . . . . . . . . . . . . . . . . . . .</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128,384</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141,185</w:t>
            </w: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-927100</wp:posOffset>
            </wp:positionV>
            <wp:extent cx="111760"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-927100</wp:posOffset>
            </wp:positionV>
            <wp:extent cx="55880"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2020, $110,868 of revenue was recognized in Passenger Revenue that was included in the Air Traffic Liabilities as of December 31, 2019 and $4,502 in cash refunded to customers, mainly due to COVID-19 related flight cancellations. Of the December 31, 2019 Air Traffic Liabilities remaining as of December 31, 2020, $1,045 relates to COVID-19 extensions and $245 relates to gift certificates.</w:t>
      </w:r>
    </w:p>
    <w:p>
      <w:pPr>
        <w:spacing w:after="0" w:line="82"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As part of the Amazon Agreement executed in December 2019, Amazon paid the Company $10,300 toward start-up costs, of which $6,300 was received as of December 31, 2019 and the remainder was received in February 2020. Upon signing this agreement, Amazon received 632,183 fully vested warrants to purchase the Company’s common stock, with a fair value of $4,667. This fair value was assigned to a portion of the $10,300 cash received from Amazon and the remaining $5,633 is being amortized into Cargo revenue on</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REVENUE (continued)</w:t>
      </w:r>
    </w:p>
    <w:p>
      <w:pPr>
        <w:spacing w:after="0" w:line="183" w:lineRule="exact"/>
        <w:rPr>
          <w:sz w:val="20"/>
          <w:szCs w:val="20"/>
          <w:color w:val="auto"/>
        </w:rPr>
      </w:pPr>
    </w:p>
    <w:p>
      <w:pPr>
        <w:ind w:left="1160" w:right="1219"/>
        <w:spacing w:after="0" w:line="264" w:lineRule="auto"/>
        <w:rPr>
          <w:sz w:val="20"/>
          <w:szCs w:val="20"/>
          <w:color w:val="auto"/>
        </w:rPr>
      </w:pPr>
      <w:r>
        <w:rPr>
          <w:rFonts w:ascii="Arial" w:cs="Arial" w:eastAsia="Arial" w:hAnsi="Arial"/>
          <w:sz w:val="15"/>
          <w:szCs w:val="15"/>
          <w:color w:val="auto"/>
        </w:rPr>
        <w:t>a pro-rata basis over the initial six years of the Amazon Agreement. For the year ended December 31, 2020, $393 has been amortized into Cargo revenue.</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28"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6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the Loyalty Program Liabilities are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80" w:type="dxa"/>
            <w:vAlign w:val="bottom"/>
          </w:tcPr>
          <w:p>
            <w:pPr>
              <w:jc w:val="right"/>
              <w:ind w:right="7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540" w:type="dxa"/>
            <w:vAlign w:val="bottom"/>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300" w:type="dxa"/>
            <w:vAlign w:val="bottom"/>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00" w:type="dxa"/>
            <w:vAlign w:val="bottom"/>
          </w:tcPr>
          <w:p>
            <w:pPr>
              <w:spacing w:after="0"/>
              <w:rPr>
                <w:sz w:val="17"/>
                <w:szCs w:val="17"/>
                <w:color w:val="auto"/>
              </w:rPr>
            </w:pPr>
          </w:p>
        </w:tc>
        <w:tc>
          <w:tcPr>
            <w:tcW w:w="4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Balance—December 31, 2018 . . . . . . . . . . . . . . . . . . . . . . .</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$ 23,950</w:t>
            </w:r>
          </w:p>
        </w:tc>
        <w:tc>
          <w:tcPr>
            <w:tcW w:w="60" w:type="dxa"/>
            <w:vAlign w:val="bottom"/>
          </w:tcPr>
          <w:p>
            <w:pPr>
              <w:spacing w:after="0"/>
              <w:rPr>
                <w:sz w:val="17"/>
                <w:szCs w:val="17"/>
                <w:color w:val="auto"/>
              </w:rPr>
            </w:pPr>
          </w:p>
        </w:tc>
      </w:tr>
      <w:tr>
        <w:trPr>
          <w:trHeight w:val="214"/>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ASC 606 adoption adjustment (January 1, 2019) . . . . . . . .</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4,867</w:t>
            </w:r>
          </w:p>
        </w:tc>
        <w:tc>
          <w:tcPr>
            <w:tcW w:w="60" w:type="dxa"/>
            <w:vAlign w:val="bottom"/>
          </w:tcPr>
          <w:p>
            <w:pPr>
              <w:spacing w:after="0"/>
              <w:rPr>
                <w:sz w:val="18"/>
                <w:szCs w:val="18"/>
                <w:color w:val="auto"/>
              </w:rPr>
            </w:pPr>
          </w:p>
        </w:tc>
      </w:tr>
      <w:tr>
        <w:trPr>
          <w:trHeight w:val="205"/>
        </w:trPr>
        <w:tc>
          <w:tcPr>
            <w:tcW w:w="300" w:type="dxa"/>
            <w:vAlign w:val="bottom"/>
          </w:tcPr>
          <w:p>
            <w:pPr>
              <w:spacing w:after="0"/>
              <w:rPr>
                <w:sz w:val="17"/>
                <w:szCs w:val="17"/>
                <w:color w:val="auto"/>
              </w:rPr>
            </w:pPr>
          </w:p>
        </w:tc>
        <w:tc>
          <w:tcPr>
            <w:tcW w:w="48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Balance—January 1 . . . . . . . . . . . . . . . . . . . . . . . . . . . . . .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$22,892</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$ 28,817</w:t>
            </w:r>
          </w:p>
        </w:tc>
        <w:tc>
          <w:tcPr>
            <w:tcW w:w="60" w:type="dxa"/>
            <w:vAlign w:val="bottom"/>
          </w:tcPr>
          <w:p>
            <w:pPr>
              <w:spacing w:after="0"/>
              <w:rPr>
                <w:sz w:val="17"/>
                <w:szCs w:val="17"/>
                <w:color w:val="auto"/>
              </w:rPr>
            </w:pPr>
          </w:p>
        </w:tc>
      </w:tr>
      <w:tr>
        <w:trPr>
          <w:trHeight w:val="209"/>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Loyalty Points Earned . . . . . . . . . . . . . . . . . . . . . . . . . . . . .</w:t>
            </w:r>
          </w:p>
        </w:tc>
        <w:tc>
          <w:tcPr>
            <w:tcW w:w="480" w:type="dxa"/>
            <w:vAlign w:val="bottom"/>
          </w:tcPr>
          <w:p>
            <w:pPr>
              <w:jc w:val="right"/>
              <w:spacing w:after="0"/>
              <w:rPr>
                <w:sz w:val="20"/>
                <w:szCs w:val="20"/>
                <w:color w:val="auto"/>
              </w:rPr>
            </w:pPr>
            <w:r>
              <w:rPr>
                <w:rFonts w:ascii="Arial" w:cs="Arial" w:eastAsia="Arial" w:hAnsi="Arial"/>
                <w:sz w:val="15"/>
                <w:szCs w:val="15"/>
                <w:color w:val="auto"/>
              </w:rPr>
              <w:t>4,015</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6,483</w:t>
            </w:r>
          </w:p>
        </w:tc>
        <w:tc>
          <w:tcPr>
            <w:tcW w:w="60" w:type="dxa"/>
            <w:vAlign w:val="bottom"/>
          </w:tcPr>
          <w:p>
            <w:pPr>
              <w:spacing w:after="0"/>
              <w:rPr>
                <w:sz w:val="18"/>
                <w:szCs w:val="18"/>
                <w:color w:val="auto"/>
              </w:rPr>
            </w:pPr>
          </w:p>
        </w:tc>
      </w:tr>
      <w:tr>
        <w:trPr>
          <w:trHeight w:val="231"/>
        </w:trPr>
        <w:tc>
          <w:tcPr>
            <w:tcW w:w="300" w:type="dxa"/>
            <w:vAlign w:val="bottom"/>
          </w:tcPr>
          <w:p>
            <w:pPr>
              <w:spacing w:after="0"/>
              <w:rPr>
                <w:sz w:val="20"/>
                <w:szCs w:val="20"/>
                <w:color w:val="auto"/>
              </w:rPr>
            </w:pPr>
          </w:p>
        </w:tc>
        <w:tc>
          <w:tcPr>
            <w:tcW w:w="4880" w:type="dxa"/>
            <w:vAlign w:val="bottom"/>
            <w:tcBorders>
              <w:right w:val="single" w:sz="8" w:color="CCEEFF"/>
            </w:tcBorders>
            <w:gridSpan w:val="2"/>
            <w:shd w:val="clear" w:color="auto" w:fill="CCEEFF"/>
          </w:tcPr>
          <w:p>
            <w:pPr>
              <w:spacing w:after="0" w:line="231" w:lineRule="exact"/>
              <w:rPr>
                <w:sz w:val="20"/>
                <w:szCs w:val="20"/>
                <w:color w:val="auto"/>
              </w:rPr>
            </w:pPr>
            <w:r>
              <w:rPr>
                <w:rFonts w:ascii="Arial" w:cs="Arial" w:eastAsia="Arial" w:hAnsi="Arial"/>
                <w:sz w:val="15"/>
                <w:szCs w:val="15"/>
                <w:color w:val="auto"/>
              </w:rPr>
              <w:t>Loyalty Points Redeemed</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 . . . . . .</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(4,838)</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(12,408)</w:t>
            </w:r>
          </w:p>
        </w:tc>
        <w:tc>
          <w:tcPr>
            <w:tcW w:w="60" w:type="dxa"/>
            <w:vAlign w:val="bottom"/>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5180" w:type="dxa"/>
            <w:vAlign w:val="bottom"/>
            <w:gridSpan w:val="3"/>
          </w:tcPr>
          <w:p>
            <w:pPr>
              <w:ind w:left="300"/>
              <w:spacing w:after="0"/>
              <w:rPr>
                <w:sz w:val="20"/>
                <w:szCs w:val="20"/>
                <w:color w:val="auto"/>
              </w:rPr>
            </w:pPr>
            <w:r>
              <w:rPr>
                <w:rFonts w:ascii="Arial" w:cs="Arial" w:eastAsia="Arial" w:hAnsi="Arial"/>
                <w:sz w:val="15"/>
                <w:szCs w:val="15"/>
                <w:color w:val="auto"/>
              </w:rPr>
              <w:t>Balance—December 31 . . . . . . . . . . . . . . . . . . . . . . . . . . .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$22,069</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$ 22,892</w:t>
            </w:r>
          </w:p>
        </w:tc>
        <w:tc>
          <w:tcPr>
            <w:tcW w:w="6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-662305</wp:posOffset>
            </wp:positionV>
            <wp:extent cx="352298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52298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-941070</wp:posOffset>
            </wp:positionV>
            <wp:extent cx="3515995"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515995" cy="6985"/>
                    </a:xfrm>
                    <a:prstGeom prst="rect">
                      <a:avLst/>
                    </a:prstGeom>
                    <a:noFill/>
                  </pic:spPr>
                </pic:pic>
              </a:graphicData>
            </a:graphic>
          </wp:anchor>
        </w:drawing>
      </w:r>
    </w:p>
    <w:p>
      <w:pPr>
        <w:spacing w:after="0" w:line="57" w:lineRule="exact"/>
        <w:rPr>
          <w:sz w:val="20"/>
          <w:szCs w:val="20"/>
          <w:color w:val="auto"/>
        </w:rPr>
      </w:pPr>
    </w:p>
    <w:p>
      <w:pPr>
        <w:ind w:left="1460" w:right="1199" w:hanging="296"/>
        <w:spacing w:after="0" w:line="266" w:lineRule="auto"/>
        <w:tabs>
          <w:tab w:leader="none" w:pos="14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Principally relates to revenue recognized from the redemption of loyalty points for both air and non-air travel awards. Loyalty points are combined in one homogenous pool and are not separately identifiable. As such, the redemptions are comprised of points that were part of the Loyalty Program Liabilities balance at the beginning of the period, as well as loyalty points that were earned during the period.</w:t>
      </w:r>
    </w:p>
    <w:p>
      <w:pPr>
        <w:spacing w:after="0" w:line="84"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 estimates in the future, which could be material.</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w:t>
      </w:r>
    </w:p>
    <w:p>
      <w:pPr>
        <w:spacing w:after="0" w:line="117" w:lineRule="exact"/>
        <w:rPr>
          <w:sz w:val="20"/>
          <w:szCs w:val="20"/>
          <w:color w:val="auto"/>
        </w:rPr>
      </w:pPr>
    </w:p>
    <w:p>
      <w:pPr>
        <w:ind w:left="1160" w:right="1439" w:firstLine="293"/>
        <w:spacing w:after="0" w:line="300" w:lineRule="auto"/>
        <w:rPr>
          <w:sz w:val="20"/>
          <w:szCs w:val="20"/>
          <w:color w:val="auto"/>
        </w:rPr>
      </w:pPr>
      <w:r>
        <w:rPr>
          <w:rFonts w:ascii="Arial" w:cs="Arial" w:eastAsia="Arial" w:hAnsi="Arial"/>
          <w:sz w:val="14"/>
          <w:szCs w:val="14"/>
          <w:color w:val="auto"/>
        </w:rPr>
        <w:t>Basic earnings per share, which excludes dilution, is computed by dividing Net Income available to common stockholders by the weighted average number of common shares outstanding for the period.</w:t>
      </w:r>
    </w:p>
    <w:p>
      <w:pPr>
        <w:spacing w:after="0" w:line="70"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9" w:name="page220"/>
    <w:bookmarkEnd w:id="219"/>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EARNINGS PER SHARE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computation of basic and diluted earnings per share: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2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restart"/>
          </w:tcPr>
          <w:p>
            <w:pPr>
              <w:jc w:val="center"/>
              <w:ind w:right="49"/>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2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gridSpan w:val="4"/>
          </w:tcPr>
          <w:p>
            <w:pPr>
              <w:spacing w:after="0"/>
              <w:rPr>
                <w:sz w:val="20"/>
                <w:szCs w:val="20"/>
                <w:color w:val="auto"/>
              </w:rPr>
            </w:pPr>
            <w:r>
              <w:rPr>
                <w:rFonts w:ascii="Arial" w:cs="Arial" w:eastAsia="Arial" w:hAnsi="Arial"/>
                <w:sz w:val="12"/>
                <w:szCs w:val="12"/>
                <w:b w:val="1"/>
                <w:bCs w:val="1"/>
                <w:color w:val="auto"/>
              </w:rPr>
              <w:t>For the Period</w:t>
            </w:r>
          </w:p>
        </w:tc>
        <w:tc>
          <w:tcPr>
            <w:tcW w:w="120" w:type="dxa"/>
            <w:vAlign w:val="bottom"/>
          </w:tcPr>
          <w:p>
            <w:pPr>
              <w:spacing w:after="0"/>
              <w:rPr>
                <w:sz w:val="12"/>
                <w:szCs w:val="12"/>
                <w:color w:val="auto"/>
              </w:rPr>
            </w:pPr>
          </w:p>
        </w:tc>
        <w:tc>
          <w:tcPr>
            <w:tcW w:w="860" w:type="dxa"/>
            <w:vAlign w:val="bottom"/>
            <w:gridSpan w:val="2"/>
          </w:tcPr>
          <w:p>
            <w:pPr>
              <w:jc w:val="center"/>
              <w:ind w:right="9"/>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w w:val="9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4"/>
              </w:rPr>
              <w:t>April 11, 2018 to</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0"/>
              </w:rPr>
              <w:t>January 1, 2018 to</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3"/>
                <w:szCs w:val="13"/>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Arial" w:cs="Arial" w:eastAsia="Arial" w:hAnsi="Arial"/>
                <w:sz w:val="15"/>
                <w:szCs w:val="15"/>
                <w:color w:val="auto"/>
              </w:rPr>
              <w:t>Net income / (Loss) . . . . . . . . . . . .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(3,904)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46,072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(367)</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25,910</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b w:val="1"/>
                <w:bCs w:val="1"/>
                <w:color w:val="auto"/>
              </w:rPr>
              <w:t>Denominator:</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Outstanding—Basic . . . . . . . . . . .</w:t>
            </w:r>
          </w:p>
        </w:tc>
        <w:tc>
          <w:tcPr>
            <w:tcW w:w="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46,773,038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5"/>
                <w:szCs w:val="15"/>
                <w:color w:val="auto"/>
              </w:rPr>
              <w:t>Dilutive effects of Warrants . . . . . . .</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Dilutive effect of Stock Options and</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40" w:type="dxa"/>
            <w:vAlign w:val="bottom"/>
          </w:tcPr>
          <w:p>
            <w:pPr>
              <w:ind w:left="160"/>
              <w:spacing w:after="0"/>
              <w:rPr>
                <w:sz w:val="20"/>
                <w:szCs w:val="20"/>
                <w:color w:val="auto"/>
              </w:rPr>
            </w:pPr>
            <w:r>
              <w:rPr>
                <w:rFonts w:ascii="Arial" w:cs="Arial" w:eastAsia="Arial" w:hAnsi="Arial"/>
                <w:sz w:val="15"/>
                <w:szCs w:val="15"/>
                <w:color w:val="auto"/>
              </w:rPr>
              <w:t>Warrants</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 . . . . . . . . . . . . . . . . . .</w:t>
            </w:r>
          </w:p>
        </w:tc>
        <w:tc>
          <w:tcPr>
            <w:tcW w:w="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1,136,375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Weighted Average Common Shares</w:t>
            </w: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40" w:type="dxa"/>
            <w:vAlign w:val="bottom"/>
          </w:tcPr>
          <w:p>
            <w:pPr>
              <w:ind w:left="440"/>
              <w:spacing w:after="0"/>
              <w:rPr>
                <w:sz w:val="20"/>
                <w:szCs w:val="20"/>
                <w:color w:val="auto"/>
              </w:rPr>
            </w:pPr>
            <w:r>
              <w:rPr>
                <w:rFonts w:ascii="Arial" w:cs="Arial" w:eastAsia="Arial" w:hAnsi="Arial"/>
                <w:sz w:val="15"/>
                <w:szCs w:val="15"/>
                <w:color w:val="auto"/>
              </w:rPr>
              <w:t>Outstanding—Diluted . . . . . . . . . .</w:t>
            </w:r>
          </w:p>
        </w:tc>
        <w:tc>
          <w:tcPr>
            <w:tcW w:w="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w w:val="85"/>
              </w:rPr>
              <w:t>46,806,042</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47,909,413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46,700,990</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83"/>
              </w:rPr>
              <w:t>100,000,000</w:t>
            </w:r>
          </w:p>
        </w:tc>
        <w:tc>
          <w:tcPr>
            <w:tcW w:w="0" w:type="dxa"/>
            <w:vAlign w:val="bottom"/>
          </w:tcPr>
          <w:p>
            <w:pPr>
              <w:spacing w:after="0"/>
              <w:rPr>
                <w:sz w:val="1"/>
                <w:szCs w:val="1"/>
                <w:color w:val="auto"/>
              </w:rPr>
            </w:pPr>
          </w:p>
        </w:tc>
      </w:tr>
      <w:tr>
        <w:trPr>
          <w:trHeight w:val="20"/>
        </w:trPr>
        <w:tc>
          <w:tcPr>
            <w:tcW w:w="28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earnings / (loss) per share . . . .</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0.99</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31"/>
        </w:trPr>
        <w:tc>
          <w:tcPr>
            <w:tcW w:w="2840" w:type="dxa"/>
            <w:vAlign w:val="bottom"/>
          </w:tcPr>
          <w:p>
            <w:pPr>
              <w:spacing w:after="0"/>
              <w:rPr>
                <w:sz w:val="20"/>
                <w:szCs w:val="20"/>
                <w:color w:val="auto"/>
              </w:rPr>
            </w:pPr>
            <w:r>
              <w:rPr>
                <w:rFonts w:ascii="Arial" w:cs="Arial" w:eastAsia="Arial" w:hAnsi="Arial"/>
                <w:sz w:val="15"/>
                <w:szCs w:val="15"/>
                <w:color w:val="auto"/>
              </w:rPr>
              <w:t>Diluted earnings / (loss) per share .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0.96</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(0.01)</w:t>
            </w:r>
          </w:p>
        </w:tc>
        <w:tc>
          <w:tcPr>
            <w:tcW w:w="1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-292100</wp:posOffset>
            </wp:positionV>
            <wp:extent cx="34925"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-292100</wp:posOffset>
            </wp:positionV>
            <wp:extent cx="202565"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-292100</wp:posOffset>
            </wp:positionV>
            <wp:extent cx="174625"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-292100</wp:posOffset>
            </wp:positionV>
            <wp:extent cx="237871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-585470</wp:posOffset>
            </wp:positionV>
            <wp:extent cx="3492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-585470</wp:posOffset>
            </wp:positionV>
            <wp:extent cx="20256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-585470</wp:posOffset>
            </wp:positionV>
            <wp:extent cx="17462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237871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37871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-1722755</wp:posOffset>
            </wp:positionV>
            <wp:extent cx="10477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-1722755</wp:posOffset>
            </wp:positionV>
            <wp:extent cx="11176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-1722755</wp:posOffset>
            </wp:positionV>
            <wp:extent cx="11176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-1722755</wp:posOffset>
            </wp:positionV>
            <wp:extent cx="5588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6" w:lineRule="exact"/>
        <w:rPr>
          <w:sz w:val="20"/>
          <w:szCs w:val="20"/>
          <w:color w:val="auto"/>
        </w:rPr>
      </w:pPr>
    </w:p>
    <w:p>
      <w:pPr>
        <w:ind w:left="1460" w:right="1219" w:hanging="296"/>
        <w:spacing w:after="0" w:line="248" w:lineRule="auto"/>
        <w:tabs>
          <w:tab w:leader="none" w:pos="14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There were 3,577,252, 3,502,925 and 3,583,923 performance-based stock options outstanding as of December 31, 2020, 2019 and 2018, respectively, that were excluded from the calculation of diluted EPS. Additionally, in loss periods, the inclusion of unvested options would have an anti-dilutive effect.</w:t>
      </w:r>
    </w:p>
    <w:p>
      <w:pPr>
        <w:spacing w:after="0" w:line="83" w:lineRule="exact"/>
        <w:rPr>
          <w:sz w:val="20"/>
          <w:szCs w:val="20"/>
          <w:color w:val="auto"/>
        </w:rPr>
      </w:pPr>
    </w:p>
    <w:p>
      <w:pPr>
        <w:ind w:left="1160" w:right="1299" w:firstLine="293"/>
        <w:spacing w:after="0" w:line="281" w:lineRule="auto"/>
        <w:rPr>
          <w:sz w:val="20"/>
          <w:szCs w:val="20"/>
          <w:color w:val="auto"/>
        </w:rPr>
      </w:pPr>
      <w:r>
        <w:rPr>
          <w:rFonts w:ascii="Arial" w:cs="Arial" w:eastAsia="Arial" w:hAnsi="Arial"/>
          <w:sz w:val="14"/>
          <w:szCs w:val="14"/>
          <w:color w:val="auto"/>
        </w:rPr>
        <w:t>Prior to their exercise on January 31, 2020, all 40,005,885 warrants held by Apollo were included in basic and diluted weighted average shares outstanding as they were equity classified, had an exercise price of approximately $0.0005, and all necessary conditions for issuance were met.</w:t>
      </w:r>
    </w:p>
    <w:p>
      <w:pPr>
        <w:spacing w:after="0" w:line="138" w:lineRule="exact"/>
        <w:rPr>
          <w:sz w:val="20"/>
          <w:szCs w:val="20"/>
          <w:color w:val="auto"/>
        </w:rPr>
      </w:pPr>
    </w:p>
    <w:p>
      <w:pPr>
        <w:ind w:left="1160" w:right="1399" w:firstLine="293"/>
        <w:spacing w:after="0" w:line="269" w:lineRule="auto"/>
        <w:rPr>
          <w:sz w:val="20"/>
          <w:szCs w:val="20"/>
          <w:color w:val="auto"/>
        </w:rPr>
      </w:pPr>
      <w:r>
        <w:rPr>
          <w:rFonts w:ascii="Arial" w:cs="Arial" w:eastAsia="Arial" w:hAnsi="Arial"/>
          <w:sz w:val="15"/>
          <w:szCs w:val="15"/>
          <w:color w:val="auto"/>
        </w:rPr>
        <w:t>Warrants held by Amazon are included in diluted weighted average shares outstanding as of the date the warrants vested. The unvested warrants held by Amazon have not been included in diluted shares as their performance condition had not yet been satisfied.</w:t>
      </w:r>
    </w:p>
    <w:p>
      <w:pPr>
        <w:spacing w:after="0" w:line="19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w:t>
      </w:r>
    </w:p>
    <w:p>
      <w:pPr>
        <w:spacing w:after="0" w:line="17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During the year ended December 31, 2020, the Company purchased nine aircraft and a spare engine.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See Note 10 for further information on leased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Fleet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tables summarize the Company’s aircraft fleet activity for the years ended December 31,</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2020 and 2019, respectively:</w:t>
      </w:r>
    </w:p>
    <w:p>
      <w:pPr>
        <w:spacing w:after="0" w:line="11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97"/>
        </w:trPr>
        <w:tc>
          <w:tcPr>
            <w:tcW w:w="2540" w:type="dxa"/>
            <w:vAlign w:val="bottom"/>
          </w:tcPr>
          <w:p>
            <w:pPr>
              <w:ind w:left="140"/>
              <w:spacing w:after="0"/>
              <w:rPr>
                <w:sz w:val="20"/>
                <w:szCs w:val="20"/>
                <w:color w:val="auto"/>
              </w:rPr>
            </w:pPr>
            <w:r>
              <w:rPr>
                <w:rFonts w:ascii="Arial" w:cs="Arial" w:eastAsia="Arial" w:hAnsi="Arial"/>
                <w:sz w:val="15"/>
                <w:szCs w:val="15"/>
                <w:color w:val="auto"/>
              </w:rPr>
              <w:t>Owned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24"/>
                <w:szCs w:val="24"/>
                <w:color w:val="auto"/>
              </w:rPr>
            </w:pPr>
          </w:p>
        </w:tc>
      </w:tr>
      <w:tr>
        <w:trPr>
          <w:trHeight w:val="209"/>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8"/>
                <w:szCs w:val="18"/>
                <w:color w:val="auto"/>
              </w:rPr>
            </w:pPr>
          </w:p>
        </w:tc>
      </w:tr>
      <w:tr>
        <w:trPr>
          <w:trHeight w:val="209"/>
        </w:trPr>
        <w:tc>
          <w:tcPr>
            <w:tcW w:w="2540" w:type="dxa"/>
            <w:vAlign w:val="bottom"/>
          </w:tcPr>
          <w:p>
            <w:pPr>
              <w:ind w:left="140"/>
              <w:spacing w:after="0"/>
              <w:rPr>
                <w:sz w:val="20"/>
                <w:szCs w:val="20"/>
                <w:color w:val="auto"/>
              </w:rPr>
            </w:pPr>
            <w:r>
              <w:rPr>
                <w:rFonts w:ascii="Arial" w:cs="Arial" w:eastAsia="Arial" w:hAnsi="Arial"/>
                <w:sz w:val="15"/>
                <w:szCs w:val="15"/>
                <w:color w:val="auto"/>
              </w:rPr>
              <w:t>Operating leases . .</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14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380" w:type="dxa"/>
            <w:vAlign w:val="bottom"/>
          </w:tcPr>
          <w:p>
            <w:pPr>
              <w:spacing w:after="0"/>
              <w:rPr>
                <w:sz w:val="18"/>
                <w:szCs w:val="18"/>
                <w:color w:val="auto"/>
              </w:rPr>
            </w:pPr>
          </w:p>
        </w:tc>
      </w:tr>
      <w:tr>
        <w:trPr>
          <w:trHeight w:val="214"/>
        </w:trPr>
        <w:tc>
          <w:tcPr>
            <w:tcW w:w="25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Seasonal leases . .</w:t>
            </w:r>
          </w:p>
        </w:tc>
        <w:tc>
          <w:tcPr>
            <w:tcW w:w="5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79"/>
              </w:rPr>
              <w:t>—</w:t>
            </w:r>
          </w:p>
        </w:tc>
      </w:tr>
      <w:tr>
        <w:trPr>
          <w:trHeight w:val="20"/>
        </w:trPr>
        <w:tc>
          <w:tcPr>
            <w:tcW w:w="2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05"/>
        </w:trPr>
        <w:tc>
          <w:tcPr>
            <w:tcW w:w="2540" w:type="dxa"/>
            <w:vAlign w:val="bottom"/>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31</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w w:val="97"/>
              </w:rPr>
              <w:t>(9)</w:t>
            </w: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7"/>
                <w:szCs w:val="17"/>
                <w:color w:val="auto"/>
              </w:rPr>
            </w:pPr>
          </w:p>
        </w:tc>
      </w:tr>
      <w:tr>
        <w:trPr>
          <w:trHeight w:val="21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Cargo Aircraft Operated for Amazon</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5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12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34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12</w:t>
            </w:r>
          </w:p>
        </w:tc>
        <w:tc>
          <w:tcPr>
            <w:tcW w:w="380" w:type="dxa"/>
            <w:vAlign w:val="bottom"/>
            <w:tcBorders>
              <w:bottom w:val="single" w:sz="8" w:color="CCEEFF"/>
            </w:tcBorders>
            <w:shd w:val="clear" w:color="auto" w:fill="CCEEFF"/>
          </w:tcPr>
          <w:p>
            <w:pPr>
              <w:spacing w:after="0"/>
              <w:rPr>
                <w:sz w:val="18"/>
                <w:szCs w:val="18"/>
                <w:color w:val="auto"/>
              </w:rPr>
            </w:pPr>
          </w:p>
        </w:tc>
      </w:tr>
      <w:tr>
        <w:trPr>
          <w:trHeight w:val="216"/>
        </w:trPr>
        <w:tc>
          <w:tcPr>
            <w:tcW w:w="2540" w:type="dxa"/>
            <w:vAlign w:val="bottom"/>
          </w:tcPr>
          <w:p>
            <w:pPr>
              <w:ind w:left="300"/>
              <w:spacing w:after="0"/>
              <w:rPr>
                <w:sz w:val="20"/>
                <w:szCs w:val="20"/>
                <w:color w:val="auto"/>
              </w:rPr>
            </w:pPr>
            <w:r>
              <w:rPr>
                <w:rFonts w:ascii="Arial" w:cs="Arial" w:eastAsia="Arial" w:hAnsi="Arial"/>
                <w:sz w:val="15"/>
                <w:szCs w:val="15"/>
                <w:color w:val="auto"/>
              </w:rPr>
              <w:t>Total Aircraft Operated</w:t>
            </w: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31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380" w:type="dxa"/>
            <w:vAlign w:val="bottom"/>
          </w:tcPr>
          <w:p>
            <w:pPr>
              <w:spacing w:after="0"/>
              <w:rPr>
                <w:sz w:val="18"/>
                <w:szCs w:val="18"/>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-1185545</wp:posOffset>
            </wp:positionV>
            <wp:extent cx="11176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-1185545</wp:posOffset>
            </wp:positionV>
            <wp:extent cx="11176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-1185545</wp:posOffset>
            </wp:positionV>
            <wp:extent cx="242760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67" w:lineRule="exact"/>
        <w:rPr>
          <w:sz w:val="20"/>
          <w:szCs w:val="20"/>
          <w:color w:val="auto"/>
        </w:rPr>
      </w:pPr>
    </w:p>
    <w:p>
      <w:pPr>
        <w:ind w:left="1160" w:right="1199" w:firstLine="293"/>
        <w:spacing w:after="0" w:line="311" w:lineRule="auto"/>
        <w:rPr>
          <w:sz w:val="20"/>
          <w:szCs w:val="20"/>
          <w:color w:val="auto"/>
        </w:rPr>
      </w:pPr>
      <w:r>
        <w:rPr>
          <w:rFonts w:ascii="Arial" w:cs="Arial" w:eastAsia="Arial" w:hAnsi="Arial"/>
          <w:sz w:val="13"/>
          <w:szCs w:val="13"/>
          <w:color w:val="auto"/>
        </w:rPr>
        <w:t>The nine passenger aircraft purchased during the year ended December 31, 2020 were financed through equipment trust certificates (see Note 9). Two of these aircraft were previously under operating leases, five were previously under finance leases, and the other two aircraft were new to the Company’s fleet.</w:t>
      </w:r>
    </w:p>
    <w:p>
      <w:pPr>
        <w:spacing w:after="0" w:line="56" w:lineRule="exact"/>
        <w:rPr>
          <w:sz w:val="20"/>
          <w:szCs w:val="20"/>
          <w:color w:val="auto"/>
        </w:rPr>
      </w:pPr>
    </w:p>
    <w:p>
      <w:pPr>
        <w:ind w:left="1160" w:right="1459" w:firstLine="293"/>
        <w:spacing w:after="0" w:line="264" w:lineRule="auto"/>
        <w:rPr>
          <w:sz w:val="20"/>
          <w:szCs w:val="20"/>
          <w:color w:val="auto"/>
        </w:rPr>
      </w:pPr>
      <w:r>
        <w:rPr>
          <w:rFonts w:ascii="Arial" w:cs="Arial" w:eastAsia="Arial" w:hAnsi="Arial"/>
          <w:sz w:val="15"/>
          <w:szCs w:val="15"/>
          <w:color w:val="auto"/>
        </w:rPr>
        <w:t>In addition to the nine purchases discussed above, the Company refinanced three previously owned aircraft in January 2020 utilizing equipment trust certificates (see Note 9).</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12 cargo aircraft added during 2020 relate to the Amazon Agreement (see Note 1).</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2018</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00"/>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Owned</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w:t>
            </w:r>
          </w:p>
        </w:tc>
        <w:tc>
          <w:tcPr>
            <w:tcW w:w="380" w:type="dxa"/>
            <w:vAlign w:val="bottom"/>
            <w:shd w:val="clear" w:color="auto" w:fill="CCEEFF"/>
          </w:tcPr>
          <w:p>
            <w:pPr>
              <w:spacing w:after="0"/>
              <w:rPr>
                <w:sz w:val="17"/>
                <w:szCs w:val="17"/>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Finance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10</w:t>
            </w:r>
          </w:p>
        </w:tc>
        <w:tc>
          <w:tcPr>
            <w:tcW w:w="380" w:type="dxa"/>
            <w:vAlign w:val="bottom"/>
          </w:tcPr>
          <w:p>
            <w:pPr>
              <w:spacing w:after="0"/>
              <w:rPr>
                <w:sz w:val="18"/>
                <w:szCs w:val="18"/>
                <w:color w:val="auto"/>
              </w:rPr>
            </w:pPr>
          </w:p>
        </w:tc>
      </w:tr>
      <w:tr>
        <w:trPr>
          <w:trHeight w:val="209"/>
        </w:trPr>
        <w:tc>
          <w:tcPr>
            <w:tcW w:w="25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w:t>
            </w:r>
          </w:p>
        </w:tc>
        <w:tc>
          <w:tcPr>
            <w:tcW w:w="380" w:type="dxa"/>
            <w:vAlign w:val="bottom"/>
            <w:shd w:val="clear" w:color="auto" w:fill="CCEEFF"/>
          </w:tcPr>
          <w:p>
            <w:pPr>
              <w:spacing w:after="0"/>
              <w:rPr>
                <w:sz w:val="18"/>
                <w:szCs w:val="18"/>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5"/>
                <w:szCs w:val="15"/>
                <w:color w:val="auto"/>
              </w:rPr>
              <w:t>Seasonal leases</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380" w:type="dxa"/>
            <w:vAlign w:val="bottom"/>
          </w:tcPr>
          <w:p>
            <w:pPr>
              <w:spacing w:after="0"/>
              <w:rPr>
                <w:sz w:val="18"/>
                <w:szCs w:val="18"/>
                <w:color w:val="auto"/>
              </w:rPr>
            </w:pPr>
          </w:p>
        </w:tc>
      </w:tr>
      <w:tr>
        <w:trPr>
          <w:trHeight w:val="214"/>
        </w:trPr>
        <w:tc>
          <w:tcPr>
            <w:tcW w:w="2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Sun Country Airlines’ Fleet</w:t>
            </w:r>
          </w:p>
        </w:tc>
        <w:tc>
          <w:tcPr>
            <w:tcW w:w="5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7"/>
              </w:rPr>
              <w:t>(8)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w:t>
            </w:r>
          </w:p>
        </w:tc>
        <w:tc>
          <w:tcPr>
            <w:tcW w:w="380" w:type="dxa"/>
            <w:vAlign w:val="bottom"/>
            <w:shd w:val="clear" w:color="auto" w:fill="CCEEFF"/>
          </w:tcPr>
          <w:p>
            <w:pPr>
              <w:spacing w:after="0"/>
              <w:rPr>
                <w:sz w:val="18"/>
                <w:szCs w:val="18"/>
                <w:color w:val="auto"/>
              </w:rPr>
            </w:pPr>
          </w:p>
        </w:tc>
      </w:tr>
      <w:tr>
        <w:trPr>
          <w:trHeight w:val="20"/>
        </w:trPr>
        <w:tc>
          <w:tcPr>
            <w:tcW w:w="2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-683260</wp:posOffset>
            </wp:positionV>
            <wp:extent cx="111760"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-683260</wp:posOffset>
            </wp:positionV>
            <wp:extent cx="111760"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-683260</wp:posOffset>
            </wp:positionV>
            <wp:extent cx="242760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427605" cy="6985"/>
                    </a:xfrm>
                    <a:prstGeom prst="rect">
                      <a:avLst/>
                    </a:prstGeom>
                    <a:noFill/>
                  </pic:spPr>
                </pic:pic>
              </a:graphicData>
            </a:graphic>
          </wp:anchor>
        </w:drawing>
      </w:r>
    </w:p>
    <w:p>
      <w:pPr>
        <w:spacing w:after="0" w:line="167" w:lineRule="exact"/>
        <w:rPr>
          <w:sz w:val="20"/>
          <w:szCs w:val="20"/>
          <w:color w:val="auto"/>
        </w:rPr>
      </w:pPr>
    </w:p>
    <w:p>
      <w:pPr>
        <w:ind w:left="1160" w:right="1299" w:firstLine="293"/>
        <w:spacing w:after="0" w:line="251" w:lineRule="auto"/>
        <w:rPr>
          <w:sz w:val="20"/>
          <w:szCs w:val="20"/>
          <w:color w:val="auto"/>
        </w:rPr>
      </w:pPr>
      <w:r>
        <w:rPr>
          <w:rFonts w:ascii="Arial" w:cs="Arial" w:eastAsia="Arial" w:hAnsi="Arial"/>
          <w:sz w:val="15"/>
          <w:szCs w:val="15"/>
          <w:color w:val="auto"/>
        </w:rPr>
        <w:t>In December 2019, the Company purchased its first aircraft utilizing equipment trust certificates. The Company purchased one of its aircraft previously under an operating lease agreement in February 2019. In addition, the Company entered into a new finance lease for an aircraft in each of March, April, May and December 2019.</w:t>
      </w:r>
    </w:p>
    <w:p>
      <w:pPr>
        <w:spacing w:after="0" w:line="91" w:lineRule="exact"/>
        <w:rPr>
          <w:sz w:val="20"/>
          <w:szCs w:val="20"/>
          <w:color w:val="auto"/>
        </w:rPr>
      </w:pPr>
    </w:p>
    <w:p>
      <w:pPr>
        <w:jc w:val="both"/>
        <w:ind w:left="1160" w:right="1419" w:firstLine="293"/>
        <w:spacing w:after="0" w:line="341" w:lineRule="auto"/>
        <w:rPr>
          <w:sz w:val="20"/>
          <w:szCs w:val="20"/>
          <w:color w:val="auto"/>
        </w:rPr>
      </w:pPr>
      <w:r>
        <w:rPr>
          <w:rFonts w:ascii="Arial" w:cs="Arial" w:eastAsia="Arial" w:hAnsi="Arial"/>
          <w:sz w:val="13"/>
          <w:szCs w:val="13"/>
          <w:color w:val="auto"/>
        </w:rPr>
        <w:t>Also, in December 2019, the Company amended an operating lease, which converted it to a finance lease. Lastly, one of the Company’s operating leases expired in August 2019 and two in December 2019.</w:t>
      </w:r>
    </w:p>
    <w:p>
      <w:pPr>
        <w:spacing w:after="0" w:line="48" w:lineRule="exact"/>
        <w:rPr>
          <w:sz w:val="20"/>
          <w:szCs w:val="20"/>
          <w:color w:val="auto"/>
        </w:rPr>
      </w:pPr>
    </w:p>
    <w:p>
      <w:pPr>
        <w:ind w:left="1160" w:right="1359" w:firstLine="293"/>
        <w:spacing w:after="0" w:line="274" w:lineRule="auto"/>
        <w:rPr>
          <w:sz w:val="20"/>
          <w:szCs w:val="20"/>
          <w:color w:val="auto"/>
        </w:rPr>
      </w:pPr>
      <w:r>
        <w:rPr>
          <w:rFonts w:ascii="Arial" w:cs="Arial" w:eastAsia="Arial" w:hAnsi="Arial"/>
          <w:sz w:val="14"/>
          <w:szCs w:val="14"/>
          <w:color w:val="auto"/>
        </w:rPr>
        <w:t>The Accumulated Depreciation on owned assets was $52,048 and $21,030 as of December 31, 2020 and 2019, respectively. Depreciation expense was $31,657 and $17,347 for the years ended December 31, 2020 and 2019, respectively, and was $6,731 and $2,315 for the period from April 11, 2018 through December 31, 2018 and the period January 1, 2018 through April 10, 2018, respectively.</w:t>
      </w:r>
    </w:p>
    <w:p>
      <w:pPr>
        <w:spacing w:after="0" w:line="89" w:lineRule="exact"/>
        <w:rPr>
          <w:sz w:val="20"/>
          <w:szCs w:val="20"/>
          <w:color w:val="auto"/>
        </w:rPr>
      </w:pPr>
    </w:p>
    <w:p>
      <w:pPr>
        <w:ind w:left="1160" w:right="1299" w:firstLine="293"/>
        <w:spacing w:after="0" w:line="274" w:lineRule="auto"/>
        <w:rPr>
          <w:sz w:val="20"/>
          <w:szCs w:val="20"/>
          <w:color w:val="auto"/>
        </w:rPr>
      </w:pPr>
      <w:r>
        <w:rPr>
          <w:rFonts w:ascii="Arial" w:cs="Arial" w:eastAsia="Arial" w:hAnsi="Arial"/>
          <w:sz w:val="14"/>
          <w:szCs w:val="14"/>
          <w:color w:val="auto"/>
        </w:rPr>
        <w:t>The Accumulated Amortization on Finance Lease Assets was $13,018 and $6,698 as of December 31, 2020 and 2019, respectively. Amortization Expense was $11,948 and $13,104 for the years ended December 31, 2020 and 2019, respectively, and was $4,476 and $119 for the period from April 11, 2018 through December 31, 2018 and the period January 1, 2018 through April 10, 2018, respectively.</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1" w:name="page222"/>
    <w:bookmarkEnd w:id="221"/>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PROPERTY &amp; EQUIPMENT (continued)</w:t>
      </w:r>
    </w:p>
    <w:p>
      <w:pPr>
        <w:spacing w:after="0" w:line="183" w:lineRule="exact"/>
        <w:rPr>
          <w:sz w:val="20"/>
          <w:szCs w:val="20"/>
          <w:color w:val="auto"/>
        </w:rPr>
      </w:pPr>
    </w:p>
    <w:p>
      <w:pPr>
        <w:ind w:left="1160" w:right="1759" w:firstLine="293"/>
        <w:spacing w:after="0" w:line="283" w:lineRule="auto"/>
        <w:rPr>
          <w:sz w:val="20"/>
          <w:szCs w:val="20"/>
          <w:color w:val="auto"/>
        </w:rPr>
      </w:pPr>
      <w:r>
        <w:rPr>
          <w:rFonts w:ascii="Arial" w:cs="Arial" w:eastAsia="Arial" w:hAnsi="Arial"/>
          <w:sz w:val="14"/>
          <w:szCs w:val="14"/>
          <w:color w:val="auto"/>
        </w:rPr>
        <w:t>Depreciation expense on Owned Assets and amortization expense on Finance Lease Assets are classified in Depreciation and Amortization on the Consolidated Statements of Operations.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GOODWILL AND OTHER INTANGIBLE ASSETS</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Components of Goodwill and Other Intangible Assets were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6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w w:val="93"/>
              </w:rPr>
              <w:t>(10,890)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93,110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$(10,890)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$315,333</w:t>
            </w:r>
          </w:p>
        </w:tc>
        <w:tc>
          <w:tcPr>
            <w:tcW w:w="40" w:type="dxa"/>
            <w:vAlign w:val="bottom"/>
            <w:shd w:val="clear" w:color="auto" w:fill="CCEEFF"/>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9"/>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spacing w:after="0"/>
              <w:rPr>
                <w:sz w:val="20"/>
                <w:szCs w:val="20"/>
                <w:color w:val="auto"/>
              </w:rPr>
            </w:pPr>
            <w:r>
              <w:rPr>
                <w:rFonts w:ascii="Arial" w:cs="Arial" w:eastAsia="Arial" w:hAnsi="Arial"/>
                <w:sz w:val="12"/>
                <w:szCs w:val="12"/>
                <w:b w:val="1"/>
                <w:bCs w:val="1"/>
                <w:color w:val="auto"/>
                <w:w w:val="86"/>
              </w:rPr>
              <w:t>December 31, 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8"/>
        </w:trPr>
        <w:tc>
          <w:tcPr>
            <w:tcW w:w="3460" w:type="dxa"/>
            <w:vAlign w:val="bottom"/>
          </w:tcPr>
          <w:p>
            <w:pPr>
              <w:spacing w:after="0"/>
              <w:rPr>
                <w:sz w:val="12"/>
                <w:szCs w:val="12"/>
                <w:color w:val="auto"/>
              </w:rPr>
            </w:pPr>
          </w:p>
        </w:tc>
        <w:tc>
          <w:tcPr>
            <w:tcW w:w="940" w:type="dxa"/>
            <w:vAlign w:val="bottom"/>
            <w:gridSpan w:val="4"/>
          </w:tcPr>
          <w:p>
            <w:pPr>
              <w:jc w:val="center"/>
              <w:ind w:left="52"/>
              <w:spacing w:after="0"/>
              <w:rPr>
                <w:sz w:val="20"/>
                <w:szCs w:val="20"/>
                <w:color w:val="auto"/>
              </w:rPr>
            </w:pPr>
            <w:r>
              <w:rPr>
                <w:rFonts w:ascii="Arial" w:cs="Arial" w:eastAsia="Arial" w:hAnsi="Arial"/>
                <w:sz w:val="12"/>
                <w:szCs w:val="12"/>
                <w:b w:val="1"/>
                <w:bCs w:val="1"/>
                <w:color w:val="auto"/>
                <w:w w:val="84"/>
              </w:rPr>
              <w:t>Gross Carrying</w:t>
            </w:r>
          </w:p>
        </w:tc>
        <w:tc>
          <w:tcPr>
            <w:tcW w:w="960" w:type="dxa"/>
            <w:vAlign w:val="bottom"/>
            <w:gridSpan w:val="4"/>
          </w:tcPr>
          <w:p>
            <w:pPr>
              <w:ind w:left="180"/>
              <w:spacing w:after="0"/>
              <w:rPr>
                <w:sz w:val="20"/>
                <w:szCs w:val="20"/>
                <w:color w:val="auto"/>
              </w:rPr>
            </w:pPr>
            <w:r>
              <w:rPr>
                <w:rFonts w:ascii="Arial" w:cs="Arial" w:eastAsia="Arial" w:hAnsi="Arial"/>
                <w:sz w:val="12"/>
                <w:szCs w:val="12"/>
                <w:b w:val="1"/>
                <w:bCs w:val="1"/>
                <w:color w:val="auto"/>
              </w:rPr>
              <w:t>Accumulated</w:t>
            </w:r>
          </w:p>
        </w:tc>
        <w:tc>
          <w:tcPr>
            <w:tcW w:w="7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Net Carrying</w:t>
            </w: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Amount</w:t>
            </w: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89"/>
              </w:rPr>
              <w:t>Amortization</w:t>
            </w:r>
          </w:p>
        </w:tc>
        <w:tc>
          <w:tcPr>
            <w:tcW w:w="12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1"/>
              </w:rPr>
              <w:t>Value</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Goodwill . . . . . . . . . . . . . . .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40" w:type="dxa"/>
            <w:vAlign w:val="bottom"/>
            <w:shd w:val="clear" w:color="auto" w:fill="CCEEFF"/>
          </w:tcPr>
          <w:p>
            <w:pPr>
              <w:spacing w:after="0"/>
              <w:rPr>
                <w:sz w:val="17"/>
                <w:szCs w:val="17"/>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Customer Relationships . . . . . . . . . . . . . . .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48,000</w:t>
            </w:r>
          </w:p>
        </w:tc>
        <w:tc>
          <w:tcPr>
            <w:tcW w:w="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41,110</w:t>
            </w:r>
          </w:p>
        </w:tc>
        <w:tc>
          <w:tcPr>
            <w:tcW w:w="40" w:type="dxa"/>
            <w:vAlign w:val="bottom"/>
            <w:shd w:val="clear" w:color="auto" w:fill="CCEEFF"/>
          </w:tcPr>
          <w:p>
            <w:pPr>
              <w:spacing w:after="0"/>
              <w:rPr>
                <w:sz w:val="18"/>
                <w:szCs w:val="18"/>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5"/>
                <w:szCs w:val="15"/>
                <w:color w:val="auto"/>
              </w:rPr>
              <w:t>Intangible Assets with Indefinite Lives: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Tradename . . . . . . . . . . . . . . . . . . . . . . . . . .</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56,000</w:t>
            </w:r>
          </w:p>
        </w:tc>
        <w:tc>
          <w:tcPr>
            <w:tcW w:w="40" w:type="dxa"/>
            <w:vAlign w:val="bottom"/>
            <w:shd w:val="clear" w:color="auto" w:fill="CCEEFF"/>
          </w:tcPr>
          <w:p>
            <w:pPr>
              <w:spacing w:after="0"/>
              <w:rPr>
                <w:sz w:val="18"/>
                <w:szCs w:val="18"/>
                <w:color w:val="auto"/>
              </w:rPr>
            </w:pPr>
          </w:p>
        </w:tc>
      </w:tr>
      <w:tr>
        <w:trPr>
          <w:trHeight w:val="211"/>
        </w:trPr>
        <w:tc>
          <w:tcPr>
            <w:tcW w:w="3460" w:type="dxa"/>
            <w:vAlign w:val="bottom"/>
          </w:tcPr>
          <w:p>
            <w:pPr>
              <w:ind w:left="140"/>
              <w:spacing w:after="0"/>
              <w:rPr>
                <w:sz w:val="20"/>
                <w:szCs w:val="20"/>
                <w:color w:val="auto"/>
              </w:rPr>
            </w:pPr>
            <w:r>
              <w:rPr>
                <w:rFonts w:ascii="Arial" w:cs="Arial" w:eastAsia="Arial" w:hAnsi="Arial"/>
                <w:sz w:val="15"/>
                <w:szCs w:val="15"/>
                <w:color w:val="auto"/>
              </w:rPr>
              <w:t>Total Other Intangible Assets . . . . . . . . . . .</w:t>
            </w:r>
          </w:p>
        </w:tc>
        <w:tc>
          <w:tcPr>
            <w:tcW w:w="26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104,000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(6,890)</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97,110</w:t>
            </w:r>
          </w:p>
        </w:tc>
        <w:tc>
          <w:tcPr>
            <w:tcW w:w="40" w:type="dxa"/>
            <w:vAlign w:val="bottom"/>
          </w:tcPr>
          <w:p>
            <w:pPr>
              <w:spacing w:after="0"/>
              <w:rPr>
                <w:sz w:val="18"/>
                <w:szCs w:val="18"/>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36"/>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Total Goodwill and Other Intangible Assets . . . .</w:t>
            </w:r>
          </w:p>
        </w:tc>
        <w:tc>
          <w:tcPr>
            <w:tcW w:w="260" w:type="dxa"/>
            <w:vAlign w:val="bottom"/>
            <w:gridSpan w:val="2"/>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$326,223</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$(6,890)</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$319,333</w:t>
            </w:r>
          </w:p>
        </w:tc>
        <w:tc>
          <w:tcPr>
            <w:tcW w:w="40" w:type="dxa"/>
            <w:vAlign w:val="bottom"/>
            <w:shd w:val="clear" w:color="auto" w:fill="CCEEFF"/>
          </w:tcPr>
          <w:p>
            <w:pPr>
              <w:spacing w:after="0"/>
              <w:rPr>
                <w:sz w:val="20"/>
                <w:szCs w:val="20"/>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-1380490</wp:posOffset>
            </wp:positionV>
            <wp:extent cx="3492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-1527175</wp:posOffset>
            </wp:positionV>
            <wp:extent cx="3492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-1527175</wp:posOffset>
            </wp:positionV>
            <wp:extent cx="18859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-1527175</wp:posOffset>
            </wp:positionV>
            <wp:extent cx="2943860"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94386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-1673860</wp:posOffset>
            </wp:positionV>
            <wp:extent cx="34925"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-2350135</wp:posOffset>
            </wp:positionV>
            <wp:extent cx="111760"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-2350135</wp:posOffset>
            </wp:positionV>
            <wp:extent cx="11176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-2350135</wp:posOffset>
            </wp:positionV>
            <wp:extent cx="55880"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-173990</wp:posOffset>
            </wp:positionV>
            <wp:extent cx="34925"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474085"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74085" cy="698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-320040</wp:posOffset>
            </wp:positionV>
            <wp:extent cx="34925"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-996950</wp:posOffset>
            </wp:positionV>
            <wp:extent cx="111760"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-996950</wp:posOffset>
            </wp:positionV>
            <wp:extent cx="111760"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-996950</wp:posOffset>
            </wp:positionV>
            <wp:extent cx="55880"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All Goodwill is related to the Passenger Operating segment.</w:t>
      </w:r>
    </w:p>
    <w:p>
      <w:pPr>
        <w:spacing w:after="0" w:line="113"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has an estimated life of 12 years and is being amortized over this period on a straight-line basis.</w:t>
      </w:r>
    </w:p>
    <w:p>
      <w:pPr>
        <w:spacing w:after="0" w:line="102" w:lineRule="exact"/>
        <w:rPr>
          <w:sz w:val="20"/>
          <w:szCs w:val="20"/>
          <w:color w:val="auto"/>
        </w:rPr>
      </w:pPr>
    </w:p>
    <w:p>
      <w:pPr>
        <w:ind w:left="1160" w:right="1259" w:firstLine="293"/>
        <w:spacing w:after="0" w:line="255" w:lineRule="auto"/>
        <w:rPr>
          <w:sz w:val="20"/>
          <w:szCs w:val="20"/>
          <w:color w:val="auto"/>
        </w:rPr>
      </w:pPr>
      <w:r>
        <w:rPr>
          <w:rFonts w:ascii="Arial" w:cs="Arial" w:eastAsia="Arial" w:hAnsi="Arial"/>
          <w:sz w:val="14"/>
          <w:szCs w:val="14"/>
          <w:color w:val="auto"/>
        </w:rPr>
        <w:t>SCA recognized $4,000 of amortization expense on intangible assets with finite-lives during each of the years ended December 31, 2020 and 2019. For the period April 11, 2018 to December 31, 2018, SCA recognized $2,890 of amortization expense. Amortization is classified in Depreciation and Amortization on the Consolidated Statements of Operations. As of December 31, 2020, estimated annual amortization expense for each of the next five fiscal years is $4,000 and $17,110 thereafter.</w:t>
      </w:r>
    </w:p>
    <w:p>
      <w:pPr>
        <w:spacing w:after="0" w:line="1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w:t>
      </w:r>
    </w:p>
    <w:p>
      <w:pPr>
        <w:spacing w:after="0" w:line="124"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b w:val="1"/>
          <w:bCs w:val="1"/>
          <w:color w:val="auto"/>
        </w:rPr>
        <w:t xml:space="preserve">Lines of Credit — </w:t>
      </w:r>
      <w:r>
        <w:rPr>
          <w:rFonts w:ascii="Arial" w:cs="Arial" w:eastAsia="Arial" w:hAnsi="Arial"/>
          <w:sz w:val="15"/>
          <w:szCs w:val="15"/>
          <w:color w:val="auto"/>
        </w:rPr>
        <w:t>In 2018, the Company entered into a revolving credit agreement with a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institution which provides available credit based upon defined thresholds to a maximum amount of $20,000. On May 15, 2020, the revolving credit agreement maturity date was extended by one year to April 11, 2022 and the maximum credit amount was increased from $20,000 to $25,000. Available credit under this agreement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239"/>
        <w:spacing w:after="0" w:line="251" w:lineRule="auto"/>
        <w:rPr>
          <w:sz w:val="20"/>
          <w:szCs w:val="20"/>
          <w:color w:val="auto"/>
        </w:rPr>
      </w:pPr>
      <w:r>
        <w:rPr>
          <w:rFonts w:ascii="Arial" w:cs="Arial" w:eastAsia="Arial" w:hAnsi="Arial"/>
          <w:sz w:val="14"/>
          <w:szCs w:val="14"/>
          <w:color w:val="auto"/>
        </w:rPr>
        <w:t>as of December 31, 2020 and 2019 was $25,000 and $19,650, respectively, since 2020 had no outstanding letters of credit and the 2019 available credit was reduced due to outstanding letters of credit. Outstanding balances bear interest at the greatest of a) the Prime Rate or b) the Federal Funds Effective Rate plus 0.5% or c) the Adjusted London Interbank Offered Rate for an interest period of one-month plus 1.00%. SCA pays a 0.5% commitment fee on the average daily unused balance. The revolving credit agreement is secured by certain assets of SCA and contains a financial covenant and guarantees. SCA was in compliance with the covenant as of December 31, 2020 and 2019. As of December 31, 2020 and 2019, there were no outstanding balances on the revolving credit agreement.</w:t>
      </w:r>
    </w:p>
    <w:p>
      <w:pPr>
        <w:spacing w:after="0" w:line="92"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4"/>
          <w:szCs w:val="14"/>
          <w:color w:val="auto"/>
        </w:rPr>
        <w:t>On February 10, 2021, the Company executed a new five -year credit agreement with a group of lenders that replaces the Company’s May 15, 2020 $25,000 revolving credit agreement. The new agreement provides for a $ 25,000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Delayed Draw Term Loans are to be used solely to finance the acquisition of aircraft or engines to be registered in the U.S. The Credit Facilities have financial covenants that require a minimum EBITDAR (ranging from $62,100 to $87,700) and a minimum liquidity of $30,000 at the close of any business day.</w:t>
      </w:r>
    </w:p>
    <w:p>
      <w:pPr>
        <w:spacing w:after="0" w:line="84"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4"/>
          <w:szCs w:val="14"/>
          <w:b w:val="1"/>
          <w:bCs w:val="1"/>
          <w:color w:val="auto"/>
        </w:rPr>
        <w:t>Long-term Debt—</w:t>
      </w:r>
      <w:r>
        <w:rPr>
          <w:rFonts w:ascii="Arial" w:cs="Arial" w:eastAsia="Arial" w:hAnsi="Arial"/>
          <w:sz w:val="14"/>
          <w:szCs w:val="14"/>
          <w:color w:val="auto"/>
        </w:rPr>
        <w:t>In December 2019, the Company arranged for the issuance of Class A, Class B and</w:t>
      </w:r>
      <w:r>
        <w:rPr>
          <w:rFonts w:ascii="Arial" w:cs="Arial" w:eastAsia="Arial" w:hAnsi="Arial"/>
          <w:sz w:val="14"/>
          <w:szCs w:val="14"/>
          <w:b w:val="1"/>
          <w:bCs w:val="1"/>
          <w:color w:val="auto"/>
        </w:rPr>
        <w:t xml:space="preserve"> </w:t>
      </w:r>
      <w:r>
        <w:rPr>
          <w:rFonts w:ascii="Arial" w:cs="Arial" w:eastAsia="Arial" w:hAnsi="Arial"/>
          <w:sz w:val="14"/>
          <w:szCs w:val="14"/>
          <w:color w:val="auto"/>
        </w:rPr>
        <w:t>Class C pass-through trust certificates Series 2019-1 (the “2019-1 EETC”), in an aggregate face amount of $248,587 (the “Certificates”) for the purpose of financing or refinancing 13 used aircraft. To facilitate the arrangement, the Company created three pass-through trusts that will sell the Certificates to institutional investors. The proceeds from the sale of Certificates are held in escrow until such time that the Company provides the trust with an aircraft financing closing notice, which will cause the trusts to use the proceeds from the sale of Certificates to purchase equipment notes from the Company. The equipment notes are secured by the aircraft. Debt issuance costs of $2,988 were incurred in 2019 related to this financing and is being amortized into interest expense over the lives of the Certificates.</w:t>
      </w:r>
    </w:p>
    <w:p>
      <w:pPr>
        <w:spacing w:after="0" w:line="93" w:lineRule="exact"/>
        <w:rPr>
          <w:sz w:val="20"/>
          <w:szCs w:val="20"/>
          <w:color w:val="auto"/>
        </w:rPr>
      </w:pPr>
    </w:p>
    <w:p>
      <w:pPr>
        <w:ind w:left="1160" w:right="1199" w:firstLine="293"/>
        <w:spacing w:after="0" w:line="232" w:lineRule="auto"/>
        <w:rPr>
          <w:sz w:val="20"/>
          <w:szCs w:val="20"/>
          <w:color w:val="auto"/>
        </w:rPr>
      </w:pPr>
      <w:r>
        <w:rPr>
          <w:rFonts w:ascii="Arial" w:cs="Arial" w:eastAsia="Arial" w:hAnsi="Arial"/>
          <w:sz w:val="15"/>
          <w:szCs w:val="15"/>
          <w:color w:val="auto"/>
        </w:rPr>
        <w:t>In December of 2019, the Company purchased one aircraft under the 2019-1 EETC. In the first quarter of 2020, under the 2019-1 EETC, SCA purchased two additional aircraft, purchased one previously under operating lease, and refinanced three aircraft previously owned and financed. The purchase of the remaining six aircraft previously under operating or finance leases occurred in the second quarter of 2020. The total appraised value of the 13 aircraft is approximately $292,450. The Certificates bear interest at the following rates per annum: Class A, 4.13% relating to a tranche of seven of the financed aircraft and 4.25% relating to a tranche of six of the financed aircraft; Class B, 4.66% relating to a tranche of seven of the financed aircraft and 4.78% related to a tranche of six of the financed aircraft; and Class C, 6.95%. The expected maturity date of Class A is December 15, 2027, the Class B is December 15, 2025 and the Class C is December 15, 2023.</w:t>
      </w:r>
    </w:p>
    <w:p>
      <w:pPr>
        <w:spacing w:after="0" w:line="101" w:lineRule="exact"/>
        <w:rPr>
          <w:sz w:val="20"/>
          <w:szCs w:val="20"/>
          <w:color w:val="auto"/>
        </w:rPr>
      </w:pPr>
    </w:p>
    <w:p>
      <w:pPr>
        <w:ind w:left="1160" w:right="1219" w:firstLine="293"/>
        <w:spacing w:after="0" w:line="233" w:lineRule="auto"/>
        <w:rPr>
          <w:sz w:val="20"/>
          <w:szCs w:val="20"/>
          <w:color w:val="auto"/>
        </w:rPr>
      </w:pPr>
      <w:r>
        <w:rPr>
          <w:rFonts w:ascii="Arial" w:cs="Arial" w:eastAsia="Arial" w:hAnsi="Arial"/>
          <w:sz w:val="15"/>
          <w:szCs w:val="15"/>
          <w:color w:val="auto"/>
        </w:rPr>
        <w:t>These trusts meet the definition of a variable interest entity (“VIE”) and must be considered for consolidation in the Company’s Consolidated Financial Statements. This assessment considers both quantitative and qualitative factors including the purpose for which these trusts were established and the nature of the risks. The main purpose of the trust structure is to enhance the credit worthiness of the debt obligation and lower the total borrowing cost. The Company concluded that it is not the primary beneficiary in these trusts because the Company’s involvement is limited to principal and interest payments on the related notes. Therefore, these trusts have not been consolidated in the Company’s Consolidated Financial Statements.</w:t>
      </w:r>
    </w:p>
    <w:p>
      <w:pPr>
        <w:spacing w:after="0" w:line="89" w:lineRule="exact"/>
        <w:rPr>
          <w:sz w:val="20"/>
          <w:szCs w:val="20"/>
          <w:color w:val="auto"/>
        </w:rPr>
      </w:pPr>
    </w:p>
    <w:p>
      <w:pPr>
        <w:ind w:left="1160" w:right="1259" w:firstLine="293"/>
        <w:spacing w:after="0" w:line="283" w:lineRule="auto"/>
        <w:rPr>
          <w:sz w:val="20"/>
          <w:szCs w:val="20"/>
          <w:color w:val="auto"/>
        </w:rPr>
      </w:pPr>
      <w:r>
        <w:rPr>
          <w:rFonts w:ascii="Arial" w:cs="Arial" w:eastAsia="Arial" w:hAnsi="Arial"/>
          <w:sz w:val="14"/>
          <w:szCs w:val="14"/>
          <w:color w:val="auto"/>
        </w:rPr>
        <w:t>Under the CARES Act Loan Program, on October 26, 2020, the Company was awarded a forty-five million dollar loan, which is secured by SCA’s loyalty program and certain cash deposit accounts. The loan</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3" w:name="page224"/>
    <w:bookmarkEnd w:id="223"/>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160" w:right="1179"/>
        <w:spacing w:after="0" w:line="266" w:lineRule="auto"/>
        <w:rPr>
          <w:sz w:val="20"/>
          <w:szCs w:val="20"/>
          <w:color w:val="auto"/>
        </w:rPr>
      </w:pPr>
      <w:r>
        <w:rPr>
          <w:rFonts w:ascii="Arial" w:cs="Arial" w:eastAsia="Arial" w:hAnsi="Arial"/>
          <w:sz w:val="14"/>
          <w:szCs w:val="14"/>
          <w:color w:val="auto"/>
        </w:rPr>
        <w:t>bears interest at a rate per annum equal to the Adjusted LIBO Rate plus 6.50% and is due to be repaid on the earlier of (i) October 24, 2025 or (ii) six months prior to the expiration date of any material loyalty program securing the loan. During the term of the loan, the Company must maintain aggregate liquidity of not less than ten million dollars, measured at the close of every business day. There are also provisions that may accelerate payments under the loan if certain collateral and debt service coverage ratios are not met. Additionally, because of the timing of the expiration of the Company’s loyalty program agreement, early loan repayments shall be made based on cash flows from the loyalty program, beginning approximately January 2023. The loan program allows for the Payment-In-Kind (“PIK”) of certain interest amounts throughout the debt term The Company elected to PIK $419 of accrued interest in the fourth quarter of 2020 and it was added to the principal balance.</w:t>
      </w:r>
    </w:p>
    <w:p>
      <w:pPr>
        <w:spacing w:after="0" w:line="9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Long-term Debt included the following:</w:t>
      </w:r>
    </w:p>
    <w:p>
      <w:pPr>
        <w:spacing w:after="0" w:line="133"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December 31,</w:t>
            </w:r>
          </w:p>
        </w:tc>
        <w:tc>
          <w:tcPr>
            <w:tcW w:w="6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1"/>
              </w:rPr>
              <w:t>December 31,</w:t>
            </w:r>
          </w:p>
        </w:tc>
        <w:tc>
          <w:tcPr>
            <w:tcW w:w="1020" w:type="dxa"/>
            <w:vAlign w:val="bottom"/>
          </w:tcPr>
          <w:p>
            <w:pPr>
              <w:spacing w:after="0"/>
              <w:rPr>
                <w:sz w:val="12"/>
                <w:szCs w:val="12"/>
                <w:color w:val="auto"/>
              </w:rPr>
            </w:pPr>
          </w:p>
        </w:tc>
      </w:tr>
      <w:tr>
        <w:trPr>
          <w:trHeight w:val="150"/>
        </w:trPr>
        <w:tc>
          <w:tcPr>
            <w:tcW w:w="10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60" w:type="dxa"/>
            <w:vAlign w:val="bottom"/>
            <w:gridSpan w:val="3"/>
          </w:tcPr>
          <w:p>
            <w:pPr>
              <w:jc w:val="right"/>
              <w:ind w:right="10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67"/>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Notes payable under the Company’s 2019-1 EETC agreement dated</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December 2019, with original loan amounts of $248,587 payable in bi-annual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installments through December 2027. These notes bear interest at an annual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rate of between 4.13% and 6.95% and are secured by the equipment for which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$227,347</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99"/>
              </w:rPr>
              <w:t>$ 28,280</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w w:val="96"/>
              </w:rPr>
              <w:t>U. S. Department of the Treasury CARES Act Loan (see terms and conditions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above)</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45,419</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Notes payable to Wilmington Trust Company dated October and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November 2018, with original loan amounts totaling $55,671 payable in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monthly installments through November 2023. These notes bore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annual rate of 8.45%. They were refinanced in January 2020 through 2019-1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EETC notes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46,617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Wilmington Trust Company dated February 2019, with 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original loan amount of $12,750 payable in monthly installments of $151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through January 2024, and then final lump sum payment of $2,825 in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9"/>
              </w:rPr>
              <w:t>February 2024. This note bears interest at an annual rate of 8.45% and is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secured by the equipment for which the loan was used</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9,813</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11,237</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Note payable to Wilmington Trust Company dated November 2018, with an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original loan amount of $3,671 payable in monthly installments of $44 through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October 2023, and then final lump sum payment of $1,101 in November 2023.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This note bears interest at an annual rate of 8.45% and is secured by the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equipment for which the loan was 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2,693</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3,105</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tcPr>
          <w:p>
            <w:pPr>
              <w:spacing w:after="0" w:line="165" w:lineRule="exact"/>
              <w:rPr>
                <w:sz w:val="20"/>
                <w:szCs w:val="20"/>
                <w:color w:val="auto"/>
              </w:rPr>
            </w:pPr>
            <w:r>
              <w:rPr>
                <w:rFonts w:ascii="Arial" w:cs="Arial" w:eastAsia="Arial" w:hAnsi="Arial"/>
                <w:sz w:val="15"/>
                <w:szCs w:val="15"/>
                <w:color w:val="auto"/>
              </w:rPr>
              <w:t>Note payable to Alliance Bank dated February 2019, with an original loan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w w:val="97"/>
              </w:rPr>
              <w:t>amount of $600 payable in monthly installments of $5 through March 2029.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tcPr>
          <w:p>
            <w:pPr>
              <w:ind w:left="160"/>
              <w:spacing w:after="0"/>
              <w:rPr>
                <w:sz w:val="20"/>
                <w:szCs w:val="20"/>
                <w:color w:val="auto"/>
              </w:rPr>
            </w:pPr>
            <w:r>
              <w:rPr>
                <w:rFonts w:ascii="Arial" w:cs="Arial" w:eastAsia="Arial" w:hAnsi="Arial"/>
                <w:sz w:val="15"/>
                <w:szCs w:val="15"/>
                <w:color w:val="auto"/>
              </w:rPr>
              <w:t>This note bears interest at an annual rate of 5.0%</w:t>
            </w:r>
          </w:p>
        </w:tc>
        <w:tc>
          <w:tcPr>
            <w:tcW w:w="820" w:type="dxa"/>
            <w:vAlign w:val="bottom"/>
            <w:gridSpan w:val="4"/>
          </w:tcPr>
          <w:p>
            <w:pPr>
              <w:jc w:val="right"/>
              <w:ind w:right="60"/>
              <w:spacing w:after="0"/>
              <w:rPr>
                <w:sz w:val="20"/>
                <w:szCs w:val="20"/>
                <w:color w:val="auto"/>
              </w:rPr>
            </w:pPr>
            <w:r>
              <w:rPr>
                <w:rFonts w:ascii="Arial" w:cs="Arial" w:eastAsia="Arial" w:hAnsi="Arial"/>
                <w:sz w:val="15"/>
                <w:szCs w:val="15"/>
                <w:color w:val="auto"/>
              </w:rPr>
              <w:t>519</w:t>
            </w:r>
          </w:p>
        </w:tc>
        <w:tc>
          <w:tcPr>
            <w:tcW w:w="16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5"/>
                <w:szCs w:val="15"/>
                <w:color w:val="auto"/>
              </w:rPr>
              <w:t>569</w:t>
            </w:r>
          </w:p>
        </w:tc>
        <w:tc>
          <w:tcPr>
            <w:tcW w:w="1020" w:type="dxa"/>
            <w:vAlign w:val="bottom"/>
          </w:tcPr>
          <w:p>
            <w:pPr>
              <w:spacing w:after="0"/>
              <w:rPr>
                <w:sz w:val="16"/>
                <w:szCs w:val="16"/>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w w:val="94"/>
              </w:rPr>
              <w:t>Notes payable to Riverland Bank dated between April 2015 and May 2016, with</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original loan amounts totaling $734 payable in monthly installments with</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expirations between April 2020 and April 2021. The notes bear interest at an</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annual rate of 5.15% and are secured by the equipment for which the loan was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used</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c>
          <w:tcPr>
            <w:tcW w:w="1020" w:type="dxa"/>
            <w:vAlign w:val="bottom"/>
          </w:tcPr>
          <w:p>
            <w:pPr>
              <w:spacing w:after="0"/>
              <w:rPr>
                <w:sz w:val="16"/>
                <w:szCs w:val="16"/>
                <w:color w:val="auto"/>
              </w:rPr>
            </w:pPr>
          </w:p>
        </w:tc>
      </w:tr>
      <w:tr>
        <w:trPr>
          <w:trHeight w:val="134"/>
        </w:trPr>
        <w:tc>
          <w:tcPr>
            <w:tcW w:w="1020" w:type="dxa"/>
            <w:vAlign w:val="bottom"/>
          </w:tcPr>
          <w:p>
            <w:pPr>
              <w:spacing w:after="0"/>
              <w:rPr>
                <w:sz w:val="11"/>
                <w:szCs w:val="11"/>
                <w:color w:val="auto"/>
              </w:rPr>
            </w:pPr>
          </w:p>
        </w:tc>
        <w:tc>
          <w:tcPr>
            <w:tcW w:w="5020" w:type="dxa"/>
            <w:vAlign w:val="bottom"/>
            <w:tcBorders>
              <w:top w:val="single" w:sz="8" w:color="CCEEFF"/>
            </w:tcBorders>
          </w:tcPr>
          <w:p>
            <w:pPr>
              <w:spacing w:after="0" w:line="134" w:lineRule="exact"/>
              <w:rPr>
                <w:sz w:val="20"/>
                <w:szCs w:val="20"/>
                <w:color w:val="auto"/>
              </w:rPr>
            </w:pPr>
            <w:r>
              <w:rPr>
                <w:rFonts w:ascii="Arial" w:cs="Arial" w:eastAsia="Arial" w:hAnsi="Arial"/>
                <w:sz w:val="15"/>
                <w:szCs w:val="15"/>
                <w:color w:val="auto"/>
              </w:rPr>
              <w:t>Total Debt</w:t>
            </w: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w w:val="99"/>
              </w:rPr>
              <w:t>285,801</w:t>
            </w: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89,905</w:t>
            </w:r>
          </w:p>
        </w:tc>
        <w:tc>
          <w:tcPr>
            <w:tcW w:w="80" w:type="dxa"/>
            <w:vAlign w:val="bottom"/>
            <w:tcBorders>
              <w:top w:val="single" w:sz="8" w:color="CCEEFF"/>
            </w:tcBorders>
          </w:tcPr>
          <w:p>
            <w:pPr>
              <w:spacing w:after="0"/>
              <w:rPr>
                <w:sz w:val="11"/>
                <w:szCs w:val="11"/>
                <w:color w:val="auto"/>
              </w:rPr>
            </w:pPr>
          </w:p>
        </w:tc>
        <w:tc>
          <w:tcPr>
            <w:tcW w:w="1020" w:type="dxa"/>
            <w:vAlign w:val="bottom"/>
          </w:tcPr>
          <w:p>
            <w:pPr>
              <w:spacing w:after="0"/>
              <w:rPr>
                <w:sz w:val="11"/>
                <w:szCs w:val="11"/>
                <w:color w:val="auto"/>
              </w:rPr>
            </w:pPr>
          </w:p>
        </w:tc>
      </w:tr>
      <w:tr>
        <w:trPr>
          <w:trHeight w:val="165"/>
        </w:trPr>
        <w:tc>
          <w:tcPr>
            <w:tcW w:w="1020" w:type="dxa"/>
            <w:vAlign w:val="bottom"/>
          </w:tcPr>
          <w:p>
            <w:pPr>
              <w:spacing w:after="0"/>
              <w:rPr>
                <w:sz w:val="14"/>
                <w:szCs w:val="14"/>
                <w:color w:val="auto"/>
              </w:rPr>
            </w:pPr>
          </w:p>
        </w:tc>
        <w:tc>
          <w:tcPr>
            <w:tcW w:w="5020" w:type="dxa"/>
            <w:vAlign w:val="bottom"/>
            <w:shd w:val="clear" w:color="auto" w:fill="CCEEFF"/>
          </w:tcPr>
          <w:p>
            <w:pPr>
              <w:spacing w:after="0" w:line="165" w:lineRule="exact"/>
              <w:rPr>
                <w:sz w:val="20"/>
                <w:szCs w:val="20"/>
                <w:color w:val="auto"/>
              </w:rPr>
            </w:pPr>
            <w:r>
              <w:rPr>
                <w:rFonts w:ascii="Arial" w:cs="Arial" w:eastAsia="Arial" w:hAnsi="Arial"/>
                <w:sz w:val="15"/>
                <w:szCs w:val="15"/>
                <w:color w:val="auto"/>
              </w:rPr>
              <w:t>Less: Unamortized debt issuance costs</w:t>
            </w:r>
          </w:p>
        </w:tc>
        <w:tc>
          <w:tcPr>
            <w:tcW w:w="820" w:type="dxa"/>
            <w:vAlign w:val="bottom"/>
            <w:gridSpan w:val="4"/>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(3,338)</w:t>
            </w:r>
          </w:p>
        </w:tc>
        <w:tc>
          <w:tcPr>
            <w:tcW w:w="1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0"/>
              <w:spacing w:after="0" w:line="165" w:lineRule="exact"/>
              <w:rPr>
                <w:sz w:val="20"/>
                <w:szCs w:val="20"/>
                <w:color w:val="auto"/>
              </w:rPr>
            </w:pPr>
            <w:r>
              <w:rPr>
                <w:rFonts w:ascii="Arial" w:cs="Arial" w:eastAsia="Arial" w:hAnsi="Arial"/>
                <w:sz w:val="15"/>
                <w:szCs w:val="15"/>
                <w:color w:val="auto"/>
              </w:rPr>
              <w:t>(2,988)</w:t>
            </w:r>
          </w:p>
        </w:tc>
        <w:tc>
          <w:tcPr>
            <w:tcW w:w="1020" w:type="dxa"/>
            <w:vAlign w:val="bottom"/>
          </w:tcPr>
          <w:p>
            <w:pPr>
              <w:spacing w:after="0"/>
              <w:rPr>
                <w:sz w:val="14"/>
                <w:szCs w:val="14"/>
                <w:color w:val="auto"/>
              </w:rPr>
            </w:pPr>
          </w:p>
        </w:tc>
      </w:tr>
      <w:tr>
        <w:trPr>
          <w:trHeight w:val="176"/>
        </w:trPr>
        <w:tc>
          <w:tcPr>
            <w:tcW w:w="10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Less: Current Maturities of Long-term Debt</w:t>
            </w:r>
          </w:p>
        </w:tc>
        <w:tc>
          <w:tcPr>
            <w:tcW w:w="820" w:type="dxa"/>
            <w:vAlign w:val="bottom"/>
            <w:gridSpan w:val="4"/>
          </w:tcPr>
          <w:p>
            <w:pPr>
              <w:jc w:val="right"/>
              <w:ind w:right="20"/>
              <w:spacing w:after="0"/>
              <w:rPr>
                <w:sz w:val="20"/>
                <w:szCs w:val="20"/>
                <w:color w:val="auto"/>
              </w:rPr>
            </w:pPr>
            <w:r>
              <w:rPr>
                <w:rFonts w:ascii="Arial" w:cs="Arial" w:eastAsia="Arial" w:hAnsi="Arial"/>
                <w:sz w:val="15"/>
                <w:szCs w:val="15"/>
                <w:color w:val="auto"/>
              </w:rPr>
              <w:t>(26,118)</w:t>
            </w:r>
          </w:p>
        </w:tc>
        <w:tc>
          <w:tcPr>
            <w:tcW w:w="160" w:type="dxa"/>
            <w:vAlign w:val="bottom"/>
          </w:tcPr>
          <w:p>
            <w:pPr>
              <w:spacing w:after="0"/>
              <w:rPr>
                <w:sz w:val="15"/>
                <w:szCs w:val="15"/>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5"/>
                <w:szCs w:val="15"/>
                <w:color w:val="auto"/>
              </w:rPr>
              <w:t>(13,197)</w:t>
            </w:r>
          </w:p>
        </w:tc>
        <w:tc>
          <w:tcPr>
            <w:tcW w:w="1020" w:type="dxa"/>
            <w:vAlign w:val="bottom"/>
          </w:tcPr>
          <w:p>
            <w:pPr>
              <w:spacing w:after="0"/>
              <w:rPr>
                <w:sz w:val="15"/>
                <w:szCs w:val="15"/>
                <w:color w:val="auto"/>
              </w:rPr>
            </w:pPr>
          </w:p>
        </w:tc>
      </w:tr>
      <w:tr>
        <w:trPr>
          <w:trHeight w:val="145"/>
        </w:trPr>
        <w:tc>
          <w:tcPr>
            <w:tcW w:w="1020" w:type="dxa"/>
            <w:vAlign w:val="bottom"/>
          </w:tcPr>
          <w:p>
            <w:pPr>
              <w:spacing w:after="0"/>
              <w:rPr>
                <w:sz w:val="12"/>
                <w:szCs w:val="12"/>
                <w:color w:val="auto"/>
              </w:rPr>
            </w:pPr>
          </w:p>
        </w:tc>
        <w:tc>
          <w:tcPr>
            <w:tcW w:w="5020" w:type="dxa"/>
            <w:vAlign w:val="bottom"/>
            <w:tcBorders>
              <w:top w:val="single" w:sz="8" w:color="CCEEFF"/>
              <w:bottom w:val="single" w:sz="8" w:color="CCEEFF"/>
            </w:tcBorders>
            <w:shd w:val="clear" w:color="auto" w:fill="CCEEFF"/>
          </w:tcPr>
          <w:p>
            <w:pPr>
              <w:spacing w:after="0" w:line="145" w:lineRule="exact"/>
              <w:rPr>
                <w:sz w:val="20"/>
                <w:szCs w:val="20"/>
                <w:color w:val="auto"/>
              </w:rPr>
            </w:pPr>
            <w:r>
              <w:rPr>
                <w:rFonts w:ascii="Arial" w:cs="Arial" w:eastAsia="Arial" w:hAnsi="Arial"/>
                <w:sz w:val="15"/>
                <w:szCs w:val="15"/>
                <w:color w:val="auto"/>
              </w:rPr>
              <w:t>Total Long-term Debt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256,345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5"/>
                <w:szCs w:val="15"/>
                <w:color w:val="auto"/>
                <w:w w:val="88"/>
              </w:rPr>
              <w:t>$ 73,720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Pr>
          <w:p>
            <w:pPr>
              <w:spacing w:after="0"/>
              <w:rPr>
                <w:sz w:val="12"/>
                <w:szCs w:val="12"/>
                <w:color w:val="auto"/>
              </w:rPr>
            </w:pPr>
          </w:p>
        </w:tc>
      </w:tr>
      <w:tr>
        <w:trPr>
          <w:trHeight w:val="496"/>
        </w:trPr>
        <w:tc>
          <w:tcPr>
            <w:tcW w:w="1020" w:type="dxa"/>
            <w:vAlign w:val="bottom"/>
          </w:tcPr>
          <w:p>
            <w:pPr>
              <w:spacing w:after="0"/>
              <w:rPr>
                <w:sz w:val="24"/>
                <w:szCs w:val="24"/>
                <w:color w:val="auto"/>
              </w:rPr>
            </w:pPr>
          </w:p>
        </w:tc>
        <w:tc>
          <w:tcPr>
            <w:tcW w:w="5020" w:type="dxa"/>
            <w:vAlign w:val="bottom"/>
          </w:tcPr>
          <w:p>
            <w:pPr>
              <w:ind w:left="3180"/>
              <w:spacing w:after="0"/>
              <w:rPr>
                <w:sz w:val="20"/>
                <w:szCs w:val="20"/>
                <w:color w:val="auto"/>
              </w:rPr>
            </w:pPr>
            <w:r>
              <w:rPr>
                <w:rFonts w:ascii="Arial" w:cs="Arial" w:eastAsia="Arial" w:hAnsi="Arial"/>
                <w:sz w:val="15"/>
                <w:szCs w:val="15"/>
                <w:color w:val="auto"/>
              </w:rPr>
              <w:t>F-30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-648335</wp:posOffset>
            </wp:positionV>
            <wp:extent cx="4241800"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-4331970</wp:posOffset>
            </wp:positionV>
            <wp:extent cx="3802380"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0238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DEBT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Future maturities of the outstanding Debt are as follows:</w:t>
      </w:r>
    </w:p>
    <w:p>
      <w:pPr>
        <w:spacing w:after="0" w:line="133"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auto"/>
                <w:w w:val="86"/>
              </w:rPr>
              <w:t>Debt Principal</w:t>
            </w:r>
          </w:p>
        </w:tc>
        <w:tc>
          <w:tcPr>
            <w:tcW w:w="12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6"/>
              </w:rPr>
              <w:t>Amortization of Debt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0"/>
        </w:trPr>
        <w:tc>
          <w:tcPr>
            <w:tcW w:w="3180" w:type="dxa"/>
            <w:vAlign w:val="bottom"/>
          </w:tcPr>
          <w:p>
            <w:pPr>
              <w:spacing w:after="0"/>
              <w:rPr>
                <w:sz w:val="20"/>
                <w:szCs w:val="20"/>
                <w:color w:val="auto"/>
              </w:rPr>
            </w:pPr>
            <w:r>
              <w:rPr>
                <w:rFonts w:ascii="Arial" w:cs="Arial" w:eastAsia="Arial" w:hAnsi="Arial"/>
                <w:sz w:val="12"/>
                <w:szCs w:val="12"/>
                <w:b w:val="1"/>
                <w:bCs w:val="1"/>
                <w:color w:val="auto"/>
              </w:rPr>
              <w:t>Year Ending 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4"/>
              </w:rPr>
              <w:t>Payments</w:t>
            </w:r>
          </w:p>
        </w:tc>
        <w:tc>
          <w:tcPr>
            <w:tcW w:w="12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1"/>
              </w:rPr>
              <w:t>Issuance Costs</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Net Debt</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26,118</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28,846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(752)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28,094</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43,141</w:t>
            </w:r>
          </w:p>
        </w:tc>
      </w:tr>
      <w:tr>
        <w:trPr>
          <w:trHeight w:val="209"/>
        </w:trPr>
        <w:tc>
          <w:tcPr>
            <w:tcW w:w="3180" w:type="dxa"/>
            <w:vAlign w:val="bottom"/>
          </w:tcPr>
          <w:p>
            <w:pPr>
              <w:spacing w:after="0"/>
              <w:rPr>
                <w:sz w:val="20"/>
                <w:szCs w:val="20"/>
                <w:color w:val="auto"/>
              </w:rPr>
            </w:pPr>
            <w:r>
              <w:rPr>
                <w:rFonts w:ascii="Arial" w:cs="Arial" w:eastAsia="Arial" w:hAnsi="Arial"/>
                <w:sz w:val="15"/>
                <w:szCs w:val="15"/>
                <w:color w:val="auto"/>
              </w:rPr>
              <w:t>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(554)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67,105</w:t>
            </w: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64,468</w:t>
            </w:r>
          </w:p>
        </w:tc>
      </w:tr>
      <w:tr>
        <w:trPr>
          <w:trHeight w:val="214"/>
        </w:trPr>
        <w:tc>
          <w:tcPr>
            <w:tcW w:w="3180" w:type="dxa"/>
            <w:vAlign w:val="bottom"/>
          </w:tcPr>
          <w:p>
            <w:pPr>
              <w:spacing w:after="0"/>
              <w:rPr>
                <w:sz w:val="20"/>
                <w:szCs w:val="20"/>
                <w:color w:val="auto"/>
              </w:rPr>
            </w:pPr>
            <w:r>
              <w:rPr>
                <w:rFonts w:ascii="Arial" w:cs="Arial" w:eastAsia="Arial" w:hAnsi="Arial"/>
                <w:sz w:val="15"/>
                <w:szCs w:val="15"/>
                <w:color w:val="auto"/>
              </w:rPr>
              <w:t>Thereafter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53,739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5"/>
                <w:szCs w:val="15"/>
                <w:color w:val="auto"/>
              </w:rPr>
              <w:t>(202)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53,537</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285,801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88"/>
              </w:rPr>
              <w:t>(3,338)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282,463</w:t>
            </w:r>
          </w:p>
        </w:tc>
      </w:tr>
      <w:tr>
        <w:trPr>
          <w:trHeight w:val="20"/>
        </w:trPr>
        <w:tc>
          <w:tcPr>
            <w:tcW w:w="3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-153035</wp:posOffset>
            </wp:positionV>
            <wp:extent cx="31369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1369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-153035</wp:posOffset>
            </wp:positionV>
            <wp:extent cx="2901950"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90195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-962025</wp:posOffset>
            </wp:positionV>
            <wp:extent cx="111760"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-962025</wp:posOffset>
            </wp:positionV>
            <wp:extent cx="2707005"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707005" cy="6985"/>
                    </a:xfrm>
                    <a:prstGeom prst="rect">
                      <a:avLst/>
                    </a:prstGeom>
                    <a:noFill/>
                  </pic:spPr>
                </pic:pic>
              </a:graphicData>
            </a:graphic>
          </wp:anchor>
        </w:drawing>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table below presents the Company’s debt measured at fair value:</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December 31, 2020</w:t>
            </w: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3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05"/>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360" w:type="dxa"/>
            <w:vAlign w:val="bottom"/>
            <w:gridSpan w:val="2"/>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$285,801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center"/>
              <w:ind w:left="172"/>
              <w:spacing w:after="0"/>
              <w:rPr>
                <w:sz w:val="20"/>
                <w:szCs w:val="20"/>
                <w:color w:val="auto"/>
              </w:rPr>
            </w:pPr>
            <w:r>
              <w:rPr>
                <w:rFonts w:ascii="Arial" w:cs="Arial" w:eastAsia="Arial" w:hAnsi="Arial"/>
                <w:sz w:val="15"/>
                <w:szCs w:val="15"/>
                <w:color w:val="auto"/>
                <w:w w:val="88"/>
              </w:rPr>
              <w:t>$89,905</w:t>
            </w:r>
          </w:p>
        </w:tc>
        <w:tc>
          <w:tcPr>
            <w:tcW w:w="220" w:type="dxa"/>
            <w:vAlign w:val="bottom"/>
            <w:shd w:val="clear" w:color="auto" w:fill="CCEEFF"/>
          </w:tcPr>
          <w:p>
            <w:pPr>
              <w:spacing w:after="0"/>
              <w:rPr>
                <w:sz w:val="17"/>
                <w:szCs w:val="17"/>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1"/>
        </w:trPr>
        <w:tc>
          <w:tcPr>
            <w:tcW w:w="3840" w:type="dxa"/>
            <w:vAlign w:val="bottom"/>
          </w:tcPr>
          <w:p>
            <w:pPr>
              <w:spacing w:after="0"/>
              <w:rPr>
                <w:sz w:val="20"/>
                <w:szCs w:val="20"/>
                <w:color w:val="auto"/>
              </w:rPr>
            </w:pPr>
            <w:r>
              <w:rPr>
                <w:rFonts w:ascii="Arial" w:cs="Arial" w:eastAsia="Arial" w:hAnsi="Arial"/>
                <w:sz w:val="15"/>
                <w:szCs w:val="15"/>
                <w:color w:val="auto"/>
              </w:rPr>
              <w:t>Fair Value</w:t>
            </w:r>
          </w:p>
        </w:tc>
        <w:tc>
          <w:tcPr>
            <w:tcW w:w="360" w:type="dxa"/>
            <w:vAlign w:val="bottom"/>
            <w:gridSpan w:val="2"/>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5"/>
                <w:szCs w:val="15"/>
                <w:color w:val="auto"/>
                <w:w w:val="89"/>
              </w:rPr>
              <w:t>$279,119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left="172"/>
              <w:spacing w:after="0"/>
              <w:rPr>
                <w:sz w:val="20"/>
                <w:szCs w:val="20"/>
                <w:color w:val="auto"/>
              </w:rPr>
            </w:pPr>
            <w:r>
              <w:rPr>
                <w:rFonts w:ascii="Arial" w:cs="Arial" w:eastAsia="Arial" w:hAnsi="Arial"/>
                <w:sz w:val="15"/>
                <w:szCs w:val="15"/>
                <w:color w:val="auto"/>
                <w:w w:val="88"/>
              </w:rPr>
              <w:t>$96,342</w:t>
            </w:r>
          </w:p>
        </w:tc>
        <w:tc>
          <w:tcPr>
            <w:tcW w:w="22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-299085</wp:posOffset>
            </wp:positionV>
            <wp:extent cx="3265170"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265170" cy="6985"/>
                    </a:xfrm>
                    <a:prstGeom prst="rect">
                      <a:avLst/>
                    </a:prstGeom>
                    <a:noFill/>
                  </pic:spPr>
                </pic:pic>
              </a:graphicData>
            </a:graphic>
          </wp:anchor>
        </w:drawing>
      </w:r>
    </w:p>
    <w:p>
      <w:pPr>
        <w:spacing w:after="0" w:line="167"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fair value of the Company’s debt was based on the discounted amount of future cash flows using the Company’s end-of-year incremental borrowing rate for similar obligations. The estimates were primarily based on Level 3 inputs.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w:t>
      </w:r>
    </w:p>
    <w:p>
      <w:pPr>
        <w:spacing w:after="0" w:line="128"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The Company adopted ASC 842 using the modified retrospective transition approach with an effective date of January 1, 2019. The Company elected the package of practical expedients, which allows the Company to carryforward the historical assessment of the following: (1) whether the Company’s contracts are or contain leases, (2) lease classification, and (3) initial direct costs. The Company also elected to combine lease and non-lease components. Leases with an initial term of 12 months or less will be recognized in the Consolidated Statements of Operations on a straight-line basis over the lease term. These leases primarily relate to seasonal aircraft rentals.</w:t>
      </w:r>
    </w:p>
    <w:p>
      <w:pPr>
        <w:spacing w:after="0" w:line="98"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 classifies its Operating Leases into three categories: Aircraft, Real Estate, and Other. Aircraft leases consist of aircrafts and aircraft equipment under operating lease agreements. As of December 31, 2020, the Company had 17 leases for aircraft, of which five were under finance leases and 12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106" w:lineRule="exact"/>
        <w:rPr>
          <w:sz w:val="20"/>
          <w:szCs w:val="20"/>
          <w:color w:val="auto"/>
        </w:rPr>
      </w:pPr>
    </w:p>
    <w:p>
      <w:pPr>
        <w:ind w:left="1160" w:right="1339" w:firstLine="293"/>
        <w:spacing w:after="0" w:line="249" w:lineRule="auto"/>
        <w:rPr>
          <w:sz w:val="20"/>
          <w:szCs w:val="20"/>
          <w:color w:val="auto"/>
        </w:rPr>
      </w:pPr>
      <w:r>
        <w:rPr>
          <w:rFonts w:ascii="Arial" w:cs="Arial" w:eastAsia="Arial" w:hAnsi="Arial"/>
          <w:sz w:val="15"/>
          <w:szCs w:val="15"/>
          <w:color w:val="auto"/>
        </w:rPr>
        <w:t>Our fleet of 12 freighters is subleased directly from Amazon and we operate them pursuant to the Air Transportation Services Agreement (“ATSA”). Based upon review of the ATSA, the sublease arrangement does not qualify as a lease under ASC 842, Leases, because we do not control the use of the aircraft. As such, no right-of-use asset and lease liability is recognized in our financial statements for the Amazon arrangement.</w:t>
      </w:r>
    </w:p>
    <w:p>
      <w:pPr>
        <w:spacing w:after="0" w:line="105" w:lineRule="exact"/>
        <w:rPr>
          <w:sz w:val="20"/>
          <w:szCs w:val="20"/>
          <w:color w:val="auto"/>
        </w:rPr>
      </w:pPr>
    </w:p>
    <w:p>
      <w:pPr>
        <w:ind w:left="1160" w:right="1259" w:firstLine="293"/>
        <w:spacing w:after="0" w:line="302" w:lineRule="auto"/>
        <w:rPr>
          <w:sz w:val="20"/>
          <w:szCs w:val="20"/>
          <w:color w:val="auto"/>
        </w:rPr>
      </w:pPr>
      <w:r>
        <w:rPr>
          <w:rFonts w:ascii="Arial" w:cs="Arial" w:eastAsia="Arial" w:hAnsi="Arial"/>
          <w:sz w:val="13"/>
          <w:szCs w:val="13"/>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539" w:firstLine="293"/>
        <w:spacing w:after="0" w:line="264" w:lineRule="auto"/>
        <w:rPr>
          <w:sz w:val="20"/>
          <w:szCs w:val="20"/>
          <w:color w:val="auto"/>
        </w:rPr>
      </w:pPr>
      <w:r>
        <w:rPr>
          <w:rFonts w:ascii="Arial" w:cs="Arial" w:eastAsia="Arial" w:hAnsi="Arial"/>
          <w:sz w:val="15"/>
          <w:szCs w:val="15"/>
          <w:color w:val="auto"/>
        </w:rPr>
        <w:t>The following table summarizes the lease-related assets and liabilities recorded on the Company’s Consolidated Balance Sheets: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2"/>
          </w:tcPr>
          <w:p>
            <w:pPr>
              <w:ind w:left="880"/>
              <w:spacing w:after="0"/>
              <w:rPr>
                <w:sz w:val="20"/>
                <w:szCs w:val="20"/>
                <w:color w:val="auto"/>
              </w:rPr>
            </w:pPr>
            <w:r>
              <w:rPr>
                <w:rFonts w:ascii="Arial" w:cs="Arial" w:eastAsia="Arial" w:hAnsi="Arial"/>
                <w:sz w:val="12"/>
                <w:szCs w:val="12"/>
                <w:b w:val="1"/>
                <w:bCs w:val="1"/>
                <w:color w:val="auto"/>
              </w:rPr>
              <w:t>Classification</w:t>
            </w: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960" w:type="dxa"/>
            <w:vAlign w:val="bottom"/>
            <w:gridSpan w:val="4"/>
          </w:tcPr>
          <w:p>
            <w:pPr>
              <w:ind w:left="40"/>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1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1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97"/>
        </w:trPr>
        <w:tc>
          <w:tcPr>
            <w:tcW w:w="1860" w:type="dxa"/>
            <w:vAlign w:val="bottom"/>
          </w:tcPr>
          <w:p>
            <w:pPr>
              <w:ind w:left="160"/>
              <w:spacing w:after="0"/>
              <w:rPr>
                <w:sz w:val="20"/>
                <w:szCs w:val="20"/>
                <w:color w:val="auto"/>
              </w:rPr>
            </w:pPr>
            <w:r>
              <w:rPr>
                <w:rFonts w:ascii="Arial" w:cs="Arial" w:eastAsia="Arial" w:hAnsi="Arial"/>
                <w:sz w:val="15"/>
                <w:szCs w:val="15"/>
                <w:color w:val="auto"/>
                <w:w w:val="98"/>
              </w:rPr>
              <w:t>Finance lease assets, net</w:t>
            </w:r>
          </w:p>
        </w:tc>
        <w:tc>
          <w:tcPr>
            <w:tcW w:w="16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Property and Equipment, net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104,815</w:t>
            </w: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194,328</w:t>
            </w:r>
          </w:p>
        </w:tc>
        <w:tc>
          <w:tcPr>
            <w:tcW w:w="200" w:type="dxa"/>
            <w:vAlign w:val="bottom"/>
          </w:tcPr>
          <w:p>
            <w:pPr>
              <w:spacing w:after="0"/>
              <w:rPr>
                <w:sz w:val="24"/>
                <w:szCs w:val="24"/>
                <w:color w:val="auto"/>
              </w:rPr>
            </w:pPr>
          </w:p>
        </w:tc>
      </w:tr>
      <w:tr>
        <w:trPr>
          <w:trHeight w:val="214"/>
        </w:trPr>
        <w:tc>
          <w:tcPr>
            <w:tcW w:w="1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Operating lease assets</w:t>
            </w:r>
          </w:p>
        </w:tc>
        <w:tc>
          <w:tcPr>
            <w:tcW w:w="16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121,269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147,148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11"/>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assets</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226,084</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341,476</w:t>
            </w:r>
          </w:p>
        </w:tc>
        <w:tc>
          <w:tcPr>
            <w:tcW w:w="200" w:type="dxa"/>
            <w:vAlign w:val="bottom"/>
          </w:tcPr>
          <w:p>
            <w:pPr>
              <w:spacing w:after="0"/>
              <w:rPr>
                <w:sz w:val="18"/>
                <w:szCs w:val="18"/>
                <w:color w:val="auto"/>
              </w:rPr>
            </w:pPr>
          </w:p>
        </w:tc>
      </w:tr>
      <w:tr>
        <w:trPr>
          <w:trHeight w:val="293"/>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160" w:type="dxa"/>
            <w:vAlign w:val="bottom"/>
            <w:tcBorders>
              <w:top w:val="single" w:sz="8" w:color="CCEEFF"/>
            </w:tcBorders>
            <w:shd w:val="clear" w:color="auto" w:fill="CCEEFF"/>
          </w:tcPr>
          <w:p>
            <w:pPr>
              <w:spacing w:after="0"/>
              <w:rPr>
                <w:sz w:val="24"/>
                <w:szCs w:val="24"/>
                <w:color w:val="auto"/>
              </w:rPr>
            </w:pPr>
          </w:p>
        </w:tc>
        <w:tc>
          <w:tcPr>
            <w:tcW w:w="24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r>
      <w:tr>
        <w:trPr>
          <w:trHeight w:val="209"/>
        </w:trPr>
        <w:tc>
          <w:tcPr>
            <w:tcW w:w="1860" w:type="dxa"/>
            <w:vAlign w:val="bottom"/>
          </w:tcPr>
          <w:p>
            <w:pPr>
              <w:spacing w:after="0"/>
              <w:rPr>
                <w:sz w:val="20"/>
                <w:szCs w:val="20"/>
                <w:color w:val="auto"/>
              </w:rPr>
            </w:pPr>
            <w:r>
              <w:rPr>
                <w:rFonts w:ascii="Arial" w:cs="Arial" w:eastAsia="Arial" w:hAnsi="Arial"/>
                <w:sz w:val="15"/>
                <w:szCs w:val="15"/>
                <w:color w:val="auto"/>
              </w:rPr>
              <w:t>Current:</w:t>
            </w:r>
          </w:p>
        </w:tc>
        <w:tc>
          <w:tcPr>
            <w:tcW w:w="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Finance Lease Obligations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11,460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92,318</w:t>
            </w:r>
          </w:p>
        </w:tc>
        <w:tc>
          <w:tcPr>
            <w:tcW w:w="200" w:type="dxa"/>
            <w:vAlign w:val="bottom"/>
            <w:shd w:val="clear" w:color="auto" w:fill="CCEEFF"/>
          </w:tcPr>
          <w:p>
            <w:pPr>
              <w:spacing w:after="0"/>
              <w:rPr>
                <w:sz w:val="18"/>
                <w:szCs w:val="18"/>
                <w:color w:val="auto"/>
              </w:rPr>
            </w:pPr>
          </w:p>
        </w:tc>
      </w:tr>
      <w:tr>
        <w:trPr>
          <w:trHeight w:val="187"/>
        </w:trPr>
        <w:tc>
          <w:tcPr>
            <w:tcW w:w="1860" w:type="dxa"/>
            <w:vAlign w:val="bottom"/>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Short-term Operating Lease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Obligations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34,492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30,611</w:t>
            </w:r>
          </w:p>
        </w:tc>
        <w:tc>
          <w:tcPr>
            <w:tcW w:w="200" w:type="dxa"/>
            <w:vAlign w:val="bottom"/>
          </w:tcPr>
          <w:p>
            <w:pPr>
              <w:spacing w:after="0"/>
              <w:rPr>
                <w:sz w:val="16"/>
                <w:szCs w:val="16"/>
                <w:color w:val="auto"/>
              </w:rPr>
            </w:pPr>
          </w:p>
        </w:tc>
      </w:tr>
      <w:tr>
        <w:trPr>
          <w:trHeight w:val="214"/>
        </w:trPr>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Long-term:</w:t>
            </w: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1860" w:type="dxa"/>
            <w:vAlign w:val="bottom"/>
          </w:tcPr>
          <w:p>
            <w:pPr>
              <w:ind w:left="160"/>
              <w:spacing w:after="0"/>
              <w:rPr>
                <w:sz w:val="20"/>
                <w:szCs w:val="20"/>
                <w:color w:val="auto"/>
              </w:rPr>
            </w:pPr>
            <w:r>
              <w:rPr>
                <w:rFonts w:ascii="Arial" w:cs="Arial" w:eastAsia="Arial" w:hAnsi="Arial"/>
                <w:sz w:val="15"/>
                <w:szCs w:val="15"/>
                <w:color w:val="auto"/>
              </w:rPr>
              <w:t>Finance lease liabilities</w:t>
            </w:r>
          </w:p>
        </w:tc>
        <w:tc>
          <w:tcPr>
            <w:tcW w:w="1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5"/>
                <w:szCs w:val="15"/>
                <w:color w:val="auto"/>
              </w:rPr>
              <w:t>Long-term Finance Lease Obligations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95,710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105,037</w:t>
            </w:r>
          </w:p>
        </w:tc>
        <w:tc>
          <w:tcPr>
            <w:tcW w:w="200" w:type="dxa"/>
            <w:vAlign w:val="bottom"/>
          </w:tcPr>
          <w:p>
            <w:pPr>
              <w:spacing w:after="0"/>
              <w:rPr>
                <w:sz w:val="18"/>
                <w:szCs w:val="18"/>
                <w:color w:val="auto"/>
              </w:rPr>
            </w:pPr>
          </w:p>
        </w:tc>
      </w:tr>
      <w:tr>
        <w:trPr>
          <w:trHeight w:val="187"/>
        </w:trPr>
        <w:tc>
          <w:tcPr>
            <w:tcW w:w="18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Long-term Operating Lease</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8"/>
        </w:trPr>
        <w:tc>
          <w:tcPr>
            <w:tcW w:w="1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Obligations</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84"/>
              </w:rPr>
              <w:t>112,707</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141,879</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5"/>
        </w:trPr>
        <w:tc>
          <w:tcPr>
            <w:tcW w:w="1860" w:type="dxa"/>
            <w:vAlign w:val="bottom"/>
          </w:tcPr>
          <w:p>
            <w:pPr>
              <w:ind w:left="300"/>
              <w:spacing w:after="0"/>
              <w:rPr>
                <w:sz w:val="20"/>
                <w:szCs w:val="20"/>
                <w:color w:val="auto"/>
              </w:rPr>
            </w:pPr>
            <w:r>
              <w:rPr>
                <w:rFonts w:ascii="Arial" w:cs="Arial" w:eastAsia="Arial" w:hAnsi="Arial"/>
                <w:sz w:val="15"/>
                <w:szCs w:val="15"/>
                <w:color w:val="auto"/>
              </w:rPr>
              <w:t>Total lease liabilities</w:t>
            </w:r>
          </w:p>
        </w:tc>
        <w:tc>
          <w:tcPr>
            <w:tcW w:w="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84"/>
              </w:rPr>
              <w:t>254,369</w:t>
            </w:r>
          </w:p>
        </w:tc>
        <w:tc>
          <w:tcPr>
            <w:tcW w:w="1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369,845</w:t>
            </w:r>
          </w:p>
        </w:tc>
        <w:tc>
          <w:tcPr>
            <w:tcW w:w="200" w:type="dxa"/>
            <w:vAlign w:val="bottom"/>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-1394460</wp:posOffset>
            </wp:positionV>
            <wp:extent cx="4241800"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-2008505</wp:posOffset>
            </wp:positionV>
            <wp:extent cx="11176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-2008505</wp:posOffset>
            </wp:positionV>
            <wp:extent cx="111760"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-2008505</wp:posOffset>
            </wp:positionV>
            <wp:extent cx="1283970"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83970" cy="6985"/>
                    </a:xfrm>
                    <a:prstGeom prst="rect">
                      <a:avLst/>
                    </a:prstGeom>
                    <a:noFill/>
                  </pic:spPr>
                </pic:pic>
              </a:graphicData>
            </a:graphic>
          </wp:anchor>
        </w:drawing>
      </w:r>
    </w:p>
    <w:p>
      <w:pPr>
        <w:spacing w:after="0" w:line="167" w:lineRule="exact"/>
        <w:rPr>
          <w:sz w:val="20"/>
          <w:szCs w:val="20"/>
          <w:color w:val="auto"/>
        </w:rPr>
      </w:pPr>
    </w:p>
    <w:p>
      <w:pPr>
        <w:ind w:left="1160" w:right="1239" w:firstLine="293"/>
        <w:spacing w:after="0" w:line="271" w:lineRule="auto"/>
        <w:rPr>
          <w:sz w:val="20"/>
          <w:szCs w:val="20"/>
          <w:color w:val="auto"/>
        </w:rPr>
      </w:pPr>
      <w:r>
        <w:rPr>
          <w:rFonts w:ascii="Arial" w:cs="Arial" w:eastAsia="Arial" w:hAnsi="Arial"/>
          <w:sz w:val="14"/>
          <w:szCs w:val="14"/>
          <w:color w:val="auto"/>
        </w:rPr>
        <w:t>The Company uses the rate implicit in the lease to discount lease payments to present value, however, the leases generally do not provide a readily determinable implicit rate. Therefore, the Company estimates the incremental borrowing rate to discount lease payments based on information available initially at adoption and at lease commencement going forward, taking into consideration recent debt issuances as well as publicly available data for instruments with similar characteristics.</w:t>
      </w:r>
    </w:p>
    <w:p>
      <w:pPr>
        <w:spacing w:after="0" w:line="80" w:lineRule="exact"/>
        <w:rPr>
          <w:sz w:val="20"/>
          <w:szCs w:val="20"/>
          <w:color w:val="auto"/>
        </w:rPr>
      </w:pPr>
    </w:p>
    <w:p>
      <w:pPr>
        <w:ind w:left="1160" w:right="1259" w:firstLine="293"/>
        <w:spacing w:after="0" w:line="249" w:lineRule="auto"/>
        <w:rPr>
          <w:sz w:val="20"/>
          <w:szCs w:val="20"/>
          <w:color w:val="auto"/>
        </w:rPr>
      </w:pPr>
      <w:r>
        <w:rPr>
          <w:rFonts w:ascii="Arial" w:cs="Arial" w:eastAsia="Arial" w:hAnsi="Arial"/>
          <w:sz w:val="15"/>
          <w:szCs w:val="15"/>
          <w:color w:val="auto"/>
        </w:rPr>
        <w:t>The Company’s lease agreements do not contain any residual value guarantees. SCA reviewed its operating leases for extension options that may be reasonably certain to be exercised and then would become part of the right-of-use assets and lease liabilities. As of December 31, 2020, the Company did not have any material operating leases with extension or termination options which are reasonably certain to be exercised.</w:t>
      </w:r>
    </w:p>
    <w:p>
      <w:pPr>
        <w:spacing w:after="0" w:line="105" w:lineRule="exact"/>
        <w:rPr>
          <w:sz w:val="20"/>
          <w:szCs w:val="20"/>
          <w:color w:val="auto"/>
        </w:rPr>
      </w:pPr>
    </w:p>
    <w:p>
      <w:pPr>
        <w:ind w:left="1160" w:right="1499" w:firstLine="293"/>
        <w:spacing w:after="0" w:line="274" w:lineRule="auto"/>
        <w:rPr>
          <w:sz w:val="20"/>
          <w:szCs w:val="20"/>
          <w:color w:val="auto"/>
        </w:rPr>
      </w:pPr>
      <w:r>
        <w:rPr>
          <w:rFonts w:ascii="Arial" w:cs="Arial" w:eastAsia="Arial" w:hAnsi="Arial"/>
          <w:sz w:val="14"/>
          <w:szCs w:val="14"/>
          <w:color w:val="auto"/>
        </w:rPr>
        <w:t>During the year ended December 31, 2020 the Company negotiated rent payment deferrals with a majority of its aircraft lessors. The amount deferred as of December 31, 2020 was $7,569, consisting of $2,133 under finance leases and $5,436 under operating leases. These deferrals are classified within the current portion of the respective lease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following table provides details of the Company’s obligations under finance and operating leases as of December 31, 2020:</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79"/>
              </w:rPr>
              <w:t>Finance</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w w:val="87"/>
              </w:rPr>
              <w:t>Operating Leases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3"/>
              </w:rPr>
              <w:t>Leases</w:t>
            </w:r>
          </w:p>
        </w:tc>
        <w:tc>
          <w:tcPr>
            <w:tcW w:w="8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8"/>
              </w:rPr>
              <w:t>Aircraft</w:t>
            </w:r>
          </w:p>
        </w:tc>
        <w:tc>
          <w:tcPr>
            <w:tcW w:w="7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77"/>
              </w:rPr>
              <w:t>Real Estate</w:t>
            </w:r>
          </w:p>
        </w:tc>
        <w:tc>
          <w:tcPr>
            <w:tcW w:w="6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
        </w:trPr>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17,572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38,076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2,218</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$ 1,675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41,969</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32,842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1,962</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1,561</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36,365</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32,592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34,717</w:t>
            </w:r>
          </w:p>
        </w:tc>
        <w:tc>
          <w:tcPr>
            <w:tcW w:w="60" w:type="dxa"/>
            <w:vAlign w:val="bottom"/>
          </w:tcPr>
          <w:p>
            <w:pPr>
              <w:spacing w:after="0"/>
              <w:rPr>
                <w:sz w:val="18"/>
                <w:szCs w:val="18"/>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25,177</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24,476</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25,942</w:t>
            </w:r>
          </w:p>
        </w:tc>
        <w:tc>
          <w:tcPr>
            <w:tcW w:w="60" w:type="dxa"/>
            <w:vAlign w:val="bottom"/>
          </w:tcPr>
          <w:p>
            <w:pPr>
              <w:spacing w:after="0"/>
              <w:rPr>
                <w:sz w:val="18"/>
                <w:szCs w:val="18"/>
                <w:color w:val="auto"/>
              </w:rPr>
            </w:pPr>
          </w:p>
        </w:tc>
      </w:tr>
      <w:tr>
        <w:trPr>
          <w:trHeight w:val="209"/>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2025 . . .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12,489</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9,630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11,096</w:t>
            </w:r>
          </w:p>
        </w:tc>
        <w:tc>
          <w:tcPr>
            <w:tcW w:w="60" w:type="dxa"/>
            <w:vAlign w:val="bottom"/>
          </w:tcPr>
          <w:p>
            <w:pPr>
              <w:spacing w:after="0"/>
              <w:rPr>
                <w:sz w:val="18"/>
                <w:szCs w:val="18"/>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Thereafter</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52,949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8,222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5,071</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13,293</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139,107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145,838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13,649</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3,895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163,382</w:t>
            </w:r>
          </w:p>
        </w:tc>
        <w:tc>
          <w:tcPr>
            <w:tcW w:w="60" w:type="dxa"/>
            <w:vAlign w:val="bottom"/>
          </w:tcPr>
          <w:p>
            <w:pPr>
              <w:spacing w:after="0"/>
              <w:rPr>
                <w:sz w:val="17"/>
                <w:szCs w:val="17"/>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5"/>
                <w:szCs w:val="15"/>
                <w:color w:val="auto"/>
              </w:rPr>
              <w:t>Less: Amount Representing Interest</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(31,937)</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w w:val="93"/>
              </w:rPr>
              <w:t>(18,034)</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(2,662)</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(265)</w:t>
            </w: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w w:val="93"/>
              </w:rPr>
              <w:t>(20,961)</w:t>
            </w: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Present Value of Minimum Lease Payments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107,170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127,804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10,987</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3,630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142,421</w:t>
            </w:r>
          </w:p>
        </w:tc>
        <w:tc>
          <w:tcPr>
            <w:tcW w:w="60" w:type="dxa"/>
            <w:vAlign w:val="bottom"/>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5"/>
                <w:szCs w:val="15"/>
                <w:color w:val="auto"/>
              </w:rPr>
              <w:t>Plus: Tennant Improvements</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4,778</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4,778</w:t>
            </w:r>
          </w:p>
        </w:tc>
        <w:tc>
          <w:tcPr>
            <w:tcW w:w="60" w:type="dxa"/>
            <w:vAlign w:val="bottom"/>
          </w:tcPr>
          <w:p>
            <w:pPr>
              <w:spacing w:after="0"/>
              <w:rPr>
                <w:sz w:val="18"/>
                <w:szCs w:val="18"/>
                <w:color w:val="auto"/>
              </w:rPr>
            </w:pPr>
          </w:p>
        </w:tc>
      </w:tr>
      <w:tr>
        <w:trPr>
          <w:trHeight w:val="214"/>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Less: Short-term Obligations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(11,460)</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3"/>
              </w:rPr>
              <w:t>(30,880)</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(2,105)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(34,492)</w:t>
            </w:r>
          </w:p>
        </w:tc>
        <w:tc>
          <w:tcPr>
            <w:tcW w:w="60" w:type="dxa"/>
            <w:vAlign w:val="bottom"/>
          </w:tcPr>
          <w:p>
            <w:pPr>
              <w:spacing w:after="0"/>
              <w:rPr>
                <w:sz w:val="18"/>
                <w:szCs w:val="18"/>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3240" w:type="dxa"/>
            <w:vAlign w:val="bottom"/>
          </w:tcPr>
          <w:p>
            <w:pPr>
              <w:spacing w:after="0"/>
              <w:rPr>
                <w:sz w:val="20"/>
                <w:szCs w:val="20"/>
                <w:color w:val="auto"/>
              </w:rPr>
            </w:pPr>
            <w:r>
              <w:rPr>
                <w:rFonts w:ascii="Arial" w:cs="Arial" w:eastAsia="Arial" w:hAnsi="Arial"/>
                <w:sz w:val="15"/>
                <w:szCs w:val="15"/>
                <w:color w:val="auto"/>
              </w:rPr>
              <w:t>Long-term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95,710</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96,924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13,660</w:t>
            </w:r>
          </w:p>
        </w:tc>
        <w:tc>
          <w:tcPr>
            <w:tcW w:w="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87"/>
              </w:rPr>
              <w:t>$ 2,123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112,707</w:t>
            </w:r>
          </w:p>
        </w:tc>
        <w:tc>
          <w:tcPr>
            <w:tcW w:w="6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-571500</wp:posOffset>
            </wp:positionV>
            <wp:extent cx="11874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-571500</wp:posOffset>
            </wp:positionV>
            <wp:extent cx="14668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-571500</wp:posOffset>
            </wp:positionV>
            <wp:extent cx="139700"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-571500</wp:posOffset>
            </wp:positionV>
            <wp:extent cx="252539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-850265</wp:posOffset>
            </wp:positionV>
            <wp:extent cx="118745"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-850265</wp:posOffset>
            </wp:positionV>
            <wp:extent cx="146685"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-850265</wp:posOffset>
            </wp:positionV>
            <wp:extent cx="139700"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-850265</wp:posOffset>
            </wp:positionV>
            <wp:extent cx="2525395"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-1659890</wp:posOffset>
            </wp:positionV>
            <wp:extent cx="111760"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-1659890</wp:posOffset>
            </wp:positionV>
            <wp:extent cx="111760"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-1659890</wp:posOffset>
            </wp:positionV>
            <wp:extent cx="111760"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-1659890</wp:posOffset>
            </wp:positionV>
            <wp:extent cx="111760"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-1659890</wp:posOffset>
            </wp:positionV>
            <wp:extent cx="48895"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following table presents lease costs related to the Company’s Finance and Operating Leases:</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8"/>
              </w:rPr>
              <w:t>Successor</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77"/>
              </w:rPr>
              <w:t>Predecessor</w:t>
            </w: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gridSpan w:val="5"/>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rPr>
              <w:t>Year Ended</w:t>
            </w:r>
          </w:p>
        </w:tc>
        <w:tc>
          <w:tcPr>
            <w:tcW w:w="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3"/>
                <w:szCs w:val="13"/>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132"/>
        </w:trPr>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5"/>
          </w:tcPr>
          <w:p>
            <w:pPr>
              <w:jc w:val="right"/>
              <w:ind w:right="460"/>
              <w:spacing w:after="0" w:line="132" w:lineRule="exact"/>
              <w:rPr>
                <w:sz w:val="20"/>
                <w:szCs w:val="20"/>
                <w:color w:val="auto"/>
              </w:rPr>
            </w:pPr>
            <w:r>
              <w:rPr>
                <w:rFonts w:ascii="Arial" w:cs="Arial" w:eastAsia="Arial" w:hAnsi="Arial"/>
                <w:sz w:val="12"/>
                <w:szCs w:val="12"/>
                <w:b w:val="1"/>
                <w:bCs w:val="1"/>
                <w:color w:val="auto"/>
              </w:rPr>
              <w:t>December 31,</w:t>
            </w:r>
          </w:p>
        </w:tc>
        <w:tc>
          <w:tcPr>
            <w:tcW w:w="920" w:type="dxa"/>
            <w:vAlign w:val="bottom"/>
            <w:tcBorders>
              <w:right w:val="single" w:sz="8" w:color="auto"/>
            </w:tcBorders>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6"/>
              </w:rPr>
              <w:t>April 11, 2018 to</w:t>
            </w:r>
          </w:p>
        </w:tc>
        <w:tc>
          <w:tcPr>
            <w:tcW w:w="80" w:type="dxa"/>
            <w:vAlign w:val="bottom"/>
          </w:tcPr>
          <w:p>
            <w:pPr>
              <w:spacing w:after="0"/>
              <w:rPr>
                <w:sz w:val="11"/>
                <w:szCs w:val="11"/>
                <w:color w:val="auto"/>
              </w:rPr>
            </w:pPr>
          </w:p>
        </w:tc>
        <w:tc>
          <w:tcPr>
            <w:tcW w:w="720" w:type="dxa"/>
            <w:vAlign w:val="bottom"/>
            <w:gridSpan w:val="4"/>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January 1,</w:t>
            </w:r>
          </w:p>
        </w:tc>
        <w:tc>
          <w:tcPr>
            <w:tcW w:w="0" w:type="dxa"/>
            <w:vAlign w:val="bottom"/>
          </w:tcPr>
          <w:p>
            <w:pPr>
              <w:spacing w:after="0"/>
              <w:rPr>
                <w:sz w:val="1"/>
                <w:szCs w:val="1"/>
                <w:color w:val="auto"/>
              </w:rPr>
            </w:pPr>
          </w:p>
        </w:tc>
      </w:tr>
      <w:tr>
        <w:trPr>
          <w:trHeight w:val="55"/>
        </w:trPr>
        <w:tc>
          <w:tcPr>
            <w:tcW w:w="2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Borders>
              <w:right w:val="single" w:sz="8" w:color="auto"/>
            </w:tcBorders>
            <w:gridSpan w:val="5"/>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1"/>
              </w:rPr>
              <w:t>December 31,</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restart"/>
          </w:tcPr>
          <w:p>
            <w:pPr>
              <w:jc w:val="center"/>
              <w:ind w:right="120"/>
              <w:spacing w:after="0" w:line="114" w:lineRule="exact"/>
              <w:rPr>
                <w:sz w:val="20"/>
                <w:szCs w:val="20"/>
                <w:color w:val="auto"/>
              </w:rPr>
            </w:pPr>
            <w:r>
              <w:rPr>
                <w:rFonts w:ascii="Arial" w:cs="Arial" w:eastAsia="Arial" w:hAnsi="Arial"/>
                <w:sz w:val="12"/>
                <w:szCs w:val="12"/>
                <w:b w:val="1"/>
                <w:bCs w:val="1"/>
                <w:color w:val="auto"/>
                <w:w w:val="82"/>
              </w:rPr>
              <w:t>2018 to</w:t>
            </w:r>
          </w:p>
        </w:tc>
        <w:tc>
          <w:tcPr>
            <w:tcW w:w="0" w:type="dxa"/>
            <w:vAlign w:val="bottom"/>
          </w:tcPr>
          <w:p>
            <w:pPr>
              <w:spacing w:after="0"/>
              <w:rPr>
                <w:sz w:val="1"/>
                <w:szCs w:val="1"/>
                <w:color w:val="auto"/>
              </w:rPr>
            </w:pPr>
          </w:p>
        </w:tc>
      </w:tr>
      <w:tr>
        <w:trPr>
          <w:trHeight w:val="39"/>
        </w:trPr>
        <w:tc>
          <w:tcPr>
            <w:tcW w:w="2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Borders>
              <w:right w:val="single" w:sz="8" w:color="auto"/>
            </w:tcBorders>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tcPr>
          <w:p>
            <w:pPr>
              <w:ind w:left="880"/>
              <w:spacing w:after="0"/>
              <w:rPr>
                <w:sz w:val="20"/>
                <w:szCs w:val="20"/>
                <w:color w:val="auto"/>
              </w:rPr>
            </w:pPr>
            <w:r>
              <w:rPr>
                <w:rFonts w:ascii="Arial" w:cs="Arial" w:eastAsia="Arial" w:hAnsi="Arial"/>
                <w:sz w:val="12"/>
                <w:szCs w:val="12"/>
                <w:b w:val="1"/>
                <w:bCs w:val="1"/>
                <w:color w:val="auto"/>
              </w:rPr>
              <w:t>Classification</w:t>
            </w:r>
          </w:p>
        </w:tc>
        <w:tc>
          <w:tcPr>
            <w:tcW w:w="940" w:type="dxa"/>
            <w:vAlign w:val="bottom"/>
            <w:gridSpan w:val="3"/>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90"/>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right="8"/>
              <w:spacing w:after="0"/>
              <w:rPr>
                <w:sz w:val="20"/>
                <w:szCs w:val="20"/>
                <w:color w:val="auto"/>
              </w:rPr>
            </w:pPr>
            <w:r>
              <w:rPr>
                <w:rFonts w:ascii="Arial" w:cs="Arial" w:eastAsia="Arial" w:hAnsi="Arial"/>
                <w:sz w:val="12"/>
                <w:szCs w:val="12"/>
                <w:b w:val="1"/>
                <w:bCs w:val="1"/>
                <w:color w:val="auto"/>
                <w:w w:val="89"/>
              </w:rPr>
              <w:t>2018</w:t>
            </w:r>
          </w:p>
        </w:tc>
        <w:tc>
          <w:tcPr>
            <w:tcW w:w="1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April 10, 2018</w:t>
            </w:r>
          </w:p>
        </w:tc>
        <w:tc>
          <w:tcPr>
            <w:tcW w:w="0" w:type="dxa"/>
            <w:vAlign w:val="bottom"/>
          </w:tcPr>
          <w:p>
            <w:pPr>
              <w:spacing w:after="0"/>
              <w:rPr>
                <w:sz w:val="1"/>
                <w:szCs w:val="1"/>
                <w:color w:val="auto"/>
              </w:rPr>
            </w:pPr>
          </w:p>
        </w:tc>
      </w:tr>
      <w:tr>
        <w:trPr>
          <w:trHeight w:val="21"/>
        </w:trPr>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Finance lease cost</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40"/>
              <w:spacing w:after="0"/>
              <w:rPr>
                <w:sz w:val="20"/>
                <w:szCs w:val="20"/>
                <w:color w:val="auto"/>
              </w:rPr>
            </w:pPr>
            <w:r>
              <w:rPr>
                <w:rFonts w:ascii="Arial" w:cs="Arial" w:eastAsia="Arial" w:hAnsi="Arial"/>
                <w:sz w:val="15"/>
                <w:szCs w:val="15"/>
                <w:color w:val="auto"/>
                <w:w w:val="94"/>
              </w:rPr>
              <w:t>Amortization of leased assets</w:t>
            </w:r>
          </w:p>
        </w:tc>
        <w:tc>
          <w:tcPr>
            <w:tcW w:w="1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$11,948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13,104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4,475</w:t>
            </w:r>
          </w:p>
        </w:tc>
        <w:tc>
          <w:tcPr>
            <w:tcW w:w="100" w:type="dxa"/>
            <w:vAlign w:val="bottom"/>
            <w:tcBorders>
              <w:right w:val="single" w:sz="8" w:color="auto"/>
            </w:tcBorders>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on lease</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liabilities</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8,659</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10,741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4,754</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293</w:t>
            </w: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5"/>
                <w:szCs w:val="15"/>
                <w:b w:val="1"/>
                <w:bCs w:val="1"/>
                <w:color w:val="auto"/>
              </w:rPr>
              <w:t>Operating lease cost</w:t>
            </w: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w:t>
            </w: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20" w:type="dxa"/>
            <w:vAlign w:val="bottom"/>
          </w:tcPr>
          <w:p>
            <w:pPr>
              <w:ind w:left="140"/>
              <w:spacing w:after="0"/>
              <w:rPr>
                <w:sz w:val="20"/>
                <w:szCs w:val="20"/>
                <w:color w:val="auto"/>
              </w:rPr>
            </w:pPr>
            <w:r>
              <w:rPr>
                <w:rFonts w:ascii="Arial" w:cs="Arial" w:eastAsia="Arial" w:hAnsi="Arial"/>
                <w:sz w:val="15"/>
                <w:szCs w:val="15"/>
                <w:color w:val="auto"/>
              </w:rPr>
              <w:t>asset—Aircraft</w:t>
            </w:r>
          </w:p>
        </w:tc>
        <w:tc>
          <w:tcPr>
            <w:tcW w:w="160" w:type="dxa"/>
            <w:vAlign w:val="bottom"/>
          </w:tcPr>
          <w:p>
            <w:pPr>
              <w:spacing w:after="0"/>
              <w:rPr>
                <w:sz w:val="18"/>
                <w:szCs w:val="18"/>
                <w:color w:val="auto"/>
              </w:rPr>
            </w:pPr>
          </w:p>
        </w:tc>
        <w:tc>
          <w:tcPr>
            <w:tcW w:w="2160" w:type="dxa"/>
            <w:vAlign w:val="bottom"/>
          </w:tcPr>
          <w:p>
            <w:pPr>
              <w:spacing w:after="0" w:line="209"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30,717</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91"/>
              </w:rPr>
              <w:t>40,043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w w:val="82"/>
              </w:rPr>
              <w:t>33,315</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2"/>
              </w:rPr>
              <w:t>16,177</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Included in ROU asset—</w:t>
            </w:r>
          </w:p>
        </w:tc>
        <w:tc>
          <w:tcPr>
            <w:tcW w:w="1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Ground Handling, Landing Fees</w:t>
            </w:r>
          </w:p>
        </w:tc>
        <w:tc>
          <w:tcPr>
            <w:tcW w:w="1120" w:type="dxa"/>
            <w:vAlign w:val="bottom"/>
            <w:tcBorders>
              <w:right w:val="single" w:sz="8" w:color="CCEEFF"/>
            </w:tcBorders>
            <w:gridSpan w:val="4"/>
            <w:shd w:val="clear" w:color="auto" w:fill="CCEEFF"/>
          </w:tcPr>
          <w:p>
            <w:pPr>
              <w:jc w:val="right"/>
              <w:ind w:right="860"/>
              <w:spacing w:after="0"/>
              <w:rPr>
                <w:sz w:val="20"/>
                <w:szCs w:val="20"/>
                <w:color w:val="auto"/>
              </w:rPr>
            </w:pPr>
            <w:r>
              <w:rPr>
                <w:rFonts w:ascii="Arial" w:cs="Arial" w:eastAsia="Arial" w:hAnsi="Arial"/>
                <w:sz w:val="15"/>
                <w:szCs w:val="15"/>
                <w:color w:val="auto"/>
                <w:w w:val="95"/>
              </w:rPr>
              <w:t>and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Airport Rent &amp; Other Operating</w:t>
            </w:r>
          </w:p>
        </w:tc>
        <w:tc>
          <w:tcPr>
            <w:tcW w:w="11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4,872</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5,415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3,832</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1,648</w:t>
            </w:r>
          </w:p>
        </w:tc>
        <w:tc>
          <w:tcPr>
            <w:tcW w:w="0" w:type="dxa"/>
            <w:vAlign w:val="bottom"/>
          </w:tcPr>
          <w:p>
            <w:pPr>
              <w:spacing w:after="0"/>
              <w:rPr>
                <w:sz w:val="1"/>
                <w:szCs w:val="1"/>
                <w:color w:val="auto"/>
              </w:rPr>
            </w:pPr>
          </w:p>
        </w:tc>
      </w:tr>
      <w:tr>
        <w:trPr>
          <w:trHeight w:val="209"/>
        </w:trPr>
        <w:tc>
          <w:tcPr>
            <w:tcW w:w="2020" w:type="dxa"/>
            <w:vAlign w:val="bottom"/>
          </w:tcPr>
          <w:p>
            <w:pPr>
              <w:ind w:left="140"/>
              <w:spacing w:after="0"/>
              <w:rPr>
                <w:sz w:val="20"/>
                <w:szCs w:val="20"/>
                <w:color w:val="auto"/>
              </w:rPr>
            </w:pPr>
            <w:r>
              <w:rPr>
                <w:rFonts w:ascii="Arial" w:cs="Arial" w:eastAsia="Arial" w:hAnsi="Arial"/>
                <w:sz w:val="15"/>
                <w:szCs w:val="15"/>
                <w:color w:val="auto"/>
              </w:rPr>
              <w:t>Short-term</w:t>
            </w:r>
          </w:p>
        </w:tc>
        <w:tc>
          <w:tcPr>
            <w:tcW w:w="1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Aircraft Rent</w:t>
            </w:r>
          </w:p>
        </w:tc>
        <w:tc>
          <w:tcPr>
            <w:tcW w:w="1120" w:type="dxa"/>
            <w:vAlign w:val="bottom"/>
            <w:gridSpan w:val="4"/>
          </w:tcPr>
          <w:p>
            <w:pPr>
              <w:jc w:val="right"/>
              <w:ind w:right="180"/>
              <w:spacing w:after="0"/>
              <w:rPr>
                <w:sz w:val="20"/>
                <w:szCs w:val="20"/>
                <w:color w:val="auto"/>
              </w:rPr>
            </w:pPr>
            <w:r>
              <w:rPr>
                <w:rFonts w:ascii="Arial" w:cs="Arial" w:eastAsia="Arial" w:hAnsi="Arial"/>
                <w:sz w:val="15"/>
                <w:szCs w:val="15"/>
                <w:color w:val="auto"/>
              </w:rPr>
              <w:t>1,813</w:t>
            </w: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5,345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2,622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6,148</w:t>
            </w:r>
          </w:p>
        </w:tc>
        <w:tc>
          <w:tcPr>
            <w:tcW w:w="0" w:type="dxa"/>
            <w:vAlign w:val="bottom"/>
          </w:tcPr>
          <w:p>
            <w:pPr>
              <w:spacing w:after="0"/>
              <w:rPr>
                <w:sz w:val="1"/>
                <w:szCs w:val="1"/>
                <w:color w:val="auto"/>
              </w:rPr>
            </w:pPr>
          </w:p>
        </w:tc>
      </w:tr>
      <w:tr>
        <w:trPr>
          <w:trHeight w:val="220"/>
        </w:trPr>
        <w:tc>
          <w:tcPr>
            <w:tcW w:w="2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Variable—Aircraft</w:t>
            </w:r>
          </w:p>
        </w:tc>
        <w:tc>
          <w:tcPr>
            <w:tcW w:w="1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line="220" w:lineRule="exact"/>
              <w:rPr>
                <w:sz w:val="20"/>
                <w:szCs w:val="20"/>
                <w:color w:val="auto"/>
              </w:rPr>
            </w:pPr>
            <w:r>
              <w:rPr>
                <w:rFonts w:ascii="Arial" w:cs="Arial" w:eastAsia="Arial" w:hAnsi="Arial"/>
                <w:sz w:val="15"/>
                <w:szCs w:val="15"/>
                <w:color w:val="auto"/>
              </w:rPr>
              <w:t>Aircraft Rent</w:t>
            </w:r>
            <w:r>
              <w:rPr>
                <w:rFonts w:ascii="Arial" w:cs="Arial" w:eastAsia="Arial" w:hAnsi="Arial"/>
                <w:sz w:val="21"/>
                <w:szCs w:val="21"/>
                <w:color w:val="auto"/>
                <w:vertAlign w:val="superscript"/>
              </w:rPr>
              <w:t>(1)</w:t>
            </w: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(1,541)</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4,520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894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6,004</w:t>
            </w:r>
          </w:p>
        </w:tc>
        <w:tc>
          <w:tcPr>
            <w:tcW w:w="0" w:type="dxa"/>
            <w:vAlign w:val="bottom"/>
          </w:tcPr>
          <w:p>
            <w:pPr>
              <w:spacing w:after="0"/>
              <w:rPr>
                <w:sz w:val="1"/>
                <w:szCs w:val="1"/>
                <w:color w:val="auto"/>
              </w:rPr>
            </w:pPr>
          </w:p>
        </w:tc>
      </w:tr>
      <w:tr>
        <w:trPr>
          <w:trHeight w:val="236"/>
        </w:trPr>
        <w:tc>
          <w:tcPr>
            <w:tcW w:w="2020" w:type="dxa"/>
            <w:vAlign w:val="bottom"/>
          </w:tcPr>
          <w:p>
            <w:pPr>
              <w:ind w:left="140"/>
              <w:spacing w:after="0"/>
              <w:rPr>
                <w:sz w:val="20"/>
                <w:szCs w:val="20"/>
                <w:color w:val="auto"/>
              </w:rPr>
            </w:pPr>
            <w:r>
              <w:rPr>
                <w:rFonts w:ascii="Arial" w:cs="Arial" w:eastAsia="Arial" w:hAnsi="Arial"/>
                <w:sz w:val="15"/>
                <w:szCs w:val="15"/>
                <w:color w:val="auto"/>
              </w:rPr>
              <w:t>Variable—Other</w:t>
            </w:r>
          </w:p>
        </w:tc>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5"/>
                <w:szCs w:val="15"/>
                <w:color w:val="auto"/>
              </w:rPr>
              <w:t>Landing Fees &amp; Airport Rentals</w:t>
            </w:r>
          </w:p>
        </w:tc>
        <w:tc>
          <w:tcPr>
            <w:tcW w:w="44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1,345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5"/>
                <w:szCs w:val="15"/>
                <w:color w:val="auto"/>
              </w:rPr>
              <w:t>702</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Lease cost</w:t>
            </w:r>
          </w:p>
        </w:tc>
        <w:tc>
          <w:tcPr>
            <w:tcW w:w="1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$57,517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1"/>
              </w:rPr>
              <w:t>80,513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2"/>
              </w:rPr>
              <w:t>50,594</w:t>
            </w:r>
          </w:p>
        </w:tc>
        <w:tc>
          <w:tcPr>
            <w:tcW w:w="10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30,829</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-167005</wp:posOffset>
            </wp:positionV>
            <wp:extent cx="76835"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-167005</wp:posOffset>
            </wp:positionV>
            <wp:extent cx="28575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857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-167005</wp:posOffset>
            </wp:positionV>
            <wp:extent cx="4046220"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046220" cy="698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-1729740</wp:posOffset>
            </wp:positionV>
            <wp:extent cx="111760"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-1729740</wp:posOffset>
            </wp:positionV>
            <wp:extent cx="111760"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-1729740</wp:posOffset>
            </wp:positionV>
            <wp:extent cx="1381125"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81125" cy="698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-1729740</wp:posOffset>
            </wp:positionV>
            <wp:extent cx="104775"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-1729740</wp:posOffset>
            </wp:positionV>
            <wp:extent cx="111760"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446405"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44" w:lineRule="exact"/>
        <w:rPr>
          <w:sz w:val="20"/>
          <w:szCs w:val="20"/>
          <w:color w:val="auto"/>
        </w:rPr>
      </w:pPr>
    </w:p>
    <w:p>
      <w:pPr>
        <w:ind w:left="1460" w:right="1399" w:hanging="296"/>
        <w:spacing w:after="0" w:line="248" w:lineRule="auto"/>
        <w:tabs>
          <w:tab w:leader="none" w:pos="14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years ended December 31, 2020 and 2019, include credits of $14,110 and $20,386, respectively, for the amortization of Over-market Liabilities established at the Acquisition Date. For the 2018 Successor and Predecessor periods, the credits were $17,275 and none, respectively.</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LEASES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The following table presents Supplemental cash flow information related to leases, included in the</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Consolidated Statements of Cash Flows:</w:t>
      </w:r>
    </w:p>
    <w:p>
      <w:pPr>
        <w:spacing w:after="0" w:line="129"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auto"/>
        </w:rPr>
        <w:t>For the Year Ended</w:t>
      </w:r>
    </w:p>
    <w:p>
      <w:pPr>
        <w:spacing w:after="0" w:line="6"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13335</wp:posOffset>
            </wp:positionV>
            <wp:extent cx="739775"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39775" cy="6985"/>
                    </a:xfrm>
                    <a:prstGeom prst="rect">
                      <a:avLst/>
                    </a:prstGeom>
                    <a:noFill/>
                  </pic:spPr>
                </pic:pic>
              </a:graphicData>
            </a:graphic>
          </wp:anchor>
        </w:drawing>
      </w:r>
    </w:p>
    <w:p>
      <w:pPr>
        <w:spacing w:after="0" w:line="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70"/>
              <w:spacing w:after="0"/>
              <w:rPr>
                <w:sz w:val="20"/>
                <w:szCs w:val="20"/>
                <w:color w:val="auto"/>
              </w:rPr>
            </w:pPr>
            <w:r>
              <w:rPr>
                <w:rFonts w:ascii="Arial" w:cs="Arial" w:eastAsia="Arial" w:hAnsi="Arial"/>
                <w:sz w:val="12"/>
                <w:szCs w:val="12"/>
                <w:b w:val="1"/>
                <w:bCs w:val="1"/>
                <w:color w:val="auto"/>
                <w:w w:val="97"/>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97"/>
        </w:trPr>
        <w:tc>
          <w:tcPr>
            <w:tcW w:w="4920" w:type="dxa"/>
            <w:vAlign w:val="bottom"/>
          </w:tcPr>
          <w:p>
            <w:pPr>
              <w:ind w:left="140"/>
              <w:spacing w:after="0"/>
              <w:rPr>
                <w:sz w:val="20"/>
                <w:szCs w:val="20"/>
                <w:color w:val="auto"/>
              </w:rPr>
            </w:pPr>
            <w:r>
              <w:rPr>
                <w:rFonts w:ascii="Arial" w:cs="Arial" w:eastAsia="Arial" w:hAnsi="Arial"/>
                <w:sz w:val="15"/>
                <w:szCs w:val="15"/>
                <w:color w:val="auto"/>
              </w:rPr>
              <w:t>Operating Cash Flows for Operating Leases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34,576</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82"/>
              </w:rPr>
              <w:t>50,081</w:t>
            </w:r>
          </w:p>
        </w:tc>
      </w:tr>
      <w:tr>
        <w:trPr>
          <w:trHeight w:val="209"/>
        </w:trPr>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Cash Flows for Finance Leases . . . . . . . . .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10,741</w:t>
            </w:r>
          </w:p>
        </w:tc>
      </w:tr>
      <w:tr>
        <w:trPr>
          <w:trHeight w:val="220"/>
        </w:trPr>
        <w:tc>
          <w:tcPr>
            <w:tcW w:w="4920" w:type="dxa"/>
            <w:vAlign w:val="bottom"/>
          </w:tcPr>
          <w:p>
            <w:pPr>
              <w:ind w:left="140"/>
              <w:spacing w:after="0"/>
              <w:rPr>
                <w:sz w:val="20"/>
                <w:szCs w:val="20"/>
                <w:color w:val="auto"/>
              </w:rPr>
            </w:pPr>
            <w:r>
              <w:rPr>
                <w:rFonts w:ascii="Arial" w:cs="Arial" w:eastAsia="Arial" w:hAnsi="Arial"/>
                <w:sz w:val="15"/>
                <w:szCs w:val="15"/>
                <w:color w:val="auto"/>
              </w:rPr>
              <w:t>Financing Cash Flows for Finance Leases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89,697</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8,258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-592455</wp:posOffset>
            </wp:positionV>
            <wp:extent cx="111760"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-592455</wp:posOffset>
            </wp:positionV>
            <wp:extent cx="55880"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01" w:lineRule="exact"/>
        <w:rPr>
          <w:sz w:val="20"/>
          <w:szCs w:val="20"/>
          <w:color w:val="auto"/>
        </w:rPr>
      </w:pPr>
    </w:p>
    <w:p>
      <w:pPr>
        <w:ind w:left="1160" w:right="1319" w:firstLine="293"/>
        <w:spacing w:after="0" w:line="264" w:lineRule="auto"/>
        <w:rPr>
          <w:sz w:val="20"/>
          <w:szCs w:val="20"/>
          <w:color w:val="auto"/>
        </w:rPr>
      </w:pPr>
      <w:r>
        <w:rPr>
          <w:rFonts w:ascii="Arial" w:cs="Arial" w:eastAsia="Arial" w:hAnsi="Arial"/>
          <w:sz w:val="15"/>
          <w:szCs w:val="15"/>
          <w:color w:val="auto"/>
        </w:rPr>
        <w:t>The table below presents lease-related terms and discount rates related to the Company’s Finance and Operating</w:t>
      </w:r>
    </w:p>
    <w:p>
      <w:pPr>
        <w:spacing w:after="0" w:line="8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Leases:</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4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3"/>
              </w:rPr>
              <w:t>December 31, 2020</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w w:val="83"/>
              </w:rPr>
              <w:t>December 31, 2019</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remaining lease term</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5"/>
                <w:szCs w:val="15"/>
                <w:color w:val="auto"/>
              </w:rPr>
              <w:t>Operating Leases . . . . . . . . . . . . . . . . .</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4.8 years</w:t>
            </w:r>
          </w:p>
        </w:tc>
        <w:tc>
          <w:tcPr>
            <w:tcW w:w="920" w:type="dxa"/>
            <w:vAlign w:val="bottom"/>
          </w:tcPr>
          <w:p>
            <w:pPr>
              <w:jc w:val="right"/>
              <w:spacing w:after="0"/>
              <w:rPr>
                <w:sz w:val="20"/>
                <w:szCs w:val="20"/>
                <w:color w:val="auto"/>
              </w:rPr>
            </w:pPr>
            <w:r>
              <w:rPr>
                <w:rFonts w:ascii="Arial" w:cs="Arial" w:eastAsia="Arial" w:hAnsi="Arial"/>
                <w:sz w:val="15"/>
                <w:szCs w:val="15"/>
                <w:color w:val="auto"/>
              </w:rPr>
              <w:t>6.0 years</w:t>
            </w:r>
          </w:p>
        </w:tc>
      </w:tr>
      <w:tr>
        <w:trPr>
          <w:trHeight w:val="209"/>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 . . . . . . . . . . . . . . . . . .</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8.6 years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 years</w:t>
            </w:r>
          </w:p>
        </w:tc>
      </w:tr>
      <w:tr>
        <w:trPr>
          <w:trHeight w:val="220"/>
        </w:trPr>
        <w:tc>
          <w:tcPr>
            <w:tcW w:w="4040" w:type="dxa"/>
            <w:vAlign w:val="bottom"/>
          </w:tcPr>
          <w:p>
            <w:pPr>
              <w:spacing w:after="0"/>
              <w:rPr>
                <w:sz w:val="20"/>
                <w:szCs w:val="20"/>
                <w:color w:val="auto"/>
              </w:rPr>
            </w:pPr>
            <w:r>
              <w:rPr>
                <w:rFonts w:ascii="Arial" w:cs="Arial" w:eastAsia="Arial" w:hAnsi="Arial"/>
                <w:sz w:val="15"/>
                <w:szCs w:val="15"/>
                <w:color w:val="auto"/>
              </w:rPr>
              <w:t>Weighted-average discount rates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40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Leases . . . . . . . . . . . . . . . . .</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r>
      <w:tr>
        <w:trPr>
          <w:trHeight w:val="220"/>
        </w:trPr>
        <w:tc>
          <w:tcPr>
            <w:tcW w:w="4040" w:type="dxa"/>
            <w:vAlign w:val="bottom"/>
          </w:tcPr>
          <w:p>
            <w:pPr>
              <w:ind w:left="140"/>
              <w:spacing w:after="0"/>
              <w:rPr>
                <w:sz w:val="20"/>
                <w:szCs w:val="20"/>
                <w:color w:val="auto"/>
              </w:rPr>
            </w:pPr>
            <w:r>
              <w:rPr>
                <w:rFonts w:ascii="Arial" w:cs="Arial" w:eastAsia="Arial" w:hAnsi="Arial"/>
                <w:sz w:val="15"/>
                <w:szCs w:val="15"/>
                <w:color w:val="auto"/>
              </w:rPr>
              <w:t>Finance Leases . . . . . . . . . . . . . . . . . . .</w:t>
            </w:r>
          </w:p>
        </w:tc>
        <w:tc>
          <w:tcPr>
            <w:tcW w:w="940" w:type="dxa"/>
            <w:vAlign w:val="bottom"/>
          </w:tcPr>
          <w:p>
            <w:pPr>
              <w:jc w:val="right"/>
              <w:spacing w:after="0"/>
              <w:rPr>
                <w:sz w:val="20"/>
                <w:szCs w:val="20"/>
                <w:color w:val="auto"/>
              </w:rPr>
            </w:pPr>
            <w:r>
              <w:rPr>
                <w:rFonts w:ascii="Arial" w:cs="Arial" w:eastAsia="Arial" w:hAnsi="Arial"/>
                <w:sz w:val="15"/>
                <w:szCs w:val="15"/>
                <w:color w:val="auto"/>
              </w:rPr>
              <w:t>6.1%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-822325</wp:posOffset>
            </wp:positionV>
            <wp:extent cx="3272155"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272155" cy="6985"/>
                    </a:xfrm>
                    <a:prstGeom prst="rect">
                      <a:avLst/>
                    </a:prstGeom>
                    <a:noFill/>
                  </pic:spPr>
                </pic:pic>
              </a:graphicData>
            </a:graphic>
          </wp:anchor>
        </w:drawing>
      </w:r>
    </w:p>
    <w:p>
      <w:pPr>
        <w:spacing w:after="0" w:line="90" w:lineRule="exact"/>
        <w:rPr>
          <w:sz w:val="20"/>
          <w:szCs w:val="20"/>
          <w:color w:val="auto"/>
        </w:rPr>
      </w:pPr>
    </w:p>
    <w:p>
      <w:pPr>
        <w:ind w:left="1160" w:right="1359" w:firstLine="293"/>
        <w:spacing w:after="0" w:line="249" w:lineRule="auto"/>
        <w:rPr>
          <w:sz w:val="20"/>
          <w:szCs w:val="20"/>
          <w:color w:val="auto"/>
        </w:rPr>
      </w:pPr>
      <w:r>
        <w:rPr>
          <w:rFonts w:ascii="Arial" w:cs="Arial" w:eastAsia="Arial" w:hAnsi="Arial"/>
          <w:sz w:val="15"/>
          <w:szCs w:val="15"/>
          <w:color w:val="auto"/>
        </w:rPr>
        <w:t>During the years ended December 31, 2020 and 2019, the Company expensed $8,691 and $18,584 of maintenance reserve payments, respectively. The Company expensed $12,781 and $6,003 of maintenance reserve payments during the period April 11, 2018 to December 31, 2018 and from January 1, 2018 to April 10, 2018, respectively. These expenses are reflected in Aircraft Rent on the accompanying Consolidated Statements of Operations.</w:t>
      </w:r>
    </w:p>
    <w:p>
      <w:pPr>
        <w:spacing w:after="0" w:line="105" w:lineRule="exact"/>
        <w:rPr>
          <w:sz w:val="20"/>
          <w:szCs w:val="20"/>
          <w:color w:val="auto"/>
        </w:rPr>
      </w:pPr>
    </w:p>
    <w:p>
      <w:pPr>
        <w:ind w:left="1160" w:right="1219" w:firstLine="293"/>
        <w:spacing w:after="0" w:line="267" w:lineRule="auto"/>
        <w:rPr>
          <w:sz w:val="20"/>
          <w:szCs w:val="20"/>
          <w:color w:val="auto"/>
        </w:rPr>
      </w:pPr>
      <w:r>
        <w:rPr>
          <w:rFonts w:ascii="Arial" w:cs="Arial" w:eastAsia="Arial" w:hAnsi="Arial"/>
          <w:sz w:val="14"/>
          <w:szCs w:val="14"/>
          <w:color w:val="auto"/>
        </w:rPr>
        <w:t>At the Acquisition Date, the Company established a contra-asset to represent the Company’s obligation to perform planned maintenance events on leased aircraft held as of the Acquisition Date. As of December 31, 2020 and 2019, the remaining balance of the contra-asset was $36,729 and $43,844, respectively. Of the $7,115 reduction in the contra-asset during 2020, $5,624 related to the purchase of two aircrafts previously leased. For the years ended December 31, 2020 and 2019, the Company recognized $1,402 and $12,263, respectively, of the contra-asset as a reduction to Maintenance expense on the accompanying Consolidated Statements of Operations. For the period of April 11, 2018 to December 31, 2018, the Company recognized $6,516 as a reduction to Maintenance expense.</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w:t>
      </w:r>
    </w:p>
    <w:p>
      <w:pPr>
        <w:spacing w:after="0" w:line="11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6,985,533 shares. As of December 31, 2020, there were 988,383 shares available for future grants.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83" w:lineRule="exact"/>
        <w:rPr>
          <w:sz w:val="20"/>
          <w:szCs w:val="20"/>
          <w:color w:val="auto"/>
        </w:rPr>
      </w:pPr>
    </w:p>
    <w:p>
      <w:pPr>
        <w:ind w:left="1160" w:right="1219" w:firstLine="293"/>
        <w:spacing w:after="0" w:line="254" w:lineRule="auto"/>
        <w:rPr>
          <w:sz w:val="20"/>
          <w:szCs w:val="20"/>
          <w:color w:val="auto"/>
        </w:rPr>
      </w:pPr>
      <w:r>
        <w:rPr>
          <w:rFonts w:ascii="Arial" w:cs="Arial" w:eastAsia="Arial" w:hAnsi="Arial"/>
          <w:sz w:val="15"/>
          <w:szCs w:val="15"/>
          <w:color w:val="auto"/>
        </w:rPr>
        <w:t>On November 7, 2018, the Company granted 5,827,511 stock options to certain employees, with 38.5% of the options vesting upon the passage of time, and 61.5% of the options vesting based on performance conditions.</w:t>
      </w:r>
    </w:p>
    <w:p>
      <w:pPr>
        <w:spacing w:after="0" w:line="101" w:lineRule="exact"/>
        <w:rPr>
          <w:sz w:val="20"/>
          <w:szCs w:val="20"/>
          <w:color w:val="auto"/>
        </w:rPr>
      </w:pPr>
    </w:p>
    <w:p>
      <w:pPr>
        <w:ind w:left="1160" w:right="1239" w:firstLine="293"/>
        <w:spacing w:after="0" w:line="269" w:lineRule="auto"/>
        <w:rPr>
          <w:sz w:val="20"/>
          <w:szCs w:val="20"/>
          <w:color w:val="auto"/>
        </w:rPr>
      </w:pPr>
      <w:r>
        <w:rPr>
          <w:rFonts w:ascii="Arial" w:cs="Arial" w:eastAsia="Arial" w:hAnsi="Arial"/>
          <w:sz w:val="14"/>
          <w:szCs w:val="14"/>
          <w:color w:val="auto"/>
        </w:rPr>
        <w:t>Additional stock options were awarded in 2019 and 2020 with the same time-vesting and performance ratios (see tables below). The 2018 time-based options vest proportionally (25% per year) on each of the first four anniversaries of the Acquisition Date. The 2019 and 2020 time-based options vest proportionally (25% per year) on each of the first four anniversaries of the grant date. The performance-based options vest when there is a Change in Control. All unexercised options awarded under the Plan expire on the tenth anniversary of the grant date. The stock option exercise prices range from $5.30 to $18.02 per share.</w:t>
      </w:r>
    </w:p>
    <w:p>
      <w:pPr>
        <w:spacing w:after="0" w:line="82" w:lineRule="exact"/>
        <w:rPr>
          <w:sz w:val="20"/>
          <w:szCs w:val="20"/>
          <w:color w:val="auto"/>
        </w:rPr>
      </w:pPr>
    </w:p>
    <w:p>
      <w:pPr>
        <w:jc w:val="both"/>
        <w:ind w:left="1160" w:right="1179" w:firstLine="293"/>
        <w:spacing w:after="0" w:line="274" w:lineRule="auto"/>
        <w:rPr>
          <w:sz w:val="20"/>
          <w:szCs w:val="20"/>
          <w:color w:val="auto"/>
        </w:rPr>
      </w:pPr>
      <w:r>
        <w:rPr>
          <w:rFonts w:ascii="Arial" w:cs="Arial" w:eastAsia="Arial" w:hAnsi="Arial"/>
          <w:sz w:val="14"/>
          <w:szCs w:val="14"/>
          <w:color w:val="auto"/>
        </w:rPr>
        <w:t>Compensation expense related to time-based stock options is recognized in an amount equal to the fair value on the date of the grant and is recognized on a straight-line basis over the employee’s requisite service period, generally the vesting period of the award. Compensation expense related to performance-based stock options is recognized only if the performance condition becomes probable of occurring.</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 summary of stock option activity:</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7"/>
          </w:tcPr>
          <w:p>
            <w:pPr>
              <w:ind w:left="20"/>
              <w:spacing w:after="0"/>
              <w:rPr>
                <w:sz w:val="20"/>
                <w:szCs w:val="20"/>
                <w:color w:val="auto"/>
              </w:rPr>
            </w:pPr>
            <w:r>
              <w:rPr>
                <w:rFonts w:ascii="Arial" w:cs="Arial" w:eastAsia="Arial" w:hAnsi="Arial"/>
                <w:sz w:val="12"/>
                <w:szCs w:val="12"/>
                <w:b w:val="1"/>
                <w:bCs w:val="1"/>
                <w:color w:val="auto"/>
                <w:w w:val="96"/>
              </w:rPr>
              <w:t>Time-Based Stock Options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
        </w:trPr>
        <w:tc>
          <w:tcPr>
            <w:tcW w:w="3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3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jc w:val="center"/>
              <w:ind w:right="200"/>
              <w:spacing w:after="0" w:line="132" w:lineRule="exact"/>
              <w:rPr>
                <w:sz w:val="20"/>
                <w:szCs w:val="20"/>
                <w:color w:val="auto"/>
              </w:rPr>
            </w:pPr>
            <w:r>
              <w:rPr>
                <w:rFonts w:ascii="Arial" w:cs="Arial" w:eastAsia="Arial" w:hAnsi="Arial"/>
                <w:sz w:val="12"/>
                <w:szCs w:val="12"/>
                <w:b w:val="1"/>
                <w:bCs w:val="1"/>
                <w:color w:val="auto"/>
                <w:w w:val="81"/>
              </w:rPr>
              <w:t>Weighted</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average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5"/>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3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exercise</w:t>
            </w:r>
          </w:p>
        </w:tc>
        <w:tc>
          <w:tcPr>
            <w:tcW w:w="88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3"/>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3800" w:type="dxa"/>
            <w:vAlign w:val="bottom"/>
          </w:tcPr>
          <w:p>
            <w:pPr>
              <w:spacing w:after="0"/>
              <w:rPr>
                <w:sz w:val="11"/>
                <w:szCs w:val="11"/>
                <w:color w:val="auto"/>
              </w:rPr>
            </w:pPr>
          </w:p>
        </w:tc>
        <w:tc>
          <w:tcPr>
            <w:tcW w:w="780" w:type="dxa"/>
            <w:vAlign w:val="bottom"/>
            <w:gridSpan w:val="2"/>
          </w:tcPr>
          <w:p>
            <w:pPr>
              <w:jc w:val="right"/>
              <w:ind w:right="240"/>
              <w:spacing w:after="0" w:line="132" w:lineRule="exact"/>
              <w:rPr>
                <w:sz w:val="20"/>
                <w:szCs w:val="20"/>
                <w:color w:val="auto"/>
              </w:rPr>
            </w:pPr>
            <w:r>
              <w:rPr>
                <w:rFonts w:ascii="Arial" w:cs="Arial" w:eastAsia="Arial" w:hAnsi="Arial"/>
                <w:sz w:val="12"/>
                <w:szCs w:val="12"/>
                <w:b w:val="1"/>
                <w:bCs w:val="1"/>
                <w:color w:val="auto"/>
                <w:w w:val="86"/>
              </w:rPr>
              <w:t>Number of</w:t>
            </w:r>
          </w:p>
        </w:tc>
        <w:tc>
          <w:tcPr>
            <w:tcW w:w="640" w:type="dxa"/>
            <w:vAlign w:val="bottom"/>
            <w:gridSpan w:val="3"/>
          </w:tcPr>
          <w:p>
            <w:pPr>
              <w:jc w:val="center"/>
              <w:ind w:right="220"/>
              <w:spacing w:after="0" w:line="132" w:lineRule="exact"/>
              <w:rPr>
                <w:sz w:val="20"/>
                <w:szCs w:val="20"/>
                <w:color w:val="auto"/>
              </w:rPr>
            </w:pPr>
            <w:r>
              <w:rPr>
                <w:rFonts w:ascii="Arial" w:cs="Arial" w:eastAsia="Arial" w:hAnsi="Arial"/>
                <w:sz w:val="12"/>
                <w:szCs w:val="12"/>
                <w:b w:val="1"/>
                <w:bCs w:val="1"/>
                <w:color w:val="auto"/>
                <w:w w:val="82"/>
              </w:rPr>
              <w:t>price per</w:t>
            </w:r>
          </w:p>
        </w:tc>
        <w:tc>
          <w:tcPr>
            <w:tcW w:w="180" w:type="dxa"/>
            <w:vAlign w:val="bottom"/>
          </w:tcPr>
          <w:p>
            <w:pPr>
              <w:spacing w:after="0"/>
              <w:rPr>
                <w:sz w:val="11"/>
                <w:szCs w:val="11"/>
                <w:color w:val="auto"/>
              </w:rPr>
            </w:pPr>
          </w:p>
        </w:tc>
        <w:tc>
          <w:tcPr>
            <w:tcW w:w="700" w:type="dxa"/>
            <w:vAlign w:val="bottom"/>
            <w:gridSpan w:val="3"/>
          </w:tcPr>
          <w:p>
            <w:pPr>
              <w:jc w:val="center"/>
              <w:ind w:right="40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380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1"/>
              </w:rPr>
              <w:t>share</w:t>
            </w:r>
          </w:p>
        </w:tc>
        <w:tc>
          <w:tcPr>
            <w:tcW w:w="88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6"/>
              </w:rPr>
              <w:t>date fair 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2018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6"/>
              </w:rPr>
              <w:t>2,243,588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9"/>
        </w:trPr>
        <w:tc>
          <w:tcPr>
            <w:tcW w:w="3800" w:type="dxa"/>
            <w:vAlign w:val="bottom"/>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472,253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7.93</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$3.14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3800" w:type="dxa"/>
            <w:vAlign w:val="bottom"/>
            <w:shd w:val="clear" w:color="auto" w:fill="CCEEFF"/>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6"/>
              </w:rPr>
              <w:t>(434,533)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$2.39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3800" w:type="dxa"/>
            <w:vAlign w:val="bottom"/>
          </w:tcPr>
          <w:p>
            <w:pPr>
              <w:jc w:val="center"/>
              <w:ind w:right="367"/>
              <w:spacing w:after="0"/>
              <w:rPr>
                <w:sz w:val="20"/>
                <w:szCs w:val="20"/>
                <w:color w:val="auto"/>
              </w:rPr>
            </w:pPr>
            <w:r>
              <w:rPr>
                <w:rFonts w:ascii="Arial" w:cs="Arial" w:eastAsia="Arial" w:hAnsi="Arial"/>
                <w:sz w:val="15"/>
                <w:szCs w:val="15"/>
                <w:color w:val="auto"/>
                <w:w w:val="92"/>
              </w:rPr>
              <w:t>Outstanding as of December 31, 2019 . . . . . . . . . . . . .</w:t>
            </w:r>
          </w:p>
        </w:tc>
        <w:tc>
          <w:tcPr>
            <w:tcW w:w="600" w:type="dxa"/>
            <w:vAlign w:val="bottom"/>
          </w:tcPr>
          <w:p>
            <w:pPr>
              <w:jc w:val="right"/>
              <w:spacing w:after="0"/>
              <w:rPr>
                <w:sz w:val="20"/>
                <w:szCs w:val="20"/>
                <w:color w:val="auto"/>
              </w:rPr>
            </w:pPr>
            <w:r>
              <w:rPr>
                <w:rFonts w:ascii="Arial" w:cs="Arial" w:eastAsia="Arial" w:hAnsi="Arial"/>
                <w:sz w:val="15"/>
                <w:szCs w:val="15"/>
                <w:color w:val="auto"/>
                <w:w w:val="86"/>
              </w:rPr>
              <w:t>2,281,308</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5.84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90"/>
              </w:rPr>
              <w:t>$2.54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5"/>
                <w:szCs w:val="15"/>
                <w:color w:val="auto"/>
                <w:w w:val="86"/>
              </w:rPr>
              <w:t>9.0</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38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221,941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17.99</w:t>
            </w:r>
          </w:p>
        </w:tc>
        <w:tc>
          <w:tcPr>
            <w:tcW w:w="1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0"/>
              </w:rPr>
              <w:t>$7.02</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3800" w:type="dxa"/>
            <w:vAlign w:val="bottom"/>
          </w:tcPr>
          <w:p>
            <w:pPr>
              <w:jc w:val="center"/>
              <w:ind w:right="327"/>
              <w:spacing w:after="0"/>
              <w:rPr>
                <w:sz w:val="20"/>
                <w:szCs w:val="20"/>
                <w:color w:val="auto"/>
              </w:rPr>
            </w:pPr>
            <w:r>
              <w:rPr>
                <w:rFonts w:ascii="Arial" w:cs="Arial" w:eastAsia="Arial" w:hAnsi="Arial"/>
                <w:sz w:val="15"/>
                <w:szCs w:val="15"/>
                <w:color w:val="auto"/>
                <w:w w:val="94"/>
              </w:rPr>
              <w:t>Forfeited . . . . . . . . . . . . . . . . . . . . . . . . . . . . . . . .</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w w:val="96"/>
              </w:rPr>
              <w:t>(173,788)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85"/>
              </w:rPr>
              <w:t>14.65</w:t>
            </w:r>
          </w:p>
        </w:tc>
        <w:tc>
          <w:tcPr>
            <w:tcW w:w="18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5"/>
                <w:szCs w:val="15"/>
                <w:color w:val="auto"/>
                <w:w w:val="90"/>
              </w:rPr>
              <w:t>$5.70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3800" w:type="dxa"/>
            <w:vAlign w:val="bottom"/>
            <w:shd w:val="clear" w:color="auto" w:fill="CCEEFF"/>
          </w:tcPr>
          <w:p>
            <w:pPr>
              <w:jc w:val="center"/>
              <w:ind w:right="367"/>
              <w:spacing w:after="0"/>
              <w:rPr>
                <w:sz w:val="20"/>
                <w:szCs w:val="20"/>
                <w:color w:val="auto"/>
              </w:rPr>
            </w:pPr>
            <w:r>
              <w:rPr>
                <w:rFonts w:ascii="Arial" w:cs="Arial" w:eastAsia="Arial" w:hAnsi="Arial"/>
                <w:sz w:val="15"/>
                <w:szCs w:val="15"/>
                <w:color w:val="auto"/>
                <w:w w:val="92"/>
              </w:rPr>
              <w:t>Outstanding as of December 31, 2020 . . . . . . . . . . . . .</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86"/>
              </w:rPr>
              <w:t>7.6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3800" w:type="dxa"/>
            <w:vAlign w:val="bottom"/>
            <w:tcBorders>
              <w:bottom w:val="single" w:sz="8" w:color="CCEEFF"/>
            </w:tcBorders>
          </w:tcPr>
          <w:p>
            <w:pPr>
              <w:jc w:val="center"/>
              <w:ind w:right="407"/>
              <w:spacing w:after="0" w:line="167" w:lineRule="exact"/>
              <w:rPr>
                <w:sz w:val="20"/>
                <w:szCs w:val="20"/>
                <w:color w:val="auto"/>
              </w:rPr>
            </w:pPr>
            <w:r>
              <w:rPr>
                <w:rFonts w:ascii="Arial" w:cs="Arial" w:eastAsia="Arial" w:hAnsi="Arial"/>
                <w:sz w:val="15"/>
                <w:szCs w:val="15"/>
                <w:color w:val="auto"/>
                <w:w w:val="92"/>
              </w:rPr>
              <w:t>Exercisable as of December 31, 2020 . . . . . . . . . . . . .</w:t>
            </w: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86"/>
              </w:rPr>
              <w:t>1,054,059</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5.64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5"/>
                <w:szCs w:val="15"/>
                <w:color w:val="auto"/>
                <w:w w:val="90"/>
              </w:rPr>
              <w:t>$2.50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2,329,461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$2.74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-1310640</wp:posOffset>
            </wp:positionV>
            <wp:extent cx="11176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-1310640</wp:posOffset>
            </wp:positionV>
            <wp:extent cx="11176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3529965</wp:posOffset>
            </wp:positionH>
            <wp:positionV relativeFrom="paragraph">
              <wp:posOffset>-1310640</wp:posOffset>
            </wp:positionV>
            <wp:extent cx="9779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-1310640</wp:posOffset>
            </wp:positionV>
            <wp:extent cx="48895"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88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9" w:name="page230"/>
    <w:bookmarkEnd w:id="229"/>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STOCK-BASED COMPENSATION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020" w:type="dxa"/>
            <w:vAlign w:val="bottom"/>
          </w:tcPr>
          <w:p>
            <w:pPr>
              <w:spacing w:after="0"/>
              <w:rPr>
                <w:sz w:val="13"/>
                <w:szCs w:val="13"/>
                <w:color w:val="auto"/>
              </w:rPr>
            </w:pPr>
          </w:p>
        </w:tc>
        <w:tc>
          <w:tcPr>
            <w:tcW w:w="2660" w:type="dxa"/>
            <w:vAlign w:val="bottom"/>
            <w:gridSpan w:val="12"/>
          </w:tcPr>
          <w:p>
            <w:pPr>
              <w:ind w:left="500"/>
              <w:spacing w:after="0"/>
              <w:rPr>
                <w:sz w:val="20"/>
                <w:szCs w:val="20"/>
                <w:color w:val="auto"/>
              </w:rPr>
            </w:pPr>
            <w:r>
              <w:rPr>
                <w:rFonts w:ascii="Arial" w:cs="Arial" w:eastAsia="Arial" w:hAnsi="Arial"/>
                <w:sz w:val="12"/>
                <w:szCs w:val="12"/>
                <w:b w:val="1"/>
                <w:bCs w:val="1"/>
                <w:color w:val="auto"/>
              </w:rPr>
              <w:t>Performance-Based Stock Options</w:t>
            </w:r>
          </w:p>
        </w:tc>
      </w:tr>
      <w:tr>
        <w:trPr>
          <w:trHeight w:val="21"/>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r>
      <w:tr>
        <w:trPr>
          <w:trHeight w:val="138"/>
        </w:trPr>
        <w:tc>
          <w:tcPr>
            <w:tcW w:w="4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1"/>
              </w:rPr>
              <w:t>Weighted</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ind w:right="260"/>
              <w:spacing w:after="0" w:line="132" w:lineRule="exact"/>
              <w:rPr>
                <w:sz w:val="20"/>
                <w:szCs w:val="20"/>
                <w:color w:val="auto"/>
              </w:rPr>
            </w:pPr>
            <w:r>
              <w:rPr>
                <w:rFonts w:ascii="Arial" w:cs="Arial" w:eastAsia="Arial" w:hAnsi="Arial"/>
                <w:sz w:val="12"/>
                <w:szCs w:val="12"/>
                <w:b w:val="1"/>
                <w:bCs w:val="1"/>
                <w:color w:val="auto"/>
                <w:w w:val="77"/>
              </w:rPr>
              <w:t>Weighted</w:t>
            </w:r>
          </w:p>
        </w:tc>
        <w:tc>
          <w:tcPr>
            <w:tcW w:w="60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73"/>
              </w:rPr>
              <w:t>Weighted</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79"/>
              </w:rPr>
              <w:t>average</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average</w:t>
            </w:r>
          </w:p>
        </w:tc>
        <w:tc>
          <w:tcPr>
            <w:tcW w:w="600" w:type="dxa"/>
            <w:vAlign w:val="bottom"/>
            <w:gridSpan w:val="4"/>
          </w:tcPr>
          <w:p>
            <w:pPr>
              <w:jc w:val="center"/>
              <w:ind w:right="240"/>
              <w:spacing w:after="0" w:line="132" w:lineRule="exact"/>
              <w:rPr>
                <w:sz w:val="20"/>
                <w:szCs w:val="20"/>
                <w:color w:val="auto"/>
              </w:rPr>
            </w:pPr>
            <w:r>
              <w:rPr>
                <w:rFonts w:ascii="Arial" w:cs="Arial" w:eastAsia="Arial" w:hAnsi="Arial"/>
                <w:sz w:val="12"/>
                <w:szCs w:val="12"/>
                <w:b w:val="1"/>
                <w:bCs w:val="1"/>
                <w:color w:val="auto"/>
                <w:w w:val="79"/>
              </w:rPr>
              <w:t>average</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3"/>
              </w:rPr>
              <w:t>remaining</w:t>
            </w:r>
          </w:p>
        </w:tc>
      </w:tr>
      <w:tr>
        <w:trPr>
          <w:trHeight w:val="132"/>
        </w:trPr>
        <w:tc>
          <w:tcPr>
            <w:tcW w:w="4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exercise</w:t>
            </w:r>
          </w:p>
        </w:tc>
        <w:tc>
          <w:tcPr>
            <w:tcW w:w="600" w:type="dxa"/>
            <w:vAlign w:val="bottom"/>
            <w:gridSpan w:val="4"/>
          </w:tcPr>
          <w:p>
            <w:pPr>
              <w:jc w:val="center"/>
              <w:ind w:right="260"/>
              <w:spacing w:after="0" w:line="132" w:lineRule="exact"/>
              <w:rPr>
                <w:sz w:val="20"/>
                <w:szCs w:val="20"/>
                <w:color w:val="auto"/>
              </w:rPr>
            </w:pPr>
            <w:r>
              <w:rPr>
                <w:rFonts w:ascii="Arial" w:cs="Arial" w:eastAsia="Arial" w:hAnsi="Arial"/>
                <w:sz w:val="12"/>
                <w:szCs w:val="12"/>
                <w:b w:val="1"/>
                <w:bCs w:val="1"/>
                <w:color w:val="auto"/>
                <w:w w:val="86"/>
              </w:rPr>
              <w:t>grant</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6"/>
              </w:rPr>
              <w:t>contractual</w:t>
            </w:r>
          </w:p>
        </w:tc>
      </w:tr>
      <w:tr>
        <w:trPr>
          <w:trHeight w:val="132"/>
        </w:trPr>
        <w:tc>
          <w:tcPr>
            <w:tcW w:w="4020" w:type="dxa"/>
            <w:vAlign w:val="bottom"/>
          </w:tcPr>
          <w:p>
            <w:pPr>
              <w:spacing w:after="0"/>
              <w:rPr>
                <w:sz w:val="11"/>
                <w:szCs w:val="11"/>
                <w:color w:val="auto"/>
              </w:rPr>
            </w:pPr>
          </w:p>
        </w:tc>
        <w:tc>
          <w:tcPr>
            <w:tcW w:w="800" w:type="dxa"/>
            <w:vAlign w:val="bottom"/>
            <w:gridSpan w:val="2"/>
          </w:tcPr>
          <w:p>
            <w:pPr>
              <w:jc w:val="right"/>
              <w:ind w:right="260"/>
              <w:spacing w:after="0" w:line="132" w:lineRule="exact"/>
              <w:rPr>
                <w:sz w:val="20"/>
                <w:szCs w:val="20"/>
                <w:color w:val="auto"/>
              </w:rPr>
            </w:pPr>
            <w:r>
              <w:rPr>
                <w:rFonts w:ascii="Arial" w:cs="Arial" w:eastAsia="Arial" w:hAnsi="Arial"/>
                <w:sz w:val="12"/>
                <w:szCs w:val="12"/>
                <w:b w:val="1"/>
                <w:bCs w:val="1"/>
                <w:color w:val="auto"/>
                <w:w w:val="86"/>
              </w:rPr>
              <w:t>Number of</w:t>
            </w:r>
          </w:p>
        </w:tc>
        <w:tc>
          <w:tcPr>
            <w:tcW w:w="680" w:type="dxa"/>
            <w:vAlign w:val="bottom"/>
            <w:gridSpan w:val="3"/>
          </w:tcPr>
          <w:p>
            <w:pPr>
              <w:jc w:val="center"/>
              <w:ind w:right="280"/>
              <w:spacing w:after="0" w:line="132" w:lineRule="exact"/>
              <w:rPr>
                <w:sz w:val="20"/>
                <w:szCs w:val="20"/>
                <w:color w:val="auto"/>
              </w:rPr>
            </w:pPr>
            <w:r>
              <w:rPr>
                <w:rFonts w:ascii="Arial" w:cs="Arial" w:eastAsia="Arial" w:hAnsi="Arial"/>
                <w:sz w:val="12"/>
                <w:szCs w:val="12"/>
                <w:b w:val="1"/>
                <w:bCs w:val="1"/>
                <w:color w:val="auto"/>
                <w:w w:val="78"/>
              </w:rPr>
              <w:t>price per</w:t>
            </w:r>
          </w:p>
        </w:tc>
        <w:tc>
          <w:tcPr>
            <w:tcW w:w="600" w:type="dxa"/>
            <w:vAlign w:val="bottom"/>
            <w:gridSpan w:val="4"/>
          </w:tcPr>
          <w:p>
            <w:pPr>
              <w:jc w:val="center"/>
              <w:ind w:right="220"/>
              <w:spacing w:after="0" w:line="132" w:lineRule="exact"/>
              <w:rPr>
                <w:sz w:val="20"/>
                <w:szCs w:val="20"/>
                <w:color w:val="auto"/>
              </w:rPr>
            </w:pPr>
            <w:r>
              <w:rPr>
                <w:rFonts w:ascii="Arial" w:cs="Arial" w:eastAsia="Arial" w:hAnsi="Arial"/>
                <w:sz w:val="12"/>
                <w:szCs w:val="12"/>
                <w:b w:val="1"/>
                <w:bCs w:val="1"/>
                <w:color w:val="auto"/>
                <w:w w:val="81"/>
              </w:rPr>
              <w:t>date fair</w:t>
            </w:r>
          </w:p>
        </w:tc>
        <w:tc>
          <w:tcPr>
            <w:tcW w:w="5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2"/>
              </w:rPr>
              <w:t>term</w:t>
            </w:r>
          </w:p>
        </w:tc>
      </w:tr>
      <w:tr>
        <w:trPr>
          <w:trHeight w:val="150"/>
        </w:trPr>
        <w:tc>
          <w:tcPr>
            <w:tcW w:w="40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1"/>
              </w:rPr>
              <w:t>share</w:t>
            </w:r>
          </w:p>
        </w:tc>
        <w:tc>
          <w:tcPr>
            <w:tcW w:w="6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84"/>
              </w:rPr>
              <w:t>value</w:t>
            </w:r>
          </w:p>
        </w:tc>
        <w:tc>
          <w:tcPr>
            <w:tcW w:w="5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(years)</w:t>
            </w: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2018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3,583,923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9.8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2"/>
        </w:trPr>
        <w:tc>
          <w:tcPr>
            <w:tcW w:w="4020" w:type="dxa"/>
            <w:vAlign w:val="bottom"/>
          </w:tcPr>
          <w:p>
            <w:pPr>
              <w:ind w:left="160"/>
              <w:spacing w:after="0" w:line="162" w:lineRule="exact"/>
              <w:rPr>
                <w:sz w:val="20"/>
                <w:szCs w:val="20"/>
                <w:color w:val="auto"/>
              </w:rPr>
            </w:pPr>
            <w:r>
              <w:rPr>
                <w:rFonts w:ascii="Arial" w:cs="Arial" w:eastAsia="Arial" w:hAnsi="Arial"/>
                <w:sz w:val="15"/>
                <w:szCs w:val="15"/>
                <w:color w:val="auto"/>
              </w:rPr>
              <w:t>Granted . . . . . . . . . . . . . . . . . . . . . . . . . . . . . . . . .</w:t>
            </w:r>
          </w:p>
        </w:tc>
        <w:tc>
          <w:tcPr>
            <w:tcW w:w="8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746,836</w:t>
            </w:r>
          </w:p>
        </w:tc>
        <w:tc>
          <w:tcPr>
            <w:tcW w:w="80" w:type="dxa"/>
            <w:vAlign w:val="bottom"/>
          </w:tcPr>
          <w:p>
            <w:pPr>
              <w:spacing w:after="0" w:line="162" w:lineRule="exact"/>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rPr>
              <w:t>7.96</w:t>
            </w:r>
          </w:p>
        </w:tc>
        <w:tc>
          <w:tcPr>
            <w:tcW w:w="240" w:type="dxa"/>
            <w:vAlign w:val="bottom"/>
          </w:tcPr>
          <w:p>
            <w:pPr>
              <w:spacing w:after="0"/>
              <w:rPr>
                <w:sz w:val="14"/>
                <w:szCs w:val="14"/>
                <w:color w:val="auto"/>
              </w:rPr>
            </w:pP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82"/>
              </w:rPr>
              <w:t>2.01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4"/>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6"/>
              </w:rPr>
              <w:t>(827,812)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5"/>
                <w:szCs w:val="15"/>
                <w:color w:val="auto"/>
              </w:rPr>
              <w:t>Outstanding as of December 31, 2019</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w w:val="83"/>
              </w:rPr>
              <w:t>3,502,947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5.86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1.61</w:t>
            </w:r>
          </w:p>
        </w:tc>
        <w:tc>
          <w:tcPr>
            <w:tcW w:w="180" w:type="dxa"/>
            <w:vAlign w:val="bottom"/>
          </w:tcPr>
          <w:p>
            <w:pPr>
              <w:spacing w:after="0"/>
              <w:rPr>
                <w:sz w:val="18"/>
                <w:szCs w:val="18"/>
                <w:color w:val="auto"/>
              </w:rPr>
            </w:pPr>
          </w:p>
        </w:tc>
        <w:tc>
          <w:tcPr>
            <w:tcW w:w="580" w:type="dxa"/>
            <w:vAlign w:val="bottom"/>
            <w:gridSpan w:val="3"/>
          </w:tcPr>
          <w:p>
            <w:pPr>
              <w:jc w:val="center"/>
              <w:spacing w:after="0"/>
              <w:rPr>
                <w:sz w:val="20"/>
                <w:szCs w:val="20"/>
                <w:color w:val="auto"/>
              </w:rPr>
            </w:pPr>
            <w:r>
              <w:rPr>
                <w:rFonts w:ascii="Arial" w:cs="Arial" w:eastAsia="Arial" w:hAnsi="Arial"/>
                <w:sz w:val="15"/>
                <w:szCs w:val="15"/>
                <w:color w:val="auto"/>
                <w:w w:val="86"/>
              </w:rPr>
              <w:t>9.0</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4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Granted . . . . . . . . . . . . . . . . . . . .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346,984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17.99</w:t>
            </w: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4.36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4"/>
        </w:trPr>
        <w:tc>
          <w:tcPr>
            <w:tcW w:w="4020" w:type="dxa"/>
            <w:vAlign w:val="bottom"/>
          </w:tcPr>
          <w:p>
            <w:pPr>
              <w:ind w:left="160"/>
              <w:spacing w:after="0"/>
              <w:rPr>
                <w:sz w:val="20"/>
                <w:szCs w:val="20"/>
                <w:color w:val="auto"/>
              </w:rPr>
            </w:pPr>
            <w:r>
              <w:rPr>
                <w:rFonts w:ascii="Arial" w:cs="Arial" w:eastAsia="Arial" w:hAnsi="Arial"/>
                <w:sz w:val="15"/>
                <w:szCs w:val="15"/>
                <w:color w:val="auto"/>
              </w:rPr>
              <w:t>Forfeited . . . . . . . . . . . . . . . . . . . . . . . . . . . . . . . .</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(272,679)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5"/>
                <w:szCs w:val="15"/>
                <w:color w:val="auto"/>
                <w:w w:val="79"/>
              </w:rPr>
              <w:t>14.65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w w:val="82"/>
              </w:rPr>
              <w:t>3.59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December 31, 2020 . . . . . . . .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3,577,252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6.38</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1.72</w:t>
            </w: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86"/>
              </w:rPr>
              <w:t>7.6</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7"/>
        </w:trPr>
        <w:tc>
          <w:tcPr>
            <w:tcW w:w="4020" w:type="dxa"/>
            <w:vAlign w:val="bottom"/>
          </w:tcPr>
          <w:p>
            <w:pPr>
              <w:spacing w:after="0" w:line="167" w:lineRule="exact"/>
              <w:rPr>
                <w:sz w:val="20"/>
                <w:szCs w:val="20"/>
                <w:color w:val="auto"/>
              </w:rPr>
            </w:pPr>
            <w:r>
              <w:rPr>
                <w:rFonts w:ascii="Arial" w:cs="Arial" w:eastAsia="Arial" w:hAnsi="Arial"/>
                <w:sz w:val="15"/>
                <w:szCs w:val="15"/>
                <w:color w:val="auto"/>
              </w:rPr>
              <w:t>Exercisable as of December 31, 2020 . . . . . . . . . . . . .</w:t>
            </w:r>
          </w:p>
        </w:tc>
        <w:tc>
          <w:tcPr>
            <w:tcW w:w="80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80"/>
              <w:spacing w:after="0" w:line="167"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260"/>
              <w:spacing w:after="0" w:line="16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1"/>
        </w:trPr>
        <w:tc>
          <w:tcPr>
            <w:tcW w:w="4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Vested or expected to vest, December 31, 2020 . . . . .</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-459740</wp:posOffset>
            </wp:positionV>
            <wp:extent cx="4241800"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-1338580</wp:posOffset>
            </wp:positionV>
            <wp:extent cx="111760"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-1338580</wp:posOffset>
            </wp:positionV>
            <wp:extent cx="111760"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-1338580</wp:posOffset>
            </wp:positionV>
            <wp:extent cx="111760"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3222625</wp:posOffset>
            </wp:positionH>
            <wp:positionV relativeFrom="paragraph">
              <wp:posOffset>-1338580</wp:posOffset>
            </wp:positionV>
            <wp:extent cx="55880"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78" w:lineRule="exact"/>
        <w:rPr>
          <w:sz w:val="20"/>
          <w:szCs w:val="20"/>
          <w:color w:val="auto"/>
        </w:rPr>
      </w:pPr>
    </w:p>
    <w:p>
      <w:pPr>
        <w:ind w:left="1160" w:right="1319" w:firstLine="293"/>
        <w:spacing w:after="0" w:line="269" w:lineRule="auto"/>
        <w:rPr>
          <w:sz w:val="20"/>
          <w:szCs w:val="20"/>
          <w:color w:val="auto"/>
        </w:rPr>
      </w:pPr>
      <w:r>
        <w:rPr>
          <w:rFonts w:ascii="Arial" w:cs="Arial" w:eastAsia="Arial" w:hAnsi="Arial"/>
          <w:sz w:val="14"/>
          <w:szCs w:val="14"/>
          <w:color w:val="auto"/>
        </w:rPr>
        <w:t>Stock compensation expense was $2,110 and $1,888 during the years ended December 31, 2020 and 2019, respectively, and was $373 during the period April 11, 2018 through December 31, 2018. Expense recorded in 2020 includes 30,820 shares of SCA’s common stock which was awarded to employees as part of their annual bonus compensation. As of December 31, 2020, there was $2,760 of total unrecognized compensation expense related to time-based stock options, which is expected to be fully recognized over a weighted average period of approximately 1.5 years.</w:t>
      </w:r>
    </w:p>
    <w:p>
      <w:pPr>
        <w:spacing w:after="0" w:line="82" w:lineRule="exact"/>
        <w:rPr>
          <w:sz w:val="20"/>
          <w:szCs w:val="20"/>
          <w:color w:val="auto"/>
        </w:rPr>
      </w:pPr>
    </w:p>
    <w:p>
      <w:pPr>
        <w:ind w:left="1160" w:right="1279" w:firstLine="293"/>
        <w:spacing w:after="0" w:line="274" w:lineRule="auto"/>
        <w:rPr>
          <w:sz w:val="20"/>
          <w:szCs w:val="20"/>
          <w:color w:val="auto"/>
        </w:rPr>
      </w:pPr>
      <w:r>
        <w:rPr>
          <w:rFonts w:ascii="Arial" w:cs="Arial" w:eastAsia="Arial" w:hAnsi="Arial"/>
          <w:sz w:val="14"/>
          <w:szCs w:val="14"/>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89"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5"/>
          <w:szCs w:val="15"/>
          <w:color w:val="auto"/>
        </w:rPr>
        <w:t>The fair value of the time-based stock options granted was estimated using the Black-Scholes option-pricing model with the following weighted-average assumptions used for grants: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62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640" w:type="dxa"/>
            <w:vAlign w:val="bottom"/>
          </w:tcPr>
          <w:p>
            <w:pPr>
              <w:jc w:val="right"/>
              <w:ind w:right="130"/>
              <w:spacing w:after="0"/>
              <w:rPr>
                <w:sz w:val="20"/>
                <w:szCs w:val="20"/>
                <w:color w:val="auto"/>
              </w:rPr>
            </w:pPr>
            <w:r>
              <w:rPr>
                <w:rFonts w:ascii="Arial" w:cs="Arial" w:eastAsia="Arial" w:hAnsi="Arial"/>
                <w:sz w:val="12"/>
                <w:szCs w:val="12"/>
                <w:b w:val="1"/>
                <w:bCs w:val="1"/>
                <w:color w:val="auto"/>
              </w:rPr>
              <w:t>2019</w:t>
            </w:r>
          </w:p>
        </w:tc>
      </w:tr>
      <w:tr>
        <w:trPr>
          <w:trHeight w:val="21"/>
        </w:trPr>
        <w:tc>
          <w:tcPr>
            <w:tcW w:w="4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0"/>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Expected Term . . . . . . . . . . . . . . . . . . . . . . . . . . . . . . . .</w:t>
            </w:r>
          </w:p>
        </w:tc>
        <w:tc>
          <w:tcPr>
            <w:tcW w:w="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5.59 years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5.67 years</w:t>
            </w:r>
          </w:p>
        </w:tc>
      </w:tr>
      <w:tr>
        <w:trPr>
          <w:trHeight w:val="209"/>
        </w:trPr>
        <w:tc>
          <w:tcPr>
            <w:tcW w:w="4620" w:type="dxa"/>
            <w:vAlign w:val="bottom"/>
          </w:tcPr>
          <w:p>
            <w:pPr>
              <w:spacing w:after="0"/>
              <w:rPr>
                <w:sz w:val="20"/>
                <w:szCs w:val="20"/>
                <w:color w:val="auto"/>
              </w:rPr>
            </w:pPr>
            <w:r>
              <w:rPr>
                <w:rFonts w:ascii="Arial" w:cs="Arial" w:eastAsia="Arial" w:hAnsi="Arial"/>
                <w:sz w:val="15"/>
                <w:szCs w:val="15"/>
                <w:color w:val="auto"/>
              </w:rPr>
              <w:t>Expected Volatility . . . . . . . . . . . . . . . . . . . . . . . . . . . . .</w:t>
            </w:r>
          </w:p>
        </w:tc>
        <w:tc>
          <w:tcPr>
            <w:tcW w:w="640" w:type="dxa"/>
            <w:vAlign w:val="bottom"/>
          </w:tcPr>
          <w:p>
            <w:pPr>
              <w:jc w:val="right"/>
              <w:spacing w:after="0"/>
              <w:rPr>
                <w:sz w:val="20"/>
                <w:szCs w:val="20"/>
                <w:color w:val="auto"/>
              </w:rPr>
            </w:pPr>
            <w:r>
              <w:rPr>
                <w:rFonts w:ascii="Arial" w:cs="Arial" w:eastAsia="Arial" w:hAnsi="Arial"/>
                <w:sz w:val="15"/>
                <w:szCs w:val="15"/>
                <w:color w:val="auto"/>
              </w:rPr>
              <w:t>38.8%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33.9%</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 . . . . . . . . . . . . . . . . . . . . . . . . . .</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20"/>
        </w:trPr>
        <w:tc>
          <w:tcPr>
            <w:tcW w:w="4620" w:type="dxa"/>
            <w:vAlign w:val="bottom"/>
          </w:tcPr>
          <w:p>
            <w:pPr>
              <w:spacing w:after="0"/>
              <w:rPr>
                <w:sz w:val="20"/>
                <w:szCs w:val="20"/>
                <w:color w:val="auto"/>
              </w:rPr>
            </w:pPr>
            <w:r>
              <w:rPr>
                <w:rFonts w:ascii="Arial" w:cs="Arial" w:eastAsia="Arial" w:hAnsi="Arial"/>
                <w:sz w:val="15"/>
                <w:szCs w:val="15"/>
                <w:color w:val="auto"/>
              </w:rPr>
              <w:t>Expected Dividend Yield . . . . . . . . . . . . . . . . . . . . . . . .</w:t>
            </w: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-543560</wp:posOffset>
            </wp:positionV>
            <wp:extent cx="3453130"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453130" cy="6985"/>
                    </a:xfrm>
                    <a:prstGeom prst="rect">
                      <a:avLst/>
                    </a:prstGeom>
                    <a:noFill/>
                  </pic:spPr>
                </pic:pic>
              </a:graphicData>
            </a:graphic>
          </wp:anchor>
        </w:drawing>
      </w:r>
    </w:p>
    <w:p>
      <w:pPr>
        <w:spacing w:after="0" w:line="101" w:lineRule="exact"/>
        <w:rPr>
          <w:sz w:val="20"/>
          <w:szCs w:val="20"/>
          <w:color w:val="auto"/>
        </w:rPr>
      </w:pPr>
    </w:p>
    <w:p>
      <w:pPr>
        <w:ind w:left="1160" w:right="1439" w:firstLine="293"/>
        <w:spacing w:after="0" w:line="251" w:lineRule="auto"/>
        <w:rPr>
          <w:sz w:val="20"/>
          <w:szCs w:val="20"/>
          <w:color w:val="auto"/>
        </w:rPr>
      </w:pPr>
      <w:r>
        <w:rPr>
          <w:rFonts w:ascii="Arial" w:cs="Arial" w:eastAsia="Arial" w:hAnsi="Arial"/>
          <w:sz w:val="15"/>
          <w:szCs w:val="15"/>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13" w:lineRule="exact"/>
        <w:rPr>
          <w:sz w:val="20"/>
          <w:szCs w:val="20"/>
          <w:color w:val="auto"/>
        </w:rPr>
      </w:pPr>
    </w:p>
    <w:p>
      <w:pPr>
        <w:ind w:left="1160" w:right="1199" w:firstLine="293"/>
        <w:spacing w:after="0" w:line="291" w:lineRule="auto"/>
        <w:rPr>
          <w:sz w:val="20"/>
          <w:szCs w:val="20"/>
          <w:color w:val="auto"/>
        </w:rPr>
      </w:pPr>
      <w:r>
        <w:rPr>
          <w:rFonts w:ascii="Arial" w:cs="Arial" w:eastAsia="Arial" w:hAnsi="Arial"/>
          <w:sz w:val="14"/>
          <w:szCs w:val="14"/>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FUEL DERIVATIVES AND RISK MANAGEMENT</w:t>
      </w:r>
    </w:p>
    <w:p>
      <w:pPr>
        <w:spacing w:after="0" w:line="128" w:lineRule="exact"/>
        <w:rPr>
          <w:sz w:val="20"/>
          <w:szCs w:val="20"/>
          <w:color w:val="auto"/>
        </w:rPr>
      </w:pPr>
    </w:p>
    <w:p>
      <w:pPr>
        <w:ind w:left="1160" w:right="1219" w:firstLine="293"/>
        <w:spacing w:after="0" w:line="236" w:lineRule="auto"/>
        <w:rPr>
          <w:sz w:val="20"/>
          <w:szCs w:val="20"/>
          <w:color w:val="auto"/>
        </w:rPr>
      </w:pPr>
      <w:r>
        <w:rPr>
          <w:rFonts w:ascii="Arial" w:cs="Arial" w:eastAsia="Arial" w:hAnsi="Arial"/>
          <w:sz w:val="15"/>
          <w:szCs w:val="15"/>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91" w:lineRule="exact"/>
        <w:rPr>
          <w:sz w:val="20"/>
          <w:szCs w:val="20"/>
          <w:color w:val="auto"/>
        </w:rPr>
      </w:pPr>
    </w:p>
    <w:p>
      <w:pPr>
        <w:ind w:left="1160" w:right="1239" w:firstLine="293"/>
        <w:spacing w:after="0" w:line="235" w:lineRule="auto"/>
        <w:rPr>
          <w:sz w:val="20"/>
          <w:szCs w:val="20"/>
          <w:color w:val="auto"/>
        </w:rPr>
      </w:pPr>
      <w:r>
        <w:rPr>
          <w:rFonts w:ascii="Arial" w:cs="Arial" w:eastAsia="Arial" w:hAnsi="Arial"/>
          <w:sz w:val="15"/>
          <w:szCs w:val="15"/>
          <w:color w:val="auto"/>
        </w:rPr>
        <w:t>Fuel derivative contracts are recognized at fair value on the Consolidated Balance Sheets as Derivative Assets, if the fair value is in an asset position, or as Derivative Liabilities, if the fair value is in a liability position. The Company did not have any collateral held by counterparties to these agreements as of December 31, 2020 and 2019. Derivatives where the payment due date is greater than one year from the balance sheet date are classified as long-term.</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Derivative Assets (Liabilities) were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1320" w:type="dxa"/>
            <w:vAlign w:val="bottom"/>
            <w:gridSpan w:val="8"/>
          </w:tcPr>
          <w:p>
            <w:pPr>
              <w:ind w:left="20"/>
              <w:spacing w:after="0"/>
              <w:rPr>
                <w:sz w:val="20"/>
                <w:szCs w:val="20"/>
                <w:color w:val="auto"/>
              </w:rPr>
            </w:pPr>
            <w:r>
              <w:rPr>
                <w:rFonts w:ascii="Arial" w:cs="Arial" w:eastAsia="Arial" w:hAnsi="Arial"/>
                <w:sz w:val="12"/>
                <w:szCs w:val="12"/>
                <w:b w:val="1"/>
                <w:bCs w:val="1"/>
                <w:color w:val="auto"/>
                <w:w w:val="86"/>
              </w:rPr>
              <w:t>Year Ended December 31,</w:t>
            </w:r>
          </w:p>
        </w:tc>
      </w:tr>
      <w:tr>
        <w:trPr>
          <w:trHeight w:val="21"/>
        </w:trPr>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80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8"/>
              </w:rPr>
              <w:t>(12,006)</w:t>
            </w:r>
          </w:p>
        </w:tc>
        <w:tc>
          <w:tcPr>
            <w:tcW w:w="40" w:type="dxa"/>
            <w:vAlign w:val="bottom"/>
          </w:tcPr>
          <w:p>
            <w:pPr>
              <w:spacing w:after="0"/>
              <w:rPr>
                <w:sz w:val="17"/>
                <w:szCs w:val="17"/>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5"/>
                <w:szCs w:val="15"/>
                <w:color w:val="auto"/>
              </w:rPr>
              <w:t>Non-cash gains (losses)</w:t>
            </w: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w w:val="85"/>
              </w:rPr>
              <w:t>(12,206)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10,791</w:t>
            </w:r>
          </w:p>
        </w:tc>
        <w:tc>
          <w:tcPr>
            <w:tcW w:w="40" w:type="dxa"/>
            <w:vAlign w:val="bottom"/>
          </w:tcPr>
          <w:p>
            <w:pPr>
              <w:spacing w:after="0"/>
              <w:rPr>
                <w:sz w:val="18"/>
                <w:szCs w:val="18"/>
                <w:color w:val="auto"/>
              </w:rPr>
            </w:pPr>
          </w:p>
        </w:tc>
      </w:tr>
      <w:tr>
        <w:trPr>
          <w:trHeight w:val="21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Contract settlements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3,448</w:t>
            </w:r>
          </w:p>
        </w:tc>
        <w:tc>
          <w:tcPr>
            <w:tcW w:w="4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5"/>
                <w:szCs w:val="15"/>
                <w:color w:val="auto"/>
              </w:rPr>
              <w:t>Balance—December 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40"/>
              <w:spacing w:after="0"/>
              <w:rPr>
                <w:sz w:val="20"/>
                <w:szCs w:val="20"/>
                <w:color w:val="auto"/>
              </w:rPr>
            </w:pPr>
            <w:r>
              <w:rPr>
                <w:rFonts w:ascii="Arial" w:cs="Arial" w:eastAsia="Arial" w:hAnsi="Arial"/>
                <w:sz w:val="15"/>
                <w:szCs w:val="15"/>
                <w:color w:val="auto"/>
              </w:rPr>
              <w:t>(1,173)</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2,233</w:t>
            </w:r>
          </w:p>
        </w:tc>
        <w:tc>
          <w:tcPr>
            <w:tcW w:w="4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-173990</wp:posOffset>
            </wp:positionV>
            <wp:extent cx="6985"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-585470</wp:posOffset>
            </wp:positionV>
            <wp:extent cx="350901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509010" cy="6985"/>
                    </a:xfrm>
                    <a:prstGeom prst="rect">
                      <a:avLst/>
                    </a:prstGeom>
                    <a:noFill/>
                  </pic:spPr>
                </pic:pic>
              </a:graphicData>
            </a:graphic>
          </wp:anchor>
        </w:drawing>
      </w:r>
    </w:p>
    <w:p>
      <w:pPr>
        <w:spacing w:after="0" w:line="156"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Fuel Derivative Gains (Losses) consisted of the following:</w:t>
      </w:r>
    </w:p>
    <w:p>
      <w:pPr>
        <w:spacing w:after="0" w:line="144"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440" w:type="dxa"/>
            <w:vAlign w:val="bottom"/>
            <w:gridSpan w:val="4"/>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37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940" w:type="dxa"/>
            <w:vAlign w:val="bottom"/>
            <w:gridSpan w:val="3"/>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50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Non-cash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$(12,206)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$10,791</w:t>
            </w:r>
          </w:p>
        </w:tc>
        <w:tc>
          <w:tcPr>
            <w:tcW w:w="1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$(12,006)</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20"/>
                <w:szCs w:val="20"/>
                <w:color w:val="auto"/>
              </w:rPr>
            </w:pPr>
            <w:r>
              <w:rPr>
                <w:rFonts w:ascii="Arial" w:cs="Arial" w:eastAsia="Arial" w:hAnsi="Arial"/>
                <w:sz w:val="15"/>
                <w:szCs w:val="15"/>
                <w:color w:val="auto"/>
              </w:rPr>
              <w:t>Cash Premiums Paid</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(2,053)</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(665)</w:t>
            </w: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(2,280)</w:t>
            </w:r>
          </w:p>
        </w:tc>
        <w:tc>
          <w:tcPr>
            <w:tcW w:w="0" w:type="dxa"/>
            <w:vAlign w:val="bottom"/>
          </w:tcPr>
          <w:p>
            <w:pPr>
              <w:spacing w:after="0"/>
              <w:rPr>
                <w:sz w:val="1"/>
                <w:szCs w:val="1"/>
                <w:color w:val="auto"/>
              </w:rPr>
            </w:pPr>
          </w:p>
        </w:tc>
      </w:tr>
      <w:tr>
        <w:trPr>
          <w:trHeight w:val="20"/>
        </w:trPr>
        <w:tc>
          <w:tcPr>
            <w:tcW w:w="37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Fuel Derivative gains (losses)</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7"/>
              </w:rPr>
              <w:t>$(14,259)</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$10,126</w:t>
            </w: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$(14,286)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-173990</wp:posOffset>
            </wp:positionV>
            <wp:extent cx="132715"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390265"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39026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-452755</wp:posOffset>
            </wp:positionV>
            <wp:extent cx="3258185"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258185" cy="6985"/>
                    </a:xfrm>
                    <a:prstGeom prst="rect">
                      <a:avLst/>
                    </a:prstGeom>
                    <a:noFill/>
                  </pic:spPr>
                </pic:pic>
              </a:graphicData>
            </a:graphic>
          </wp:anchor>
        </w:drawing>
      </w:r>
    </w:p>
    <w:p>
      <w:pPr>
        <w:spacing w:after="0" w:line="156" w:lineRule="exact"/>
        <w:rPr>
          <w:sz w:val="20"/>
          <w:szCs w:val="20"/>
          <w:color w:val="auto"/>
        </w:rPr>
      </w:pPr>
    </w:p>
    <w:p>
      <w:pPr>
        <w:ind w:left="1160" w:right="1239" w:firstLine="293"/>
        <w:spacing w:after="0" w:line="258" w:lineRule="auto"/>
        <w:rPr>
          <w:sz w:val="20"/>
          <w:szCs w:val="20"/>
          <w:color w:val="auto"/>
        </w:rPr>
      </w:pPr>
      <w:r>
        <w:rPr>
          <w:rFonts w:ascii="Arial" w:cs="Arial" w:eastAsia="Arial" w:hAnsi="Arial"/>
          <w:sz w:val="14"/>
          <w:szCs w:val="14"/>
          <w:color w:val="auto"/>
        </w:rPr>
        <w:t>There were fuel derivative gains in the second, third and fourth quarters of 2020, primarily due to the partial recovery of oil prices following the decline during the first quarter of 2020. There were no fuel derivatives outstanding during the period January 1, 2018 through April 10, 2018. Fuel derivative gains and losses are recognized in Aircraft Fuel expense on the Consolidated Statements of Operations.</w:t>
      </w:r>
    </w:p>
    <w:p>
      <w:pPr>
        <w:spacing w:after="0" w:line="77" w:lineRule="exact"/>
        <w:rPr>
          <w:sz w:val="20"/>
          <w:szCs w:val="20"/>
          <w:color w:val="auto"/>
        </w:rPr>
      </w:pPr>
    </w:p>
    <w:p>
      <w:pPr>
        <w:ind w:left="1160" w:right="1179" w:firstLine="293"/>
        <w:spacing w:after="0" w:line="248" w:lineRule="auto"/>
        <w:rPr>
          <w:sz w:val="20"/>
          <w:szCs w:val="20"/>
          <w:color w:val="auto"/>
        </w:rPr>
      </w:pPr>
      <w:r>
        <w:rPr>
          <w:rFonts w:ascii="Arial" w:cs="Arial" w:eastAsia="Arial" w:hAnsi="Arial"/>
          <w:sz w:val="15"/>
          <w:szCs w:val="15"/>
          <w:color w:val="auto"/>
        </w:rPr>
        <w:t>As of December 31, 2020, the Company had outstanding fuel derivative contracts covering 21.0 million gallons of crude oil and jet fuel that will settle between January 2021 and September 2021.</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Fuel Consortia</w:t>
      </w:r>
    </w:p>
    <w:p>
      <w:pPr>
        <w:spacing w:after="0" w:line="128" w:lineRule="exact"/>
        <w:rPr>
          <w:sz w:val="20"/>
          <w:szCs w:val="20"/>
          <w:color w:val="auto"/>
        </w:rPr>
      </w:pPr>
    </w:p>
    <w:p>
      <w:pPr>
        <w:ind w:left="1160" w:right="1319" w:firstLine="293"/>
        <w:spacing w:after="0" w:line="233" w:lineRule="auto"/>
        <w:rPr>
          <w:sz w:val="20"/>
          <w:szCs w:val="20"/>
          <w:color w:val="auto"/>
        </w:rPr>
      </w:pPr>
      <w:r>
        <w:rPr>
          <w:rFonts w:ascii="Arial" w:cs="Arial" w:eastAsia="Arial" w:hAnsi="Arial"/>
          <w:sz w:val="15"/>
          <w:szCs w:val="15"/>
          <w:color w:val="auto"/>
        </w:rPr>
        <w:t>The Company currently participates in fuel consortia at multiple airports. These agreements generally include cost-sharing provisions and environmental indemnities that are generally joint and several among the participating airlines. To the extent the consortium are legal entities, they meet the definition of a VIE and must be considered for consolidation in the Company’s Consolidated Financial Statements. The company concluded that it is not the primary beneficiary of any fuel consortia as SCA’s participation generally represents a small percentage of the overall fuel consortia interests and SCA does not have the ability to direct the activities of the consortia.</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w:t>
      </w:r>
    </w:p>
    <w:p>
      <w:pPr>
        <w:spacing w:after="0" w:line="128" w:lineRule="exact"/>
        <w:rPr>
          <w:sz w:val="20"/>
          <w:szCs w:val="20"/>
          <w:color w:val="auto"/>
        </w:rPr>
      </w:pPr>
    </w:p>
    <w:p>
      <w:pPr>
        <w:ind w:left="1160" w:right="1179" w:firstLine="293"/>
        <w:spacing w:after="0" w:line="283" w:lineRule="auto"/>
        <w:rPr>
          <w:sz w:val="20"/>
          <w:szCs w:val="20"/>
          <w:color w:val="auto"/>
        </w:rPr>
      </w:pPr>
      <w:r>
        <w:rPr>
          <w:rFonts w:ascii="Arial" w:cs="Arial" w:eastAsia="Arial" w:hAnsi="Arial"/>
          <w:sz w:val="14"/>
          <w:szCs w:val="14"/>
          <w:color w:val="auto"/>
        </w:rPr>
        <w:t>Accounting standards define fair value as the exchange price that would be received for an asset or paid to transfer a liability (an exit price) in the principal or most advantageous market for the asset or</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FAIR VALUE MEASUREMENTS (continued)</w:t>
      </w:r>
    </w:p>
    <w:p>
      <w:pPr>
        <w:spacing w:after="0" w:line="183" w:lineRule="exact"/>
        <w:rPr>
          <w:sz w:val="20"/>
          <w:szCs w:val="20"/>
          <w:color w:val="auto"/>
        </w:rPr>
      </w:pPr>
    </w:p>
    <w:p>
      <w:pPr>
        <w:ind w:left="1160" w:right="1279"/>
        <w:spacing w:after="0" w:line="236" w:lineRule="auto"/>
        <w:rPr>
          <w:sz w:val="20"/>
          <w:szCs w:val="20"/>
          <w:color w:val="auto"/>
        </w:rPr>
      </w:pPr>
      <w:r>
        <w:rPr>
          <w:rFonts w:ascii="Arial" w:cs="Arial" w:eastAsia="Arial" w:hAnsi="Arial"/>
          <w:sz w:val="15"/>
          <w:szCs w:val="15"/>
          <w:color w:val="auto"/>
        </w:rPr>
        <w:t>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69" w:lineRule="exact"/>
        <w:rPr>
          <w:sz w:val="20"/>
          <w:szCs w:val="20"/>
          <w:color w:val="auto"/>
        </w:rPr>
      </w:pPr>
    </w:p>
    <w:p>
      <w:pPr>
        <w:ind w:left="14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—Quoted prices for identical assets or liabilities in active markets.</w:t>
      </w:r>
    </w:p>
    <w:p>
      <w:pPr>
        <w:spacing w:after="0" w:line="102" w:lineRule="exact"/>
        <w:rPr>
          <w:sz w:val="20"/>
          <w:szCs w:val="20"/>
          <w:color w:val="auto"/>
        </w:rPr>
      </w:pPr>
    </w:p>
    <w:p>
      <w:pPr>
        <w:ind w:left="2040" w:right="1559" w:hanging="585"/>
        <w:spacing w:after="0" w:line="274" w:lineRule="auto"/>
        <w:rPr>
          <w:sz w:val="20"/>
          <w:szCs w:val="20"/>
          <w:color w:val="auto"/>
        </w:rPr>
      </w:pPr>
      <w:r>
        <w:rPr>
          <w:rFonts w:ascii="Arial" w:cs="Arial" w:eastAsia="Arial" w:hAnsi="Arial"/>
          <w:sz w:val="14"/>
          <w:szCs w:val="14"/>
          <w:u w:val="single" w:color="auto"/>
          <w:color w:val="auto"/>
        </w:rPr>
        <w:t>Level 2</w:t>
      </w:r>
      <w:r>
        <w:rPr>
          <w:rFonts w:ascii="Arial" w:cs="Arial" w:eastAsia="Arial" w:hAnsi="Arial"/>
          <w:sz w:val="14"/>
          <w:szCs w:val="14"/>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2040" w:right="1279" w:hanging="585"/>
        <w:spacing w:after="0" w:line="264"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9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The Company uses the following valuation methodologies for financial instruments measured at fair value on a recurring basis.</w:t>
      </w:r>
    </w:p>
    <w:p>
      <w:pPr>
        <w:spacing w:after="0" w:line="79" w:lineRule="exact"/>
        <w:rPr>
          <w:sz w:val="20"/>
          <w:szCs w:val="20"/>
          <w:color w:val="auto"/>
        </w:rPr>
      </w:pPr>
    </w:p>
    <w:p>
      <w:pPr>
        <w:ind w:left="1160" w:right="1299" w:firstLine="293"/>
        <w:spacing w:after="0" w:line="260" w:lineRule="auto"/>
        <w:rPr>
          <w:sz w:val="20"/>
          <w:szCs w:val="20"/>
          <w:color w:val="auto"/>
        </w:rPr>
      </w:pPr>
      <w:r>
        <w:rPr>
          <w:rFonts w:ascii="Arial" w:cs="Arial" w:eastAsia="Arial" w:hAnsi="Arial"/>
          <w:sz w:val="14"/>
          <w:szCs w:val="14"/>
          <w:b w:val="1"/>
          <w:bCs w:val="1"/>
          <w:color w:val="auto"/>
        </w:rPr>
        <w:t>Derivative Instruments—</w:t>
      </w:r>
      <w:r>
        <w:rPr>
          <w:rFonts w:ascii="Arial" w:cs="Arial" w:eastAsia="Arial" w:hAnsi="Arial"/>
          <w:sz w:val="14"/>
          <w:szCs w:val="14"/>
          <w:color w:val="auto"/>
        </w:rPr>
        <w:t>Derivative instruments are accounted for as either assets or liabilities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8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following table summarizes the assets and liabilities measured at fair value on a recurring basis:</w:t>
      </w:r>
    </w:p>
    <w:p>
      <w:pPr>
        <w:spacing w:after="0" w:line="140"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2020</w:t>
            </w:r>
          </w:p>
        </w:tc>
        <w:tc>
          <w:tcPr>
            <w:tcW w:w="400" w:type="dxa"/>
            <w:vAlign w:val="bottom"/>
          </w:tcPr>
          <w:p>
            <w:pPr>
              <w:spacing w:after="0"/>
              <w:rPr>
                <w:sz w:val="13"/>
                <w:szCs w:val="13"/>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306"/>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w w:val="98"/>
              </w:rPr>
              <w:t>December 31, 2019</w:t>
            </w:r>
          </w:p>
        </w:tc>
        <w:tc>
          <w:tcPr>
            <w:tcW w:w="400" w:type="dxa"/>
            <w:vAlign w:val="bottom"/>
          </w:tcPr>
          <w:p>
            <w:pPr>
              <w:spacing w:after="0"/>
              <w:rPr>
                <w:sz w:val="24"/>
                <w:szCs w:val="24"/>
                <w:color w:val="auto"/>
              </w:rPr>
            </w:pPr>
          </w:p>
        </w:tc>
      </w:tr>
      <w:tr>
        <w:trPr>
          <w:trHeight w:val="21"/>
        </w:trPr>
        <w:tc>
          <w:tcPr>
            <w:tcW w:w="40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060" w:type="dxa"/>
            <w:vAlign w:val="bottom"/>
          </w:tcPr>
          <w:p>
            <w:pPr>
              <w:spacing w:after="0"/>
              <w:rPr>
                <w:sz w:val="13"/>
                <w:szCs w:val="13"/>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73"/>
              </w:rPr>
              <w:t>Level 1</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Level 2</w:t>
            </w:r>
          </w:p>
        </w:tc>
        <w:tc>
          <w:tcPr>
            <w:tcW w:w="240" w:type="dxa"/>
            <w:vAlign w:val="bottom"/>
          </w:tcPr>
          <w:p>
            <w:pPr>
              <w:spacing w:after="0"/>
              <w:rPr>
                <w:sz w:val="13"/>
                <w:szCs w:val="13"/>
                <w:color w:val="auto"/>
              </w:rPr>
            </w:pPr>
          </w:p>
        </w:tc>
        <w:tc>
          <w:tcPr>
            <w:tcW w:w="4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74"/>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9"/>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Assets</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14"/>
        </w:trPr>
        <w:tc>
          <w:tcPr>
            <w:tcW w:w="4060" w:type="dxa"/>
            <w:vAlign w:val="bottom"/>
          </w:tcPr>
          <w:p>
            <w:pPr>
              <w:ind w:left="14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$2,233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-975995</wp:posOffset>
            </wp:positionV>
            <wp:extent cx="3606800"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-1248410</wp:posOffset>
            </wp:positionV>
            <wp:extent cx="111760"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-1248410</wp:posOffset>
            </wp:positionV>
            <wp:extent cx="11176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-1248410</wp:posOffset>
            </wp:positionV>
            <wp:extent cx="11176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-1248410</wp:posOffset>
            </wp:positionV>
            <wp:extent cx="48895"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60680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-445770</wp:posOffset>
            </wp:positionV>
            <wp:extent cx="111760"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-445770</wp:posOffset>
            </wp:positionV>
            <wp:extent cx="111760"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-445770</wp:posOffset>
            </wp:positionV>
            <wp:extent cx="111760"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-445770</wp:posOffset>
            </wp:positionV>
            <wp:extent cx="55880"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34" w:lineRule="exact"/>
        <w:rPr>
          <w:sz w:val="20"/>
          <w:szCs w:val="20"/>
          <w:color w:val="auto"/>
        </w:rPr>
      </w:pPr>
    </w:p>
    <w:p>
      <w:pPr>
        <w:ind w:left="1160" w:right="1219" w:firstLine="293"/>
        <w:spacing w:after="0" w:line="234" w:lineRule="auto"/>
        <w:rPr>
          <w:sz w:val="20"/>
          <w:szCs w:val="20"/>
          <w:color w:val="auto"/>
        </w:rPr>
      </w:pPr>
      <w:r>
        <w:rPr>
          <w:rFonts w:ascii="Arial" w:cs="Arial" w:eastAsia="Arial" w:hAnsi="Arial"/>
          <w:sz w:val="15"/>
          <w:szCs w:val="15"/>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101"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The Company’s debt portfolio consists of EETC certificates and notes payable. See Note 9 for debt fair values.</w:t>
      </w:r>
    </w:p>
    <w:p>
      <w:pPr>
        <w:spacing w:after="0" w:line="11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w:t>
      </w:r>
    </w:p>
    <w:p>
      <w:pPr>
        <w:spacing w:after="0" w:line="106" w:lineRule="exact"/>
        <w:rPr>
          <w:sz w:val="20"/>
          <w:szCs w:val="20"/>
          <w:color w:val="auto"/>
        </w:rPr>
      </w:pPr>
    </w:p>
    <w:p>
      <w:pPr>
        <w:ind w:left="1160" w:right="1439" w:firstLine="293"/>
        <w:spacing w:after="0" w:line="236" w:lineRule="auto"/>
        <w:rPr>
          <w:sz w:val="20"/>
          <w:szCs w:val="20"/>
          <w:color w:val="auto"/>
        </w:rPr>
      </w:pPr>
      <w:r>
        <w:rPr>
          <w:rFonts w:ascii="Arial" w:cs="Arial" w:eastAsia="Arial" w:hAnsi="Arial"/>
          <w:sz w:val="15"/>
          <w:szCs w:val="15"/>
          <w:color w:val="auto"/>
        </w:rPr>
        <w:t>The Company’s effective tax rate for the years ended December 31, 2020 and 2019 were 16.6% and 23.5%, respectively, and for the period from April 11, 2018 to December 31, 2018 it was (77.9)%. The effective tax rate represents a blend of federal and state taxes and includes the impact of certain nondeductible items.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160" w:right="1479" w:firstLine="293"/>
        <w:spacing w:after="0" w:line="264" w:lineRule="auto"/>
        <w:rPr>
          <w:sz w:val="20"/>
          <w:szCs w:val="20"/>
          <w:color w:val="auto"/>
        </w:rPr>
      </w:pPr>
      <w:r>
        <w:rPr>
          <w:rFonts w:ascii="Arial" w:cs="Arial" w:eastAsia="Arial" w:hAnsi="Arial"/>
          <w:sz w:val="15"/>
          <w:szCs w:val="15"/>
          <w:color w:val="auto"/>
        </w:rPr>
        <w:t>The following table summarizes the significant components of the provision for income taxes from continuing operations: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160"/>
              <w:spacing w:after="0"/>
              <w:rPr>
                <w:sz w:val="20"/>
                <w:szCs w:val="20"/>
                <w:color w:val="auto"/>
              </w:rPr>
            </w:pPr>
            <w:r>
              <w:rPr>
                <w:rFonts w:ascii="Arial" w:cs="Arial" w:eastAsia="Arial" w:hAnsi="Arial"/>
                <w:sz w:val="12"/>
                <w:szCs w:val="12"/>
                <w:b w:val="1"/>
                <w:bCs w:val="1"/>
                <w:color w:val="auto"/>
                <w:w w:val="78"/>
              </w:rPr>
              <w:t>Successor</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7"/>
            <w:vMerge w:val="restart"/>
          </w:tcPr>
          <w:p>
            <w:pPr>
              <w:spacing w:after="0"/>
              <w:rPr>
                <w:sz w:val="20"/>
                <w:szCs w:val="20"/>
                <w:color w:val="auto"/>
              </w:rPr>
            </w:pPr>
            <w:r>
              <w:rPr>
                <w:rFonts w:ascii="Arial" w:cs="Arial" w:eastAsia="Arial" w:hAnsi="Arial"/>
                <w:sz w:val="12"/>
                <w:szCs w:val="12"/>
                <w:b w:val="1"/>
                <w:bCs w:val="1"/>
                <w:color w:val="auto"/>
                <w:w w:val="93"/>
              </w:rPr>
              <w:t>Year Ended December 31,</w:t>
            </w:r>
          </w:p>
        </w:tc>
        <w:tc>
          <w:tcPr>
            <w:tcW w:w="9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6"/>
              </w:rPr>
              <w:t>For the period</w:t>
            </w:r>
          </w:p>
        </w:tc>
        <w:tc>
          <w:tcPr>
            <w:tcW w:w="0" w:type="dxa"/>
            <w:vAlign w:val="bottom"/>
          </w:tcPr>
          <w:p>
            <w:pPr>
              <w:spacing w:after="0"/>
              <w:rPr>
                <w:sz w:val="1"/>
                <w:szCs w:val="1"/>
                <w:color w:val="auto"/>
              </w:rPr>
            </w:pPr>
          </w:p>
        </w:tc>
      </w:tr>
      <w:tr>
        <w:trPr>
          <w:trHeight w:val="84"/>
        </w:trPr>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7"/>
            <w:vMerge w:val="continue"/>
          </w:tcPr>
          <w:p>
            <w:pPr>
              <w:spacing w:after="0"/>
              <w:rPr>
                <w:sz w:val="7"/>
                <w:szCs w:val="7"/>
                <w:color w:val="auto"/>
              </w:rPr>
            </w:pPr>
          </w:p>
        </w:tc>
        <w:tc>
          <w:tcPr>
            <w:tcW w:w="940" w:type="dxa"/>
            <w:vAlign w:val="bottom"/>
            <w:gridSpan w:val="3"/>
            <w:vMerge w:val="restart"/>
          </w:tcPr>
          <w:p>
            <w:pPr>
              <w:jc w:val="center"/>
              <w:ind w:right="4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66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0"/>
              <w:spacing w:after="0"/>
              <w:rPr>
                <w:sz w:val="20"/>
                <w:szCs w:val="20"/>
                <w:color w:val="auto"/>
              </w:rPr>
            </w:pPr>
            <w:r>
              <w:rPr>
                <w:rFonts w:ascii="Arial" w:cs="Arial" w:eastAsia="Arial" w:hAnsi="Arial"/>
                <w:sz w:val="12"/>
                <w:szCs w:val="12"/>
                <w:b w:val="1"/>
                <w:bCs w:val="1"/>
                <w:color w:val="auto"/>
                <w:w w:val="97"/>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14"/>
        </w:trPr>
        <w:tc>
          <w:tcPr>
            <w:tcW w:w="3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Current Tax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w:t>
            </w: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5"/>
                <w:szCs w:val="15"/>
                <w:color w:val="auto"/>
              </w:rPr>
              <w:t>Federal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(597)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12,509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and Local</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(191)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5"/>
                <w:szCs w:val="15"/>
                <w:color w:val="auto"/>
              </w:rPr>
              <w:t>Total Deferred Tax Expense / (Benefit)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w w:val="85"/>
              </w:rPr>
              <w:t>(788)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2"/>
              </w:rPr>
              <w:t>14,022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161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Total Income Tax Expense / (Benefit)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5"/>
              </w:rPr>
              <w:t>(778)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14,088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-153035</wp:posOffset>
            </wp:positionV>
            <wp:extent cx="3865245"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-767080</wp:posOffset>
            </wp:positionV>
            <wp:extent cx="3865245"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-1317625</wp:posOffset>
            </wp:positionV>
            <wp:extent cx="111760"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-1317625</wp:posOffset>
            </wp:positionV>
            <wp:extent cx="55880"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-1317625</wp:posOffset>
            </wp:positionV>
            <wp:extent cx="111760"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78" w:lineRule="exact"/>
        <w:rPr>
          <w:sz w:val="20"/>
          <w:szCs w:val="20"/>
          <w:color w:val="auto"/>
        </w:rPr>
      </w:pPr>
    </w:p>
    <w:p>
      <w:pPr>
        <w:ind w:left="1160" w:right="1599" w:firstLine="293"/>
        <w:spacing w:after="0" w:line="264" w:lineRule="auto"/>
        <w:rPr>
          <w:sz w:val="20"/>
          <w:szCs w:val="20"/>
          <w:color w:val="auto"/>
        </w:rPr>
      </w:pPr>
      <w:r>
        <w:rPr>
          <w:rFonts w:ascii="Arial" w:cs="Arial" w:eastAsia="Arial" w:hAnsi="Arial"/>
          <w:sz w:val="15"/>
          <w:szCs w:val="15"/>
          <w:color w:val="auto"/>
        </w:rPr>
        <w:t>The income tax provision differs from that computed at the federal statutory corporate tax rate as follows:</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b w:val="1"/>
                <w:bCs w:val="1"/>
                <w:color w:val="auto"/>
                <w:w w:val="75"/>
              </w:rPr>
              <w:t>Successor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44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4"/>
              </w:rPr>
              <w:t>For the period</w:t>
            </w:r>
          </w:p>
        </w:tc>
        <w:tc>
          <w:tcPr>
            <w:tcW w:w="0" w:type="dxa"/>
            <w:vAlign w:val="bottom"/>
          </w:tcPr>
          <w:p>
            <w:pPr>
              <w:spacing w:after="0"/>
              <w:rPr>
                <w:sz w:val="1"/>
                <w:szCs w:val="1"/>
                <w:color w:val="auto"/>
              </w:rPr>
            </w:pPr>
          </w:p>
        </w:tc>
      </w:tr>
      <w:tr>
        <w:trPr>
          <w:trHeight w:val="84"/>
        </w:trPr>
        <w:tc>
          <w:tcPr>
            <w:tcW w:w="370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940" w:type="dxa"/>
            <w:vAlign w:val="bottom"/>
            <w:vMerge w:val="restart"/>
          </w:tcPr>
          <w:p>
            <w:pPr>
              <w:jc w:val="center"/>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4"/>
                <w:szCs w:val="14"/>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Expected Provision at Federal Statutory</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300"/>
              <w:spacing w:after="0"/>
              <w:rPr>
                <w:sz w:val="20"/>
                <w:szCs w:val="20"/>
                <w:color w:val="auto"/>
              </w:rPr>
            </w:pPr>
            <w:r>
              <w:rPr>
                <w:rFonts w:ascii="Arial" w:cs="Arial" w:eastAsia="Arial" w:hAnsi="Arial"/>
                <w:sz w:val="15"/>
                <w:szCs w:val="15"/>
                <w:color w:val="auto"/>
              </w:rPr>
              <w:t>Tax Rate</w:t>
            </w: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Tax, net of Federal Impact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09"/>
        </w:trPr>
        <w:tc>
          <w:tcPr>
            <w:tcW w:w="3700" w:type="dxa"/>
            <w:vAlign w:val="bottom"/>
          </w:tcPr>
          <w:p>
            <w:pPr>
              <w:ind w:left="140"/>
              <w:spacing w:after="0"/>
              <w:rPr>
                <w:sz w:val="20"/>
                <w:szCs w:val="20"/>
                <w:color w:val="auto"/>
              </w:rPr>
            </w:pPr>
            <w:r>
              <w:rPr>
                <w:rFonts w:ascii="Arial" w:cs="Arial" w:eastAsia="Arial" w:hAnsi="Arial"/>
                <w:sz w:val="15"/>
                <w:szCs w:val="15"/>
                <w:color w:val="auto"/>
              </w:rPr>
              <w:t>Employee Parking</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(3.3)%</w:t>
            </w:r>
          </w:p>
        </w:tc>
        <w:tc>
          <w:tcPr>
            <w:tcW w:w="540" w:type="dxa"/>
            <w:vAlign w:val="bottom"/>
          </w:tcPr>
          <w:p>
            <w:pPr>
              <w:jc w:val="right"/>
              <w:spacing w:after="0"/>
              <w:rPr>
                <w:sz w:val="20"/>
                <w:szCs w:val="20"/>
                <w:color w:val="auto"/>
              </w:rPr>
            </w:pPr>
            <w:r>
              <w:rPr>
                <w:rFonts w:ascii="Arial" w:cs="Arial" w:eastAsia="Arial" w:hAnsi="Arial"/>
                <w:sz w:val="15"/>
                <w:szCs w:val="15"/>
                <w:color w:val="auto"/>
              </w:rPr>
              <w:t>0.2%</w:t>
            </w:r>
          </w:p>
        </w:tc>
        <w:tc>
          <w:tcPr>
            <w:tcW w:w="1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Meals and Entertainment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220"/>
        </w:trPr>
        <w:tc>
          <w:tcPr>
            <w:tcW w:w="3700" w:type="dxa"/>
            <w:vAlign w:val="bottom"/>
          </w:tcPr>
          <w:p>
            <w:pPr>
              <w:ind w:left="140"/>
              <w:spacing w:after="0"/>
              <w:rPr>
                <w:sz w:val="20"/>
                <w:szCs w:val="20"/>
                <w:color w:val="auto"/>
              </w:rPr>
            </w:pPr>
            <w:r>
              <w:rPr>
                <w:rFonts w:ascii="Arial" w:cs="Arial" w:eastAsia="Arial" w:hAnsi="Arial"/>
                <w:sz w:val="15"/>
                <w:szCs w:val="15"/>
                <w:color w:val="auto"/>
              </w:rPr>
              <w:t>Other Permanent Adjustments</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(2.0)%</w:t>
            </w:r>
          </w:p>
        </w:tc>
        <w:tc>
          <w:tcPr>
            <w:tcW w:w="540" w:type="dxa"/>
            <w:vAlign w:val="bottom"/>
          </w:tcPr>
          <w:p>
            <w:pPr>
              <w:jc w:val="right"/>
              <w:spacing w:after="0"/>
              <w:rPr>
                <w:sz w:val="20"/>
                <w:szCs w:val="20"/>
                <w:color w:val="auto"/>
              </w:rPr>
            </w:pPr>
            <w:r>
              <w:rPr>
                <w:rFonts w:ascii="Arial" w:cs="Arial" w:eastAsia="Arial" w:hAnsi="Arial"/>
                <w:sz w:val="15"/>
                <w:szCs w:val="15"/>
                <w:color w:val="auto"/>
              </w:rPr>
              <w:t>0.0%</w:t>
            </w:r>
          </w:p>
        </w:tc>
        <w:tc>
          <w:tcPr>
            <w:tcW w:w="18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spacing w:after="0"/>
              <w:rPr>
                <w:sz w:val="20"/>
                <w:szCs w:val="20"/>
                <w:color w:val="auto"/>
              </w:rPr>
            </w:pPr>
            <w:r>
              <w:rPr>
                <w:rFonts w:ascii="Arial" w:cs="Arial" w:eastAsia="Arial" w:hAnsi="Arial"/>
                <w:sz w:val="15"/>
                <w:szCs w:val="15"/>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-948055</wp:posOffset>
            </wp:positionV>
            <wp:extent cx="111760"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-948055</wp:posOffset>
            </wp:positionV>
            <wp:extent cx="55880"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-948055</wp:posOffset>
            </wp:positionV>
            <wp:extent cx="111760"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INCOME TAXES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summarizes the significant components of the Company’s deferred taxes: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4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Net Operating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75,389</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24,680</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Operating Lease Obligations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38,629</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Finance Lease Obligations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20,095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45,392</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Goodwill and Other Intangible Assets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15,325</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Loyalty Program Liabilities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5,064</w:t>
            </w:r>
          </w:p>
        </w:tc>
        <w:tc>
          <w:tcPr>
            <w:tcW w:w="60" w:type="dxa"/>
            <w:vAlign w:val="bottom"/>
          </w:tcPr>
          <w:p>
            <w:pPr>
              <w:spacing w:after="0"/>
              <w:rPr>
                <w:sz w:val="18"/>
                <w:szCs w:val="18"/>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Accrued Maintenance</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7,481</w:t>
            </w:r>
          </w:p>
        </w:tc>
        <w:tc>
          <w:tcPr>
            <w:tcW w:w="60" w:type="dxa"/>
            <w:vAlign w:val="bottom"/>
          </w:tcPr>
          <w:p>
            <w:pPr>
              <w:spacing w:after="0"/>
              <w:rPr>
                <w:sz w:val="18"/>
                <w:szCs w:val="18"/>
                <w:color w:val="auto"/>
              </w:rPr>
            </w:pPr>
          </w:p>
        </w:tc>
      </w:tr>
      <w:tr>
        <w:trPr>
          <w:trHeight w:val="214"/>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2,769</w:t>
            </w:r>
          </w:p>
        </w:tc>
        <w:tc>
          <w:tcPr>
            <w:tcW w:w="60" w:type="dxa"/>
            <w:vAlign w:val="bottom"/>
          </w:tcPr>
          <w:p>
            <w:pPr>
              <w:spacing w:after="0"/>
              <w:rPr>
                <w:sz w:val="18"/>
                <w:szCs w:val="18"/>
                <w:color w:val="auto"/>
              </w:rPr>
            </w:pPr>
          </w:p>
        </w:tc>
      </w:tr>
      <w:tr>
        <w:trPr>
          <w:trHeight w:val="211"/>
        </w:trPr>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Assets</w:t>
            </w: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154,675</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139,340</w:t>
            </w:r>
          </w:p>
        </w:tc>
        <w:tc>
          <w:tcPr>
            <w:tcW w:w="60" w:type="dxa"/>
            <w:vAlign w:val="bottom"/>
          </w:tcPr>
          <w:p>
            <w:pPr>
              <w:spacing w:after="0"/>
              <w:rPr>
                <w:sz w:val="18"/>
                <w:szCs w:val="18"/>
                <w:color w:val="auto"/>
              </w:rPr>
            </w:pPr>
          </w:p>
        </w:tc>
      </w:tr>
      <w:tr>
        <w:trPr>
          <w:trHeight w:val="293"/>
        </w:trPr>
        <w:tc>
          <w:tcPr>
            <w:tcW w:w="470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Accelerated Depreciation</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(67,105)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(24,858)</w:t>
            </w:r>
          </w:p>
        </w:tc>
        <w:tc>
          <w:tcPr>
            <w:tcW w:w="60" w:type="dxa"/>
            <w:vAlign w:val="bottom"/>
          </w:tcPr>
          <w:p>
            <w:pPr>
              <w:spacing w:after="0"/>
              <w:rPr>
                <w:sz w:val="18"/>
                <w:szCs w:val="18"/>
                <w:color w:val="auto"/>
              </w:rPr>
            </w:pPr>
          </w:p>
        </w:tc>
      </w:tr>
      <w:tr>
        <w:trPr>
          <w:trHeight w:val="209"/>
        </w:trPr>
        <w:tc>
          <w:tcPr>
            <w:tcW w:w="4700" w:type="dxa"/>
            <w:vAlign w:val="bottom"/>
          </w:tcPr>
          <w:p>
            <w:pPr>
              <w:ind w:left="140"/>
              <w:spacing w:after="0"/>
              <w:rPr>
                <w:sz w:val="20"/>
                <w:szCs w:val="20"/>
                <w:color w:val="auto"/>
              </w:rPr>
            </w:pPr>
            <w:r>
              <w:rPr>
                <w:rFonts w:ascii="Arial" w:cs="Arial" w:eastAsia="Arial" w:hAnsi="Arial"/>
                <w:sz w:val="15"/>
                <w:szCs w:val="15"/>
                <w:color w:val="auto"/>
              </w:rPr>
              <w:t>Operating Lease Right-of-use Assets</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(27,892)</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(33,844)</w:t>
            </w:r>
          </w:p>
        </w:tc>
      </w:tr>
      <w:tr>
        <w:trPr>
          <w:trHeight w:val="220"/>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Finance Lease Assets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(23,462)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(44,696)</w:t>
            </w:r>
          </w:p>
        </w:tc>
        <w:tc>
          <w:tcPr>
            <w:tcW w:w="60" w:type="dxa"/>
            <w:vAlign w:val="bottom"/>
          </w:tcPr>
          <w:p>
            <w:pPr>
              <w:spacing w:after="0"/>
              <w:rPr>
                <w:sz w:val="19"/>
                <w:szCs w:val="19"/>
                <w:color w:val="auto"/>
              </w:rPr>
            </w:pPr>
          </w:p>
        </w:tc>
      </w:tr>
      <w:tr>
        <w:trPr>
          <w:trHeight w:val="225"/>
        </w:trPr>
        <w:tc>
          <w:tcPr>
            <w:tcW w:w="4700" w:type="dxa"/>
            <w:vAlign w:val="bottom"/>
          </w:tcPr>
          <w:p>
            <w:pPr>
              <w:ind w:left="140"/>
              <w:spacing w:after="0"/>
              <w:rPr>
                <w:sz w:val="20"/>
                <w:szCs w:val="20"/>
                <w:color w:val="auto"/>
              </w:rPr>
            </w:pPr>
            <w:r>
              <w:rPr>
                <w:rFonts w:ascii="Arial" w:cs="Arial" w:eastAsia="Arial" w:hAnsi="Arial"/>
                <w:sz w:val="15"/>
                <w:szCs w:val="15"/>
                <w:color w:val="auto"/>
              </w:rPr>
              <w:t>Unrealized Gain on Fuel Derivatives</w:t>
            </w: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(514)</w:t>
            </w:r>
          </w:p>
        </w:tc>
      </w:tr>
      <w:tr>
        <w:trPr>
          <w:trHeight w:val="20"/>
        </w:trPr>
        <w:tc>
          <w:tcPr>
            <w:tcW w:w="47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4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Deferred Tax Liabilities</w:t>
            </w: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(118,459)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7"/>
              </w:rPr>
              <w:t>(103,912)</w:t>
            </w:r>
          </w:p>
        </w:tc>
        <w:tc>
          <w:tcPr>
            <w:tcW w:w="60" w:type="dxa"/>
            <w:vAlign w:val="bottom"/>
          </w:tcPr>
          <w:p>
            <w:pPr>
              <w:spacing w:after="0"/>
              <w:rPr>
                <w:sz w:val="19"/>
                <w:szCs w:val="19"/>
                <w:color w:val="auto"/>
              </w:rPr>
            </w:pPr>
          </w:p>
        </w:tc>
      </w:tr>
      <w:tr>
        <w:trPr>
          <w:trHeight w:val="227"/>
        </w:trPr>
        <w:tc>
          <w:tcPr>
            <w:tcW w:w="470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Total Net Deferred Tax Assets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36,216</w:t>
            </w: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35,428</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-334010</wp:posOffset>
            </wp:positionV>
            <wp:extent cx="3481070"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-1227455</wp:posOffset>
            </wp:positionV>
            <wp:extent cx="3481070"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-2294890</wp:posOffset>
            </wp:positionV>
            <wp:extent cx="111760"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-2294890</wp:posOffset>
            </wp:positionV>
            <wp:extent cx="55880"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167" w:lineRule="exact"/>
        <w:rPr>
          <w:sz w:val="20"/>
          <w:szCs w:val="20"/>
          <w:color w:val="auto"/>
        </w:rPr>
      </w:pPr>
    </w:p>
    <w:p>
      <w:pPr>
        <w:jc w:val="both"/>
        <w:ind w:left="1160" w:right="1339" w:firstLine="293"/>
        <w:spacing w:after="0" w:line="281" w:lineRule="auto"/>
        <w:rPr>
          <w:sz w:val="20"/>
          <w:szCs w:val="20"/>
          <w:color w:val="auto"/>
        </w:rPr>
      </w:pPr>
      <w:r>
        <w:rPr>
          <w:rFonts w:ascii="Arial" w:cs="Arial" w:eastAsia="Arial" w:hAnsi="Arial"/>
          <w:sz w:val="14"/>
          <w:szCs w:val="14"/>
          <w:color w:val="auto"/>
        </w:rPr>
        <w:t>As of December 31, 2020, the Company has $73,116 of federal net operating loss and $2,273 of state net operating loss, net of tax effect, available that may be applied against future tax liabilities. There is no expiration of federal net operating losses. The state net operating losses begin to expire in 2025.</w:t>
      </w:r>
    </w:p>
    <w:p>
      <w:pPr>
        <w:spacing w:after="0" w:line="72"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2020, management believes that it is more likely than not that the future results of the operations will generate sufficient taxable income to realize the tax benefits related to its Deferred Tax Assets.</w:t>
      </w:r>
    </w:p>
    <w:p>
      <w:pPr>
        <w:spacing w:after="0" w:line="94" w:lineRule="exact"/>
        <w:rPr>
          <w:sz w:val="20"/>
          <w:szCs w:val="20"/>
          <w:color w:val="auto"/>
        </w:rPr>
      </w:pPr>
    </w:p>
    <w:p>
      <w:pPr>
        <w:ind w:left="1160" w:right="1179" w:firstLine="293"/>
        <w:spacing w:after="0" w:line="274" w:lineRule="auto"/>
        <w:rPr>
          <w:sz w:val="20"/>
          <w:szCs w:val="20"/>
          <w:color w:val="auto"/>
        </w:rPr>
      </w:pPr>
      <w:r>
        <w:rPr>
          <w:rFonts w:ascii="Arial" w:cs="Arial" w:eastAsia="Arial" w:hAnsi="Arial"/>
          <w:sz w:val="14"/>
          <w:szCs w:val="14"/>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89" w:lineRule="exact"/>
        <w:rPr>
          <w:sz w:val="20"/>
          <w:szCs w:val="20"/>
          <w:color w:val="auto"/>
        </w:rPr>
      </w:pPr>
    </w:p>
    <w:p>
      <w:pPr>
        <w:ind w:left="1160" w:right="1679" w:firstLine="293"/>
        <w:spacing w:after="0" w:line="264" w:lineRule="auto"/>
        <w:rPr>
          <w:sz w:val="20"/>
          <w:szCs w:val="20"/>
          <w:color w:val="auto"/>
        </w:rPr>
      </w:pPr>
      <w:r>
        <w:rPr>
          <w:rFonts w:ascii="Arial" w:cs="Arial" w:eastAsia="Arial" w:hAnsi="Arial"/>
          <w:sz w:val="15"/>
          <w:szCs w:val="15"/>
          <w:color w:val="auto"/>
        </w:rPr>
        <w:t>As of December 31, 2020 and 2019, the Company had no liability for unrecognized tax benefits recorded in its Consolidated Balance Sheets.</w:t>
      </w:r>
    </w:p>
    <w:p>
      <w:pPr>
        <w:spacing w:after="0" w:line="82"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and 2019 tax returns remain open to examination.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15. DEFINED CONTRIBUTION 401(K) PLAN</w:t>
      </w:r>
    </w:p>
    <w:p>
      <w:pPr>
        <w:spacing w:after="0" w:line="128" w:lineRule="exact"/>
        <w:rPr>
          <w:sz w:val="20"/>
          <w:szCs w:val="20"/>
          <w:color w:val="auto"/>
        </w:rPr>
      </w:pPr>
    </w:p>
    <w:p>
      <w:pPr>
        <w:ind w:left="1160" w:right="1339" w:firstLine="293"/>
        <w:spacing w:after="0" w:line="248" w:lineRule="auto"/>
        <w:rPr>
          <w:sz w:val="20"/>
          <w:szCs w:val="20"/>
          <w:color w:val="auto"/>
        </w:rPr>
      </w:pPr>
      <w:r>
        <w:rPr>
          <w:rFonts w:ascii="Arial" w:cs="Arial" w:eastAsia="Arial" w:hAnsi="Arial"/>
          <w:sz w:val="15"/>
          <w:szCs w:val="15"/>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SCA is also required to make a non-discretionary 2% Company contribution for pilots based on gross earnings.</w:t>
      </w:r>
    </w:p>
    <w:p>
      <w:pPr>
        <w:spacing w:after="0" w:line="9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made 401(k) contributions as follows:</w:t>
      </w:r>
    </w:p>
    <w:p>
      <w:pPr>
        <w:spacing w:after="0" w:line="139"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78"/>
              </w:rPr>
              <w:t>Successor</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9"/>
            <w:vMerge w:val="restart"/>
          </w:tcPr>
          <w:p>
            <w:pPr>
              <w:ind w:left="20"/>
              <w:spacing w:after="0"/>
              <w:rPr>
                <w:sz w:val="20"/>
                <w:szCs w:val="20"/>
                <w:color w:val="auto"/>
              </w:rPr>
            </w:pPr>
            <w:r>
              <w:rPr>
                <w:rFonts w:ascii="Arial" w:cs="Arial" w:eastAsia="Arial" w:hAnsi="Arial"/>
                <w:sz w:val="12"/>
                <w:szCs w:val="12"/>
                <w:b w:val="1"/>
                <w:bCs w:val="1"/>
                <w:color w:val="auto"/>
                <w:w w:val="97"/>
              </w:rPr>
              <w:t>Year Ended December 31,</w:t>
            </w:r>
          </w:p>
        </w:tc>
        <w:tc>
          <w:tcPr>
            <w:tcW w:w="10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3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gridSpan w:val="9"/>
            <w:vMerge w:val="continue"/>
          </w:tcPr>
          <w:p>
            <w:pPr>
              <w:spacing w:after="0"/>
              <w:rPr>
                <w:sz w:val="7"/>
                <w:szCs w:val="7"/>
                <w:color w:val="auto"/>
              </w:rPr>
            </w:pPr>
          </w:p>
        </w:tc>
        <w:tc>
          <w:tcPr>
            <w:tcW w:w="102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2"/>
              </w:rPr>
              <w:t>April 11, 2018 to</w:t>
            </w:r>
          </w:p>
        </w:tc>
        <w:tc>
          <w:tcPr>
            <w:tcW w:w="80" w:type="dxa"/>
            <w:vAlign w:val="bottom"/>
          </w:tcPr>
          <w:p>
            <w:pPr>
              <w:spacing w:after="0"/>
              <w:rPr>
                <w:sz w:val="7"/>
                <w:szCs w:val="7"/>
                <w:color w:val="auto"/>
              </w:rPr>
            </w:pPr>
          </w:p>
        </w:tc>
        <w:tc>
          <w:tcPr>
            <w:tcW w:w="900" w:type="dxa"/>
            <w:vAlign w:val="bottom"/>
            <w:gridSpan w:val="4"/>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660" w:type="dxa"/>
            <w:vAlign w:val="bottom"/>
            <w:gridSpan w:val="3"/>
          </w:tcPr>
          <w:p>
            <w:pPr>
              <w:jc w:val="right"/>
              <w:ind w:right="7"/>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December 31, 2018</w:t>
            </w:r>
          </w:p>
        </w:tc>
        <w:tc>
          <w:tcPr>
            <w:tcW w:w="8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Non-Discretionary</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$1,040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908</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592</w:t>
            </w:r>
          </w:p>
        </w:tc>
        <w:tc>
          <w:tcPr>
            <w:tcW w:w="100" w:type="dxa"/>
            <w:vAlign w:val="bottom"/>
            <w:tcBorders>
              <w:right w:val="single" w:sz="8" w:color="auto"/>
            </w:tcBorders>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5"/>
                <w:szCs w:val="15"/>
                <w:color w:val="auto"/>
              </w:rPr>
              <w:t>Discretionary</w:t>
            </w:r>
          </w:p>
        </w:tc>
        <w:tc>
          <w:tcPr>
            <w:tcW w:w="260" w:type="dxa"/>
            <w:vAlign w:val="bottom"/>
            <w:gridSpan w:val="2"/>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4,263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w w:val="79"/>
              </w:rPr>
              <w:t>4,246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5"/>
                <w:szCs w:val="15"/>
                <w:color w:val="auto"/>
                <w:w w:val="79"/>
              </w:rPr>
              <w:t>2,436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w w:val="85"/>
              </w:rPr>
              <w:t>1,026</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401(k) Contributions</w:t>
            </w:r>
          </w:p>
        </w:tc>
        <w:tc>
          <w:tcPr>
            <w:tcW w:w="26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2"/>
              </w:rPr>
              <w:t>$5,303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9"/>
              </w:rPr>
              <w:t>5,154</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9"/>
              </w:rPr>
              <w:t>3,028</w:t>
            </w:r>
          </w:p>
        </w:tc>
        <w:tc>
          <w:tcPr>
            <w:tcW w:w="10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5"/>
              </w:rPr>
              <w:t>1,334</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-153035</wp:posOffset>
            </wp:positionV>
            <wp:extent cx="160655"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606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3823335"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-431800</wp:posOffset>
            </wp:positionV>
            <wp:extent cx="111760"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-431800</wp:posOffset>
            </wp:positionV>
            <wp:extent cx="55880"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-431800</wp:posOffset>
            </wp:positionV>
            <wp:extent cx="104775" cy="69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-431800</wp:posOffset>
            </wp:positionV>
            <wp:extent cx="111760"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6" w:lineRule="exact"/>
        <w:rPr>
          <w:sz w:val="20"/>
          <w:szCs w:val="20"/>
          <w:color w:val="auto"/>
        </w:rPr>
      </w:pPr>
    </w:p>
    <w:p>
      <w:pPr>
        <w:ind w:left="1160" w:right="1719" w:firstLine="293"/>
        <w:spacing w:after="0" w:line="264" w:lineRule="auto"/>
        <w:rPr>
          <w:sz w:val="20"/>
          <w:szCs w:val="20"/>
          <w:color w:val="auto"/>
        </w:rPr>
      </w:pPr>
      <w:r>
        <w:rPr>
          <w:rFonts w:ascii="Arial" w:cs="Arial" w:eastAsia="Arial" w:hAnsi="Arial"/>
          <w:sz w:val="15"/>
          <w:szCs w:val="15"/>
          <w:color w:val="auto"/>
        </w:rPr>
        <w:t>Contributions are classified in Salaries, Wages, and Benefits on the Consolidated Statements of Operations.</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Special Items, net on the Consolidated Statements of Operations consisted of the following:</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8"/>
        </w:trPr>
        <w:tc>
          <w:tcPr>
            <w:tcW w:w="7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8"/>
              </w:rPr>
              <w:t>Successor</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80"/>
              </w:rPr>
              <w:t>Predecessor</w:t>
            </w:r>
          </w:p>
        </w:tc>
        <w:tc>
          <w:tcPr>
            <w:tcW w:w="0" w:type="dxa"/>
            <w:vAlign w:val="bottom"/>
          </w:tcPr>
          <w:p>
            <w:pPr>
              <w:spacing w:after="0" w:line="20" w:lineRule="exact"/>
              <w:rPr>
                <w:sz w:val="1"/>
                <w:szCs w:val="1"/>
                <w:color w:val="auto"/>
              </w:rPr>
            </w:pPr>
          </w:p>
        </w:tc>
      </w:tr>
      <w:tr>
        <w:trPr>
          <w:trHeight w:val="122"/>
        </w:trPr>
        <w:tc>
          <w:tcPr>
            <w:tcW w:w="7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w w:val="82"/>
              </w:rPr>
              <w:t>Year Ended December 31,</w:t>
            </w: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5"/>
              </w:rPr>
              <w:t>For the Period</w:t>
            </w:r>
          </w:p>
        </w:tc>
        <w:tc>
          <w:tcPr>
            <w:tcW w:w="80" w:type="dxa"/>
            <w:vAlign w:val="bottom"/>
          </w:tcPr>
          <w:p>
            <w:pPr>
              <w:spacing w:after="0"/>
              <w:rPr>
                <w:sz w:val="12"/>
                <w:szCs w:val="12"/>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84"/>
        </w:trPr>
        <w:tc>
          <w:tcPr>
            <w:tcW w:w="7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1040" w:type="dxa"/>
            <w:vAlign w:val="bottom"/>
            <w:tcBorders>
              <w:right w:val="single" w:sz="8" w:color="auto"/>
            </w:tcBorders>
            <w:gridSpan w:val="5"/>
            <w:vMerge w:val="restart"/>
          </w:tcPr>
          <w:p>
            <w:pPr>
              <w:jc w:val="center"/>
              <w:ind w:right="120"/>
              <w:spacing w:after="0" w:line="96" w:lineRule="exact"/>
              <w:rPr>
                <w:sz w:val="20"/>
                <w:szCs w:val="20"/>
                <w:color w:val="auto"/>
              </w:rPr>
            </w:pPr>
            <w:r>
              <w:rPr>
                <w:rFonts w:ascii="Arial" w:cs="Arial" w:eastAsia="Arial" w:hAnsi="Arial"/>
                <w:sz w:val="11"/>
                <w:szCs w:val="11"/>
                <w:b w:val="1"/>
                <w:bCs w:val="1"/>
                <w:color w:val="auto"/>
                <w:w w:val="94"/>
              </w:rPr>
              <w:t>April 11, 2018 to</w:t>
            </w:r>
          </w:p>
        </w:tc>
        <w:tc>
          <w:tcPr>
            <w:tcW w:w="80" w:type="dxa"/>
            <w:vAlign w:val="bottom"/>
          </w:tcPr>
          <w:p>
            <w:pPr>
              <w:spacing w:after="0"/>
              <w:rPr>
                <w:sz w:val="7"/>
                <w:szCs w:val="7"/>
                <w:color w:val="auto"/>
              </w:rPr>
            </w:pPr>
          </w:p>
        </w:tc>
        <w:tc>
          <w:tcPr>
            <w:tcW w:w="900" w:type="dxa"/>
            <w:vAlign w:val="bottom"/>
            <w:gridSpan w:val="3"/>
            <w:vMerge w:val="restart"/>
          </w:tcPr>
          <w:p>
            <w:pPr>
              <w:jc w:val="center"/>
              <w:ind w:right="20"/>
              <w:spacing w:after="0" w:line="96" w:lineRule="exact"/>
              <w:rPr>
                <w:sz w:val="20"/>
                <w:szCs w:val="20"/>
                <w:color w:val="auto"/>
              </w:rPr>
            </w:pPr>
            <w:r>
              <w:rPr>
                <w:rFonts w:ascii="Arial" w:cs="Arial" w:eastAsia="Arial" w:hAnsi="Arial"/>
                <w:sz w:val="11"/>
                <w:szCs w:val="11"/>
                <w:b w:val="1"/>
                <w:bCs w:val="1"/>
                <w:color w:val="auto"/>
                <w:w w:val="92"/>
              </w:rPr>
              <w:t>January 1, 2018 to</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auto"/>
            </w:tcBorders>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gridSpan w:val="2"/>
          </w:tcPr>
          <w:p>
            <w:pPr>
              <w:jc w:val="right"/>
              <w:ind w:right="129"/>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90"/>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Pr>
          <w:p>
            <w:pPr>
              <w:spacing w:after="0"/>
              <w:rPr>
                <w:sz w:val="14"/>
                <w:szCs w:val="14"/>
                <w:color w:val="auto"/>
              </w:rPr>
            </w:pPr>
          </w:p>
        </w:tc>
        <w:tc>
          <w:tcPr>
            <w:tcW w:w="10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w w:val="83"/>
              </w:rPr>
              <w:t>December 31, 2018</w:t>
            </w:r>
          </w:p>
        </w:tc>
        <w:tc>
          <w:tcPr>
            <w:tcW w:w="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5"/>
              </w:rPr>
              <w:t>April 10, 2018</w:t>
            </w:r>
          </w:p>
        </w:tc>
        <w:tc>
          <w:tcPr>
            <w:tcW w:w="0" w:type="dxa"/>
            <w:vAlign w:val="bottom"/>
          </w:tcPr>
          <w:p>
            <w:pPr>
              <w:spacing w:after="0"/>
              <w:rPr>
                <w:sz w:val="1"/>
                <w:szCs w:val="1"/>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40" w:type="dxa"/>
            <w:vAlign w:val="bottom"/>
            <w:gridSpan w:val="2"/>
            <w:shd w:val="clear" w:color="auto" w:fill="CCEEFF"/>
          </w:tcPr>
          <w:p>
            <w:pPr>
              <w:spacing w:after="0" w:line="200" w:lineRule="exact"/>
              <w:rPr>
                <w:sz w:val="20"/>
                <w:szCs w:val="20"/>
                <w:color w:val="auto"/>
              </w:rPr>
            </w:pPr>
            <w:r>
              <w:rPr>
                <w:rFonts w:ascii="Arial" w:cs="Arial" w:eastAsia="Arial" w:hAnsi="Arial"/>
                <w:sz w:val="15"/>
                <w:szCs w:val="15"/>
                <w:color w:val="auto"/>
              </w:rPr>
              <w:t>CARES Act grant recognition</w:t>
            </w:r>
            <w:r>
              <w:rPr>
                <w:rFonts w:ascii="Arial" w:cs="Arial" w:eastAsia="Arial" w:hAnsi="Arial"/>
                <w:sz w:val="21"/>
                <w:szCs w:val="21"/>
                <w:color w:val="auto"/>
                <w:vertAlign w:val="superscript"/>
              </w:rPr>
              <w:t>(1)</w:t>
            </w: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$(62,312)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20"/>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CARES Act employee retention credit</w:t>
            </w:r>
            <w:r>
              <w:rPr>
                <w:rFonts w:ascii="Arial" w:cs="Arial" w:eastAsia="Arial" w:hAnsi="Arial"/>
                <w:sz w:val="21"/>
                <w:szCs w:val="21"/>
                <w:color w:val="auto"/>
                <w:vertAlign w:val="superscript"/>
              </w:rPr>
              <w:t>(2)</w:t>
            </w:r>
          </w:p>
        </w:tc>
        <w:tc>
          <w:tcPr>
            <w:tcW w:w="960" w:type="dxa"/>
            <w:vAlign w:val="bottom"/>
            <w:gridSpan w:val="3"/>
          </w:tcPr>
          <w:p>
            <w:pPr>
              <w:jc w:val="right"/>
              <w:ind w:right="180"/>
              <w:spacing w:after="0"/>
              <w:rPr>
                <w:sz w:val="20"/>
                <w:szCs w:val="20"/>
                <w:color w:val="auto"/>
              </w:rPr>
            </w:pPr>
            <w:r>
              <w:rPr>
                <w:rFonts w:ascii="Arial" w:cs="Arial" w:eastAsia="Arial" w:hAnsi="Arial"/>
                <w:sz w:val="15"/>
                <w:szCs w:val="15"/>
                <w:color w:val="auto"/>
              </w:rPr>
              <w:t>(2,328)</w:t>
            </w:r>
          </w:p>
        </w:tc>
        <w:tc>
          <w:tcPr>
            <w:tcW w:w="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spacing w:after="0" w:line="220" w:lineRule="exact"/>
              <w:rPr>
                <w:sz w:val="20"/>
                <w:szCs w:val="20"/>
                <w:color w:val="auto"/>
              </w:rPr>
            </w:pPr>
            <w:r>
              <w:rPr>
                <w:rFonts w:ascii="Arial" w:cs="Arial" w:eastAsia="Arial" w:hAnsi="Arial"/>
                <w:sz w:val="15"/>
                <w:szCs w:val="15"/>
                <w:color w:val="auto"/>
                <w:w w:val="95"/>
              </w:rPr>
              <w:t>Contractual obligations for retired technology</w:t>
            </w:r>
            <w:r>
              <w:rPr>
                <w:rFonts w:ascii="Arial" w:cs="Arial" w:eastAsia="Arial" w:hAnsi="Arial"/>
                <w:sz w:val="21"/>
                <w:szCs w:val="21"/>
                <w:color w:val="auto"/>
                <w:w w:val="95"/>
                <w:vertAlign w:val="superscript"/>
              </w:rPr>
              <w:t>(3)</w:t>
            </w: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7,578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3040" w:type="dxa"/>
            <w:vAlign w:val="bottom"/>
            <w:gridSpan w:val="2"/>
          </w:tcPr>
          <w:p>
            <w:pPr>
              <w:spacing w:after="0" w:line="220" w:lineRule="exact"/>
              <w:rPr>
                <w:sz w:val="20"/>
                <w:szCs w:val="20"/>
                <w:color w:val="auto"/>
              </w:rPr>
            </w:pPr>
            <w:r>
              <w:rPr>
                <w:rFonts w:ascii="Arial" w:cs="Arial" w:eastAsia="Arial" w:hAnsi="Arial"/>
                <w:sz w:val="15"/>
                <w:szCs w:val="15"/>
                <w:color w:val="auto"/>
              </w:rPr>
              <w:t>Sale of airport slot rights</w:t>
            </w:r>
            <w:r>
              <w:rPr>
                <w:rFonts w:ascii="Arial" w:cs="Arial" w:eastAsia="Arial" w:hAnsi="Arial"/>
                <w:sz w:val="21"/>
                <w:szCs w:val="21"/>
                <w:color w:val="auto"/>
                <w:vertAlign w:val="superscript"/>
              </w:rPr>
              <w:t>(4)</w:t>
            </w:r>
          </w:p>
        </w:tc>
        <w:tc>
          <w:tcPr>
            <w:tcW w:w="1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(1,200)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Sun Country Rewards program</w:t>
            </w: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040" w:type="dxa"/>
            <w:vAlign w:val="bottom"/>
            <w:gridSpan w:val="2"/>
            <w:shd w:val="clear" w:color="auto" w:fill="CCEEFF"/>
          </w:tcPr>
          <w:p>
            <w:pPr>
              <w:ind w:left="160"/>
              <w:spacing w:after="0" w:line="227" w:lineRule="exact"/>
              <w:rPr>
                <w:sz w:val="20"/>
                <w:szCs w:val="20"/>
                <w:color w:val="auto"/>
              </w:rPr>
            </w:pPr>
            <w:r>
              <w:rPr>
                <w:rFonts w:ascii="Arial" w:cs="Arial" w:eastAsia="Arial" w:hAnsi="Arial"/>
                <w:sz w:val="15"/>
                <w:szCs w:val="15"/>
                <w:color w:val="auto"/>
              </w:rPr>
              <w:t>modifications</w:t>
            </w:r>
            <w:r>
              <w:rPr>
                <w:rFonts w:ascii="Arial" w:cs="Arial" w:eastAsia="Arial" w:hAnsi="Arial"/>
                <w:sz w:val="21"/>
                <w:szCs w:val="21"/>
                <w:color w:val="auto"/>
                <w:vertAlign w:val="superscript"/>
              </w:rPr>
              <w:t>(5)</w:t>
            </w: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(8,463)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40" w:type="dxa"/>
            <w:vAlign w:val="bottom"/>
            <w:gridSpan w:val="2"/>
          </w:tcPr>
          <w:p>
            <w:pPr>
              <w:spacing w:after="0" w:line="169" w:lineRule="exact"/>
              <w:rPr>
                <w:sz w:val="20"/>
                <w:szCs w:val="20"/>
                <w:color w:val="auto"/>
              </w:rPr>
            </w:pPr>
            <w:r>
              <w:rPr>
                <w:rFonts w:ascii="Arial" w:cs="Arial" w:eastAsia="Arial" w:hAnsi="Arial"/>
                <w:sz w:val="15"/>
                <w:szCs w:val="15"/>
                <w:color w:val="auto"/>
              </w:rPr>
              <w:t>Early-out payments and other outsourcing</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040" w:type="dxa"/>
            <w:vAlign w:val="bottom"/>
            <w:gridSpan w:val="2"/>
          </w:tcPr>
          <w:p>
            <w:pPr>
              <w:ind w:left="160"/>
              <w:spacing w:after="0" w:line="227" w:lineRule="exact"/>
              <w:rPr>
                <w:sz w:val="20"/>
                <w:szCs w:val="20"/>
                <w:color w:val="auto"/>
              </w:rPr>
            </w:pPr>
            <w:r>
              <w:rPr>
                <w:rFonts w:ascii="Arial" w:cs="Arial" w:eastAsia="Arial" w:hAnsi="Arial"/>
                <w:sz w:val="15"/>
                <w:szCs w:val="15"/>
                <w:color w:val="auto"/>
              </w:rPr>
              <w:t>expenses</w:t>
            </w:r>
            <w:r>
              <w:rPr>
                <w:rFonts w:ascii="Arial" w:cs="Arial" w:eastAsia="Arial" w:hAnsi="Arial"/>
                <w:sz w:val="21"/>
                <w:szCs w:val="21"/>
                <w:color w:val="auto"/>
                <w:vertAlign w:val="superscript"/>
              </w:rPr>
              <w:t>(6)</w:t>
            </w:r>
          </w:p>
        </w:tc>
        <w:tc>
          <w:tcPr>
            <w:tcW w:w="1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1,757</w:t>
            </w:r>
          </w:p>
        </w:tc>
        <w:tc>
          <w:tcPr>
            <w:tcW w:w="100" w:type="dxa"/>
            <w:vAlign w:val="bottom"/>
            <w:tcBorders>
              <w:right w:val="single" w:sz="8" w:color="auto"/>
            </w:tcBorders>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4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Other</w:t>
            </w:r>
            <w:r>
              <w:rPr>
                <w:rFonts w:ascii="Arial" w:cs="Arial" w:eastAsia="Arial" w:hAnsi="Arial"/>
                <w:sz w:val="21"/>
                <w:szCs w:val="21"/>
                <w:color w:val="auto"/>
                <w:vertAlign w:val="superscript"/>
              </w:rPr>
              <w:t>(7)</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40" w:type="dxa"/>
            <w:vAlign w:val="bottom"/>
            <w:gridSpan w:val="2"/>
          </w:tcPr>
          <w:p>
            <w:pPr>
              <w:ind w:left="160"/>
              <w:spacing w:after="0"/>
              <w:rPr>
                <w:sz w:val="20"/>
                <w:szCs w:val="20"/>
                <w:color w:val="auto"/>
              </w:rPr>
            </w:pPr>
            <w:r>
              <w:rPr>
                <w:rFonts w:ascii="Arial" w:cs="Arial" w:eastAsia="Arial" w:hAnsi="Arial"/>
                <w:sz w:val="15"/>
                <w:szCs w:val="15"/>
                <w:color w:val="auto"/>
              </w:rPr>
              <w:t>Total Special Items, net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w w:val="90"/>
              </w:rPr>
              <w:t>$(64,563)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95"/>
              </w:rPr>
              <w:t>7,092</w:t>
            </w:r>
          </w:p>
        </w:tc>
        <w:tc>
          <w:tcPr>
            <w:tcW w:w="1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w w:val="88"/>
              </w:rPr>
              <w:t>(6,706)</w:t>
            </w:r>
          </w:p>
        </w:tc>
        <w:tc>
          <w:tcPr>
            <w:tcW w:w="100" w:type="dxa"/>
            <w:vAlign w:val="bottom"/>
            <w:tcBorders>
              <w:right w:val="single" w:sz="8" w:color="auto"/>
            </w:tcBorders>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7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-1457325</wp:posOffset>
            </wp:positionV>
            <wp:extent cx="111760"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-1457325</wp:posOffset>
            </wp:positionV>
            <wp:extent cx="48895"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-1457325</wp:posOffset>
            </wp:positionV>
            <wp:extent cx="104775"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-1457325</wp:posOffset>
            </wp:positionV>
            <wp:extent cx="104775"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04775" cy="6985"/>
                    </a:xfrm>
                    <a:prstGeom prst="rect">
                      <a:avLst/>
                    </a:prstGeom>
                    <a:noFill/>
                  </pic:spPr>
                </pic:pic>
              </a:graphicData>
            </a:graphic>
          </wp:anchor>
        </w:drawing>
      </w:r>
    </w:p>
    <w:p>
      <w:pPr>
        <w:spacing w:after="0" w:line="57" w:lineRule="exact"/>
        <w:rPr>
          <w:sz w:val="20"/>
          <w:szCs w:val="20"/>
          <w:color w:val="auto"/>
        </w:rPr>
      </w:pPr>
    </w:p>
    <w:p>
      <w:pPr>
        <w:ind w:left="1460" w:right="1239" w:hanging="296"/>
        <w:spacing w:after="0" w:line="241" w:lineRule="auto"/>
        <w:tabs>
          <w:tab w:leader="none" w:pos="14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Relates to the credit recognized under the CARES Act Payroll Support Program through December 31, 2020. Under the Payroll Support Program, the United States Department of the Treasury provided the Company with a Payroll Support grant, which was to be used exclusively for the continuation of payments for salaries, wages, and benefits. (see Note 3 for more information).</w:t>
      </w:r>
    </w:p>
    <w:p>
      <w:pPr>
        <w:spacing w:after="0" w:line="34" w:lineRule="exact"/>
        <w:rPr>
          <w:rFonts w:ascii="Arial" w:cs="Arial" w:eastAsia="Arial" w:hAnsi="Arial"/>
          <w:sz w:val="14"/>
          <w:szCs w:val="14"/>
          <w:color w:val="auto"/>
        </w:rPr>
      </w:pPr>
    </w:p>
    <w:p>
      <w:pPr>
        <w:ind w:left="1460" w:right="1179" w:hanging="296"/>
        <w:spacing w:after="0" w:line="236" w:lineRule="auto"/>
        <w:tabs>
          <w:tab w:leader="none" w:pos="14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Relates to the credit recognized under the CARES Act Employee Retention credit which is a refundable tax credit against certain employment taxes (see Note 3 for more information).</w:t>
      </w:r>
    </w:p>
    <w:p>
      <w:pPr>
        <w:spacing w:after="0" w:line="23" w:lineRule="exact"/>
        <w:rPr>
          <w:rFonts w:ascii="Arial" w:cs="Arial" w:eastAsia="Arial" w:hAnsi="Arial"/>
          <w:sz w:val="15"/>
          <w:szCs w:val="15"/>
          <w:color w:val="auto"/>
        </w:rPr>
      </w:pPr>
    </w:p>
    <w:p>
      <w:pPr>
        <w:ind w:left="1460" w:right="1319" w:hanging="296"/>
        <w:spacing w:after="0" w:line="248" w:lineRule="auto"/>
        <w:tabs>
          <w:tab w:leader="none" w:pos="14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This was a charge related to contractual obligations for retired technology. In connection with implementing SCA’s new reservations systems, the Company incurred obligations under the contracts for existing systems that were being phased out ahead of their scheduled contract terms.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5" w:name="page236"/>
    <w:bookmarkEnd w:id="235"/>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16. SPECIAL ITEMS, NET (continued)</w:t>
      </w:r>
    </w:p>
    <w:p>
      <w:pPr>
        <w:spacing w:after="0" w:line="161" w:lineRule="exact"/>
        <w:rPr>
          <w:sz w:val="20"/>
          <w:szCs w:val="20"/>
          <w:color w:val="auto"/>
        </w:rPr>
      </w:pPr>
    </w:p>
    <w:p>
      <w:pPr>
        <w:ind w:left="1460" w:right="1219" w:hanging="296"/>
        <w:spacing w:after="0" w:line="267" w:lineRule="auto"/>
        <w:tabs>
          <w:tab w:leader="none" w:pos="14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proceeds from the sale of unused airport slot rights. SCA does not hold any other remaining airport slot rights; therefore this gain does not reflect the Company’s continuing operations.</w:t>
      </w:r>
    </w:p>
    <w:p>
      <w:pPr>
        <w:spacing w:after="0" w:line="15" w:lineRule="exact"/>
        <w:rPr>
          <w:rFonts w:ascii="Arial" w:cs="Arial" w:eastAsia="Arial" w:hAnsi="Arial"/>
          <w:sz w:val="14"/>
          <w:szCs w:val="14"/>
          <w:color w:val="auto"/>
        </w:rPr>
      </w:pPr>
    </w:p>
    <w:p>
      <w:pPr>
        <w:jc w:val="both"/>
        <w:ind w:left="1460" w:right="1179" w:hanging="296"/>
        <w:spacing w:after="0" w:line="229" w:lineRule="auto"/>
        <w:tabs>
          <w:tab w:leader="none" w:pos="14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This reduction to expense is associated with changes to the terms of the Sun Country Rewards program. As of November 3, 2018, the Company modified policies within the program which accelerated loyalty point expiration, while making points more valuable for its members.</w:t>
      </w:r>
    </w:p>
    <w:p>
      <w:pPr>
        <w:spacing w:after="0" w:line="33" w:lineRule="exact"/>
        <w:rPr>
          <w:rFonts w:ascii="Arial" w:cs="Arial" w:eastAsia="Arial" w:hAnsi="Arial"/>
          <w:sz w:val="15"/>
          <w:szCs w:val="15"/>
          <w:color w:val="auto"/>
        </w:rPr>
      </w:pPr>
    </w:p>
    <w:p>
      <w:pPr>
        <w:ind w:left="1460" w:right="1499" w:hanging="296"/>
        <w:spacing w:after="0" w:line="229" w:lineRule="auto"/>
        <w:tabs>
          <w:tab w:leader="none" w:pos="14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Related to early-out payments and other expenses incurred in connection with outsourcing certain operations personnel and other employee initiatives. These efforts were primarily related to airport station, flight attendants and ground handling employees.</w:t>
      </w:r>
    </w:p>
    <w:p>
      <w:pPr>
        <w:spacing w:after="0" w:line="33" w:lineRule="exact"/>
        <w:rPr>
          <w:rFonts w:ascii="Arial" w:cs="Arial" w:eastAsia="Arial" w:hAnsi="Arial"/>
          <w:sz w:val="15"/>
          <w:szCs w:val="15"/>
          <w:color w:val="auto"/>
        </w:rPr>
      </w:pPr>
    </w:p>
    <w:p>
      <w:pPr>
        <w:ind w:left="1460" w:right="1739" w:hanging="296"/>
        <w:spacing w:after="0" w:line="236" w:lineRule="auto"/>
        <w:tabs>
          <w:tab w:leader="none" w:pos="14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Consists of employee relocation costs due to closing flight attendant bases and costs to exit the Company’s prior headquarters building.</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17. COMMITMENTS AND CONTINGENCIES</w:t>
      </w:r>
    </w:p>
    <w:p>
      <w:pPr>
        <w:spacing w:after="0" w:line="128" w:lineRule="exact"/>
        <w:rPr>
          <w:sz w:val="20"/>
          <w:szCs w:val="20"/>
          <w:color w:val="auto"/>
        </w:rPr>
      </w:pPr>
    </w:p>
    <w:p>
      <w:pPr>
        <w:ind w:left="1160" w:right="2019" w:firstLine="293"/>
        <w:spacing w:after="0" w:line="264" w:lineRule="auto"/>
        <w:rPr>
          <w:sz w:val="20"/>
          <w:szCs w:val="20"/>
          <w:color w:val="auto"/>
        </w:rPr>
      </w:pPr>
      <w:r>
        <w:rPr>
          <w:rFonts w:ascii="Arial" w:cs="Arial" w:eastAsia="Arial" w:hAnsi="Arial"/>
          <w:sz w:val="15"/>
          <w:szCs w:val="15"/>
          <w:color w:val="auto"/>
        </w:rPr>
        <w:t>The Company has contractual obligations and commitments primarily with regard to lease arrangements (see Note 10) and repayment of debt (see Note 9).</w:t>
      </w:r>
    </w:p>
    <w:p>
      <w:pPr>
        <w:spacing w:after="0" w:line="82" w:lineRule="exact"/>
        <w:rPr>
          <w:sz w:val="20"/>
          <w:szCs w:val="20"/>
          <w:color w:val="auto"/>
        </w:rPr>
      </w:pPr>
    </w:p>
    <w:p>
      <w:pPr>
        <w:ind w:left="1160" w:right="1199" w:firstLine="293"/>
        <w:spacing w:after="0" w:line="254" w:lineRule="auto"/>
        <w:rPr>
          <w:sz w:val="20"/>
          <w:szCs w:val="20"/>
          <w:color w:val="auto"/>
        </w:rPr>
      </w:pPr>
      <w:r>
        <w:rPr>
          <w:rFonts w:ascii="Arial" w:cs="Arial" w:eastAsia="Arial" w:hAnsi="Arial"/>
          <w:sz w:val="15"/>
          <w:szCs w:val="15"/>
          <w:color w:val="auto"/>
        </w:rPr>
        <w:t>The Company is subject to various legal proceedings in the normal course of business and records legal costs as incurred. Management believes these proceedings will not have a materially adverse effect on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w:t>
      </w:r>
    </w:p>
    <w:p>
      <w:pPr>
        <w:spacing w:after="0" w:line="128"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w:t>
      </w:r>
    </w:p>
    <w:p>
      <w:pPr>
        <w:spacing w:after="0" w:line="109" w:lineRule="exact"/>
        <w:rPr>
          <w:sz w:val="20"/>
          <w:szCs w:val="20"/>
          <w:color w:val="auto"/>
        </w:rPr>
      </w:pPr>
    </w:p>
    <w:p>
      <w:pPr>
        <w:ind w:left="1160" w:right="1199" w:firstLine="293"/>
        <w:spacing w:after="0" w:line="267" w:lineRule="auto"/>
        <w:rPr>
          <w:sz w:val="20"/>
          <w:szCs w:val="20"/>
          <w:color w:val="auto"/>
        </w:rPr>
      </w:pPr>
      <w:r>
        <w:rPr>
          <w:rFonts w:ascii="Arial" w:cs="Arial" w:eastAsia="Arial" w:hAnsi="Arial"/>
          <w:sz w:val="14"/>
          <w:szCs w:val="14"/>
          <w:color w:val="auto"/>
        </w:rPr>
        <w:t>For the years ended December 31, 2019 and 2018, the Company was managed as a single business unit that provided air transportation and other services for passengers. The Company has two internal passenger groups (Scheduled and Charter), but since they share resources and expenses are combined, they are considered one Passenger operating segment. The Passenger operating revenues include passenger and other revenue. The Company’s chief operating decision maker reviews discrete financial information on a combined basis for passenger and other revenues. The Company’s Passenger operations are highly concentrated in the U.S. but include service to many international locations, primarily based on scheduled service to Latin America during the winter season and on military charter services.</w:t>
      </w:r>
    </w:p>
    <w:p>
      <w:pPr>
        <w:spacing w:after="0" w:line="83"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May 2020, the Company began providing air cargo services under the Amazon Agreement. Beginning in the fourth quarter of 2020, in conjunction with the full deployment of all 12 cargo aircraft under the Amazon Agreement and when our Chief Operating Decision Maker began to regularly review financial information for Cargo operations, Cargo services was identified as a separate operating segment. Certain operating expenses are directly attributable to this operating segment and certain operating expenses are allocated between the operating segments. Fuel consumed in Cargo operations is directly reimbursed by Amazon and therefore presented net on the Consolidated Statements of Operations. Non-Fuel operating expenses are allocated based on metrics such as block hours, fleet count and departures, which best align with the nature of the respective expense. The Special Items relate to CARES Act credits and are allocated based on the respective segment salaries, wages, and benefits.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6" w:name="page237"/>
    <w:bookmarkEnd w:id="236"/>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18. OPERATING SEGMENTS (continued)</w:t>
      </w:r>
    </w:p>
    <w:p>
      <w:pPr>
        <w:spacing w:after="0" w:line="183" w:lineRule="exact"/>
        <w:rPr>
          <w:sz w:val="20"/>
          <w:szCs w:val="20"/>
          <w:color w:val="auto"/>
        </w:rPr>
      </w:pPr>
    </w:p>
    <w:p>
      <w:pPr>
        <w:ind w:left="1160" w:right="1319" w:firstLine="293"/>
        <w:spacing w:after="0" w:line="254" w:lineRule="auto"/>
        <w:rPr>
          <w:sz w:val="20"/>
          <w:szCs w:val="20"/>
          <w:color w:val="auto"/>
        </w:rPr>
      </w:pPr>
      <w:r>
        <w:rPr>
          <w:rFonts w:ascii="Arial" w:cs="Arial" w:eastAsia="Arial" w:hAnsi="Arial"/>
          <w:sz w:val="15"/>
          <w:szCs w:val="15"/>
          <w:color w:val="auto"/>
        </w:rPr>
        <w:t>The following table presents financial information for the Company’s two operating segments: Passenger and Cargo. Assets by segment are not reviewed by the Chief Operating Decision Maker and has not been presented herein.</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7"/>
          </w:tcPr>
          <w:p>
            <w:pPr>
              <w:jc w:val="right"/>
              <w:ind w:right="300"/>
              <w:spacing w:after="0"/>
              <w:rPr>
                <w:sz w:val="20"/>
                <w:szCs w:val="20"/>
                <w:color w:val="auto"/>
              </w:rPr>
            </w:pPr>
            <w:r>
              <w:rPr>
                <w:rFonts w:ascii="Arial" w:cs="Arial" w:eastAsia="Arial" w:hAnsi="Arial"/>
                <w:sz w:val="12"/>
                <w:szCs w:val="12"/>
                <w:b w:val="1"/>
                <w:bCs w:val="1"/>
                <w:color w:val="auto"/>
                <w:w w:val="95"/>
              </w:rPr>
              <w:t>Year Ended December 31, 2020</w:t>
            </w:r>
          </w:p>
        </w:tc>
      </w:tr>
      <w:tr>
        <w:trPr>
          <w:trHeight w:val="21"/>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r>
      <w:tr>
        <w:trPr>
          <w:trHeight w:val="157"/>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2"/>
              </w:rPr>
              <w:t>Passenger</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Cargo</w:t>
            </w: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w w:val="76"/>
              </w:rPr>
              <w:t>Consolidated</w:t>
            </w:r>
          </w:p>
        </w:tc>
      </w:tr>
      <w:tr>
        <w:trPr>
          <w:trHeight w:val="21"/>
        </w:trPr>
        <w:tc>
          <w:tcPr>
            <w:tcW w:w="4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Operating Revenues . . . . . . . . . . . . . . . . . . . . . . . . .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4"/>
              </w:rPr>
              <w:t>364,677</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8"/>
              </w:rPr>
              <w:t>$ 36,809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401,486</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4380" w:type="dxa"/>
            <w:vAlign w:val="bottom"/>
          </w:tcPr>
          <w:p>
            <w:pPr>
              <w:ind w:left="160"/>
              <w:spacing w:after="0"/>
              <w:rPr>
                <w:sz w:val="20"/>
                <w:szCs w:val="20"/>
                <w:color w:val="auto"/>
              </w:rPr>
            </w:pPr>
            <w:r>
              <w:rPr>
                <w:rFonts w:ascii="Arial" w:cs="Arial" w:eastAsia="Arial" w:hAnsi="Arial"/>
                <w:sz w:val="15"/>
                <w:szCs w:val="15"/>
                <w:color w:val="auto"/>
              </w:rPr>
              <w:t>Non-Fuel Operating Expenses . . . . . . . . . . . . . .</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332,742</w:t>
            </w:r>
          </w:p>
        </w:tc>
        <w:tc>
          <w:tcPr>
            <w:tcW w:w="1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32,530</w:t>
            </w: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w w:val="84"/>
              </w:rPr>
              <w:t>365,272</w:t>
            </w:r>
          </w:p>
        </w:tc>
      </w:tr>
      <w:tr>
        <w:trPr>
          <w:trHeight w:val="209"/>
        </w:trPr>
        <w:tc>
          <w:tcPr>
            <w:tcW w:w="4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Aircraft Fuel . . . . . . .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83,392</w:t>
            </w: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83,392</w:t>
            </w:r>
          </w:p>
        </w:tc>
      </w:tr>
      <w:tr>
        <w:trPr>
          <w:trHeight w:val="214"/>
        </w:trPr>
        <w:tc>
          <w:tcPr>
            <w:tcW w:w="4380" w:type="dxa"/>
            <w:vAlign w:val="bottom"/>
          </w:tcPr>
          <w:p>
            <w:pPr>
              <w:ind w:left="160"/>
              <w:spacing w:after="0"/>
              <w:rPr>
                <w:sz w:val="20"/>
                <w:szCs w:val="20"/>
                <w:color w:val="auto"/>
              </w:rPr>
            </w:pPr>
            <w:r>
              <w:rPr>
                <w:rFonts w:ascii="Arial" w:cs="Arial" w:eastAsia="Arial" w:hAnsi="Arial"/>
                <w:sz w:val="15"/>
                <w:szCs w:val="15"/>
                <w:color w:val="auto"/>
              </w:rPr>
              <w:t>Special Items, net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(53,842)</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(10,721)</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(64,563)</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 . . . . . . . . . . . . . .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362,292</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21,809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4"/>
              </w:rPr>
              <w:t>384,101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380" w:type="dxa"/>
            <w:vAlign w:val="bottom"/>
          </w:tcPr>
          <w:p>
            <w:pPr>
              <w:spacing w:after="0"/>
              <w:rPr>
                <w:sz w:val="20"/>
                <w:szCs w:val="20"/>
                <w:color w:val="auto"/>
              </w:rPr>
            </w:pPr>
            <w:r>
              <w:rPr>
                <w:rFonts w:ascii="Arial" w:cs="Arial" w:eastAsia="Arial" w:hAnsi="Arial"/>
                <w:sz w:val="15"/>
                <w:szCs w:val="15"/>
                <w:color w:val="auto"/>
              </w:rPr>
              <w:t>Operating Income . . . . . . . . . . . . . . . . . . . . . . . . . . . .</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2,385</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88"/>
              </w:rPr>
              <w:t>$ 15,000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17,385</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 . . . . . . . . . . . . . . . . . . . . . . . . . . . . .</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377</w:t>
            </w:r>
          </w:p>
        </w:tc>
      </w:tr>
      <w:tr>
        <w:trPr>
          <w:trHeight w:val="209"/>
        </w:trPr>
        <w:tc>
          <w:tcPr>
            <w:tcW w:w="4380" w:type="dxa"/>
            <w:vAlign w:val="bottom"/>
          </w:tcPr>
          <w:p>
            <w:pPr>
              <w:spacing w:after="0"/>
              <w:rPr>
                <w:sz w:val="20"/>
                <w:szCs w:val="20"/>
                <w:color w:val="auto"/>
              </w:rPr>
            </w:pPr>
            <w:r>
              <w:rPr>
                <w:rFonts w:ascii="Arial" w:cs="Arial" w:eastAsia="Arial" w:hAnsi="Arial"/>
                <w:sz w:val="15"/>
                <w:szCs w:val="15"/>
                <w:color w:val="auto"/>
              </w:rPr>
              <w:t>Interest Expense . . . . . . . . . . . . . . .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(22,073)</w:t>
            </w:r>
          </w:p>
        </w:tc>
      </w:tr>
      <w:tr>
        <w:trPr>
          <w:trHeight w:val="214"/>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Other Non-operating Income (Expense), net . . . . . . .</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w:t>
            </w:r>
          </w:p>
        </w:tc>
      </w:tr>
      <w:tr>
        <w:trPr>
          <w:trHeight w:val="20"/>
        </w:trPr>
        <w:tc>
          <w:tcPr>
            <w:tcW w:w="43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5"/>
                <w:szCs w:val="15"/>
                <w:color w:val="auto"/>
              </w:rPr>
              <w:t>Income / (Loss) before Income Tax . . . . . . . . . . . . .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(4,682)</w:t>
            </w:r>
          </w:p>
        </w:tc>
      </w:tr>
      <w:tr>
        <w:trPr>
          <w:trHeight w:val="20"/>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-173990</wp:posOffset>
            </wp:positionV>
            <wp:extent cx="27940"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-585470</wp:posOffset>
            </wp:positionV>
            <wp:extent cx="27940"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-585470</wp:posOffset>
            </wp:positionV>
            <wp:extent cx="3858260"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-732155</wp:posOffset>
            </wp:positionV>
            <wp:extent cx="27940"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-878205</wp:posOffset>
            </wp:positionV>
            <wp:extent cx="27940"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-878205</wp:posOffset>
            </wp:positionV>
            <wp:extent cx="3858260"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-1290320</wp:posOffset>
            </wp:positionV>
            <wp:extent cx="27940"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-1436370</wp:posOffset>
            </wp:positionV>
            <wp:extent cx="111760"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-1436370</wp:posOffset>
            </wp:positionV>
            <wp:extent cx="111760"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-1436370</wp:posOffset>
            </wp:positionV>
            <wp:extent cx="55880"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4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w:t>
      </w:r>
    </w:p>
    <w:p>
      <w:pPr>
        <w:spacing w:after="0" w:line="117" w:lineRule="exact"/>
        <w:rPr>
          <w:sz w:val="20"/>
          <w:szCs w:val="20"/>
          <w:color w:val="auto"/>
        </w:rPr>
      </w:pPr>
    </w:p>
    <w:p>
      <w:pPr>
        <w:ind w:left="1160" w:right="1399" w:firstLine="293"/>
        <w:spacing w:after="0" w:line="264" w:lineRule="auto"/>
        <w:rPr>
          <w:sz w:val="20"/>
          <w:szCs w:val="20"/>
          <w:color w:val="auto"/>
        </w:rPr>
      </w:pPr>
      <w:r>
        <w:rPr>
          <w:rFonts w:ascii="Arial" w:cs="Arial" w:eastAsia="Arial" w:hAnsi="Arial"/>
          <w:sz w:val="15"/>
          <w:szCs w:val="15"/>
          <w:color w:val="auto"/>
        </w:rPr>
        <w:t>The following condensed parent company financial information is presented to show only the parent company, Sun Country Airlines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7" w:name="page238"/>
    <w:bookmarkEnd w:id="237"/>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3700" w:right="2739" w:hanging="2536"/>
        <w:spacing w:after="0" w:line="489" w:lineRule="auto"/>
        <w:tabs>
          <w:tab w:leader="none" w:pos="1363" w:val="left"/>
        </w:tabs>
        <w:numPr>
          <w:ilvl w:val="0"/>
          <w:numId w:val="112"/>
        </w:numPr>
        <w:rPr>
          <w:rFonts w:ascii="Arial" w:cs="Arial" w:eastAsia="Arial" w:hAnsi="Arial"/>
          <w:sz w:val="14"/>
          <w:szCs w:val="14"/>
          <w:b w:val="1"/>
          <w:bCs w:val="1"/>
          <w:color w:val="auto"/>
        </w:rPr>
      </w:pPr>
      <w:r>
        <w:rPr>
          <w:rFonts w:ascii="Arial" w:cs="Arial" w:eastAsia="Arial" w:hAnsi="Arial"/>
          <w:sz w:val="14"/>
          <w:szCs w:val="14"/>
          <w:b w:val="1"/>
          <w:bCs w:val="1"/>
          <w:color w:val="auto"/>
        </w:rPr>
        <w:t>CONDENSED PARENT COMPANY FINANCIAL INFORMATION (continued) Condensed Balance Sheets</w:t>
      </w:r>
    </w:p>
    <w:tbl>
      <w:tblPr>
        <w:tblLayout w:type="fixed"/>
        <w:tblInd w:w="1160" w:type="dxa"/>
        <w:tblCellMar>
          <w:top w:w="0" w:type="dxa"/>
          <w:left w:w="0" w:type="dxa"/>
          <w:bottom w:w="0" w:type="dxa"/>
          <w:right w:w="0" w:type="dxa"/>
        </w:tblCellMar>
      </w:tblPr>
      <w:tr>
        <w:trPr>
          <w:trHeight w:val="150"/>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December 31,</w:t>
            </w:r>
          </w:p>
        </w:tc>
      </w:tr>
      <w:tr>
        <w:trPr>
          <w:trHeight w:val="21"/>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9"/>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8"/>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r>
      <w:tr>
        <w:trPr>
          <w:trHeight w:val="21"/>
        </w:trPr>
        <w:tc>
          <w:tcPr>
            <w:tcW w:w="5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Cash and Equivalents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60" w:type="dxa"/>
            <w:vAlign w:val="bottom"/>
          </w:tcPr>
          <w:p>
            <w:pPr>
              <w:spacing w:after="0"/>
              <w:rPr>
                <w:sz w:val="18"/>
                <w:szCs w:val="18"/>
                <w:color w:val="auto"/>
              </w:rPr>
            </w:pPr>
          </w:p>
        </w:tc>
      </w:tr>
      <w:tr>
        <w:trPr>
          <w:trHeight w:val="205"/>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Current Assets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Investment in Subsidiary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282,569</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Other Assets . . . . . . . . . . . . . . . . . . . . . . . . . . . .</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r>
      <w:tr>
        <w:trPr>
          <w:trHeight w:val="211"/>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Other Assets . . . . . . . . . . . . . . . . . . . .</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284,185</w:t>
            </w:r>
          </w:p>
        </w:tc>
      </w:tr>
      <w:tr>
        <w:trPr>
          <w:trHeight w:val="211"/>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 . . . . . . . . . . .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Other Current Liabilities . . . . . . . . . . . . . . . . . .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11"/>
        </w:trPr>
        <w:tc>
          <w:tcPr>
            <w:tcW w:w="53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Current Liabilities . . . . . . . . . . . . . . .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w:t>
            </w:r>
          </w:p>
        </w:tc>
        <w:tc>
          <w:tcPr>
            <w:tcW w:w="60" w:type="dxa"/>
            <w:vAlign w:val="bottom"/>
          </w:tcPr>
          <w:p>
            <w:pPr>
              <w:spacing w:after="0"/>
              <w:rPr>
                <w:sz w:val="18"/>
                <w:szCs w:val="18"/>
                <w:color w:val="auto"/>
              </w:rPr>
            </w:pPr>
          </w:p>
        </w:tc>
      </w:tr>
      <w:tr>
        <w:trPr>
          <w:trHeight w:val="205"/>
        </w:trPr>
        <w:tc>
          <w:tcPr>
            <w:tcW w:w="5380" w:type="dxa"/>
            <w:vAlign w:val="bottom"/>
            <w:gridSpan w:val="2"/>
          </w:tcPr>
          <w:p>
            <w:pPr>
              <w:spacing w:after="0"/>
              <w:rPr>
                <w:sz w:val="20"/>
                <w:szCs w:val="20"/>
                <w:color w:val="auto"/>
              </w:rPr>
            </w:pPr>
            <w:r>
              <w:rPr>
                <w:rFonts w:ascii="Arial" w:cs="Arial" w:eastAsia="Arial" w:hAnsi="Arial"/>
                <w:sz w:val="15"/>
                <w:szCs w:val="15"/>
                <w:color w:val="auto"/>
              </w:rPr>
              <w:t>Total Liabilities . . . . . . . . . . . . . . . . . . . . . . . . . . . . . . .</w:t>
            </w: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181</w:t>
            </w:r>
          </w:p>
        </w:tc>
        <w:tc>
          <w:tcPr>
            <w:tcW w:w="8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468</w:t>
            </w:r>
          </w:p>
        </w:tc>
      </w:tr>
      <w:tr>
        <w:trPr>
          <w:trHeight w:val="209"/>
        </w:trPr>
        <w:tc>
          <w:tcPr>
            <w:tcW w:w="53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Common Stock . . . . . . . . . . . . . . . . . . . . . . . . . .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w w:val="84"/>
              </w:rPr>
              <w:t>239,162</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239,141</w:t>
            </w:r>
          </w:p>
        </w:tc>
      </w:tr>
      <w:tr>
        <w:trPr>
          <w:trHeight w:val="20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Loans to Stockholders . . . . . . . . . . . . . . . . . . . . . .</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(3,500)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(3,500)</w:t>
            </w:r>
          </w:p>
        </w:tc>
        <w:tc>
          <w:tcPr>
            <w:tcW w:w="60" w:type="dxa"/>
            <w:vAlign w:val="bottom"/>
          </w:tcPr>
          <w:p>
            <w:pPr>
              <w:spacing w:after="0"/>
              <w:rPr>
                <w:sz w:val="18"/>
                <w:szCs w:val="18"/>
                <w:color w:val="auto"/>
              </w:rPr>
            </w:pPr>
          </w:p>
        </w:tc>
      </w:tr>
      <w:tr>
        <w:trPr>
          <w:trHeight w:val="220"/>
        </w:trPr>
        <w:tc>
          <w:tcPr>
            <w:tcW w:w="5380" w:type="dxa"/>
            <w:vAlign w:val="bottom"/>
            <w:gridSpan w:val="2"/>
          </w:tcPr>
          <w:p>
            <w:pPr>
              <w:ind w:left="160"/>
              <w:spacing w:after="0"/>
              <w:rPr>
                <w:sz w:val="20"/>
                <w:szCs w:val="20"/>
                <w:color w:val="auto"/>
              </w:rPr>
            </w:pPr>
            <w:r>
              <w:rPr>
                <w:rFonts w:ascii="Arial" w:cs="Arial" w:eastAsia="Arial" w:hAnsi="Arial"/>
                <w:sz w:val="15"/>
                <w:szCs w:val="15"/>
                <w:color w:val="auto"/>
              </w:rPr>
              <w:t>Additional Paid In Capital . . . . . . . . . . . . . . . . . . .</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9,831</w:t>
            </w: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5,855</w:t>
            </w:r>
          </w:p>
        </w:tc>
      </w:tr>
      <w:tr>
        <w:trPr>
          <w:trHeight w:val="225"/>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Retained Earnings . . . . . . . . . . . . . . . . . . . .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38,324</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42,228</w:t>
            </w:r>
          </w:p>
        </w:tc>
        <w:tc>
          <w:tcPr>
            <w:tcW w:w="60" w:type="dxa"/>
            <w:vAlign w:val="bottom"/>
          </w:tcPr>
          <w:p>
            <w:pPr>
              <w:spacing w:after="0"/>
              <w:rPr>
                <w:sz w:val="19"/>
                <w:szCs w:val="19"/>
                <w:color w:val="auto"/>
              </w:rPr>
            </w:pPr>
          </w:p>
        </w:tc>
      </w:tr>
      <w:tr>
        <w:trPr>
          <w:trHeight w:val="222"/>
        </w:trPr>
        <w:tc>
          <w:tcPr>
            <w:tcW w:w="5380" w:type="dxa"/>
            <w:vAlign w:val="bottom"/>
            <w:gridSpan w:val="2"/>
          </w:tcPr>
          <w:p>
            <w:pPr>
              <w:ind w:left="300"/>
              <w:spacing w:after="0"/>
              <w:rPr>
                <w:sz w:val="20"/>
                <w:szCs w:val="20"/>
                <w:color w:val="auto"/>
              </w:rPr>
            </w:pPr>
            <w:r>
              <w:rPr>
                <w:rFonts w:ascii="Arial" w:cs="Arial" w:eastAsia="Arial" w:hAnsi="Arial"/>
                <w:sz w:val="15"/>
                <w:szCs w:val="15"/>
                <w:color w:val="auto"/>
              </w:rPr>
              <w:t>Total Stockholders’ Equity . . . . . . . . . . . . . .</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283,817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283,724</w:t>
            </w:r>
          </w:p>
        </w:tc>
      </w:tr>
      <w:tr>
        <w:trPr>
          <w:trHeight w:val="222"/>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and Stockholders’ Equity . . . . . . .</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283,998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284,192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-160020</wp:posOffset>
            </wp:positionV>
            <wp:extent cx="3886200" cy="69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-1283335</wp:posOffset>
            </wp:positionV>
            <wp:extent cx="3886200"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3886200"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88620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-2936240</wp:posOffset>
            </wp:positionV>
            <wp:extent cx="111760"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-2936240</wp:posOffset>
            </wp:positionV>
            <wp:extent cx="55880" cy="698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8" w:name="page239"/>
    <w:bookmarkEnd w:id="238"/>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left="2260"/>
        <w:spacing w:after="0"/>
        <w:rPr>
          <w:sz w:val="20"/>
          <w:szCs w:val="20"/>
          <w:color w:val="auto"/>
        </w:rPr>
      </w:pPr>
      <w:r>
        <w:rPr>
          <w:rFonts w:ascii="Arial" w:cs="Arial" w:eastAsia="Arial" w:hAnsi="Arial"/>
          <w:sz w:val="12"/>
          <w:szCs w:val="12"/>
          <w:b w:val="1"/>
          <w:bCs w:val="1"/>
          <w:color w:val="auto"/>
        </w:rPr>
        <w:t>Confidential Treatment Requested by Sun Country Airlines Holdings, Inc.</w:t>
      </w:r>
    </w:p>
    <w:p>
      <w:pPr>
        <w:spacing w:after="0" w:line="71" w:lineRule="exact"/>
        <w:rPr>
          <w:sz w:val="20"/>
          <w:szCs w:val="20"/>
          <w:color w:val="auto"/>
        </w:rPr>
      </w:pPr>
    </w:p>
    <w:p>
      <w:pPr>
        <w:jc w:val="center"/>
        <w:ind w:left="2260"/>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9"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3400" w:right="460" w:hanging="2236"/>
        <w:spacing w:after="0" w:line="538" w:lineRule="auto"/>
        <w:tabs>
          <w:tab w:leader="none" w:pos="1375" w:val="left"/>
        </w:tabs>
        <w:numPr>
          <w:ilvl w:val="0"/>
          <w:numId w:val="113"/>
        </w:numPr>
        <w:rPr>
          <w:rFonts w:ascii="Arial" w:cs="Arial" w:eastAsia="Arial" w:hAnsi="Arial"/>
          <w:sz w:val="14"/>
          <w:szCs w:val="14"/>
          <w:b w:val="1"/>
          <w:bCs w:val="1"/>
          <w:color w:val="auto"/>
        </w:rPr>
      </w:pPr>
      <w:r>
        <w:rPr>
          <w:rFonts w:ascii="Arial" w:cs="Arial" w:eastAsia="Arial" w:hAnsi="Arial"/>
          <w:sz w:val="14"/>
          <w:szCs w:val="14"/>
          <w:b w:val="1"/>
          <w:bCs w:val="1"/>
          <w:color w:val="auto"/>
        </w:rPr>
        <w:t>CONDENSED PARENT COMPANY FINANCIAL INFORMATION (continued) Condensed Statements of Operations</w:t>
      </w:r>
    </w:p>
    <w:p>
      <w:pPr>
        <w:spacing w:after="0" w:line="1" w:lineRule="exact"/>
        <w:rPr>
          <w:sz w:val="20"/>
          <w:szCs w:val="20"/>
          <w:color w:val="auto"/>
        </w:rPr>
      </w:pPr>
    </w:p>
    <w:p>
      <w:pPr>
        <w:jc w:val="center"/>
        <w:ind w:left="5500"/>
        <w:spacing w:after="0"/>
        <w:rPr>
          <w:sz w:val="20"/>
          <w:szCs w:val="20"/>
          <w:color w:val="auto"/>
        </w:rPr>
      </w:pPr>
      <w:r>
        <w:rPr>
          <w:rFonts w:ascii="Arial" w:cs="Arial" w:eastAsia="Arial" w:hAnsi="Arial"/>
          <w:sz w:val="9"/>
          <w:szCs w:val="9"/>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43180</wp:posOffset>
            </wp:positionV>
            <wp:extent cx="822960"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2960" cy="6985"/>
                    </a:xfrm>
                    <a:prstGeom prst="rect">
                      <a:avLst/>
                    </a:prstGeom>
                    <a:noFill/>
                  </pic:spPr>
                </pic:pic>
              </a:graphicData>
            </a:graphic>
          </wp:anchor>
        </w:drawing>
      </w:r>
    </w:p>
    <w:p>
      <w:pPr>
        <w:spacing w:after="0" w:line="96" w:lineRule="exact"/>
        <w:rPr>
          <w:sz w:val="20"/>
          <w:szCs w:val="20"/>
          <w:color w:val="auto"/>
        </w:rPr>
      </w:pPr>
    </w:p>
    <w:p>
      <w:pPr>
        <w:ind w:left="5640"/>
        <w:spacing w:after="0"/>
        <w:tabs>
          <w:tab w:leader="none" w:pos="634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20955</wp:posOffset>
            </wp:positionV>
            <wp:extent cx="3195320"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1953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19"/>
        <w:spacing w:after="0"/>
        <w:rPr>
          <w:sz w:val="20"/>
          <w:szCs w:val="20"/>
          <w:color w:val="auto"/>
        </w:rPr>
      </w:pPr>
      <w:r>
        <w:rPr>
          <w:rFonts w:ascii="Arial" w:cs="Arial" w:eastAsia="Arial" w:hAnsi="Arial"/>
          <w:sz w:val="12"/>
          <w:szCs w:val="12"/>
          <w:b w:val="1"/>
          <w:bCs w:val="1"/>
          <w:color w:val="auto"/>
        </w:rPr>
        <w:t>For the Period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April 11, 2018 to</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42545</wp:posOffset>
            </wp:positionV>
            <wp:extent cx="83820"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3820" cy="698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6740" w:space="180"/>
            <w:col w:w="2099"/>
          </w:cols>
          <w:pgMar w:left="1440" w:top="134" w:right="1440" w:bottom="1440" w:gutter="0" w:footer="0" w:header="0"/>
        </w:sectPr>
      </w:pPr>
    </w:p>
    <w:tbl>
      <w:tblPr>
        <w:tblLayout w:type="fixed"/>
        <w:tblInd w:w="1160" w:type="dxa"/>
        <w:tblCellMar>
          <w:top w:w="0" w:type="dxa"/>
          <w:left w:w="0" w:type="dxa"/>
          <w:bottom w:w="0" w:type="dxa"/>
          <w:right w:w="0" w:type="dxa"/>
        </w:tblCellMar>
      </w:tblPr>
      <w:tr>
        <w:trPr>
          <w:trHeight w:val="220"/>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right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Other Operating, net . . . . . . . . . . . . . . . . . . . . . . . . . . . . . . . . . . .</w:t>
            </w:r>
          </w:p>
        </w:tc>
        <w:tc>
          <w:tcPr>
            <w:tcW w:w="680" w:type="dxa"/>
            <w:vAlign w:val="bottom"/>
            <w:gridSpan w:val="4"/>
          </w:tcPr>
          <w:p>
            <w:pPr>
              <w:jc w:val="right"/>
              <w:ind w:right="40"/>
              <w:spacing w:after="0"/>
              <w:rPr>
                <w:sz w:val="20"/>
                <w:szCs w:val="20"/>
                <w:color w:val="auto"/>
              </w:rPr>
            </w:pPr>
            <w:r>
              <w:rPr>
                <w:rFonts w:ascii="Arial" w:cs="Arial" w:eastAsia="Arial" w:hAnsi="Arial"/>
                <w:sz w:val="15"/>
                <w:szCs w:val="15"/>
                <w:color w:val="auto"/>
              </w:rPr>
              <w:t>$  179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   439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$ 564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96"/>
              </w:rPr>
              <w:t>Total Operating Expenses . . . . . . . . . . . . . . . . . . . . . . . . . . .</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spacing w:after="0"/>
              <w:rPr>
                <w:sz w:val="20"/>
                <w:szCs w:val="20"/>
                <w:color w:val="auto"/>
              </w:rPr>
            </w:pPr>
            <w:r>
              <w:rPr>
                <w:rFonts w:ascii="Arial" w:cs="Arial" w:eastAsia="Arial" w:hAnsi="Arial"/>
                <w:sz w:val="15"/>
                <w:szCs w:val="15"/>
                <w:color w:val="auto"/>
              </w:rPr>
              <w:t>Operating Income / (Loss)</w:t>
            </w:r>
          </w:p>
        </w:tc>
        <w:tc>
          <w:tcPr>
            <w:tcW w:w="240" w:type="dxa"/>
            <w:vAlign w:val="bottom"/>
            <w:gridSpan w:val="2"/>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(179)</w:t>
            </w:r>
          </w:p>
        </w:tc>
        <w:tc>
          <w:tcPr>
            <w:tcW w:w="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5"/>
                <w:szCs w:val="15"/>
                <w:color w:val="auto"/>
              </w:rPr>
              <w:t>(439)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(564)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Equity in Income / (Loss) of Subsidiaries</w:t>
            </w:r>
          </w:p>
        </w:tc>
        <w:tc>
          <w:tcPr>
            <w:tcW w:w="840" w:type="dxa"/>
            <w:vAlign w:val="bottom"/>
            <w:gridSpan w:val="5"/>
          </w:tcPr>
          <w:p>
            <w:pPr>
              <w:jc w:val="right"/>
              <w:ind w:right="160"/>
              <w:spacing w:after="0"/>
              <w:rPr>
                <w:sz w:val="20"/>
                <w:szCs w:val="20"/>
                <w:color w:val="auto"/>
              </w:rPr>
            </w:pPr>
            <w:r>
              <w:rPr>
                <w:rFonts w:ascii="Arial" w:cs="Arial" w:eastAsia="Arial" w:hAnsi="Arial"/>
                <w:sz w:val="15"/>
                <w:szCs w:val="15"/>
                <w:color w:val="auto"/>
              </w:rPr>
              <w:t>(3,725)</w:t>
            </w:r>
          </w:p>
        </w:tc>
        <w:tc>
          <w:tcPr>
            <w:tcW w:w="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46,283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197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gridSpan w:val="2"/>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180" w:type="dxa"/>
            <w:vAlign w:val="bottom"/>
            <w:gridSpan w:val="2"/>
          </w:tcPr>
          <w:p>
            <w:pPr>
              <w:ind w:left="300"/>
              <w:spacing w:after="0"/>
              <w:rPr>
                <w:sz w:val="20"/>
                <w:szCs w:val="20"/>
                <w:color w:val="auto"/>
              </w:rPr>
            </w:pPr>
            <w:r>
              <w:rPr>
                <w:rFonts w:ascii="Arial" w:cs="Arial" w:eastAsia="Arial" w:hAnsi="Arial"/>
                <w:sz w:val="15"/>
                <w:szCs w:val="15"/>
                <w:color w:val="auto"/>
                <w:w w:val="98"/>
              </w:rPr>
              <w:t>Total Non-operating Income/ (Expense), net . . . . . . . . . . . .</w:t>
            </w:r>
          </w:p>
        </w:tc>
        <w:tc>
          <w:tcPr>
            <w:tcW w:w="240" w:type="dxa"/>
            <w:vAlign w:val="bottom"/>
            <w:gridSpan w:val="2"/>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w w:val="88"/>
              </w:rPr>
              <w:t>(3,725)</w:t>
            </w:r>
          </w:p>
        </w:tc>
        <w:tc>
          <w:tcPr>
            <w:tcW w:w="6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5"/>
                <w:szCs w:val="15"/>
                <w:color w:val="auto"/>
              </w:rPr>
              <w:t>46,511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197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 (Loss) before Income Tax</w:t>
            </w: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8"/>
              </w:rPr>
              <w:t>(3,904)</w:t>
            </w: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46,072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160"/>
              <w:spacing w:after="0"/>
              <w:rPr>
                <w:sz w:val="20"/>
                <w:szCs w:val="20"/>
                <w:color w:val="auto"/>
              </w:rPr>
            </w:pPr>
            <w:r>
              <w:rPr>
                <w:rFonts w:ascii="Arial" w:cs="Arial" w:eastAsia="Arial" w:hAnsi="Arial"/>
                <w:sz w:val="15"/>
                <w:szCs w:val="15"/>
                <w:color w:val="auto"/>
                <w:w w:val="93"/>
              </w:rPr>
              <w:t>Income Tax Expense / (Benefit) . . . . . . . . . . . . . . . . . . . . . . . . .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 (Loss)</w:t>
            </w:r>
          </w:p>
        </w:tc>
        <w:tc>
          <w:tcPr>
            <w:tcW w:w="840" w:type="dxa"/>
            <w:vAlign w:val="bottom"/>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$(3,904)</w:t>
            </w:r>
          </w:p>
        </w:tc>
        <w:tc>
          <w:tcPr>
            <w:tcW w:w="60" w:type="dxa"/>
            <w:vAlign w:val="bottom"/>
            <w:tcBorders>
              <w:right w:val="single" w:sz="8" w:color="CCEEFF"/>
            </w:tcBorders>
            <w:shd w:val="clear" w:color="auto" w:fill="CCEEFF"/>
          </w:tcPr>
          <w:p>
            <w:pPr>
              <w:spacing w:after="0"/>
              <w:rPr>
                <w:sz w:val="20"/>
                <w:szCs w:val="20"/>
                <w:color w:val="auto"/>
              </w:rPr>
            </w:pP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w w:val="84"/>
              </w:rPr>
              <w:t>$46,072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7"/>
              </w:rPr>
              <w:t>$(367)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080" w:type="dxa"/>
            <w:vAlign w:val="bottom"/>
            <w:gridSpan w:val="8"/>
          </w:tcPr>
          <w:p>
            <w:pPr>
              <w:ind w:left="2220"/>
              <w:spacing w:after="0"/>
              <w:rPr>
                <w:sz w:val="20"/>
                <w:szCs w:val="20"/>
                <w:color w:val="auto"/>
              </w:rPr>
            </w:pPr>
            <w:r>
              <w:rPr>
                <w:rFonts w:ascii="Arial" w:cs="Arial" w:eastAsia="Arial" w:hAnsi="Arial"/>
                <w:sz w:val="15"/>
                <w:szCs w:val="15"/>
                <w:b w:val="1"/>
                <w:bCs w:val="1"/>
                <w:color w:val="auto"/>
              </w:rPr>
              <w:t>Condensed Statements of Cash Flows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10"/>
            <w:vMerge w:val="restart"/>
          </w:tcPr>
          <w:p>
            <w:pPr>
              <w:ind w:left="40"/>
              <w:spacing w:after="0"/>
              <w:rPr>
                <w:sz w:val="20"/>
                <w:szCs w:val="20"/>
                <w:color w:val="auto"/>
              </w:rPr>
            </w:pPr>
            <w:r>
              <w:rPr>
                <w:rFonts w:ascii="Arial" w:cs="Arial" w:eastAsia="Arial" w:hAnsi="Arial"/>
                <w:sz w:val="12"/>
                <w:szCs w:val="12"/>
                <w:b w:val="1"/>
                <w:bCs w:val="1"/>
                <w:color w:val="auto"/>
                <w:w w:val="96"/>
              </w:rPr>
              <w:t>Year Ended December 31,</w:t>
            </w:r>
          </w:p>
        </w:tc>
        <w:tc>
          <w:tcPr>
            <w:tcW w:w="9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85"/>
              </w:rPr>
              <w:t>For the Period</w:t>
            </w: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10"/>
            <w:vMerge w:val="continue"/>
          </w:tcPr>
          <w:p>
            <w:pPr>
              <w:spacing w:after="0"/>
              <w:rPr>
                <w:sz w:val="6"/>
                <w:szCs w:val="6"/>
                <w:color w:val="auto"/>
              </w:rPr>
            </w:pPr>
          </w:p>
        </w:tc>
        <w:tc>
          <w:tcPr>
            <w:tcW w:w="940" w:type="dxa"/>
            <w:vAlign w:val="bottom"/>
            <w:gridSpan w:val="5"/>
            <w:vMerge w:val="restart"/>
          </w:tcPr>
          <w:p>
            <w:pPr>
              <w:jc w:val="center"/>
              <w:ind w:right="40"/>
              <w:spacing w:after="0" w:line="112" w:lineRule="exact"/>
              <w:rPr>
                <w:sz w:val="20"/>
                <w:szCs w:val="20"/>
                <w:color w:val="auto"/>
              </w:rPr>
            </w:pPr>
            <w:r>
              <w:rPr>
                <w:rFonts w:ascii="Arial" w:cs="Arial" w:eastAsia="Arial" w:hAnsi="Arial"/>
                <w:sz w:val="12"/>
                <w:szCs w:val="12"/>
                <w:b w:val="1"/>
                <w:bCs w:val="1"/>
                <w:color w:val="auto"/>
                <w:w w:val="84"/>
              </w:rPr>
              <w:t>April 11, 2018 to</w:t>
            </w: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5"/>
          </w:tcPr>
          <w:p>
            <w:pPr>
              <w:jc w:val="center"/>
              <w:spacing w:after="0"/>
              <w:rPr>
                <w:sz w:val="20"/>
                <w:szCs w:val="20"/>
                <w:color w:val="auto"/>
              </w:rPr>
            </w:pPr>
            <w:r>
              <w:rPr>
                <w:rFonts w:ascii="Arial" w:cs="Arial" w:eastAsia="Arial" w:hAnsi="Arial"/>
                <w:sz w:val="12"/>
                <w:szCs w:val="12"/>
                <w:b w:val="1"/>
                <w:bCs w:val="1"/>
                <w:color w:val="auto"/>
                <w:w w:val="83"/>
              </w:rPr>
              <w:t>December 31, 2018</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Net Cash Provided by Operating Activities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w w:val="94"/>
              </w:rPr>
              <w:t>$ —</w:t>
            </w: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w w:val="85"/>
              </w:rPr>
              <w: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to Subsidiary</w:t>
            </w:r>
          </w:p>
        </w:tc>
        <w:tc>
          <w:tcPr>
            <w:tcW w:w="240" w:type="dxa"/>
            <w:vAlign w:val="bottom"/>
            <w:gridSpan w:val="2"/>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300"/>
              <w:spacing w:after="0"/>
              <w:rPr>
                <w:sz w:val="20"/>
                <w:szCs w:val="20"/>
                <w:color w:val="auto"/>
              </w:rPr>
            </w:pPr>
            <w:r>
              <w:rPr>
                <w:rFonts w:ascii="Arial" w:cs="Arial" w:eastAsia="Arial" w:hAnsi="Arial"/>
                <w:sz w:val="15"/>
                <w:szCs w:val="15"/>
                <w:b w:val="1"/>
                <w:bCs w:val="1"/>
                <w:color w:val="auto"/>
              </w:rPr>
              <w:t>Net Cash Used in Investing Activities</w:t>
            </w: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82"/>
              </w:rPr>
              <w:t>(47,866)</w:t>
            </w:r>
          </w:p>
        </w:tc>
        <w:tc>
          <w:tcPr>
            <w:tcW w:w="0" w:type="dxa"/>
            <w:vAlign w:val="bottom"/>
          </w:tcPr>
          <w:p>
            <w:pPr>
              <w:spacing w:after="0"/>
              <w:rPr>
                <w:sz w:val="1"/>
                <w:szCs w:val="1"/>
                <w:color w:val="auto"/>
              </w:rPr>
            </w:pPr>
          </w:p>
        </w:tc>
      </w:tr>
      <w:tr>
        <w:trPr>
          <w:trHeight w:val="205"/>
        </w:trPr>
        <w:tc>
          <w:tcPr>
            <w:tcW w:w="418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Cash Contributions from Stockholders</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209"/>
        </w:trPr>
        <w:tc>
          <w:tcPr>
            <w:tcW w:w="4180" w:type="dxa"/>
            <w:vAlign w:val="bottom"/>
            <w:gridSpan w:val="2"/>
          </w:tcPr>
          <w:p>
            <w:pPr>
              <w:ind w:left="160"/>
              <w:spacing w:after="0"/>
              <w:rPr>
                <w:sz w:val="20"/>
                <w:szCs w:val="20"/>
                <w:color w:val="auto"/>
              </w:rPr>
            </w:pPr>
            <w:r>
              <w:rPr>
                <w:rFonts w:ascii="Arial" w:cs="Arial" w:eastAsia="Arial" w:hAnsi="Arial"/>
                <w:sz w:val="15"/>
                <w:szCs w:val="15"/>
                <w:color w:val="auto"/>
              </w:rPr>
              <w:t>Net Payments from Subsidiary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5"/>
                <w:szCs w:val="15"/>
                <w:color w:val="auto"/>
              </w:rPr>
              <w:t>—</w:t>
            </w:r>
          </w:p>
        </w:tc>
        <w:tc>
          <w:tcPr>
            <w:tcW w:w="520" w:type="dxa"/>
            <w:vAlign w:val="bottom"/>
            <w:gridSpan w:val="3"/>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Received from Exercise of Apollo Warrants</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gridSpan w:val="2"/>
          </w:tcPr>
          <w:p>
            <w:pPr>
              <w:ind w:left="300"/>
              <w:spacing w:after="0"/>
              <w:rPr>
                <w:sz w:val="20"/>
                <w:szCs w:val="20"/>
                <w:color w:val="auto"/>
              </w:rPr>
            </w:pPr>
            <w:r>
              <w:rPr>
                <w:rFonts w:ascii="Arial" w:cs="Arial" w:eastAsia="Arial" w:hAnsi="Arial"/>
                <w:sz w:val="15"/>
                <w:szCs w:val="15"/>
                <w:b w:val="1"/>
                <w:bCs w:val="1"/>
                <w:color w:val="auto"/>
              </w:rPr>
              <w:t>Net Cash Provided by Financing Activities</w:t>
            </w:r>
          </w:p>
        </w:tc>
        <w:tc>
          <w:tcPr>
            <w:tcW w:w="24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5"/>
                <w:szCs w:val="15"/>
                <w:color w:val="auto"/>
                <w:w w:val="91"/>
              </w:rPr>
              <w:t>47,866</w:t>
            </w:r>
          </w:p>
        </w:tc>
        <w:tc>
          <w:tcPr>
            <w:tcW w:w="0" w:type="dxa"/>
            <w:vAlign w:val="bottom"/>
          </w:tcPr>
          <w:p>
            <w:pPr>
              <w:spacing w:after="0"/>
              <w:rPr>
                <w:sz w:val="1"/>
                <w:szCs w:val="1"/>
                <w:color w:val="auto"/>
              </w:rPr>
            </w:pPr>
          </w:p>
        </w:tc>
      </w:tr>
      <w:tr>
        <w:trPr>
          <w:trHeight w:val="180"/>
        </w:trPr>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6"/>
              </w:rPr>
              <w:t>Net Increase / (Decrease) in Cash, Cash Equivalents and Restricted</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Cash</w:t>
            </w:r>
          </w:p>
        </w:tc>
        <w:tc>
          <w:tcPr>
            <w:tcW w:w="6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(7)</w:t>
            </w: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180" w:type="dxa"/>
            <w:vAlign w:val="bottom"/>
            <w:gridSpan w:val="2"/>
          </w:tcPr>
          <w:p>
            <w:pPr>
              <w:spacing w:after="0"/>
              <w:rPr>
                <w:sz w:val="20"/>
                <w:szCs w:val="20"/>
                <w:color w:val="auto"/>
              </w:rPr>
            </w:pPr>
            <w:r>
              <w:rPr>
                <w:rFonts w:ascii="Arial" w:cs="Arial" w:eastAsia="Arial" w:hAnsi="Arial"/>
                <w:sz w:val="15"/>
                <w:szCs w:val="15"/>
                <w:b w:val="1"/>
                <w:bCs w:val="1"/>
                <w:color w:val="auto"/>
                <w:w w:val="91"/>
              </w:rPr>
              <w:t>Cash, Cash Equivalents and Restricted Cash—Beginning of the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gridSpan w:val="2"/>
          </w:tcPr>
          <w:p>
            <w:pPr>
              <w:ind w:left="160"/>
              <w:spacing w:after="0"/>
              <w:rPr>
                <w:sz w:val="20"/>
                <w:szCs w:val="20"/>
                <w:color w:val="auto"/>
              </w:rPr>
            </w:pPr>
            <w:r>
              <w:rPr>
                <w:rFonts w:ascii="Arial" w:cs="Arial" w:eastAsia="Arial" w:hAnsi="Arial"/>
                <w:sz w:val="15"/>
                <w:szCs w:val="15"/>
                <w:b w:val="1"/>
                <w:bCs w:val="1"/>
                <w:color w:val="auto"/>
              </w:rPr>
              <w:t>Period</w:t>
            </w:r>
          </w:p>
        </w:tc>
        <w:tc>
          <w:tcPr>
            <w:tcW w:w="680" w:type="dxa"/>
            <w:vAlign w:val="bottom"/>
            <w:gridSpan w:val="4"/>
          </w:tcPr>
          <w:p>
            <w:pPr>
              <w:jc w:val="right"/>
              <w:ind w:right="160"/>
              <w:spacing w:after="0"/>
              <w:rPr>
                <w:sz w:val="20"/>
                <w:szCs w:val="20"/>
                <w:color w:val="auto"/>
              </w:rPr>
            </w:pPr>
            <w:r>
              <w:rPr>
                <w:rFonts w:ascii="Arial" w:cs="Arial" w:eastAsia="Arial" w:hAnsi="Arial"/>
                <w:sz w:val="15"/>
                <w:szCs w:val="15"/>
                <w:color w:val="auto"/>
              </w:rPr>
              <w:t>7</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4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41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0"/>
              </w:rPr>
              <w:t>Cash, Cash Equivalents and Restricted Cash—End of the Period</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5"/>
                <w:szCs w:val="15"/>
                <w:color w:val="auto"/>
                <w:w w:val="94"/>
              </w:rPr>
              <w:t>$ —</w:t>
            </w:r>
          </w:p>
        </w:tc>
        <w:tc>
          <w:tcPr>
            <w:tcW w:w="520" w:type="dxa"/>
            <w:vAlign w:val="bottom"/>
            <w:tcBorders>
              <w:right w:val="single" w:sz="8" w:color="CCEEFF"/>
            </w:tcBorders>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$ 7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4792345</wp:posOffset>
            </wp:positionH>
            <wp:positionV relativeFrom="paragraph">
              <wp:posOffset>-2880360</wp:posOffset>
            </wp:positionV>
            <wp:extent cx="188595"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-2880360</wp:posOffset>
            </wp:positionV>
            <wp:extent cx="3830320"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-3717925</wp:posOffset>
            </wp:positionV>
            <wp:extent cx="188595" cy="69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-3717925</wp:posOffset>
            </wp:positionV>
            <wp:extent cx="3830320"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4792345</wp:posOffset>
            </wp:positionH>
            <wp:positionV relativeFrom="paragraph">
              <wp:posOffset>-4010660</wp:posOffset>
            </wp:positionV>
            <wp:extent cx="188595"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-4010660</wp:posOffset>
            </wp:positionV>
            <wp:extent cx="3830320"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-173990</wp:posOffset>
            </wp:positionV>
            <wp:extent cx="132715" cy="69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767455"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-676275</wp:posOffset>
            </wp:positionV>
            <wp:extent cx="132715"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-676275</wp:posOffset>
            </wp:positionV>
            <wp:extent cx="3767455"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-1513205</wp:posOffset>
            </wp:positionV>
            <wp:extent cx="132715"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-1513205</wp:posOffset>
            </wp:positionV>
            <wp:extent cx="3767455"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-1792605</wp:posOffset>
            </wp:positionV>
            <wp:extent cx="132715" cy="69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-1792605</wp:posOffset>
            </wp:positionV>
            <wp:extent cx="3767455"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-2071370</wp:posOffset>
            </wp:positionV>
            <wp:extent cx="3634740" cy="69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1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Basis of Presentation</w:t>
      </w:r>
    </w:p>
    <w:p>
      <w:pPr>
        <w:spacing w:after="0" w:line="128" w:lineRule="exact"/>
        <w:rPr>
          <w:sz w:val="20"/>
          <w:szCs w:val="20"/>
          <w:color w:val="auto"/>
        </w:rPr>
      </w:pPr>
    </w:p>
    <w:p>
      <w:pPr>
        <w:ind w:left="1160" w:right="1279" w:firstLine="293"/>
        <w:spacing w:after="0" w:line="251" w:lineRule="auto"/>
        <w:rPr>
          <w:sz w:val="20"/>
          <w:szCs w:val="20"/>
          <w:color w:val="auto"/>
        </w:rPr>
      </w:pPr>
      <w:r>
        <w:rPr>
          <w:rFonts w:ascii="Arial" w:cs="Arial" w:eastAsia="Arial" w:hAnsi="Arial"/>
          <w:sz w:val="15"/>
          <w:szCs w:val="15"/>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39" w:name="page240"/>
    <w:bookmarkEnd w:id="239"/>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19. CONDENSED PARENT COMPANY FINANCIAL INFORMATION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Restrictions and Covenants</w:t>
      </w:r>
    </w:p>
    <w:p>
      <w:pPr>
        <w:spacing w:after="0" w:line="128" w:lineRule="exact"/>
        <w:rPr>
          <w:sz w:val="20"/>
          <w:szCs w:val="20"/>
          <w:color w:val="auto"/>
        </w:rPr>
      </w:pPr>
    </w:p>
    <w:p>
      <w:pPr>
        <w:ind w:left="1160" w:right="119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20. SUBSEQUENT EVENTS</w:t>
      </w:r>
    </w:p>
    <w:p>
      <w:pPr>
        <w:spacing w:after="0" w:line="117" w:lineRule="exact"/>
        <w:rPr>
          <w:sz w:val="20"/>
          <w:szCs w:val="20"/>
          <w:color w:val="auto"/>
        </w:rPr>
      </w:pPr>
    </w:p>
    <w:p>
      <w:pPr>
        <w:ind w:left="1160" w:right="1759" w:firstLine="293"/>
        <w:spacing w:after="0" w:line="341" w:lineRule="auto"/>
        <w:rPr>
          <w:sz w:val="20"/>
          <w:szCs w:val="20"/>
          <w:color w:val="auto"/>
        </w:rPr>
      </w:pPr>
      <w:r>
        <w:rPr>
          <w:rFonts w:ascii="Arial" w:cs="Arial" w:eastAsia="Arial" w:hAnsi="Arial"/>
          <w:sz w:val="13"/>
          <w:szCs w:val="13"/>
          <w:color w:val="auto"/>
        </w:rPr>
        <w:t>The Company evaluated subsequent events for the period from the Balance Sheet date through March 8, 2021, the date that the Consolidated Financial Statements were available to be issued.</w:t>
      </w:r>
    </w:p>
    <w:p>
      <w:pPr>
        <w:spacing w:after="0" w:line="48"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Other than the subsequent events disclosed below, no subsequent events were identified that require recognition in the Consolidated Financial Statements or disclosure in the Notes to the Consolidated Financial Statements, with the exception of the January 2021 grant from the United States Department of the Treasury as discussed in Note 3, the February 2021 credit agreement as disclosed in Note 9, and the repayment of stockholder promissory notes in February 2021 as discussed in the “Stockholders’ Equity” section of Note 2.</w:t>
      </w:r>
    </w:p>
    <w:p>
      <w:pPr>
        <w:spacing w:after="0" w:line="106" w:lineRule="exact"/>
        <w:rPr>
          <w:sz w:val="20"/>
          <w:szCs w:val="20"/>
          <w:color w:val="auto"/>
        </w:rPr>
      </w:pPr>
    </w:p>
    <w:p>
      <w:pPr>
        <w:jc w:val="both"/>
        <w:ind w:left="1160" w:right="1359" w:firstLine="293"/>
        <w:spacing w:after="0" w:line="254" w:lineRule="auto"/>
        <w:rPr>
          <w:sz w:val="20"/>
          <w:szCs w:val="20"/>
          <w:color w:val="auto"/>
        </w:rPr>
      </w:pPr>
      <w:r>
        <w:rPr>
          <w:rFonts w:ascii="Arial" w:cs="Arial" w:eastAsia="Arial" w:hAnsi="Arial"/>
          <w:sz w:val="15"/>
          <w:szCs w:val="15"/>
          <w:color w:val="auto"/>
        </w:rPr>
        <w:t>In March 2021, the Company borrowed $68,000 under the Delayed Draw Term Loan Facility for the purpose of financing the acquisition of five additional aircraft that it presently leases, three of which have been acquired, with the remainder under purchase agreements.</w:t>
      </w:r>
    </w:p>
    <w:p>
      <w:pPr>
        <w:spacing w:after="0" w:line="90" w:lineRule="exact"/>
        <w:rPr>
          <w:sz w:val="20"/>
          <w:szCs w:val="20"/>
          <w:color w:val="auto"/>
        </w:rPr>
      </w:pPr>
    </w:p>
    <w:p>
      <w:pPr>
        <w:ind w:left="1160" w:right="1279" w:firstLine="293"/>
        <w:spacing w:after="0" w:line="264" w:lineRule="auto"/>
        <w:rPr>
          <w:sz w:val="20"/>
          <w:szCs w:val="20"/>
          <w:color w:val="auto"/>
        </w:rPr>
      </w:pPr>
      <w:r>
        <w:rPr>
          <w:rFonts w:ascii="Arial" w:cs="Arial" w:eastAsia="Arial" w:hAnsi="Arial"/>
          <w:sz w:val="14"/>
          <w:szCs w:val="14"/>
          <w:color w:val="auto"/>
        </w:rPr>
        <w:t>In March 2021, the Company effected an approximately 18.8886 for 1 stock split of its common stock (the “Stock Split”), with exercise prices for outstanding warrants and options adjusted accordingly by dividing such prices by the approximately 18.8886 Stock Split ratio. The par value of the common stock was not adjusted as a result of the Stock Split. As a result of the Stock Split, the Company issued an additional 44,226,587 shares of common stock, which includes 44,359,873 shares that relate to shares outstanding as of December 31, 2020. No fractional shares of the Company’s common stock were issued in connection with the Stock Split. Any fractional share resulting from the Stock Split was rounded down to the nearest whole share, and any stockholder entitled to fractional shares as a result of the Stock Split will receive a cash payment in lieu of receiving fractional shares.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Successor periods. Due to the change in the basis of accounting resulting from the Acquisition, the financial information for the Predecessor periods was not adjusted for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0" w:name="page241"/>
    <w:bookmarkEnd w:id="240"/>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21. QUARTERLY FINANCIAL DATA (UNAUDITED)</w:t>
      </w:r>
    </w:p>
    <w:p>
      <w:pPr>
        <w:spacing w:after="0" w:line="128" w:lineRule="exact"/>
        <w:rPr>
          <w:sz w:val="20"/>
          <w:szCs w:val="20"/>
          <w:color w:val="auto"/>
        </w:rPr>
      </w:pPr>
    </w:p>
    <w:p>
      <w:pPr>
        <w:ind w:left="1160" w:right="1619" w:firstLine="293"/>
        <w:spacing w:after="0" w:line="264" w:lineRule="auto"/>
        <w:rPr>
          <w:sz w:val="20"/>
          <w:szCs w:val="20"/>
          <w:color w:val="auto"/>
        </w:rPr>
      </w:pPr>
      <w:r>
        <w:rPr>
          <w:rFonts w:ascii="Arial" w:cs="Arial" w:eastAsia="Arial" w:hAnsi="Arial"/>
          <w:sz w:val="15"/>
          <w:szCs w:val="15"/>
          <w:color w:val="auto"/>
        </w:rPr>
        <w:t>Quarterly results of operations for the years ended December 31, 2020 and 2019 are summarized below:</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2"/>
              </w:rPr>
              <w:t>First</w:t>
            </w:r>
          </w:p>
        </w:tc>
        <w:tc>
          <w:tcPr>
            <w:tcW w:w="160" w:type="dxa"/>
            <w:vAlign w:val="bottom"/>
          </w:tcPr>
          <w:p>
            <w:pPr>
              <w:spacing w:after="0"/>
              <w:rPr>
                <w:sz w:val="12"/>
                <w:szCs w:val="12"/>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7"/>
              </w:rPr>
              <w:t>Second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Quarter</w:t>
            </w:r>
          </w:p>
        </w:tc>
        <w:tc>
          <w:tcPr>
            <w:tcW w:w="160" w:type="dxa"/>
            <w:vAlign w:val="bottom"/>
          </w:tcPr>
          <w:p>
            <w:pPr>
              <w:spacing w:after="0"/>
              <w:rPr>
                <w:sz w:val="13"/>
                <w:szCs w:val="13"/>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6"/>
              </w:rPr>
              <w:t>Quarter</w:t>
            </w:r>
          </w:p>
        </w:tc>
        <w:tc>
          <w:tcPr>
            <w:tcW w:w="8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40" w:type="dxa"/>
            <w:vAlign w:val="bottom"/>
            <w:gridSpan w:val="5"/>
          </w:tcPr>
          <w:p>
            <w:pPr>
              <w:jc w:val="right"/>
              <w:ind w:right="20"/>
              <w:spacing w:after="0"/>
              <w:rPr>
                <w:sz w:val="20"/>
                <w:szCs w:val="20"/>
                <w:color w:val="auto"/>
              </w:rPr>
            </w:pPr>
            <w:r>
              <w:rPr>
                <w:rFonts w:ascii="Arial" w:cs="Arial" w:eastAsia="Arial" w:hAnsi="Arial"/>
                <w:sz w:val="15"/>
                <w:szCs w:val="15"/>
                <w:color w:val="auto"/>
              </w:rPr>
              <w:t>$180,330</w:t>
            </w:r>
          </w:p>
        </w:tc>
        <w:tc>
          <w:tcPr>
            <w:tcW w:w="740" w:type="dxa"/>
            <w:vAlign w:val="bottom"/>
            <w:gridSpan w:val="5"/>
          </w:tcPr>
          <w:p>
            <w:pPr>
              <w:jc w:val="right"/>
              <w:ind w:right="100"/>
              <w:spacing w:after="0"/>
              <w:rPr>
                <w:sz w:val="20"/>
                <w:szCs w:val="20"/>
                <w:color w:val="auto"/>
              </w:rPr>
            </w:pPr>
            <w:r>
              <w:rPr>
                <w:rFonts w:ascii="Arial" w:cs="Arial" w:eastAsia="Arial" w:hAnsi="Arial"/>
                <w:sz w:val="15"/>
                <w:szCs w:val="15"/>
                <w:color w:val="auto"/>
              </w:rPr>
              <w:t>$35,376</w:t>
            </w: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rPr>
              <w:t>$77,973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107,807</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15,230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92"/>
              </w:rPr>
              <w:t>(2,234)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(4,428)</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 / (Loss)</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7,251</w:t>
            </w:r>
          </w:p>
        </w:tc>
        <w:tc>
          <w:tcPr>
            <w:tcW w:w="740" w:type="dxa"/>
            <w:vAlign w:val="bottom"/>
            <w:gridSpan w:val="5"/>
          </w:tcPr>
          <w:p>
            <w:pPr>
              <w:jc w:val="right"/>
              <w:ind w:right="40"/>
              <w:spacing w:after="0"/>
              <w:rPr>
                <w:sz w:val="20"/>
                <w:szCs w:val="20"/>
                <w:color w:val="auto"/>
              </w:rPr>
            </w:pPr>
            <w:r>
              <w:rPr>
                <w:rFonts w:ascii="Arial" w:cs="Arial" w:eastAsia="Arial" w:hAnsi="Arial"/>
                <w:sz w:val="15"/>
                <w:szCs w:val="15"/>
                <w:color w:val="auto"/>
              </w:rPr>
              <w:t>$ (6,040)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2,927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(8,042)</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 (Loss)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0.16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(0.17)</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(0.13)</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(0.17)</w:t>
            </w:r>
          </w:p>
        </w:tc>
        <w:tc>
          <w:tcPr>
            <w:tcW w:w="60" w:type="dxa"/>
            <w:vAlign w:val="bottom"/>
          </w:tcPr>
          <w:p>
            <w:pPr>
              <w:spacing w:after="0"/>
              <w:rPr>
                <w:sz w:val="19"/>
                <w:szCs w:val="19"/>
                <w:color w:val="auto"/>
              </w:rPr>
            </w:pPr>
          </w:p>
        </w:tc>
      </w:tr>
      <w:tr>
        <w:trPr>
          <w:trHeight w:val="301"/>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First</w:t>
            </w:r>
          </w:p>
        </w:tc>
        <w:tc>
          <w:tcPr>
            <w:tcW w:w="74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w w:val="96"/>
              </w:rPr>
              <w:t>Second</w:t>
            </w:r>
          </w:p>
        </w:tc>
        <w:tc>
          <w:tcPr>
            <w:tcW w:w="80" w:type="dxa"/>
            <w:vAlign w:val="bottom"/>
          </w:tcPr>
          <w:p>
            <w:pPr>
              <w:spacing w:after="0"/>
              <w:rPr>
                <w:sz w:val="24"/>
                <w:szCs w:val="2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Third</w:t>
            </w:r>
          </w:p>
        </w:tc>
        <w:tc>
          <w:tcPr>
            <w:tcW w:w="8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Fourth</w:t>
            </w:r>
          </w:p>
        </w:tc>
      </w:tr>
      <w:tr>
        <w:trPr>
          <w:trHeight w:val="150"/>
        </w:trPr>
        <w:tc>
          <w:tcPr>
            <w:tcW w:w="3880" w:type="dxa"/>
            <w:vAlign w:val="bottom"/>
          </w:tcPr>
          <w:p>
            <w:pPr>
              <w:spacing w:after="0"/>
              <w:rPr>
                <w:sz w:val="13"/>
                <w:szCs w:val="13"/>
                <w:color w:val="auto"/>
              </w:rPr>
            </w:pPr>
          </w:p>
        </w:tc>
        <w:tc>
          <w:tcPr>
            <w:tcW w:w="740" w:type="dxa"/>
            <w:vAlign w:val="bottom"/>
            <w:gridSpan w:val="5"/>
          </w:tcPr>
          <w:p>
            <w:pPr>
              <w:ind w:left="80"/>
              <w:spacing w:after="0"/>
              <w:rPr>
                <w:sz w:val="20"/>
                <w:szCs w:val="20"/>
                <w:color w:val="auto"/>
              </w:rPr>
            </w:pPr>
            <w:r>
              <w:rPr>
                <w:rFonts w:ascii="Arial" w:cs="Arial" w:eastAsia="Arial" w:hAnsi="Arial"/>
                <w:sz w:val="12"/>
                <w:szCs w:val="12"/>
                <w:b w:val="1"/>
                <w:bCs w:val="1"/>
                <w:color w:val="auto"/>
              </w:rPr>
              <w:t>Quarter</w:t>
            </w:r>
          </w:p>
        </w:tc>
        <w:tc>
          <w:tcPr>
            <w:tcW w:w="74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Quarter</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Quarter</w:t>
            </w: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Operating Revenues</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86"/>
              </w:rPr>
              <w:t>$196,669</w:t>
            </w:r>
          </w:p>
        </w:tc>
        <w:tc>
          <w:tcPr>
            <w:tcW w:w="2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5"/>
                <w:szCs w:val="15"/>
                <w:color w:val="auto"/>
                <w:w w:val="89"/>
              </w:rPr>
              <w:t>$169,373</w:t>
            </w:r>
          </w:p>
        </w:tc>
        <w:tc>
          <w:tcPr>
            <w:tcW w:w="10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5"/>
                <w:szCs w:val="15"/>
                <w:color w:val="auto"/>
                <w:w w:val="89"/>
              </w:rPr>
              <w:t>$171,478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84"/>
              </w:rPr>
              <w:t>163,864</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5"/>
                <w:szCs w:val="15"/>
                <w:color w:val="auto"/>
              </w:rPr>
              <w:t>46,502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5"/>
              </w:rPr>
              <w:t>9,541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2"/>
              </w:rPr>
              <w:t>10,475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11,604</w:t>
            </w:r>
          </w:p>
        </w:tc>
        <w:tc>
          <w:tcPr>
            <w:tcW w:w="60" w:type="dxa"/>
            <w:vAlign w:val="bottom"/>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5"/>
                <w:szCs w:val="15"/>
                <w:color w:val="auto"/>
              </w:rPr>
              <w:t>Net Income</w:t>
            </w:r>
          </w:p>
        </w:tc>
        <w:tc>
          <w:tcPr>
            <w:tcW w:w="720" w:type="dxa"/>
            <w:vAlign w:val="bottom"/>
            <w:gridSpan w:val="4"/>
          </w:tcPr>
          <w:p>
            <w:pPr>
              <w:jc w:val="right"/>
              <w:ind w:right="160"/>
              <w:spacing w:after="0"/>
              <w:rPr>
                <w:sz w:val="20"/>
                <w:szCs w:val="20"/>
                <w:color w:val="auto"/>
              </w:rPr>
            </w:pPr>
            <w:r>
              <w:rPr>
                <w:rFonts w:ascii="Arial" w:cs="Arial" w:eastAsia="Arial" w:hAnsi="Arial"/>
                <w:sz w:val="15"/>
                <w:szCs w:val="15"/>
                <w:color w:val="auto"/>
                <w:w w:val="92"/>
              </w:rPr>
              <w:t>$ 33,368</w:t>
            </w:r>
          </w:p>
        </w:tc>
        <w:tc>
          <w:tcPr>
            <w:tcW w:w="20" w:type="dxa"/>
            <w:vAlign w:val="bottom"/>
          </w:tcPr>
          <w:p>
            <w:pPr>
              <w:spacing w:after="0"/>
              <w:rPr>
                <w:sz w:val="18"/>
                <w:szCs w:val="18"/>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3,713</w:t>
            </w:r>
          </w:p>
        </w:tc>
        <w:tc>
          <w:tcPr>
            <w:tcW w:w="100" w:type="dxa"/>
            <w:vAlign w:val="bottom"/>
          </w:tcPr>
          <w:p>
            <w:pPr>
              <w:spacing w:after="0"/>
              <w:rPr>
                <w:sz w:val="18"/>
                <w:szCs w:val="18"/>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3,973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5,018</w:t>
            </w:r>
          </w:p>
        </w:tc>
      </w:tr>
      <w:tr>
        <w:trPr>
          <w:trHeight w:val="220"/>
        </w:trPr>
        <w:tc>
          <w:tcPr>
            <w:tcW w:w="388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5"/>
                <w:szCs w:val="15"/>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tcPr>
          <w:p>
            <w:pPr>
              <w:spacing w:after="0"/>
              <w:rPr>
                <w:sz w:val="19"/>
                <w:szCs w:val="19"/>
                <w:color w:val="auto"/>
              </w:rPr>
            </w:pPr>
          </w:p>
        </w:tc>
        <w:tc>
          <w:tcPr>
            <w:tcW w:w="160" w:type="dxa"/>
            <w:vAlign w:val="bottom"/>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9"/>
                <w:szCs w:val="19"/>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0.11</w:t>
            </w:r>
          </w:p>
        </w:tc>
      </w:tr>
      <w:tr>
        <w:trPr>
          <w:trHeight w:val="220"/>
        </w:trPr>
        <w:tc>
          <w:tcPr>
            <w:tcW w:w="3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0.71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0.08</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-2211070</wp:posOffset>
            </wp:positionV>
            <wp:extent cx="111760"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-2211070</wp:posOffset>
            </wp:positionV>
            <wp:extent cx="3453130" cy="698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45313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-955040</wp:posOffset>
            </wp:positionV>
            <wp:extent cx="111760"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-955040</wp:posOffset>
            </wp:positionV>
            <wp:extent cx="3404235"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pacing w:after="0" w:line="90"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sum of the quarterly net income (loss) per common stock share amounts does not equal the annual amount reported since per share amounts are computed independently for each quarter and for the full year based on respective weighted-average common shares outstanding and other dilutive potential common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1" w:name="page242"/>
    <w:bookmarkEnd w:id="241"/>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w w:val="81"/>
              </w:rPr>
              <w:t>March 31, 2021</w:t>
            </w:r>
          </w:p>
        </w:tc>
        <w:tc>
          <w:tcPr>
            <w:tcW w:w="160" w:type="dxa"/>
            <w:vAlign w:val="bottom"/>
          </w:tcPr>
          <w:p>
            <w:pPr>
              <w:spacing w:after="0"/>
              <w:rPr>
                <w:sz w:val="13"/>
                <w:szCs w:val="13"/>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7"/>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ind w:right="27"/>
              <w:spacing w:after="0"/>
              <w:rPr>
                <w:sz w:val="20"/>
                <w:szCs w:val="20"/>
                <w:color w:val="auto"/>
              </w:rPr>
            </w:pPr>
            <w:r>
              <w:rPr>
                <w:rFonts w:ascii="Arial" w:cs="Arial" w:eastAsia="Arial" w:hAnsi="Arial"/>
                <w:sz w:val="12"/>
                <w:szCs w:val="12"/>
                <w:b w:val="1"/>
                <w:bCs w:val="1"/>
                <w:color w:val="auto"/>
                <w:w w:val="92"/>
              </w:rPr>
              <w:t>(Unaudited)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Cash and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269,599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62,028</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8,335</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Investments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5,624</w:t>
            </w:r>
          </w:p>
        </w:tc>
      </w:tr>
      <w:tr>
        <w:trPr>
          <w:trHeight w:val="187"/>
        </w:trPr>
        <w:tc>
          <w:tcPr>
            <w:tcW w:w="4600" w:type="dxa"/>
            <w:vAlign w:val="bottom"/>
          </w:tcPr>
          <w:p>
            <w:pPr>
              <w:ind w:left="160"/>
              <w:spacing w:after="0"/>
              <w:rPr>
                <w:sz w:val="20"/>
                <w:szCs w:val="20"/>
                <w:color w:val="auto"/>
              </w:rPr>
            </w:pPr>
            <w:r>
              <w:rPr>
                <w:rFonts w:ascii="Arial" w:cs="Arial" w:eastAsia="Arial" w:hAnsi="Arial"/>
                <w:sz w:val="15"/>
                <w:szCs w:val="15"/>
                <w:color w:val="auto"/>
                <w:w w:val="93"/>
              </w:rPr>
              <w:t>Accounts Receivable, net of an allowance for credit losses of $293 and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4600" w:type="dxa"/>
            <w:vAlign w:val="bottom"/>
          </w:tcPr>
          <w:p>
            <w:pPr>
              <w:ind w:left="300"/>
              <w:spacing w:after="0"/>
              <w:rPr>
                <w:sz w:val="20"/>
                <w:szCs w:val="20"/>
                <w:color w:val="auto"/>
              </w:rPr>
            </w:pPr>
            <w:r>
              <w:rPr>
                <w:rFonts w:ascii="Arial" w:cs="Arial" w:eastAsia="Arial" w:hAnsi="Arial"/>
                <w:sz w:val="15"/>
                <w:szCs w:val="15"/>
                <w:color w:val="auto"/>
              </w:rPr>
              <w:t>$224, respectively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25,897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28,690</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Short-term Lessor Maintenance Deposits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3,101</w:t>
            </w:r>
          </w:p>
        </w:tc>
      </w:tr>
      <w:tr>
        <w:trPr>
          <w:trHeight w:val="187"/>
        </w:trPr>
        <w:tc>
          <w:tcPr>
            <w:tcW w:w="4600" w:type="dxa"/>
            <w:vAlign w:val="bottom"/>
          </w:tcPr>
          <w:p>
            <w:pPr>
              <w:ind w:left="160"/>
              <w:spacing w:after="0"/>
              <w:rPr>
                <w:sz w:val="20"/>
                <w:szCs w:val="20"/>
                <w:color w:val="auto"/>
              </w:rPr>
            </w:pPr>
            <w:r>
              <w:rPr>
                <w:rFonts w:ascii="Arial" w:cs="Arial" w:eastAsia="Arial" w:hAnsi="Arial"/>
                <w:sz w:val="15"/>
                <w:szCs w:val="15"/>
                <w:color w:val="auto"/>
              </w:rPr>
              <w:t>Inventory, net of a reserve for obsolescence of $1,089 and $996,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2"/>
        </w:trPr>
        <w:tc>
          <w:tcPr>
            <w:tcW w:w="4600" w:type="dxa"/>
            <w:vAlign w:val="bottom"/>
          </w:tcPr>
          <w:p>
            <w:pPr>
              <w:ind w:left="300"/>
              <w:spacing w:after="0"/>
              <w:rPr>
                <w:sz w:val="20"/>
                <w:szCs w:val="20"/>
                <w:color w:val="auto"/>
              </w:rPr>
            </w:pPr>
            <w:r>
              <w:rPr>
                <w:rFonts w:ascii="Arial" w:cs="Arial" w:eastAsia="Arial" w:hAnsi="Arial"/>
                <w:sz w:val="15"/>
                <w:szCs w:val="15"/>
                <w:color w:val="auto"/>
              </w:rPr>
              <w:t>respectively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5,457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5,407</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8,002</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Derivative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5,553</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5"/>
        </w:trPr>
        <w:tc>
          <w:tcPr>
            <w:tcW w:w="460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328,159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126,740</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Property &amp; Equipment, net: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Aircraft and Flight Equipment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384,950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331,685</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Leasehold Improvements and Ground Equipment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13,526</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Computer Hardware and Software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7,949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7,845</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Assets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117,833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117,833</w:t>
            </w:r>
          </w:p>
        </w:tc>
      </w:tr>
      <w:tr>
        <w:trPr>
          <w:trHeight w:val="225"/>
        </w:trPr>
        <w:tc>
          <w:tcPr>
            <w:tcW w:w="4600" w:type="dxa"/>
            <w:vAlign w:val="bottom"/>
          </w:tcPr>
          <w:p>
            <w:pPr>
              <w:ind w:left="160"/>
              <w:spacing w:after="0"/>
              <w:rPr>
                <w:sz w:val="20"/>
                <w:szCs w:val="20"/>
                <w:color w:val="auto"/>
              </w:rPr>
            </w:pPr>
            <w:r>
              <w:rPr>
                <w:rFonts w:ascii="Arial" w:cs="Arial" w:eastAsia="Arial" w:hAnsi="Arial"/>
                <w:sz w:val="15"/>
                <w:szCs w:val="15"/>
                <w:color w:val="auto"/>
              </w:rPr>
              <w:t>Rotable Parts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8,808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8,691</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Property &amp; Equipment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533,396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479,580</w:t>
            </w:r>
          </w:p>
        </w:tc>
      </w:tr>
      <w:tr>
        <w:trPr>
          <w:trHeight w:val="225"/>
        </w:trPr>
        <w:tc>
          <w:tcPr>
            <w:tcW w:w="4600" w:type="dxa"/>
            <w:vAlign w:val="bottom"/>
          </w:tcPr>
          <w:p>
            <w:pPr>
              <w:ind w:left="160"/>
              <w:spacing w:after="0"/>
              <w:rPr>
                <w:sz w:val="20"/>
                <w:szCs w:val="20"/>
                <w:color w:val="auto"/>
              </w:rPr>
            </w:pPr>
            <w:r>
              <w:rPr>
                <w:rFonts w:ascii="Arial" w:cs="Arial" w:eastAsia="Arial" w:hAnsi="Arial"/>
                <w:sz w:val="15"/>
                <w:szCs w:val="15"/>
                <w:color w:val="auto"/>
              </w:rPr>
              <w:t>Accumulated Depreciation &amp; Amortization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(76,467)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(65,065)</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Property &amp; Equipment, net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456,929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414,515</w:t>
            </w:r>
          </w:p>
        </w:tc>
      </w:tr>
      <w:tr>
        <w:trPr>
          <w:trHeight w:val="220"/>
        </w:trPr>
        <w:tc>
          <w:tcPr>
            <w:tcW w:w="460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Goodwill</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222,223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222,223</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Other Intangible Assets, net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92,110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93,110</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Right-of-use Assets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80,587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121,269</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Aircraft Lease Deposits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8,027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10,253</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Long-term Lessor Maintenance Deposits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18,855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22,584</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Deferred Tax Asset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30,810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36,216</w:t>
            </w:r>
          </w:p>
        </w:tc>
      </w:tr>
      <w:tr>
        <w:trPr>
          <w:trHeight w:val="225"/>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Assets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6,357</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600" w:type="dxa"/>
            <w:vAlign w:val="bottom"/>
          </w:tcPr>
          <w:p>
            <w:pPr>
              <w:ind w:left="300"/>
              <w:spacing w:after="0"/>
              <w:rPr>
                <w:sz w:val="20"/>
                <w:szCs w:val="20"/>
                <w:color w:val="auto"/>
              </w:rPr>
            </w:pPr>
            <w:r>
              <w:rPr>
                <w:rFonts w:ascii="Arial" w:cs="Arial" w:eastAsia="Arial" w:hAnsi="Arial"/>
                <w:sz w:val="15"/>
                <w:szCs w:val="15"/>
                <w:color w:val="auto"/>
              </w:rPr>
              <w:t>Total Other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459,114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512,012</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1,244,202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3"/>
              </w:rPr>
              <w:t>1,053,267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-1604010</wp:posOffset>
            </wp:positionV>
            <wp:extent cx="4241800"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-1896745</wp:posOffset>
            </wp:positionV>
            <wp:extent cx="4241800"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-4554855</wp:posOffset>
            </wp:positionV>
            <wp:extent cx="4241800"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2" w:name="page243"/>
    <w:bookmarkEnd w:id="242"/>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80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w w:val="81"/>
              </w:rPr>
              <w:t>March 31, 2021</w:t>
            </w:r>
          </w:p>
        </w:tc>
        <w:tc>
          <w:tcPr>
            <w:tcW w:w="160" w:type="dxa"/>
            <w:vAlign w:val="bottom"/>
          </w:tcPr>
          <w:p>
            <w:pPr>
              <w:spacing w:after="0"/>
              <w:rPr>
                <w:sz w:val="13"/>
                <w:szCs w:val="13"/>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57"/>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ind w:right="27"/>
              <w:spacing w:after="0"/>
              <w:rPr>
                <w:sz w:val="20"/>
                <w:szCs w:val="20"/>
                <w:color w:val="auto"/>
              </w:rPr>
            </w:pPr>
            <w:r>
              <w:rPr>
                <w:rFonts w:ascii="Arial" w:cs="Arial" w:eastAsia="Arial" w:hAnsi="Arial"/>
                <w:sz w:val="12"/>
                <w:szCs w:val="12"/>
                <w:b w:val="1"/>
                <w:bCs w:val="1"/>
                <w:color w:val="auto"/>
                <w:w w:val="92"/>
              </w:rPr>
              <w:t>(Unaudited)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34,171</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34,035</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Accrued Salaries, Wages, and Benefits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16,870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16,368</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Accrued Transportation Taxes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5,883</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Air Traffic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94,733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101,075</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Derivative Liabilities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1,174</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9,281</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11,460</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7,115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7,016</w:t>
            </w:r>
          </w:p>
        </w:tc>
      </w:tr>
      <w:tr>
        <w:trPr>
          <w:trHeight w:val="209"/>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20,672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34,492</w:t>
            </w:r>
          </w:p>
        </w:tc>
      </w:tr>
      <w:tr>
        <w:trPr>
          <w:trHeight w:val="209"/>
        </w:trPr>
        <w:tc>
          <w:tcPr>
            <w:tcW w:w="4600" w:type="dxa"/>
            <w:vAlign w:val="bottom"/>
          </w:tcPr>
          <w:p>
            <w:pPr>
              <w:ind w:left="160"/>
              <w:spacing w:after="0"/>
              <w:rPr>
                <w:sz w:val="20"/>
                <w:szCs w:val="20"/>
                <w:color w:val="auto"/>
              </w:rPr>
            </w:pPr>
            <w:r>
              <w:rPr>
                <w:rFonts w:ascii="Arial" w:cs="Arial" w:eastAsia="Arial" w:hAnsi="Arial"/>
                <w:sz w:val="15"/>
                <w:szCs w:val="15"/>
                <w:color w:val="auto"/>
              </w:rPr>
              <w:t>Current Maturities of Long-term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29,232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26,118</w:t>
            </w:r>
          </w:p>
        </w:tc>
      </w:tr>
      <w:tr>
        <w:trPr>
          <w:trHeight w:val="214"/>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Current Liabilities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6,841</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5"/>
        </w:trPr>
        <w:tc>
          <w:tcPr>
            <w:tcW w:w="460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237,640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253,743</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Long-term Liabilities:</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Over-market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16,113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28,128</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 Obligations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93,293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95,710</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Loyalty Program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13,659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15,053</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 Obligations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77,840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112,707</w:t>
            </w:r>
          </w:p>
        </w:tc>
      </w:tr>
      <w:tr>
        <w:trPr>
          <w:trHeight w:val="220"/>
        </w:trPr>
        <w:tc>
          <w:tcPr>
            <w:tcW w:w="4600" w:type="dxa"/>
            <w:vAlign w:val="bottom"/>
          </w:tcPr>
          <w:p>
            <w:pPr>
              <w:ind w:left="160"/>
              <w:spacing w:after="0"/>
              <w:rPr>
                <w:sz w:val="20"/>
                <w:szCs w:val="20"/>
                <w:color w:val="auto"/>
              </w:rPr>
            </w:pPr>
            <w:r>
              <w:rPr>
                <w:rFonts w:ascii="Arial" w:cs="Arial" w:eastAsia="Arial" w:hAnsi="Arial"/>
                <w:sz w:val="15"/>
                <w:szCs w:val="15"/>
                <w:color w:val="auto"/>
              </w:rPr>
              <w:t>Long-term Debt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274,109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256,345</w:t>
            </w:r>
          </w:p>
        </w:tc>
      </w:tr>
      <w:tr>
        <w:trPr>
          <w:trHeight w:val="220"/>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Tax Receivable Agreement Liability</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115,200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25"/>
        </w:trPr>
        <w:tc>
          <w:tcPr>
            <w:tcW w:w="4600" w:type="dxa"/>
            <w:vAlign w:val="bottom"/>
          </w:tcPr>
          <w:p>
            <w:pPr>
              <w:ind w:left="160"/>
              <w:spacing w:after="0"/>
              <w:rPr>
                <w:sz w:val="20"/>
                <w:szCs w:val="20"/>
                <w:color w:val="auto"/>
              </w:rPr>
            </w:pPr>
            <w:r>
              <w:rPr>
                <w:rFonts w:ascii="Arial" w:cs="Arial" w:eastAsia="Arial" w:hAnsi="Arial"/>
                <w:sz w:val="15"/>
                <w:szCs w:val="15"/>
                <w:color w:val="auto"/>
              </w:rPr>
              <w:t>Other Long-term Liabilities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7,764</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6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Long-term Liabilities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596,602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515,707</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5"/>
                <w:szCs w:val="15"/>
                <w:color w:val="auto"/>
              </w:rPr>
              <w:t>Total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834,242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769,450</w:t>
            </w:r>
          </w:p>
        </w:tc>
      </w:tr>
      <w:tr>
        <w:trPr>
          <w:trHeight w:val="220"/>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Contingencies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20"/>
        </w:trPr>
        <w:tc>
          <w:tcPr>
            <w:tcW w:w="4600" w:type="dxa"/>
            <w:vAlign w:val="bottom"/>
          </w:tcPr>
          <w:p>
            <w:pPr>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Common Stock</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468</w:t>
            </w:r>
          </w:p>
        </w:tc>
      </w:tr>
      <w:tr>
        <w:trPr>
          <w:trHeight w:val="198"/>
        </w:trPr>
        <w:tc>
          <w:tcPr>
            <w:tcW w:w="4600" w:type="dxa"/>
            <w:vAlign w:val="bottom"/>
          </w:tcPr>
          <w:p>
            <w:pPr>
              <w:ind w:left="160"/>
              <w:spacing w:after="0"/>
              <w:rPr>
                <w:sz w:val="20"/>
                <w:szCs w:val="20"/>
                <w:color w:val="auto"/>
              </w:rPr>
            </w:pPr>
            <w:r>
              <w:rPr>
                <w:rFonts w:ascii="Arial" w:cs="Arial" w:eastAsia="Arial" w:hAnsi="Arial"/>
                <w:sz w:val="15"/>
                <w:szCs w:val="15"/>
                <w:color w:val="auto"/>
                <w:w w:val="96"/>
              </w:rPr>
              <w:t>Common stock with $0.01 par value, 995,000,000 shares authorized,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76"/>
        </w:trPr>
        <w:tc>
          <w:tcPr>
            <w:tcW w:w="4600" w:type="dxa"/>
            <w:vAlign w:val="bottom"/>
          </w:tcPr>
          <w:p>
            <w:pPr>
              <w:ind w:left="300"/>
              <w:spacing w:after="0"/>
              <w:rPr>
                <w:sz w:val="20"/>
                <w:szCs w:val="20"/>
                <w:color w:val="auto"/>
              </w:rPr>
            </w:pPr>
            <w:r>
              <w:rPr>
                <w:rFonts w:ascii="Arial" w:cs="Arial" w:eastAsia="Arial" w:hAnsi="Arial"/>
                <w:sz w:val="15"/>
                <w:szCs w:val="15"/>
                <w:color w:val="auto"/>
              </w:rPr>
              <w:t>57,153,467 and 46,839,659 issued at March 31, 2021 and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2"/>
        </w:trPr>
        <w:tc>
          <w:tcPr>
            <w:tcW w:w="4600" w:type="dxa"/>
            <w:vAlign w:val="bottom"/>
          </w:tcPr>
          <w:p>
            <w:pPr>
              <w:ind w:left="300"/>
              <w:spacing w:after="0"/>
              <w:rPr>
                <w:sz w:val="20"/>
                <w:szCs w:val="20"/>
                <w:color w:val="auto"/>
              </w:rPr>
            </w:pPr>
            <w:r>
              <w:rPr>
                <w:rFonts w:ascii="Arial" w:cs="Arial" w:eastAsia="Arial" w:hAnsi="Arial"/>
                <w:sz w:val="15"/>
                <w:szCs w:val="15"/>
                <w:color w:val="auto"/>
              </w:rPr>
              <w:t>December 31, 2020, respectively.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5"/>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Loans to Stockholders</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(3,500)</w:t>
            </w:r>
          </w:p>
        </w:tc>
      </w:tr>
      <w:tr>
        <w:trPr>
          <w:trHeight w:val="220"/>
        </w:trPr>
        <w:tc>
          <w:tcPr>
            <w:tcW w:w="4600" w:type="dxa"/>
            <w:vAlign w:val="bottom"/>
          </w:tcPr>
          <w:p>
            <w:pPr>
              <w:spacing w:after="0"/>
              <w:rPr>
                <w:sz w:val="20"/>
                <w:szCs w:val="20"/>
                <w:color w:val="auto"/>
              </w:rPr>
            </w:pPr>
            <w:r>
              <w:rPr>
                <w:rFonts w:ascii="Arial" w:cs="Arial" w:eastAsia="Arial" w:hAnsi="Arial"/>
                <w:sz w:val="15"/>
                <w:szCs w:val="15"/>
                <w:color w:val="auto"/>
              </w:rPr>
              <w:t>Additional Paid In Capital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473,848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248,525</w:t>
            </w:r>
          </w:p>
        </w:tc>
      </w:tr>
      <w:tr>
        <w:trPr>
          <w:trHeight w:val="225"/>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Retained Earnings / (Deficit)</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(64,460)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38,324</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2"/>
        </w:trPr>
        <w:tc>
          <w:tcPr>
            <w:tcW w:w="4600" w:type="dxa"/>
            <w:vAlign w:val="bottom"/>
          </w:tcPr>
          <w:p>
            <w:pPr>
              <w:ind w:left="160"/>
              <w:spacing w:after="0"/>
              <w:rPr>
                <w:sz w:val="20"/>
                <w:szCs w:val="20"/>
                <w:color w:val="auto"/>
              </w:rPr>
            </w:pPr>
            <w:r>
              <w:rPr>
                <w:rFonts w:ascii="Arial" w:cs="Arial" w:eastAsia="Arial" w:hAnsi="Arial"/>
                <w:sz w:val="15"/>
                <w:szCs w:val="15"/>
                <w:color w:val="auto"/>
              </w:rPr>
              <w:t>Total Stockholders’ Equity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409,960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283,817</w:t>
            </w: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4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1,244,202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3"/>
              </w:rPr>
              <w:t>1,053,267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-180975</wp:posOffset>
            </wp:positionV>
            <wp:extent cx="4241800"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-1840865</wp:posOffset>
            </wp:positionV>
            <wp:extent cx="4241800"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-4834255</wp:posOffset>
            </wp:positionV>
            <wp:extent cx="4241800"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3" w:name="page244"/>
    <w:bookmarkEnd w:id="243"/>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40" w:type="dxa"/>
            <w:vAlign w:val="bottom"/>
          </w:tcPr>
          <w:p>
            <w:pPr>
              <w:spacing w:after="0"/>
              <w:rPr>
                <w:sz w:val="13"/>
                <w:szCs w:val="13"/>
                <w:color w:val="auto"/>
              </w:rPr>
            </w:pPr>
          </w:p>
        </w:tc>
        <w:tc>
          <w:tcPr>
            <w:tcW w:w="1700" w:type="dxa"/>
            <w:vAlign w:val="bottom"/>
            <w:gridSpan w:val="6"/>
          </w:tcPr>
          <w:p>
            <w:pPr>
              <w:jc w:val="right"/>
              <w:ind w:right="120"/>
              <w:spacing w:after="0"/>
              <w:rPr>
                <w:sz w:val="20"/>
                <w:szCs w:val="20"/>
                <w:color w:val="auto"/>
              </w:rPr>
            </w:pPr>
            <w:r>
              <w:rPr>
                <w:rFonts w:ascii="Arial" w:cs="Arial" w:eastAsia="Arial" w:hAnsi="Arial"/>
                <w:sz w:val="12"/>
                <w:szCs w:val="12"/>
                <w:b w:val="1"/>
                <w:bCs w:val="1"/>
                <w:color w:val="auto"/>
                <w:w w:val="87"/>
              </w:rPr>
              <w:t>Three Months Ended March 31,</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7"/>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Operating Revenues:</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104,195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178,486</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Cargo</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21,585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40" w:type="dxa"/>
            <w:vAlign w:val="bottom"/>
          </w:tcPr>
          <w:p>
            <w:pPr>
              <w:ind w:left="160"/>
              <w:spacing w:after="0"/>
              <w:rPr>
                <w:sz w:val="20"/>
                <w:szCs w:val="20"/>
                <w:color w:val="auto"/>
              </w:rPr>
            </w:pPr>
            <w:r>
              <w:rPr>
                <w:rFonts w:ascii="Arial" w:cs="Arial" w:eastAsia="Arial" w:hAnsi="Arial"/>
                <w:sz w:val="15"/>
                <w:szCs w:val="15"/>
                <w:color w:val="auto"/>
              </w:rPr>
              <w:t>Other</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1,831</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1,844</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Revenue</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127,611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24,274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Salaries, Wages, and Benefits</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44,075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38,091</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Aircraft Rent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5,599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Maintenance</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9,210</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6,478</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Sales and Marketing</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5,110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Depreciation and Amortization</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12,615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10,527</w:t>
            </w:r>
          </w:p>
        </w:tc>
        <w:tc>
          <w:tcPr>
            <w:tcW w:w="0" w:type="dxa"/>
            <w:vAlign w:val="bottom"/>
          </w:tcPr>
          <w:p>
            <w:pPr>
              <w:spacing w:after="0"/>
              <w:rPr>
                <w:sz w:val="1"/>
                <w:szCs w:val="1"/>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Ground Handling</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5,230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Arial" w:cs="Arial" w:eastAsia="Arial" w:hAnsi="Arial"/>
                <w:sz w:val="15"/>
                <w:szCs w:val="15"/>
                <w:color w:val="auto"/>
              </w:rPr>
              <w:t>Landing Fees and Airport Rent</w:t>
            </w: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8,785</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11,114</w:t>
            </w:r>
          </w:p>
        </w:tc>
        <w:tc>
          <w:tcPr>
            <w:tcW w:w="0" w:type="dxa"/>
            <w:vAlign w:val="bottom"/>
          </w:tcPr>
          <w:p>
            <w:pPr>
              <w:spacing w:after="0"/>
              <w:rPr>
                <w:sz w:val="1"/>
                <w:szCs w:val="1"/>
                <w:color w:val="auto"/>
              </w:rPr>
            </w:pPr>
          </w:p>
        </w:tc>
      </w:tr>
      <w:tr>
        <w:trPr>
          <w:trHeight w:val="220"/>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Special Items, net</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(26,871)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160"/>
              <w:spacing w:after="0"/>
              <w:rPr>
                <w:sz w:val="20"/>
                <w:szCs w:val="20"/>
                <w:color w:val="auto"/>
              </w:rPr>
            </w:pPr>
            <w:r>
              <w:rPr>
                <w:rFonts w:ascii="Arial" w:cs="Arial" w:eastAsia="Arial" w:hAnsi="Arial"/>
                <w:sz w:val="15"/>
                <w:szCs w:val="15"/>
                <w:color w:val="auto"/>
              </w:rPr>
              <w:t>Other Operating, net</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14,651</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14,433</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Operating Expenses</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102,678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Pr>
          <w:p>
            <w:pPr>
              <w:ind w:left="160"/>
              <w:spacing w:after="0"/>
              <w:rPr>
                <w:sz w:val="20"/>
                <w:szCs w:val="20"/>
                <w:color w:val="auto"/>
              </w:rPr>
            </w:pPr>
            <w:r>
              <w:rPr>
                <w:rFonts w:ascii="Arial" w:cs="Arial" w:eastAsia="Arial" w:hAnsi="Arial"/>
                <w:sz w:val="15"/>
                <w:szCs w:val="15"/>
                <w:color w:val="auto"/>
              </w:rPr>
              <w:t>Operating Income</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24,933</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15,230</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Non-operating Income (Expense):</w:t>
            </w: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160"/>
              <w:spacing w:after="0"/>
              <w:rPr>
                <w:sz w:val="20"/>
                <w:szCs w:val="20"/>
                <w:color w:val="auto"/>
              </w:rPr>
            </w:pPr>
            <w:r>
              <w:rPr>
                <w:rFonts w:ascii="Arial" w:cs="Arial" w:eastAsia="Arial" w:hAnsi="Arial"/>
                <w:sz w:val="15"/>
                <w:szCs w:val="15"/>
                <w:color w:val="auto"/>
              </w:rPr>
              <w:t>Interest Income</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20"/>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(7,121)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160"/>
              <w:spacing w:after="0"/>
              <w:rPr>
                <w:sz w:val="20"/>
                <w:szCs w:val="20"/>
                <w:color w:val="auto"/>
              </w:rPr>
            </w:pPr>
            <w:r>
              <w:rPr>
                <w:rFonts w:ascii="Arial" w:cs="Arial" w:eastAsia="Arial" w:hAnsi="Arial"/>
                <w:sz w:val="15"/>
                <w:szCs w:val="15"/>
                <w:color w:val="auto"/>
              </w:rPr>
              <w:t>Other, net</w:t>
            </w:r>
          </w:p>
        </w:tc>
        <w:tc>
          <w:tcPr>
            <w:tcW w:w="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Non-operating Expense, net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(7,111)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tcPr>
          <w:p>
            <w:pPr>
              <w:spacing w:after="0"/>
              <w:rPr>
                <w:sz w:val="20"/>
                <w:szCs w:val="20"/>
                <w:color w:val="auto"/>
              </w:rPr>
            </w:pPr>
            <w:r>
              <w:rPr>
                <w:rFonts w:ascii="Arial" w:cs="Arial" w:eastAsia="Arial" w:hAnsi="Arial"/>
                <w:sz w:val="15"/>
                <w:szCs w:val="15"/>
                <w:color w:val="auto"/>
              </w:rPr>
              <w:t>Income before Income Tax</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17,822</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9,696</w:t>
            </w: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Tax Expense</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5,406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40" w:type="dxa"/>
            <w:vAlign w:val="bottom"/>
          </w:tcPr>
          <w:p>
            <w:pPr>
              <w:spacing w:after="0"/>
              <w:rPr>
                <w:sz w:val="20"/>
                <w:szCs w:val="20"/>
                <w:color w:val="auto"/>
              </w:rPr>
            </w:pPr>
            <w:r>
              <w:rPr>
                <w:rFonts w:ascii="Arial" w:cs="Arial" w:eastAsia="Arial" w:hAnsi="Arial"/>
                <w:sz w:val="15"/>
                <w:szCs w:val="15"/>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7,251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tcBorders>
              <w:right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Net Income per share to common stockholders:</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040" w:type="dxa"/>
            <w:vAlign w:val="bottom"/>
          </w:tcPr>
          <w:p>
            <w:pPr>
              <w:ind w:left="160"/>
              <w:spacing w:after="0"/>
              <w:rPr>
                <w:sz w:val="20"/>
                <w:szCs w:val="20"/>
                <w:color w:val="auto"/>
              </w:rPr>
            </w:pPr>
            <w:r>
              <w:rPr>
                <w:rFonts w:ascii="Arial" w:cs="Arial" w:eastAsia="Arial" w:hAnsi="Arial"/>
                <w:sz w:val="15"/>
                <w:szCs w:val="15"/>
                <w:color w:val="auto"/>
              </w:rPr>
              <w:t>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Shares used for computation:</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Basic</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5"/>
              </w:rPr>
              <w:t>48,496,077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46,805,951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160"/>
              <w:spacing w:after="0"/>
              <w:rPr>
                <w:sz w:val="20"/>
                <w:szCs w:val="20"/>
                <w:color w:val="auto"/>
              </w:rPr>
            </w:pPr>
            <w:r>
              <w:rPr>
                <w:rFonts w:ascii="Arial" w:cs="Arial" w:eastAsia="Arial" w:hAnsi="Arial"/>
                <w:sz w:val="15"/>
                <w:szCs w:val="15"/>
                <w:color w:val="auto"/>
              </w:rPr>
              <w:t>Diluted</w:t>
            </w:r>
          </w:p>
        </w:tc>
        <w:tc>
          <w:tcPr>
            <w:tcW w:w="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52,508,186</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48,225,603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-1192530</wp:posOffset>
            </wp:positionV>
            <wp:extent cx="3774440"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-1485265</wp:posOffset>
            </wp:positionV>
            <wp:extent cx="3774440"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-2057400</wp:posOffset>
            </wp:positionV>
            <wp:extent cx="377444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-2364105</wp:posOffset>
            </wp:positionV>
            <wp:extent cx="377444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-3996690</wp:posOffset>
            </wp:positionV>
            <wp:extent cx="3774440"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-4540885</wp:posOffset>
            </wp:positionV>
            <wp:extent cx="3767455"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767455" cy="698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4" w:name="page245"/>
    <w:bookmarkEnd w:id="244"/>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(Dollars in thousands)</w:t>
      </w:r>
    </w:p>
    <w:p>
      <w:pPr>
        <w:spacing w:after="0" w:line="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(Unaudited)</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16"/>
          </w:tcPr>
          <w:p>
            <w:pPr>
              <w:ind w:left="20"/>
              <w:spacing w:after="0"/>
              <w:rPr>
                <w:sz w:val="20"/>
                <w:szCs w:val="20"/>
                <w:color w:val="auto"/>
              </w:rPr>
            </w:pPr>
            <w:r>
              <w:rPr>
                <w:rFonts w:ascii="Arial" w:cs="Arial" w:eastAsia="Arial" w:hAnsi="Arial"/>
                <w:sz w:val="12"/>
                <w:szCs w:val="12"/>
                <w:b w:val="1"/>
                <w:bCs w:val="1"/>
                <w:color w:val="auto"/>
                <w:w w:val="98"/>
              </w:rPr>
              <w:t>Three Months Ended March 31, 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8"/>
          </w:tcPr>
          <w:p>
            <w:pPr>
              <w:ind w:left="180"/>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w w:val="75"/>
              </w:rPr>
              <w:t>Loans to</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auto"/>
                <w:w w:val="85"/>
              </w:rPr>
              <w:t>Additional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74"/>
              </w:rPr>
              <w:t>Retained</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64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2"/>
              </w:rPr>
              <w:t>Warrants</w:t>
            </w:r>
          </w:p>
        </w:tc>
        <w:tc>
          <w:tcPr>
            <w:tcW w:w="80" w:type="dxa"/>
            <w:vAlign w:val="bottom"/>
          </w:tcPr>
          <w:p>
            <w:pPr>
              <w:spacing w:after="0"/>
              <w:rPr>
                <w:sz w:val="13"/>
                <w:szCs w:val="13"/>
                <w:color w:val="auto"/>
              </w:rPr>
            </w:pPr>
          </w:p>
        </w:tc>
        <w:tc>
          <w:tcPr>
            <w:tcW w:w="6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20" w:type="dxa"/>
            <w:vAlign w:val="bottom"/>
            <w:gridSpan w:val="4"/>
          </w:tcPr>
          <w:p>
            <w:pPr>
              <w:ind w:left="20"/>
              <w:spacing w:after="0"/>
              <w:rPr>
                <w:sz w:val="20"/>
                <w:szCs w:val="20"/>
                <w:color w:val="auto"/>
              </w:rPr>
            </w:pPr>
            <w:r>
              <w:rPr>
                <w:rFonts w:ascii="Arial" w:cs="Arial" w:eastAsia="Arial" w:hAnsi="Arial"/>
                <w:sz w:val="12"/>
                <w:szCs w:val="12"/>
                <w:b w:val="1"/>
                <w:bCs w:val="1"/>
                <w:color w:val="auto"/>
                <w:w w:val="83"/>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center"/>
              <w:spacing w:after="0"/>
              <w:rPr>
                <w:sz w:val="20"/>
                <w:szCs w:val="20"/>
                <w:color w:val="auto"/>
              </w:rPr>
            </w:pPr>
            <w:r>
              <w:rPr>
                <w:rFonts w:ascii="Arial" w:cs="Arial" w:eastAsia="Arial" w:hAnsi="Arial"/>
                <w:sz w:val="12"/>
                <w:szCs w:val="12"/>
                <w:b w:val="1"/>
                <w:bCs w:val="1"/>
                <w:color w:val="auto"/>
                <w:w w:val="81"/>
              </w:rPr>
              <w:t>Stockholders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Paid-In 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77"/>
              </w:rPr>
              <w:t>Earnings</w:t>
            </w:r>
          </w:p>
        </w:tc>
        <w:tc>
          <w:tcPr>
            <w:tcW w:w="4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1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December 31, 2019</w:t>
            </w:r>
          </w:p>
        </w:tc>
        <w:tc>
          <w:tcPr>
            <w:tcW w:w="640" w:type="dxa"/>
            <w:vAlign w:val="bottom"/>
            <w:tcBorders>
              <w:bottom w:val="single" w:sz="8" w:color="CCEEFF"/>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2"/>
                <w:szCs w:val="12"/>
                <w:color w:val="auto"/>
                <w:w w:val="89"/>
              </w:rPr>
              <w:t>40,005,885</w:t>
            </w:r>
          </w:p>
        </w:tc>
        <w:tc>
          <w:tcPr>
            <w:tcW w:w="6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6,800,065</w:t>
            </w:r>
          </w:p>
        </w:tc>
        <w:tc>
          <w:tcPr>
            <w:tcW w:w="5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$ 68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44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$(3,500)</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2"/>
                <w:szCs w:val="12"/>
                <w:color w:val="auto"/>
              </w:rPr>
              <w:t>$244,928</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$42,228</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91"/>
              </w:rPr>
              <w:t>$283,724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20" w:type="dxa"/>
            <w:vAlign w:val="bottom"/>
          </w:tcPr>
          <w:p>
            <w:pPr>
              <w:spacing w:after="0"/>
              <w:rPr>
                <w:sz w:val="20"/>
                <w:szCs w:val="20"/>
                <w:color w:val="auto"/>
              </w:rPr>
            </w:pPr>
            <w:r>
              <w:rPr>
                <w:rFonts w:ascii="Arial" w:cs="Arial" w:eastAsia="Arial" w:hAnsi="Arial"/>
                <w:sz w:val="12"/>
                <w:szCs w:val="12"/>
                <w:color w:val="auto"/>
              </w:rPr>
              <w:t>Exercise of Apollo Warrants</w:t>
            </w:r>
          </w:p>
        </w:tc>
        <w:tc>
          <w:tcPr>
            <w:tcW w:w="640" w:type="dxa"/>
            <w:vAlign w:val="bottom"/>
            <w:gridSpan w:val="4"/>
          </w:tcPr>
          <w:p>
            <w:pPr>
              <w:jc w:val="right"/>
              <w:ind w:right="40"/>
              <w:spacing w:after="0"/>
              <w:rPr>
                <w:sz w:val="20"/>
                <w:szCs w:val="20"/>
                <w:color w:val="auto"/>
              </w:rPr>
            </w:pPr>
            <w:r>
              <w:rPr>
                <w:rFonts w:ascii="Arial" w:cs="Arial" w:eastAsia="Arial" w:hAnsi="Arial"/>
                <w:sz w:val="12"/>
                <w:szCs w:val="12"/>
                <w:color w:val="auto"/>
                <w:w w:val="85"/>
              </w:rPr>
              <w:t>(40,005,885)</w:t>
            </w:r>
          </w:p>
        </w:tc>
        <w:tc>
          <w:tcPr>
            <w:tcW w:w="680" w:type="dxa"/>
            <w:vAlign w:val="bottom"/>
            <w:gridSpan w:val="4"/>
          </w:tcPr>
          <w:p>
            <w:pPr>
              <w:jc w:val="right"/>
              <w:ind w:right="80"/>
              <w:spacing w:after="0"/>
              <w:rPr>
                <w:sz w:val="20"/>
                <w:szCs w:val="20"/>
                <w:color w:val="auto"/>
              </w:rPr>
            </w:pPr>
            <w:r>
              <w:rPr>
                <w:rFonts w:ascii="Arial" w:cs="Arial" w:eastAsia="Arial" w:hAnsi="Arial"/>
                <w:sz w:val="12"/>
                <w:szCs w:val="12"/>
                <w:color w:val="auto"/>
                <w:w w:val="96"/>
              </w:rPr>
              <w:t>40,005,885</w:t>
            </w:r>
          </w:p>
        </w:tc>
        <w:tc>
          <w:tcPr>
            <w:tcW w:w="500" w:type="dxa"/>
            <w:vAlign w:val="bottom"/>
            <w:gridSpan w:val="5"/>
          </w:tcPr>
          <w:p>
            <w:pPr>
              <w:jc w:val="right"/>
              <w:ind w:right="80"/>
              <w:spacing w:after="0"/>
              <w:rPr>
                <w:sz w:val="20"/>
                <w:szCs w:val="20"/>
                <w:color w:val="auto"/>
              </w:rPr>
            </w:pPr>
            <w:r>
              <w:rPr>
                <w:rFonts w:ascii="Arial" w:cs="Arial" w:eastAsia="Arial" w:hAnsi="Arial"/>
                <w:sz w:val="12"/>
                <w:szCs w:val="12"/>
                <w:color w:val="auto"/>
              </w:rPr>
              <w:t>400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6"/>
          </w:tcPr>
          <w:p>
            <w:pPr>
              <w:jc w:val="right"/>
              <w:ind w:right="60"/>
              <w:spacing w:after="0"/>
              <w:rPr>
                <w:sz w:val="20"/>
                <w:szCs w:val="20"/>
                <w:color w:val="auto"/>
              </w:rPr>
            </w:pPr>
            <w:r>
              <w:rPr>
                <w:rFonts w:ascii="Arial" w:cs="Arial" w:eastAsia="Arial" w:hAnsi="Arial"/>
                <w:sz w:val="12"/>
                <w:szCs w:val="12"/>
                <w:color w:val="auto"/>
              </w:rPr>
              <w:t>(379)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7,251</w:t>
            </w:r>
          </w:p>
        </w:tc>
        <w:tc>
          <w:tcPr>
            <w:tcW w:w="160" w:type="dxa"/>
            <w:vAlign w:val="bottom"/>
            <w:tcBorders>
              <w:right w:val="single" w:sz="8" w:color="CCEEFF"/>
            </w:tcBorders>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7,251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8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6"/>
          </w:tcPr>
          <w:p>
            <w:pPr>
              <w:jc w:val="right"/>
              <w:ind w:right="100"/>
              <w:spacing w:after="0"/>
              <w:rPr>
                <w:sz w:val="20"/>
                <w:szCs w:val="20"/>
                <w:color w:val="auto"/>
              </w:rPr>
            </w:pPr>
            <w:r>
              <w:rPr>
                <w:rFonts w:ascii="Arial" w:cs="Arial" w:eastAsia="Arial" w:hAnsi="Arial"/>
                <w:sz w:val="12"/>
                <w:szCs w:val="12"/>
                <w:color w:val="auto"/>
              </w:rPr>
              <w:t>369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March 31, 2020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w w:val="96"/>
              </w:rPr>
              <w:t>46,805,950</w:t>
            </w:r>
          </w:p>
        </w:tc>
        <w:tc>
          <w:tcPr>
            <w:tcW w:w="50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$468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$(3,500)</w:t>
            </w:r>
          </w:p>
        </w:tc>
        <w:tc>
          <w:tcPr>
            <w:tcW w:w="80" w:type="dxa"/>
            <w:vAlign w:val="bottom"/>
            <w:shd w:val="clear" w:color="auto" w:fill="CCEEFF"/>
          </w:tcPr>
          <w:p>
            <w:pPr>
              <w:spacing w:after="0"/>
              <w:rPr>
                <w:sz w:val="16"/>
                <w:szCs w:val="16"/>
                <w:color w:val="auto"/>
              </w:rPr>
            </w:pP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2"/>
                <w:szCs w:val="12"/>
                <w:color w:val="auto"/>
              </w:rPr>
              <w:t>$244,918</w:t>
            </w:r>
          </w:p>
        </w:tc>
        <w:tc>
          <w:tcPr>
            <w:tcW w:w="6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$49,479</w:t>
            </w:r>
          </w:p>
        </w:tc>
        <w:tc>
          <w:tcPr>
            <w:tcW w:w="160" w:type="dxa"/>
            <w:vAlign w:val="bottom"/>
            <w:tcBorders>
              <w:right w:val="single" w:sz="8" w:color="CCEEFF"/>
            </w:tcBorders>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1"/>
              </w:rPr>
              <w:t>$291,365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6"/>
          </w:tcPr>
          <w:p>
            <w:pPr>
              <w:ind w:left="40"/>
              <w:spacing w:after="0"/>
              <w:rPr>
                <w:sz w:val="20"/>
                <w:szCs w:val="20"/>
                <w:color w:val="auto"/>
              </w:rPr>
            </w:pPr>
            <w:r>
              <w:rPr>
                <w:rFonts w:ascii="Arial" w:cs="Arial" w:eastAsia="Arial" w:hAnsi="Arial"/>
                <w:sz w:val="12"/>
                <w:szCs w:val="12"/>
                <w:b w:val="1"/>
                <w:bCs w:val="1"/>
                <w:color w:val="auto"/>
                <w:w w:val="97"/>
              </w:rPr>
              <w:t>Three Months Ended March 31, 2021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8"/>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8"/>
          </w:tcPr>
          <w:p>
            <w:pPr>
              <w:ind w:left="80"/>
              <w:spacing w:after="0"/>
              <w:rPr>
                <w:sz w:val="20"/>
                <w:szCs w:val="20"/>
                <w:color w:val="auto"/>
              </w:rPr>
            </w:pPr>
            <w:r>
              <w:rPr>
                <w:rFonts w:ascii="Arial" w:cs="Arial" w:eastAsia="Arial" w:hAnsi="Arial"/>
                <w:sz w:val="12"/>
                <w:szCs w:val="12"/>
                <w:b w:val="1"/>
                <w:bCs w:val="1"/>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vMerge w:val="restart"/>
          </w:tcPr>
          <w:p>
            <w:pPr>
              <w:jc w:val="center"/>
              <w:ind w:right="160"/>
              <w:spacing w:after="0"/>
              <w:rPr>
                <w:sz w:val="20"/>
                <w:szCs w:val="20"/>
                <w:color w:val="auto"/>
              </w:rPr>
            </w:pPr>
            <w:r>
              <w:rPr>
                <w:rFonts w:ascii="Arial" w:cs="Arial" w:eastAsia="Arial" w:hAnsi="Arial"/>
                <w:sz w:val="12"/>
                <w:szCs w:val="12"/>
                <w:b w:val="1"/>
                <w:bCs w:val="1"/>
                <w:color w:val="auto"/>
                <w:w w:val="83"/>
              </w:rPr>
              <w:t>Loans to</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vMerge w:val="restart"/>
          </w:tcPr>
          <w:p>
            <w:pPr>
              <w:jc w:val="center"/>
              <w:ind w:right="140"/>
              <w:spacing w:after="0"/>
              <w:rPr>
                <w:sz w:val="20"/>
                <w:szCs w:val="20"/>
                <w:color w:val="auto"/>
              </w:rPr>
            </w:pPr>
            <w:r>
              <w:rPr>
                <w:rFonts w:ascii="Arial" w:cs="Arial" w:eastAsia="Arial" w:hAnsi="Arial"/>
                <w:sz w:val="12"/>
                <w:szCs w:val="12"/>
                <w:b w:val="1"/>
                <w:bCs w:val="1"/>
                <w:color w:val="auto"/>
                <w:w w:val="88"/>
              </w:rPr>
              <w:t>Additional</w:t>
            </w:r>
          </w:p>
        </w:tc>
        <w:tc>
          <w:tcPr>
            <w:tcW w:w="140" w:type="dxa"/>
            <w:vAlign w:val="bottom"/>
          </w:tcPr>
          <w:p>
            <w:pPr>
              <w:spacing w:after="0"/>
              <w:rPr>
                <w:sz w:val="13"/>
                <w:szCs w:val="13"/>
                <w:color w:val="auto"/>
              </w:rPr>
            </w:pPr>
          </w:p>
        </w:tc>
        <w:tc>
          <w:tcPr>
            <w:tcW w:w="66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w w:val="78"/>
              </w:rPr>
              <w:t>Retained</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64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w w:val="84"/>
              </w:rPr>
              <w:t>Warrants</w:t>
            </w:r>
          </w:p>
        </w:tc>
        <w:tc>
          <w:tcPr>
            <w:tcW w:w="80" w:type="dxa"/>
            <w:vAlign w:val="bottom"/>
          </w:tcPr>
          <w:p>
            <w:pPr>
              <w:spacing w:after="0"/>
              <w:rPr>
                <w:sz w:val="13"/>
                <w:szCs w:val="13"/>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79"/>
              </w:rPr>
              <w:t>Shares</w:t>
            </w:r>
          </w:p>
        </w:tc>
        <w:tc>
          <w:tcPr>
            <w:tcW w:w="50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7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4"/>
              </w:rPr>
              <w:t>Stockholders</w:t>
            </w:r>
          </w:p>
        </w:tc>
        <w:tc>
          <w:tcPr>
            <w:tcW w:w="100" w:type="dxa"/>
            <w:vAlign w:val="bottom"/>
          </w:tcPr>
          <w:p>
            <w:pPr>
              <w:spacing w:after="0"/>
              <w:rPr>
                <w:sz w:val="13"/>
                <w:szCs w:val="13"/>
                <w:color w:val="auto"/>
              </w:rPr>
            </w:pPr>
          </w:p>
        </w:tc>
        <w:tc>
          <w:tcPr>
            <w:tcW w:w="84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w w:val="88"/>
              </w:rPr>
              <w:t>Paid-In Capital</w:t>
            </w:r>
          </w:p>
        </w:tc>
        <w:tc>
          <w:tcPr>
            <w:tcW w:w="14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81"/>
              </w:rPr>
              <w:t>Earnings</w:t>
            </w:r>
          </w:p>
        </w:tc>
        <w:tc>
          <w:tcPr>
            <w:tcW w:w="4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December 31, 2020</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3"/>
              </w:rPr>
              <w:t>46,839,659</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$468</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$(3,500)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2"/>
                <w:szCs w:val="12"/>
                <w:color w:val="auto"/>
              </w:rPr>
              <w:t>$248,525</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  38,324</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86"/>
              </w:rPr>
              <w:t>$ 283,817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Shares Surrendered by</w:t>
            </w: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20"/>
              <w:spacing w:after="0"/>
              <w:rPr>
                <w:sz w:val="20"/>
                <w:szCs w:val="20"/>
                <w:color w:val="auto"/>
              </w:rPr>
            </w:pPr>
            <w:r>
              <w:rPr>
                <w:rFonts w:ascii="Arial" w:cs="Arial" w:eastAsia="Arial" w:hAnsi="Arial"/>
                <w:sz w:val="12"/>
                <w:szCs w:val="12"/>
                <w:color w:val="auto"/>
              </w:rPr>
              <w:t>Stockholders</w:t>
            </w:r>
          </w:p>
        </w:tc>
        <w:tc>
          <w:tcPr>
            <w:tcW w:w="180" w:type="dxa"/>
            <w:vAlign w:val="bottom"/>
          </w:tcPr>
          <w:p>
            <w:pPr>
              <w:spacing w:after="0"/>
              <w:rPr>
                <w:sz w:val="12"/>
                <w:szCs w:val="12"/>
                <w:color w:val="auto"/>
              </w:rPr>
            </w:pPr>
          </w:p>
        </w:tc>
        <w:tc>
          <w:tcPr>
            <w:tcW w:w="460" w:type="dxa"/>
            <w:vAlign w:val="bottom"/>
            <w:gridSpan w:val="3"/>
          </w:tcPr>
          <w:p>
            <w:pPr>
              <w:jc w:val="right"/>
              <w:ind w:right="340"/>
              <w:spacing w:after="0"/>
              <w:rPr>
                <w:sz w:val="20"/>
                <w:szCs w:val="20"/>
                <w:color w:val="auto"/>
              </w:rPr>
            </w:pPr>
            <w:r>
              <w:rPr>
                <w:rFonts w:ascii="Arial" w:cs="Arial" w:eastAsia="Arial" w:hAnsi="Arial"/>
                <w:sz w:val="12"/>
                <w:szCs w:val="12"/>
                <w:color w:val="auto"/>
                <w:w w:val="82"/>
              </w:rPr>
              <w:t>—</w:t>
            </w:r>
          </w:p>
        </w:tc>
        <w:tc>
          <w:tcPr>
            <w:tcW w:w="600" w:type="dxa"/>
            <w:vAlign w:val="bottom"/>
            <w:gridSpan w:val="3"/>
          </w:tcPr>
          <w:p>
            <w:pPr>
              <w:jc w:val="right"/>
              <w:ind w:right="40"/>
              <w:spacing w:after="0"/>
              <w:rPr>
                <w:sz w:val="20"/>
                <w:szCs w:val="20"/>
                <w:color w:val="auto"/>
              </w:rPr>
            </w:pPr>
            <w:r>
              <w:rPr>
                <w:rFonts w:ascii="Arial" w:cs="Arial" w:eastAsia="Arial" w:hAnsi="Arial"/>
                <w:sz w:val="12"/>
                <w:szCs w:val="12"/>
                <w:color w:val="auto"/>
              </w:rPr>
              <w:t>(140,737)</w:t>
            </w:r>
          </w:p>
        </w:tc>
        <w:tc>
          <w:tcPr>
            <w:tcW w:w="80" w:type="dxa"/>
            <w:vAlign w:val="bottom"/>
          </w:tcPr>
          <w:p>
            <w:pPr>
              <w:spacing w:after="0"/>
              <w:rPr>
                <w:sz w:val="12"/>
                <w:szCs w:val="12"/>
                <w:color w:val="auto"/>
              </w:rPr>
            </w:pPr>
          </w:p>
        </w:tc>
        <w:tc>
          <w:tcPr>
            <w:tcW w:w="420" w:type="dxa"/>
            <w:vAlign w:val="bottom"/>
            <w:gridSpan w:val="4"/>
          </w:tcPr>
          <w:p>
            <w:pPr>
              <w:jc w:val="right"/>
              <w:ind w:right="6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w w:val="93"/>
              </w:rPr>
              <w:t>3,500</w:t>
            </w:r>
          </w:p>
        </w:tc>
        <w:tc>
          <w:tcPr>
            <w:tcW w:w="80" w:type="dxa"/>
            <w:vAlign w:val="bottom"/>
          </w:tcPr>
          <w:p>
            <w:pPr>
              <w:spacing w:after="0"/>
              <w:rPr>
                <w:sz w:val="12"/>
                <w:szCs w:val="12"/>
                <w:color w:val="auto"/>
              </w:rPr>
            </w:pPr>
          </w:p>
        </w:tc>
        <w:tc>
          <w:tcPr>
            <w:tcW w:w="780" w:type="dxa"/>
            <w:vAlign w:val="bottom"/>
            <w:gridSpan w:val="5"/>
          </w:tcPr>
          <w:p>
            <w:pPr>
              <w:jc w:val="right"/>
              <w:spacing w:after="0"/>
              <w:rPr>
                <w:sz w:val="20"/>
                <w:szCs w:val="20"/>
                <w:color w:val="auto"/>
              </w:rPr>
            </w:pPr>
            <w:r>
              <w:rPr>
                <w:rFonts w:ascii="Arial" w:cs="Arial" w:eastAsia="Arial" w:hAnsi="Arial"/>
                <w:sz w:val="12"/>
                <w:szCs w:val="12"/>
                <w:color w:val="auto"/>
              </w:rPr>
              <w:t>(3,499)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Initial Public Offering</w:t>
            </w:r>
          </w:p>
        </w:tc>
        <w:tc>
          <w:tcPr>
            <w:tcW w:w="18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3"/>
              </w:rPr>
              <w:t>10,454,545</w:t>
            </w:r>
          </w:p>
        </w:tc>
        <w:tc>
          <w:tcPr>
            <w:tcW w:w="8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105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2"/>
                <w:szCs w:val="12"/>
                <w:color w:val="auto"/>
              </w:rPr>
              <w:t>224,552</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224,657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20"/>
                <w:szCs w:val="20"/>
                <w:color w:val="auto"/>
              </w:rPr>
            </w:pPr>
            <w:r>
              <w:rPr>
                <w:rFonts w:ascii="Arial" w:cs="Arial" w:eastAsia="Arial" w:hAnsi="Arial"/>
                <w:sz w:val="12"/>
                <w:szCs w:val="12"/>
                <w:color w:val="auto"/>
              </w:rPr>
              <w:t>Net Income</w:t>
            </w:r>
          </w:p>
        </w:tc>
        <w:tc>
          <w:tcPr>
            <w:tcW w:w="180" w:type="dxa"/>
            <w:vAlign w:val="bottom"/>
          </w:tcPr>
          <w:p>
            <w:pPr>
              <w:spacing w:after="0"/>
              <w:rPr>
                <w:sz w:val="15"/>
                <w:szCs w:val="15"/>
                <w:color w:val="auto"/>
              </w:rPr>
            </w:pPr>
          </w:p>
        </w:tc>
        <w:tc>
          <w:tcPr>
            <w:tcW w:w="460" w:type="dxa"/>
            <w:vAlign w:val="bottom"/>
            <w:gridSpan w:val="3"/>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12,416</w:t>
            </w: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12,416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Receivable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Agreement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2"/>
                <w:szCs w:val="12"/>
                <w:color w:val="auto"/>
              </w:rPr>
              <w:t>(115,200)</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(115,200)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20"/>
                <w:szCs w:val="20"/>
                <w:color w:val="auto"/>
              </w:rPr>
            </w:pPr>
            <w:r>
              <w:rPr>
                <w:rFonts w:ascii="Arial" w:cs="Arial" w:eastAsia="Arial" w:hAnsi="Arial"/>
                <w:sz w:val="12"/>
                <w:szCs w:val="12"/>
                <w:color w:val="auto"/>
              </w:rPr>
              <w:t>Amazon Warrants</w:t>
            </w:r>
          </w:p>
        </w:tc>
        <w:tc>
          <w:tcPr>
            <w:tcW w:w="180" w:type="dxa"/>
            <w:vAlign w:val="bottom"/>
          </w:tcPr>
          <w:p>
            <w:pPr>
              <w:spacing w:after="0"/>
              <w:rPr>
                <w:sz w:val="15"/>
                <w:szCs w:val="15"/>
                <w:color w:val="auto"/>
              </w:rPr>
            </w:pPr>
          </w:p>
        </w:tc>
        <w:tc>
          <w:tcPr>
            <w:tcW w:w="460" w:type="dxa"/>
            <w:vAlign w:val="bottom"/>
            <w:gridSpan w:val="3"/>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5"/>
          </w:tcPr>
          <w:p>
            <w:pPr>
              <w:jc w:val="right"/>
              <w:ind w:right="1"/>
              <w:spacing w:after="0"/>
              <w:rPr>
                <w:sz w:val="20"/>
                <w:szCs w:val="20"/>
                <w:color w:val="auto"/>
              </w:rPr>
            </w:pPr>
            <w:r>
              <w:rPr>
                <w:rFonts w:ascii="Arial" w:cs="Arial" w:eastAsia="Arial" w:hAnsi="Arial"/>
                <w:sz w:val="12"/>
                <w:szCs w:val="12"/>
                <w:color w:val="auto"/>
              </w:rPr>
              <w:t>1,400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2"/>
                <w:szCs w:val="12"/>
                <w:color w:val="auto"/>
                <w:w w:val="82"/>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right w:val="single" w:sz="8" w:color="CCEEFF"/>
            </w:tcBorders>
            <w:gridSpan w:val="5"/>
            <w:shd w:val="clear" w:color="auto" w:fill="CCEEFF"/>
          </w:tcPr>
          <w:p>
            <w:pPr>
              <w:jc w:val="right"/>
              <w:ind w:right="1"/>
              <w:spacing w:after="0"/>
              <w:rPr>
                <w:sz w:val="20"/>
                <w:szCs w:val="20"/>
                <w:color w:val="auto"/>
              </w:rPr>
            </w:pPr>
            <w:r>
              <w:rPr>
                <w:rFonts w:ascii="Arial" w:cs="Arial" w:eastAsia="Arial" w:hAnsi="Arial"/>
                <w:sz w:val="12"/>
                <w:szCs w:val="12"/>
                <w:color w:val="auto"/>
              </w:rPr>
              <w:t>2,870</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2,870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820" w:type="dxa"/>
            <w:vAlign w:val="bottom"/>
          </w:tcPr>
          <w:p>
            <w:pPr>
              <w:spacing w:after="0"/>
              <w:rPr>
                <w:sz w:val="20"/>
                <w:szCs w:val="20"/>
                <w:color w:val="auto"/>
              </w:rPr>
            </w:pPr>
            <w:r>
              <w:rPr>
                <w:rFonts w:ascii="Arial" w:cs="Arial" w:eastAsia="Arial" w:hAnsi="Arial"/>
                <w:sz w:val="12"/>
                <w:szCs w:val="12"/>
                <w:color w:val="auto"/>
              </w:rPr>
              <w:t>March 31, 2021</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340" w:type="dxa"/>
            <w:vAlign w:val="bottom"/>
            <w:gridSpan w:val="2"/>
          </w:tcPr>
          <w:p>
            <w:pPr>
              <w:spacing w:after="0"/>
              <w:rPr>
                <w:sz w:val="15"/>
                <w:szCs w:val="15"/>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w w:val="83"/>
              </w:rPr>
              <w:t>57,153,467</w:t>
            </w:r>
          </w:p>
        </w:tc>
        <w:tc>
          <w:tcPr>
            <w:tcW w:w="80" w:type="dxa"/>
            <w:vAlign w:val="bottom"/>
          </w:tcPr>
          <w:p>
            <w:pPr>
              <w:spacing w:after="0"/>
              <w:rPr>
                <w:sz w:val="15"/>
                <w:szCs w:val="15"/>
                <w:color w:val="auto"/>
              </w:rPr>
            </w:pPr>
          </w:p>
        </w:tc>
        <w:tc>
          <w:tcPr>
            <w:tcW w:w="420" w:type="dxa"/>
            <w:vAlign w:val="bottom"/>
            <w:gridSpan w:val="4"/>
          </w:tcPr>
          <w:p>
            <w:pPr>
              <w:jc w:val="right"/>
              <w:ind w:right="100"/>
              <w:spacing w:after="0"/>
              <w:rPr>
                <w:sz w:val="20"/>
                <w:szCs w:val="20"/>
                <w:color w:val="auto"/>
              </w:rPr>
            </w:pPr>
            <w:r>
              <w:rPr>
                <w:rFonts w:ascii="Arial" w:cs="Arial" w:eastAsia="Arial" w:hAnsi="Arial"/>
                <w:sz w:val="12"/>
                <w:szCs w:val="12"/>
                <w:color w:val="auto"/>
              </w:rPr>
              <w:t>$572</w:t>
            </w:r>
          </w:p>
        </w:tc>
        <w:tc>
          <w:tcPr>
            <w:tcW w:w="8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gridSpan w:val="5"/>
          </w:tcPr>
          <w:p>
            <w:pPr>
              <w:jc w:val="right"/>
              <w:ind w:right="1"/>
              <w:spacing w:after="0"/>
              <w:rPr>
                <w:sz w:val="20"/>
                <w:szCs w:val="20"/>
                <w:color w:val="auto"/>
              </w:rPr>
            </w:pPr>
            <w:r>
              <w:rPr>
                <w:rFonts w:ascii="Arial" w:cs="Arial" w:eastAsia="Arial" w:hAnsi="Arial"/>
                <w:sz w:val="12"/>
                <w:szCs w:val="12"/>
                <w:color w:val="auto"/>
              </w:rPr>
              <w:t>$473,848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2"/>
                <w:szCs w:val="12"/>
                <w:color w:val="auto"/>
              </w:rPr>
              <w:t>$ (64,460)</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w w:val="86"/>
              </w:rPr>
              <w:t>$ 409,960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-1980565</wp:posOffset>
            </wp:positionV>
            <wp:extent cx="139700"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-1980565</wp:posOffset>
            </wp:positionV>
            <wp:extent cx="237490" cy="69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37490" cy="698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-1980565</wp:posOffset>
            </wp:positionV>
            <wp:extent cx="306705"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06705"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-1980565</wp:posOffset>
            </wp:positionV>
            <wp:extent cx="244475"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-1980565</wp:posOffset>
            </wp:positionV>
            <wp:extent cx="153670"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-1980565</wp:posOffset>
            </wp:positionV>
            <wp:extent cx="1611630"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611630" cy="698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-2454910</wp:posOffset>
            </wp:positionV>
            <wp:extent cx="97790"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-2454910</wp:posOffset>
            </wp:positionV>
            <wp:extent cx="1604645"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604645" cy="6985"/>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-2454910</wp:posOffset>
            </wp:positionV>
            <wp:extent cx="111760"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-2454910</wp:posOffset>
            </wp:positionV>
            <wp:extent cx="111760"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-2454910</wp:posOffset>
            </wp:positionV>
            <wp:extent cx="111760"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-2454910</wp:posOffset>
            </wp:positionV>
            <wp:extent cx="97790"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-1185545</wp:posOffset>
            </wp:positionV>
            <wp:extent cx="97790"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-1185545</wp:posOffset>
            </wp:positionV>
            <wp:extent cx="1548765"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548765" cy="69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-1185545</wp:posOffset>
            </wp:positionV>
            <wp:extent cx="111760" cy="69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-1185545</wp:posOffset>
            </wp:positionV>
            <wp:extent cx="111760" cy="69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-1185545</wp:posOffset>
            </wp:positionV>
            <wp:extent cx="111760" cy="69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-1185545</wp:posOffset>
            </wp:positionV>
            <wp:extent cx="111760" cy="698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5" w:name="page246"/>
    <w:bookmarkEnd w:id="245"/>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8"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(Dollars in thousands)</w:t>
      </w:r>
    </w:p>
    <w:p>
      <w:pPr>
        <w:spacing w:after="0" w:line="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(Unaudited)</w:t>
      </w:r>
    </w:p>
    <w:p>
      <w:pPr>
        <w:spacing w:after="0" w:line="14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2"/>
                <w:szCs w:val="12"/>
                <w:b w:val="1"/>
                <w:bCs w:val="1"/>
                <w:color w:val="auto"/>
                <w:w w:val="87"/>
              </w:rPr>
              <w:t>Three Months Ended March 31,</w:t>
            </w:r>
          </w:p>
        </w:tc>
        <w:tc>
          <w:tcPr>
            <w:tcW w:w="0" w:type="dxa"/>
            <w:vAlign w:val="bottom"/>
          </w:tcPr>
          <w:p>
            <w:pPr>
              <w:spacing w:after="0"/>
              <w:rPr>
                <w:sz w:val="1"/>
                <w:szCs w:val="1"/>
                <w:color w:val="auto"/>
              </w:rPr>
            </w:pPr>
          </w:p>
        </w:tc>
      </w:tr>
      <w:tr>
        <w:trPr>
          <w:trHeight w:val="123"/>
        </w:trPr>
        <w:tc>
          <w:tcPr>
            <w:tcW w:w="49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1"/>
              <w:spacing w:after="0" w:line="123" w:lineRule="exact"/>
              <w:rPr>
                <w:sz w:val="20"/>
                <w:szCs w:val="20"/>
                <w:color w:val="auto"/>
              </w:rPr>
            </w:pPr>
            <w:r>
              <w:rPr>
                <w:rFonts w:ascii="Arial" w:cs="Arial" w:eastAsia="Arial" w:hAnsi="Arial"/>
                <w:sz w:val="12"/>
                <w:szCs w:val="12"/>
                <w:b w:val="1"/>
                <w:bCs w:val="1"/>
                <w:color w:val="auto"/>
                <w:w w:val="97"/>
              </w:rPr>
              <w:t>2021</w:t>
            </w: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1"/>
              <w:spacing w:after="0" w:line="123" w:lineRule="exact"/>
              <w:rPr>
                <w:sz w:val="20"/>
                <w:szCs w:val="20"/>
                <w:color w:val="auto"/>
              </w:rPr>
            </w:pPr>
            <w:r>
              <w:rPr>
                <w:rFonts w:ascii="Arial" w:cs="Arial" w:eastAsia="Arial" w:hAnsi="Arial"/>
                <w:sz w:val="12"/>
                <w:szCs w:val="12"/>
                <w:b w:val="1"/>
                <w:bCs w:val="1"/>
                <w:color w:val="auto"/>
                <w:w w:val="97"/>
              </w:rPr>
              <w:t>2020</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900" w:type="dxa"/>
            <w:vAlign w:val="bottom"/>
            <w:shd w:val="clear" w:color="auto" w:fill="CCEEFF"/>
          </w:tcPr>
          <w:p>
            <w:pPr>
              <w:spacing w:after="0" w:line="123" w:lineRule="exact"/>
              <w:rPr>
                <w:sz w:val="20"/>
                <w:szCs w:val="20"/>
                <w:color w:val="auto"/>
              </w:rPr>
            </w:pPr>
            <w:r>
              <w:rPr>
                <w:rFonts w:ascii="Arial" w:cs="Arial" w:eastAsia="Arial" w:hAnsi="Arial"/>
                <w:sz w:val="12"/>
                <w:szCs w:val="12"/>
                <w:b w:val="1"/>
                <w:bCs w:val="1"/>
                <w:color w:val="auto"/>
              </w:rPr>
              <w:t>Net Income</w:t>
            </w: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2"/>
                <w:szCs w:val="12"/>
                <w:color w:val="auto"/>
                <w:w w:val="97"/>
              </w:rPr>
              <w:t>12,416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2"/>
                <w:szCs w:val="12"/>
                <w:color w:val="auto"/>
              </w:rPr>
              <w:t>7,251</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Adjustments to reconcile Net Income to Cash from Operating Activities: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w w:val="97"/>
              </w:rPr>
              <w:t>12,615</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10,527</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Reduction in Operating Lease Right-of-use Assets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5,401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6,951</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Non-Cash Loss on Asset Transactions, net</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(8,729)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Unrealized Loss (Gain) on Fuel Derivatives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(2,386)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21,752</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Amortization of Over-market Liabilities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(2,004)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(2,913)</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Deferred Income Taxes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5,406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2,471</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Amazon Warrants Vested</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1,400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Stock-based Compensation Expense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2,870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369</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Amortization of Debt Issuance Costs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1,496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708</w:t>
            </w:r>
          </w:p>
        </w:tc>
        <w:tc>
          <w:tcPr>
            <w:tcW w:w="0" w:type="dxa"/>
            <w:vAlign w:val="bottom"/>
          </w:tcPr>
          <w:p>
            <w:pPr>
              <w:spacing w:after="0"/>
              <w:rPr>
                <w:sz w:val="1"/>
                <w:szCs w:val="1"/>
                <w:color w:val="auto"/>
              </w:rPr>
            </w:pPr>
          </w:p>
        </w:tc>
      </w:tr>
      <w:tr>
        <w:trPr>
          <w:trHeight w:val="132"/>
        </w:trPr>
        <w:tc>
          <w:tcPr>
            <w:tcW w:w="4900" w:type="dxa"/>
            <w:vAlign w:val="bottom"/>
          </w:tcPr>
          <w:p>
            <w:pPr>
              <w:spacing w:after="0" w:line="132" w:lineRule="exact"/>
              <w:rPr>
                <w:sz w:val="20"/>
                <w:szCs w:val="20"/>
                <w:color w:val="auto"/>
              </w:rPr>
            </w:pPr>
            <w:r>
              <w:rPr>
                <w:rFonts w:ascii="Arial" w:cs="Arial" w:eastAsia="Arial" w:hAnsi="Arial"/>
                <w:sz w:val="12"/>
                <w:szCs w:val="12"/>
                <w:b w:val="1"/>
                <w:bCs w:val="1"/>
                <w:color w:val="auto"/>
              </w:rPr>
              <w:t>Changes in Operating Assets and Liabilities: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Accounts Receivable</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2,358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5,322</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Inventory</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(173)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(367)</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Prepaid Expenses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(3,676)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(403)</w:t>
            </w:r>
          </w:p>
        </w:tc>
        <w:tc>
          <w:tcPr>
            <w:tcW w:w="0" w:type="dxa"/>
            <w:vAlign w:val="bottom"/>
          </w:tcPr>
          <w:p>
            <w:pPr>
              <w:spacing w:after="0"/>
              <w:rPr>
                <w:sz w:val="1"/>
                <w:szCs w:val="1"/>
                <w:color w:val="auto"/>
              </w:rPr>
            </w:pPr>
          </w:p>
        </w:tc>
      </w:tr>
      <w:tr>
        <w:trPr>
          <w:trHeight w:val="132"/>
        </w:trPr>
        <w:tc>
          <w:tcPr>
            <w:tcW w:w="4900" w:type="dxa"/>
            <w:vAlign w:val="bottom"/>
          </w:tcPr>
          <w:p>
            <w:pPr>
              <w:ind w:left="120"/>
              <w:spacing w:after="0" w:line="132" w:lineRule="exact"/>
              <w:rPr>
                <w:sz w:val="20"/>
                <w:szCs w:val="20"/>
                <w:color w:val="auto"/>
              </w:rPr>
            </w:pPr>
            <w:r>
              <w:rPr>
                <w:rFonts w:ascii="Arial" w:cs="Arial" w:eastAsia="Arial" w:hAnsi="Arial"/>
                <w:sz w:val="12"/>
                <w:szCs w:val="12"/>
                <w:color w:val="auto"/>
              </w:rPr>
              <w:t>Lessor Maintenance Deposits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(2,219)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(5,476)</w:t>
            </w:r>
          </w:p>
        </w:tc>
        <w:tc>
          <w:tcPr>
            <w:tcW w:w="0" w:type="dxa"/>
            <w:vAlign w:val="bottom"/>
          </w:tcPr>
          <w:p>
            <w:pPr>
              <w:spacing w:after="0"/>
              <w:rPr>
                <w:sz w:val="1"/>
                <w:szCs w:val="1"/>
                <w:color w:val="auto"/>
              </w:rPr>
            </w:pPr>
          </w:p>
        </w:tc>
      </w:tr>
      <w:tr>
        <w:trPr>
          <w:trHeight w:val="132"/>
        </w:trPr>
        <w:tc>
          <w:tcPr>
            <w:tcW w:w="49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Aircraft Lease Deposits</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2,226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Other Assets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233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(2,313)</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7,107</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Accrued Transportation Taxes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4,519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(10,539)</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Air Traffic Liabilities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(21,903)</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Loyalty Program Liabilities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(1,295)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Reduction in Operating Lease Obligations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(10,722)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(7,803)</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Other Liabilities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1,820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3,015</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ind w:left="240"/>
              <w:spacing w:after="0"/>
              <w:rPr>
                <w:sz w:val="20"/>
                <w:szCs w:val="20"/>
                <w:color w:val="auto"/>
              </w:rPr>
            </w:pPr>
            <w:r>
              <w:rPr>
                <w:rFonts w:ascii="Arial" w:cs="Arial" w:eastAsia="Arial" w:hAnsi="Arial"/>
                <w:sz w:val="12"/>
                <w:szCs w:val="12"/>
                <w:b w:val="1"/>
                <w:bCs w:val="1"/>
                <w:color w:val="auto"/>
              </w:rPr>
              <w:t>Net Cash Provided by Operating Activities</w:t>
            </w: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97"/>
              </w:rPr>
              <w:t>15,839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13,858</w:t>
            </w:r>
          </w:p>
        </w:tc>
        <w:tc>
          <w:tcPr>
            <w:tcW w:w="0" w:type="dxa"/>
            <w:vAlign w:val="bottom"/>
          </w:tcPr>
          <w:p>
            <w:pPr>
              <w:spacing w:after="0"/>
              <w:rPr>
                <w:sz w:val="1"/>
                <w:szCs w:val="1"/>
                <w:color w:val="auto"/>
              </w:rPr>
            </w:pPr>
          </w:p>
        </w:tc>
      </w:tr>
      <w:tr>
        <w:trPr>
          <w:trHeight w:val="134"/>
        </w:trPr>
        <w:tc>
          <w:tcPr>
            <w:tcW w:w="4900" w:type="dxa"/>
            <w:vAlign w:val="bottom"/>
            <w:tcBorders>
              <w:top w:val="single" w:sz="8" w:color="CCEEFF"/>
            </w:tcBorders>
          </w:tcPr>
          <w:p>
            <w:pPr>
              <w:spacing w:after="0" w:line="134" w:lineRule="exact"/>
              <w:rPr>
                <w:sz w:val="20"/>
                <w:szCs w:val="20"/>
                <w:color w:val="auto"/>
              </w:rPr>
            </w:pPr>
            <w:r>
              <w:rPr>
                <w:rFonts w:ascii="Arial" w:cs="Arial" w:eastAsia="Arial" w:hAnsi="Arial"/>
                <w:sz w:val="12"/>
                <w:szCs w:val="12"/>
                <w:b w:val="1"/>
                <w:bCs w:val="1"/>
                <w:color w:val="auto"/>
              </w:rPr>
              <w:t>Cash Flows from Investing Activities:</w:t>
            </w:r>
          </w:p>
        </w:tc>
        <w:tc>
          <w:tcPr>
            <w:tcW w:w="1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Property &amp; Equipment</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(54,399)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(75,250)</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Purchase of Investments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the Sale of Investments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Net Cash Used in Investing Activities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w w:val="89"/>
              </w:rPr>
              <w:t>(54,552)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w w:val="93"/>
              </w:rPr>
              <w:t>(75,048)</w:t>
            </w:r>
          </w:p>
        </w:tc>
        <w:tc>
          <w:tcPr>
            <w:tcW w:w="0" w:type="dxa"/>
            <w:vAlign w:val="bottom"/>
          </w:tcPr>
          <w:p>
            <w:pPr>
              <w:spacing w:after="0"/>
              <w:rPr>
                <w:sz w:val="1"/>
                <w:szCs w:val="1"/>
                <w:color w:val="auto"/>
              </w:rPr>
            </w:pPr>
          </w:p>
        </w:tc>
      </w:tr>
      <w:tr>
        <w:trPr>
          <w:trHeight w:val="134"/>
        </w:trPr>
        <w:tc>
          <w:tcPr>
            <w:tcW w:w="49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Cash Flows from Financing Activities:</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Cash Received from Stock Offering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235,894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Costs of Stock Offering</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Proceeds Received from Exercise of Apollo Warrants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4"/>
          </w:tcPr>
          <w:p>
            <w:pPr>
              <w:jc w:val="right"/>
              <w:ind w:right="4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Borrowings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68,000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7"/>
              </w:rPr>
              <w:t>108,777</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Repayment of Finance Lease Obligations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(3,911)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(4,256)</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 of Borrowings</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(46,068)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(47,255)</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Debt Issuance Costs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(2,721)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(2,432)</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ind w:left="240"/>
              <w:spacing w:after="0"/>
              <w:rPr>
                <w:sz w:val="20"/>
                <w:szCs w:val="20"/>
                <w:color w:val="auto"/>
              </w:rPr>
            </w:pPr>
            <w:r>
              <w:rPr>
                <w:rFonts w:ascii="Arial" w:cs="Arial" w:eastAsia="Arial" w:hAnsi="Arial"/>
                <w:sz w:val="12"/>
                <w:szCs w:val="12"/>
                <w:b w:val="1"/>
                <w:bCs w:val="1"/>
                <w:color w:val="auto"/>
              </w:rPr>
              <w:t>Net Cash Provided by Financing Activities</w:t>
            </w: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w w:val="82"/>
              </w:rPr>
              <w:t>243,968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54,855</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tcPr>
          <w:p>
            <w:pPr>
              <w:spacing w:after="0" w:line="134" w:lineRule="exact"/>
              <w:rPr>
                <w:sz w:val="20"/>
                <w:szCs w:val="20"/>
                <w:color w:val="auto"/>
              </w:rPr>
            </w:pPr>
            <w:r>
              <w:rPr>
                <w:rFonts w:ascii="Arial" w:cs="Arial" w:eastAsia="Arial" w:hAnsi="Arial"/>
                <w:sz w:val="12"/>
                <w:szCs w:val="12"/>
                <w:b w:val="1"/>
                <w:bCs w:val="1"/>
                <w:color w:val="auto"/>
              </w:rPr>
              <w:t>Net Increase / (Decrease) in Cash, Cash Equivalents and Restricted Cash</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2"/>
              </w:rPr>
              <w:t>205,255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(6,335)</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Cash Equivalents and Restricted Cash—Beginning of the Period</w:t>
            </w: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70,363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64,478</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900" w:type="dxa"/>
            <w:vAlign w:val="bottom"/>
          </w:tcPr>
          <w:p>
            <w:pPr>
              <w:spacing w:after="0" w:line="123" w:lineRule="exact"/>
              <w:rPr>
                <w:sz w:val="20"/>
                <w:szCs w:val="20"/>
                <w:color w:val="auto"/>
              </w:rPr>
            </w:pPr>
            <w:r>
              <w:rPr>
                <w:rFonts w:ascii="Arial" w:cs="Arial" w:eastAsia="Arial" w:hAnsi="Arial"/>
                <w:sz w:val="12"/>
                <w:szCs w:val="12"/>
                <w:b w:val="1"/>
                <w:bCs w:val="1"/>
                <w:color w:val="auto"/>
              </w:rPr>
              <w:t>Cash, Cash Equivalents and Restricted Cash—End of the Period</w:t>
            </w:r>
          </w:p>
        </w:tc>
        <w:tc>
          <w:tcPr>
            <w:tcW w:w="380" w:type="dxa"/>
            <w:vAlign w:val="bottom"/>
            <w:gridSpan w:val="2"/>
          </w:tcPr>
          <w:p>
            <w:pPr>
              <w:jc w:val="right"/>
              <w:spacing w:after="0" w:line="123" w:lineRule="exact"/>
              <w:rPr>
                <w:sz w:val="20"/>
                <w:szCs w:val="20"/>
                <w:color w:val="auto"/>
              </w:rPr>
            </w:pPr>
            <w:r>
              <w:rPr>
                <w:rFonts w:ascii="Arial" w:cs="Arial" w:eastAsia="Arial" w:hAnsi="Arial"/>
                <w:sz w:val="12"/>
                <w:szCs w:val="12"/>
                <w:u w:val="single" w:color="auto"/>
                <w:color w:val="auto"/>
              </w:rPr>
              <w:t>$</w:t>
            </w:r>
          </w:p>
        </w:tc>
        <w:tc>
          <w:tcPr>
            <w:tcW w:w="520" w:type="dxa"/>
            <w:vAlign w:val="bottom"/>
            <w:gridSpan w:val="2"/>
          </w:tcPr>
          <w:p>
            <w:pPr>
              <w:jc w:val="right"/>
              <w:ind w:right="140"/>
              <w:spacing w:after="0" w:line="123" w:lineRule="exact"/>
              <w:rPr>
                <w:sz w:val="20"/>
                <w:szCs w:val="20"/>
                <w:color w:val="auto"/>
              </w:rPr>
            </w:pPr>
            <w:r>
              <w:rPr>
                <w:rFonts w:ascii="Arial" w:cs="Arial" w:eastAsia="Arial" w:hAnsi="Arial"/>
                <w:sz w:val="12"/>
                <w:szCs w:val="12"/>
                <w:color w:val="auto"/>
                <w:w w:val="82"/>
              </w:rPr>
              <w:t>275,618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line="123" w:lineRule="exact"/>
              <w:rPr>
                <w:sz w:val="20"/>
                <w:szCs w:val="20"/>
                <w:color w:val="auto"/>
              </w:rPr>
            </w:pPr>
            <w:r>
              <w:rPr>
                <w:rFonts w:ascii="Arial" w:cs="Arial" w:eastAsia="Arial" w:hAnsi="Arial"/>
                <w:sz w:val="12"/>
                <w:szCs w:val="12"/>
                <w:color w:val="auto"/>
              </w:rPr>
              <w:t>58,143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900" w:type="dxa"/>
            <w:vAlign w:val="bottom"/>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Supplemental information:</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Cash Payments for Interest</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2,728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3,278</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Payments (Receipts) for Income Taxes, net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43"/>
        </w:trPr>
        <w:tc>
          <w:tcPr>
            <w:tcW w:w="4900" w:type="dxa"/>
            <w:vAlign w:val="bottom"/>
          </w:tcPr>
          <w:p>
            <w:pPr>
              <w:spacing w:after="0"/>
              <w:rPr>
                <w:sz w:val="20"/>
                <w:szCs w:val="20"/>
                <w:color w:val="auto"/>
              </w:rPr>
            </w:pPr>
            <w:r>
              <w:rPr>
                <w:rFonts w:ascii="Arial" w:cs="Arial" w:eastAsia="Arial" w:hAnsi="Arial"/>
                <w:sz w:val="12"/>
                <w:szCs w:val="12"/>
                <w:b w:val="1"/>
                <w:bCs w:val="1"/>
                <w:color w:val="auto"/>
              </w:rPr>
              <w:t>Non-cash transactions: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Lease Deposits Applied Against the Purchase of Aircraft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900" w:type="dxa"/>
            <w:vAlign w:val="bottom"/>
          </w:tcPr>
          <w:p>
            <w:pPr>
              <w:ind w:left="120"/>
              <w:spacing w:after="0"/>
              <w:rPr>
                <w:sz w:val="20"/>
                <w:szCs w:val="20"/>
                <w:color w:val="auto"/>
              </w:rPr>
            </w:pPr>
            <w:r>
              <w:rPr>
                <w:rFonts w:ascii="Arial" w:cs="Arial" w:eastAsia="Arial" w:hAnsi="Arial"/>
                <w:sz w:val="12"/>
                <w:szCs w:val="12"/>
                <w:color w:val="auto"/>
              </w:rPr>
              <w:t>Purchases of Property &amp; Equipment in Accounts Payable</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243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1,186</w:t>
            </w:r>
          </w:p>
        </w:tc>
        <w:tc>
          <w:tcPr>
            <w:tcW w:w="0" w:type="dxa"/>
            <w:vAlign w:val="bottom"/>
          </w:tcPr>
          <w:p>
            <w:pPr>
              <w:spacing w:after="0"/>
              <w:rPr>
                <w:sz w:val="1"/>
                <w:szCs w:val="1"/>
                <w:color w:val="auto"/>
              </w:rPr>
            </w:pPr>
          </w:p>
        </w:tc>
      </w:tr>
      <w:tr>
        <w:trPr>
          <w:trHeight w:val="143"/>
        </w:trPr>
        <w:tc>
          <w:tcPr>
            <w:tcW w:w="4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Costs of Stock Offering in Accounts Payable</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1,829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-1045845</wp:posOffset>
            </wp:positionV>
            <wp:extent cx="4241800" cy="698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-1778635</wp:posOffset>
            </wp:positionV>
            <wp:extent cx="4241800"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-2343150</wp:posOffset>
            </wp:positionV>
            <wp:extent cx="4241800" cy="698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-4408805</wp:posOffset>
            </wp:positionV>
            <wp:extent cx="3788410" cy="69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788410" cy="6985"/>
                    </a:xfrm>
                    <a:prstGeom prst="rect">
                      <a:avLst/>
                    </a:prstGeom>
                    <a:noFill/>
                  </pic:spPr>
                </pic:pic>
              </a:graphicData>
            </a:graphic>
          </wp:anchor>
        </w:drawing>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The following provides a reconciliation of Cash, Cash Equivalents and Restricted Cash to the amounts reported on the</w:t>
      </w:r>
    </w:p>
    <w:p>
      <w:pPr>
        <w:spacing w:after="0" w:line="10"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Consolidated Balance Sheets: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March 31, 2021</w:t>
            </w:r>
          </w:p>
        </w:tc>
        <w:tc>
          <w:tcPr>
            <w:tcW w:w="7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March 31, 2020</w:t>
            </w:r>
          </w:p>
        </w:tc>
      </w:tr>
      <w:tr>
        <w:trPr>
          <w:trHeight w:val="112"/>
        </w:trPr>
        <w:tc>
          <w:tcPr>
            <w:tcW w:w="494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2"/>
                <w:szCs w:val="12"/>
                <w:color w:val="auto"/>
              </w:rPr>
              <w:t>Cash and Equivalents</w:t>
            </w:r>
          </w:p>
        </w:tc>
        <w:tc>
          <w:tcPr>
            <w:tcW w:w="780" w:type="dxa"/>
            <w:vAlign w:val="bottom"/>
            <w:tcBorders>
              <w:top w:val="single" w:sz="8" w:color="auto"/>
            </w:tcBorders>
            <w:gridSpan w:val="3"/>
            <w:shd w:val="clear" w:color="auto" w:fill="CCEEFF"/>
          </w:tcPr>
          <w:p>
            <w:pPr>
              <w:jc w:val="right"/>
              <w:ind w:right="160"/>
              <w:spacing w:after="0" w:line="112" w:lineRule="exact"/>
              <w:rPr>
                <w:sz w:val="20"/>
                <w:szCs w:val="20"/>
                <w:color w:val="auto"/>
              </w:rPr>
            </w:pPr>
            <w:r>
              <w:rPr>
                <w:rFonts w:ascii="Arial" w:cs="Arial" w:eastAsia="Arial" w:hAnsi="Arial"/>
                <w:sz w:val="12"/>
                <w:szCs w:val="12"/>
                <w:color w:val="auto"/>
              </w:rPr>
              <w:t>$269,599</w:t>
            </w:r>
          </w:p>
        </w:tc>
        <w:tc>
          <w:tcPr>
            <w:tcW w:w="1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gridSpan w:val="3"/>
            <w:shd w:val="clear" w:color="auto" w:fill="CCEEFF"/>
          </w:tcPr>
          <w:p>
            <w:pPr>
              <w:jc w:val="right"/>
              <w:ind w:right="200"/>
              <w:spacing w:after="0" w:line="112" w:lineRule="exact"/>
              <w:rPr>
                <w:sz w:val="20"/>
                <w:szCs w:val="20"/>
                <w:color w:val="auto"/>
              </w:rPr>
            </w:pPr>
            <w:r>
              <w:rPr>
                <w:rFonts w:ascii="Arial" w:cs="Arial" w:eastAsia="Arial" w:hAnsi="Arial"/>
                <w:sz w:val="12"/>
                <w:szCs w:val="12"/>
                <w:color w:val="auto"/>
              </w:rPr>
              <w:t>$ 53,112</w:t>
            </w:r>
          </w:p>
        </w:tc>
      </w:tr>
      <w:tr>
        <w:trPr>
          <w:trHeight w:val="132"/>
        </w:trPr>
        <w:tc>
          <w:tcPr>
            <w:tcW w:w="4940" w:type="dxa"/>
            <w:vAlign w:val="bottom"/>
          </w:tcPr>
          <w:p>
            <w:pPr>
              <w:spacing w:after="0" w:line="132" w:lineRule="exact"/>
              <w:rPr>
                <w:sz w:val="20"/>
                <w:szCs w:val="20"/>
                <w:color w:val="auto"/>
              </w:rPr>
            </w:pPr>
            <w:r>
              <w:rPr>
                <w:rFonts w:ascii="Arial" w:cs="Arial" w:eastAsia="Arial" w:hAnsi="Arial"/>
                <w:sz w:val="12"/>
                <w:szCs w:val="12"/>
                <w:color w:val="auto"/>
              </w:rPr>
              <w:t>Restricted Cash</w:t>
            </w:r>
          </w:p>
        </w:tc>
        <w:tc>
          <w:tcPr>
            <w:tcW w:w="780" w:type="dxa"/>
            <w:vAlign w:val="bottom"/>
            <w:gridSpan w:val="3"/>
          </w:tcPr>
          <w:p>
            <w:pPr>
              <w:jc w:val="right"/>
              <w:ind w:right="160"/>
              <w:spacing w:after="0" w:line="132" w:lineRule="exact"/>
              <w:rPr>
                <w:sz w:val="20"/>
                <w:szCs w:val="20"/>
                <w:color w:val="auto"/>
              </w:rPr>
            </w:pPr>
            <w:r>
              <w:rPr>
                <w:rFonts w:ascii="Arial" w:cs="Arial" w:eastAsia="Arial" w:hAnsi="Arial"/>
                <w:sz w:val="12"/>
                <w:szCs w:val="12"/>
                <w:color w:val="auto"/>
              </w:rPr>
              <w:t>6,019</w:t>
            </w:r>
          </w:p>
        </w:tc>
        <w:tc>
          <w:tcPr>
            <w:tcW w:w="180" w:type="dxa"/>
            <w:vAlign w:val="bottom"/>
          </w:tcPr>
          <w:p>
            <w:pPr>
              <w:spacing w:after="0"/>
              <w:rPr>
                <w:sz w:val="11"/>
                <w:szCs w:val="11"/>
                <w:color w:val="auto"/>
              </w:rPr>
            </w:pPr>
          </w:p>
        </w:tc>
        <w:tc>
          <w:tcPr>
            <w:tcW w:w="780" w:type="dxa"/>
            <w:vAlign w:val="bottom"/>
            <w:gridSpan w:val="3"/>
          </w:tcPr>
          <w:p>
            <w:pPr>
              <w:jc w:val="right"/>
              <w:ind w:right="200"/>
              <w:spacing w:after="0" w:line="132" w:lineRule="exact"/>
              <w:rPr>
                <w:sz w:val="20"/>
                <w:szCs w:val="20"/>
                <w:color w:val="auto"/>
              </w:rPr>
            </w:pPr>
            <w:r>
              <w:rPr>
                <w:rFonts w:ascii="Arial" w:cs="Arial" w:eastAsia="Arial" w:hAnsi="Arial"/>
                <w:sz w:val="12"/>
                <w:szCs w:val="12"/>
                <w:color w:val="auto"/>
              </w:rPr>
              <w:t>5,031</w:t>
            </w:r>
          </w:p>
        </w:tc>
      </w:tr>
      <w:tr>
        <w:trPr>
          <w:trHeight w:val="148"/>
        </w:trPr>
        <w:tc>
          <w:tcPr>
            <w:tcW w:w="4940" w:type="dxa"/>
            <w:vAlign w:val="bottom"/>
            <w:tcBorders>
              <w:top w:val="single" w:sz="8" w:color="CCEEFF"/>
              <w:bottom w:val="single" w:sz="8" w:color="CCEEFF"/>
            </w:tcBorders>
            <w:shd w:val="clear" w:color="auto" w:fill="CCEEFF"/>
          </w:tcPr>
          <w:p>
            <w:pPr>
              <w:ind w:left="120"/>
              <w:spacing w:after="0" w:line="123" w:lineRule="exact"/>
              <w:rPr>
                <w:sz w:val="20"/>
                <w:szCs w:val="20"/>
                <w:color w:val="auto"/>
              </w:rPr>
            </w:pPr>
            <w:r>
              <w:rPr>
                <w:rFonts w:ascii="Arial" w:cs="Arial" w:eastAsia="Arial" w:hAnsi="Arial"/>
                <w:sz w:val="12"/>
                <w:szCs w:val="12"/>
                <w:color w:val="auto"/>
              </w:rPr>
              <w:t>Total Cash, Cash Equivalents and Restricted Cash</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23" w:lineRule="exact"/>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275,618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center"/>
              <w:spacing w:after="0" w:line="123" w:lineRule="exact"/>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58,143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-118110</wp:posOffset>
            </wp:positionV>
            <wp:extent cx="4241800"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-285115</wp:posOffset>
            </wp:positionV>
            <wp:extent cx="3739515" cy="69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739515" cy="6985"/>
                    </a:xfrm>
                    <a:prstGeom prst="rect">
                      <a:avLst/>
                    </a:prstGeom>
                    <a:noFill/>
                  </pic:spPr>
                </pic:pic>
              </a:graphicData>
            </a:graphic>
          </wp:anchor>
        </w:drawing>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6" w:name="page247"/>
    <w:bookmarkEnd w:id="246"/>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w:t>
      </w:r>
    </w:p>
    <w:p>
      <w:pPr>
        <w:spacing w:after="0" w:line="128" w:lineRule="exact"/>
        <w:rPr>
          <w:sz w:val="20"/>
          <w:szCs w:val="20"/>
          <w:color w:val="auto"/>
        </w:rPr>
      </w:pPr>
    </w:p>
    <w:p>
      <w:pPr>
        <w:ind w:left="1160" w:right="1179" w:firstLine="293"/>
        <w:spacing w:after="0" w:line="253" w:lineRule="auto"/>
        <w:rPr>
          <w:sz w:val="20"/>
          <w:szCs w:val="20"/>
          <w:color w:val="auto"/>
        </w:rPr>
      </w:pPr>
      <w:r>
        <w:rPr>
          <w:rFonts w:ascii="Arial" w:cs="Arial" w:eastAsia="Arial" w:hAnsi="Arial"/>
          <w:sz w:val="14"/>
          <w:szCs w:val="14"/>
          <w:color w:val="auto"/>
        </w:rPr>
        <w:t>Sun Country Airlines Holdings, Inc. is the parent company of Sun Country, Inc., which is a certificated air carrier providing scheduled passenger service, cargo customers, charter air transportation and related services. Services are provided to the general public, Amazon,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Stock Split</w:t>
      </w:r>
    </w:p>
    <w:p>
      <w:pPr>
        <w:spacing w:after="0" w:line="117" w:lineRule="exact"/>
        <w:rPr>
          <w:sz w:val="20"/>
          <w:szCs w:val="20"/>
          <w:color w:val="auto"/>
        </w:rPr>
      </w:pPr>
    </w:p>
    <w:p>
      <w:pPr>
        <w:ind w:left="1160" w:right="1179" w:firstLine="293"/>
        <w:spacing w:after="0" w:line="247" w:lineRule="auto"/>
        <w:rPr>
          <w:sz w:val="20"/>
          <w:szCs w:val="20"/>
          <w:color w:val="auto"/>
        </w:rPr>
      </w:pPr>
      <w:r>
        <w:rPr>
          <w:rFonts w:ascii="Arial" w:cs="Arial" w:eastAsia="Arial" w:hAnsi="Arial"/>
          <w:sz w:val="15"/>
          <w:szCs w:val="15"/>
          <w:color w:val="auto"/>
        </w:rPr>
        <w:t>In March 2021, the Company effected an approximately 18.8886 for 1 stock split of its common stock (the “Stock Split”), with exercise prices for outstanding warrants and options adjusted accordingly by dividing such prices by the Stock Split ratio. The par value of the common stock was not adjusted as a result of the Stock Split. As a result of the Stock Split, the Company issued an additional 44,226,587 shares of common stock. All references to common stock, warrants to purchase common stock, stock options, per share amounts and related information contained in the accompanying Condensed Consolidated Financial Statements and applicable disclosures have been retroactively adjusted to reflect the effect of the Stock Split for all periods.</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Initial Public Offering of Common Stock and Concurrent Private Placements</w:t>
      </w:r>
    </w:p>
    <w:p>
      <w:pPr>
        <w:spacing w:after="0" w:line="128"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$224,657 after deducting underwriting discounts and commissions, and other offering expenses.</w:t>
      </w:r>
    </w:p>
    <w:p>
      <w:pPr>
        <w:spacing w:after="0" w:line="106" w:lineRule="exact"/>
        <w:rPr>
          <w:sz w:val="20"/>
          <w:szCs w:val="20"/>
          <w:color w:val="auto"/>
        </w:rPr>
      </w:pPr>
    </w:p>
    <w:p>
      <w:pPr>
        <w:ind w:left="1160" w:right="1319" w:firstLine="293"/>
        <w:spacing w:after="0" w:line="267" w:lineRule="auto"/>
        <w:rPr>
          <w:sz w:val="20"/>
          <w:szCs w:val="20"/>
          <w:color w:val="auto"/>
        </w:rPr>
      </w:pPr>
      <w:r>
        <w:rPr>
          <w:rFonts w:ascii="Arial" w:cs="Arial" w:eastAsia="Arial" w:hAnsi="Arial"/>
          <w:sz w:val="14"/>
          <w:szCs w:val="14"/>
          <w:color w:val="auto"/>
        </w:rPr>
        <w:t>Concurrently with the closing of the initial public offering, SCA Horus Holdings, LLC, an affiliate of investment funds managed by affiliates of Apollo Global Management (the “Apollo Stockholder”), also completed a concurrent private placement in which the Apollo Stockholder sold 2,216,312 and</w:t>
      </w:r>
    </w:p>
    <w:p>
      <w:pPr>
        <w:spacing w:after="0" w:line="1" w:lineRule="exact"/>
        <w:rPr>
          <w:sz w:val="20"/>
          <w:szCs w:val="20"/>
          <w:color w:val="auto"/>
        </w:rPr>
      </w:pPr>
    </w:p>
    <w:p>
      <w:pPr>
        <w:jc w:val="both"/>
        <w:ind w:left="1160" w:right="1199"/>
        <w:spacing w:after="0" w:line="246" w:lineRule="auto"/>
        <w:rPr>
          <w:sz w:val="20"/>
          <w:szCs w:val="20"/>
          <w:color w:val="auto"/>
        </w:rPr>
      </w:pPr>
      <w:r>
        <w:rPr>
          <w:rFonts w:ascii="Arial" w:cs="Arial" w:eastAsia="Arial" w:hAnsi="Arial"/>
          <w:sz w:val="15"/>
          <w:szCs w:val="15"/>
          <w:color w:val="auto"/>
        </w:rPr>
        <w:t>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157"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Amazon Agreement</w:t>
      </w:r>
    </w:p>
    <w:p>
      <w:pPr>
        <w:spacing w:after="0" w:line="117" w:lineRule="exact"/>
        <w:rPr>
          <w:sz w:val="20"/>
          <w:szCs w:val="20"/>
          <w:color w:val="auto"/>
        </w:rPr>
      </w:pPr>
    </w:p>
    <w:p>
      <w:pPr>
        <w:ind w:left="1160" w:right="1199" w:firstLine="293"/>
        <w:spacing w:after="0" w:line="294" w:lineRule="auto"/>
        <w:rPr>
          <w:sz w:val="20"/>
          <w:szCs w:val="20"/>
          <w:color w:val="auto"/>
        </w:rPr>
      </w:pPr>
      <w:r>
        <w:rPr>
          <w:rFonts w:ascii="Arial" w:cs="Arial" w:eastAsia="Arial" w:hAnsi="Arial"/>
          <w:sz w:val="13"/>
          <w:szCs w:val="13"/>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 The agreement is structured for the Company to provide crew, maintenance, and insurance (“CMI”) services to Amazon. Sun Country began flying for Amazon in May 2020. On June 27, 2020, Amazon and the Company signed an amendment to the December 2019 agreement that increased the aircraft Sun Country operates from 10 to 12.</w:t>
      </w:r>
    </w:p>
    <w:p>
      <w:pPr>
        <w:spacing w:after="0" w:line="77" w:lineRule="exact"/>
        <w:rPr>
          <w:sz w:val="20"/>
          <w:szCs w:val="20"/>
          <w:color w:val="auto"/>
        </w:rPr>
      </w:pPr>
    </w:p>
    <w:p>
      <w:pPr>
        <w:ind w:left="1160" w:right="1219" w:firstLine="293"/>
        <w:spacing w:after="0" w:line="269" w:lineRule="auto"/>
        <w:rPr>
          <w:sz w:val="20"/>
          <w:szCs w:val="20"/>
          <w:color w:val="auto"/>
        </w:rPr>
      </w:pPr>
      <w:r>
        <w:rPr>
          <w:rFonts w:ascii="Arial" w:cs="Arial" w:eastAsia="Arial" w:hAnsi="Arial"/>
          <w:sz w:val="14"/>
          <w:szCs w:val="14"/>
          <w:color w:val="auto"/>
        </w:rPr>
        <w:t>In December 2019, in connection with the ATSA, the Company issued warrants to Amazon to purchase an aggregate of up to 9,482,606 shares of common stock at an exercise price of approximately $15.17 per share. The exercise period of these warrants is through the eighth anniversary of the issue date. Of the 9,482,606 total Amazon warrants issued, 632,183 vested upon execution of the ATSA in December 2019. Thereafter, an additional 63,217 warrants will vest for each milestone of $8,000 in qualifying payments made by Amazon to the Company. During the three months ended March 31, 2021,</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7" w:name="page248"/>
    <w:bookmarkEnd w:id="247"/>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 COMPANY BACKGROUND (continued)</w:t>
      </w:r>
    </w:p>
    <w:p>
      <w:pPr>
        <w:spacing w:after="0" w:line="183" w:lineRule="exact"/>
        <w:rPr>
          <w:sz w:val="20"/>
          <w:szCs w:val="20"/>
          <w:color w:val="auto"/>
        </w:rPr>
      </w:pPr>
    </w:p>
    <w:p>
      <w:pPr>
        <w:ind w:left="1160" w:right="1559"/>
        <w:spacing w:after="0" w:line="248" w:lineRule="auto"/>
        <w:rPr>
          <w:sz w:val="20"/>
          <w:szCs w:val="20"/>
          <w:color w:val="auto"/>
        </w:rPr>
      </w:pPr>
      <w:r>
        <w:rPr>
          <w:rFonts w:ascii="Arial" w:cs="Arial" w:eastAsia="Arial" w:hAnsi="Arial"/>
          <w:sz w:val="15"/>
          <w:szCs w:val="15"/>
          <w:color w:val="auto"/>
        </w:rPr>
        <w:t>189,652 warrants vested and the cumulative warrants vested as of March 31, 2021 were 1,074,704. No warrants vested during the three months ended March 31, 2020.</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w:t>
      </w:r>
    </w:p>
    <w:p>
      <w:pPr>
        <w:spacing w:after="0" w:line="128"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The accompanying unaudited Condensed Consolidated Financial Statements of Sun Country Airlines Holdings, Inc. should be read in conjunction with the consolidated financial statements contained in the Company’s Annual Report for the year ended December 31, 2020, which is included in the Company’s Final Prospectus dated March 16, 2021. During the three months ended March 31, 2021, there were no significant changes to the Company’s critical accounting policies.</w:t>
      </w:r>
    </w:p>
    <w:p>
      <w:pPr>
        <w:spacing w:after="0" w:line="89"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Certain prior period Stockholders’ Equity amounts were reclassified to conform to the current period presentation. This involved reducing the Common Stock values to $0.01 times the Shares outstanding and reclassifying those dollars to Additional Paid-In Capital. These reclasses were $238,694 as of December 31, 2020 and March 31, 2020. The reclass as of December 31, 2019 was $239,073. Also, historical shares of common stock have been adjusted to reflect the March 2021 approximately 18.8886 for 1 stock split.</w:t>
      </w:r>
    </w:p>
    <w:p>
      <w:pPr>
        <w:spacing w:after="0" w:line="90" w:lineRule="exact"/>
        <w:rPr>
          <w:sz w:val="20"/>
          <w:szCs w:val="20"/>
          <w:color w:val="auto"/>
        </w:rPr>
      </w:pPr>
    </w:p>
    <w:p>
      <w:pPr>
        <w:ind w:left="1160" w:right="1179" w:firstLine="293"/>
        <w:spacing w:after="0" w:line="249" w:lineRule="auto"/>
        <w:rPr>
          <w:sz w:val="20"/>
          <w:szCs w:val="20"/>
          <w:color w:val="auto"/>
        </w:rPr>
      </w:pPr>
      <w:r>
        <w:rPr>
          <w:rFonts w:ascii="Arial" w:cs="Arial" w:eastAsia="Arial" w:hAnsi="Arial"/>
          <w:sz w:val="14"/>
          <w:szCs w:val="14"/>
          <w:color w:val="auto"/>
        </w:rPr>
        <w:t>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impairment of goodwill, impairment of long- lived and intangible assets, air traffic liabilities, the loyalty program, as well as the valuation of Amazon warrants.</w:t>
      </w:r>
    </w:p>
    <w:p>
      <w:pPr>
        <w:spacing w:after="0" w:line="96"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4"/>
          <w:szCs w:val="14"/>
          <w:color w:val="auto"/>
        </w:rPr>
        <w:t>Due to severe impacts from the global coronavirus (“COVID-19”) pandemic, seasonal variations in the demand for air travel, the volatility of aircraft fuel prices and other factors, operating results for the</w:t>
      </w:r>
    </w:p>
    <w:p>
      <w:pPr>
        <w:spacing w:after="0" w:line="1" w:lineRule="exact"/>
        <w:rPr>
          <w:sz w:val="20"/>
          <w:szCs w:val="20"/>
          <w:color w:val="auto"/>
        </w:rPr>
      </w:pPr>
    </w:p>
    <w:p>
      <w:pPr>
        <w:ind w:left="1160" w:right="1219"/>
        <w:spacing w:after="0" w:line="232" w:lineRule="auto"/>
        <w:rPr>
          <w:sz w:val="20"/>
          <w:szCs w:val="20"/>
          <w:color w:val="auto"/>
        </w:rPr>
      </w:pPr>
      <w:r>
        <w:rPr>
          <w:rFonts w:ascii="Arial" w:cs="Arial" w:eastAsia="Arial" w:hAnsi="Arial"/>
          <w:sz w:val="15"/>
          <w:szCs w:val="15"/>
          <w:color w:val="auto"/>
        </w:rPr>
        <w:t>three months ended March 31, 2021 are not necessarily indicative of operating results for future quarters or for the year ended December 31, 2021.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8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operates its fiscal year on a calendar year basis.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u w:val="single" w:color="auto"/>
          <w:color w:val="auto"/>
        </w:rPr>
        <w:t>Recently Adopted Accounting Standards</w:t>
      </w:r>
    </w:p>
    <w:p>
      <w:pPr>
        <w:spacing w:after="0" w:line="128" w:lineRule="exact"/>
        <w:rPr>
          <w:sz w:val="20"/>
          <w:szCs w:val="20"/>
          <w:color w:val="auto"/>
        </w:rPr>
      </w:pPr>
    </w:p>
    <w:p>
      <w:pPr>
        <w:ind w:left="1160" w:right="1219" w:firstLine="293"/>
        <w:spacing w:after="0" w:line="274" w:lineRule="auto"/>
        <w:rPr>
          <w:sz w:val="20"/>
          <w:szCs w:val="20"/>
          <w:color w:val="auto"/>
        </w:rPr>
      </w:pPr>
      <w:r>
        <w:rPr>
          <w:rFonts w:ascii="Arial" w:cs="Arial" w:eastAsia="Arial" w:hAnsi="Arial"/>
          <w:sz w:val="13"/>
          <w:szCs w:val="13"/>
          <w:b w:val="1"/>
          <w:bCs w:val="1"/>
          <w:i w:val="1"/>
          <w:iCs w:val="1"/>
          <w:color w:val="auto"/>
        </w:rPr>
        <w:t xml:space="preserve">Income Taxes—Simplifying the Accounting for Income Taxes— </w:t>
      </w:r>
      <w:r>
        <w:rPr>
          <w:rFonts w:ascii="Arial" w:cs="Arial" w:eastAsia="Arial" w:hAnsi="Arial"/>
          <w:sz w:val="13"/>
          <w:szCs w:val="13"/>
          <w:color w:val="auto"/>
        </w:rPr>
        <w:t>In December 2019, the FASB issued ASU</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it did not have a material impact on the Company’s Condensed Consolidated Financial Statements.</w:t>
      </w:r>
    </w:p>
    <w:p>
      <w:pPr>
        <w:spacing w:after="0" w:line="80" w:lineRule="exact"/>
        <w:rPr>
          <w:sz w:val="20"/>
          <w:szCs w:val="20"/>
          <w:color w:val="auto"/>
        </w:rPr>
      </w:pPr>
    </w:p>
    <w:p>
      <w:pPr>
        <w:ind w:left="1160" w:right="1539" w:firstLine="293"/>
        <w:spacing w:after="0" w:line="323" w:lineRule="auto"/>
        <w:rPr>
          <w:sz w:val="20"/>
          <w:szCs w:val="20"/>
          <w:color w:val="auto"/>
        </w:rPr>
      </w:pPr>
      <w:r>
        <w:rPr>
          <w:rFonts w:ascii="Arial" w:cs="Arial" w:eastAsia="Arial" w:hAnsi="Arial"/>
          <w:sz w:val="13"/>
          <w:szCs w:val="13"/>
          <w:b w:val="1"/>
          <w:bCs w:val="1"/>
          <w:i w:val="1"/>
          <w:iCs w:val="1"/>
          <w:color w:val="auto"/>
        </w:rPr>
        <w:t>Simplifying the Test for Goodwill Impairment—</w:t>
      </w:r>
      <w:r>
        <w:rPr>
          <w:rFonts w:ascii="Arial" w:cs="Arial" w:eastAsia="Arial" w:hAnsi="Arial"/>
          <w:sz w:val="13"/>
          <w:szCs w:val="13"/>
          <w:color w:val="auto"/>
        </w:rPr>
        <w:t>In January 2017, the Financial Accounting Standards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Board (FASB) issued Accounting Standards Update (ASU) 2017-04, </w:t>
      </w:r>
      <w:r>
        <w:rPr>
          <w:rFonts w:ascii="Arial" w:cs="Arial" w:eastAsia="Arial" w:hAnsi="Arial"/>
          <w:sz w:val="13"/>
          <w:szCs w:val="13"/>
          <w:i w:val="1"/>
          <w:iCs w:val="1"/>
          <w:color w:val="auto"/>
        </w:rPr>
        <w:t>Simplifying the Test for Goodwill</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8" w:name="page249"/>
    <w:bookmarkEnd w:id="248"/>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2. BASIS OF PRESENTATION (continued)</w:t>
      </w:r>
    </w:p>
    <w:p>
      <w:pPr>
        <w:spacing w:after="0" w:line="183" w:lineRule="exact"/>
        <w:rPr>
          <w:sz w:val="20"/>
          <w:szCs w:val="20"/>
          <w:color w:val="auto"/>
        </w:rPr>
      </w:pPr>
    </w:p>
    <w:p>
      <w:pPr>
        <w:ind w:left="1160" w:right="1199"/>
        <w:spacing w:after="0" w:line="274" w:lineRule="auto"/>
        <w:rPr>
          <w:sz w:val="20"/>
          <w:szCs w:val="20"/>
          <w:color w:val="auto"/>
        </w:rPr>
      </w:pPr>
      <w:r>
        <w:rPr>
          <w:rFonts w:ascii="Arial" w:cs="Arial" w:eastAsia="Arial" w:hAnsi="Arial"/>
          <w:sz w:val="14"/>
          <w:szCs w:val="14"/>
          <w:i w:val="1"/>
          <w:iCs w:val="1"/>
          <w:color w:val="auto"/>
        </w:rPr>
        <w:t>Impairment</w:t>
      </w:r>
      <w:r>
        <w:rPr>
          <w:rFonts w:ascii="Arial" w:cs="Arial" w:eastAsia="Arial" w:hAnsi="Arial"/>
          <w:sz w:val="14"/>
          <w:szCs w:val="14"/>
          <w:color w:val="auto"/>
        </w:rPr>
        <w:t>. The new standard eliminates Step 2 from the goodwill impairment test. An entity should</w:t>
      </w:r>
      <w:r>
        <w:rPr>
          <w:rFonts w:ascii="Arial" w:cs="Arial" w:eastAsia="Arial" w:hAnsi="Arial"/>
          <w:sz w:val="14"/>
          <w:szCs w:val="14"/>
          <w:i w:val="1"/>
          <w:iCs w:val="1"/>
          <w:color w:val="auto"/>
        </w:rPr>
        <w:t xml:space="preserve"> </w:t>
      </w:r>
      <w:r>
        <w:rPr>
          <w:rFonts w:ascii="Arial" w:cs="Arial" w:eastAsia="Arial" w:hAnsi="Arial"/>
          <w:sz w:val="14"/>
          <w:szCs w:val="14"/>
          <w:color w:val="auto"/>
        </w:rPr>
        <w:t>recognize a goodwill impairment charge for the amount by which the carrying amount exceeds the reporting unit’s fair value. The standard was adopted and applied prospectively by the Company on April 1, 2020, and it did not have an impact on the Company’s Condensed Consolidated Financial Statements.</w:t>
      </w:r>
    </w:p>
    <w:p>
      <w:pPr>
        <w:spacing w:after="0" w:line="89" w:lineRule="exact"/>
        <w:rPr>
          <w:sz w:val="20"/>
          <w:szCs w:val="20"/>
          <w:color w:val="auto"/>
        </w:rPr>
      </w:pPr>
    </w:p>
    <w:p>
      <w:pPr>
        <w:ind w:left="1160" w:right="1239" w:firstLine="293"/>
        <w:spacing w:after="0" w:line="292" w:lineRule="auto"/>
        <w:rPr>
          <w:sz w:val="20"/>
          <w:szCs w:val="20"/>
          <w:color w:val="auto"/>
        </w:rPr>
      </w:pPr>
      <w:r>
        <w:rPr>
          <w:rFonts w:ascii="Arial" w:cs="Arial" w:eastAsia="Arial" w:hAnsi="Arial"/>
          <w:sz w:val="13"/>
          <w:szCs w:val="13"/>
          <w:b w:val="1"/>
          <w:bCs w:val="1"/>
          <w:i w:val="1"/>
          <w:iCs w:val="1"/>
          <w:color w:val="auto"/>
        </w:rPr>
        <w:t>Financial Instruments—Credit Losses—</w:t>
      </w:r>
      <w:r>
        <w:rPr>
          <w:rFonts w:ascii="Arial" w:cs="Arial" w:eastAsia="Arial" w:hAnsi="Arial"/>
          <w:sz w:val="13"/>
          <w:szCs w:val="13"/>
          <w:color w:val="auto"/>
        </w:rPr>
        <w:t>In June 2016, the FASB issued ASU 2016-13,</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Financial</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 xml:space="preserve">Instruments—Credit Losses </w:t>
      </w:r>
      <w:r>
        <w:rPr>
          <w:rFonts w:ascii="Arial" w:cs="Arial" w:eastAsia="Arial" w:hAnsi="Arial"/>
          <w:sz w:val="13"/>
          <w:szCs w:val="13"/>
          <w:color w:val="auto"/>
        </w:rPr>
        <w:t>(Topic 326)</w:t>
      </w:r>
      <w:r>
        <w:rPr>
          <w:rFonts w:ascii="Arial" w:cs="Arial" w:eastAsia="Arial" w:hAnsi="Arial"/>
          <w:sz w:val="13"/>
          <w:szCs w:val="13"/>
          <w:i w:val="1"/>
          <w:iCs w:val="1"/>
          <w:color w:val="auto"/>
        </w:rPr>
        <w:t>: Measurement of Credit Losses on Financial Instruments</w:t>
      </w:r>
      <w:r>
        <w:rPr>
          <w:rFonts w:ascii="Arial" w:cs="Arial" w:eastAsia="Arial" w:hAnsi="Arial"/>
          <w:sz w:val="13"/>
          <w:szCs w:val="13"/>
          <w:color w:val="auto"/>
        </w:rPr>
        <w:t>. The</w:t>
      </w:r>
      <w:r>
        <w:rPr>
          <w:rFonts w:ascii="Arial" w:cs="Arial" w:eastAsia="Arial" w:hAnsi="Arial"/>
          <w:sz w:val="13"/>
          <w:szCs w:val="13"/>
          <w:i w:val="1"/>
          <w:iCs w:val="1"/>
          <w:color w:val="auto"/>
        </w:rPr>
        <w:t xml:space="preserve"> </w:t>
      </w:r>
      <w:r>
        <w:rPr>
          <w:rFonts w:ascii="Arial" w:cs="Arial" w:eastAsia="Arial" w:hAnsi="Arial"/>
          <w:sz w:val="13"/>
          <w:szCs w:val="13"/>
          <w:color w:val="auto"/>
        </w:rPr>
        <w:t>update requires the use of an 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Condensed Consolidated Financial Statements.</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w:t>
      </w:r>
    </w:p>
    <w:p>
      <w:pPr>
        <w:spacing w:after="0" w:line="117" w:lineRule="exact"/>
        <w:rPr>
          <w:sz w:val="20"/>
          <w:szCs w:val="20"/>
          <w:color w:val="auto"/>
        </w:rPr>
      </w:pPr>
    </w:p>
    <w:p>
      <w:pPr>
        <w:ind w:left="1160" w:right="1179" w:firstLine="293"/>
        <w:spacing w:after="0" w:line="265" w:lineRule="auto"/>
        <w:rPr>
          <w:sz w:val="20"/>
          <w:szCs w:val="20"/>
          <w:color w:val="auto"/>
        </w:rPr>
      </w:pPr>
      <w:r>
        <w:rPr>
          <w:rFonts w:ascii="Arial" w:cs="Arial" w:eastAsia="Arial" w:hAnsi="Arial"/>
          <w:sz w:val="14"/>
          <w:szCs w:val="14"/>
          <w:color w:val="auto"/>
        </w:rPr>
        <w:t>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State and local governments may have additional restrictions that adversely impact travel.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dramatic decline in flight bookings and an increase in cancellations beginning in March 2020, as a result of the outbreak. In addition, the federal government has encouraged social distancing efforts and limits on gathering size. Many popular tourist destinations have been closed, or operations are being curtailed, reducing the demand for leisure air travel.</w:t>
      </w:r>
    </w:p>
    <w:p>
      <w:pPr>
        <w:spacing w:after="0" w:line="99" w:lineRule="exact"/>
        <w:rPr>
          <w:sz w:val="20"/>
          <w:szCs w:val="20"/>
          <w:color w:val="auto"/>
        </w:rPr>
      </w:pPr>
    </w:p>
    <w:p>
      <w:pPr>
        <w:ind w:left="1160" w:right="1259" w:firstLine="293"/>
        <w:spacing w:after="0" w:line="251" w:lineRule="auto"/>
        <w:rPr>
          <w:sz w:val="20"/>
          <w:szCs w:val="20"/>
          <w:color w:val="auto"/>
        </w:rPr>
      </w:pPr>
      <w:r>
        <w:rPr>
          <w:rFonts w:ascii="Arial" w:cs="Arial" w:eastAsia="Arial" w:hAnsi="Arial"/>
          <w:sz w:val="15"/>
          <w:szCs w:val="15"/>
          <w:color w:val="auto"/>
        </w:rPr>
        <w:t>The continued distribution of effective vaccines and the easing of travel advisories and restrictions has lead to growing customer confidence and increased demand. There have been fluctuations in the rate of infections during 2021 and the U.S. Food and Drug Administration has issued an emergency use authorization for COVID-19 vaccines.</w:t>
      </w:r>
    </w:p>
    <w:p>
      <w:pPr>
        <w:spacing w:after="0" w:line="102" w:lineRule="exact"/>
        <w:rPr>
          <w:sz w:val="20"/>
          <w:szCs w:val="20"/>
          <w:color w:val="auto"/>
        </w:rPr>
      </w:pPr>
    </w:p>
    <w:p>
      <w:pPr>
        <w:ind w:left="1160" w:right="1199" w:firstLine="293"/>
        <w:spacing w:after="0" w:line="268" w:lineRule="auto"/>
        <w:rPr>
          <w:sz w:val="20"/>
          <w:szCs w:val="20"/>
          <w:color w:val="auto"/>
        </w:rPr>
      </w:pPr>
      <w:r>
        <w:rPr>
          <w:rFonts w:ascii="Arial" w:cs="Arial" w:eastAsia="Arial" w:hAnsi="Arial"/>
          <w:sz w:val="14"/>
          <w:szCs w:val="14"/>
          <w:color w:val="auto"/>
        </w:rPr>
        <w:t>The timing and pace of the recovery from the COVID-19 pandemic are uncertain as certain markets have reopened, some of which have since experienced a resurgence of COVID-19 cases, while others, particularly international markets, remain closed or are enforcing extended quarantines for most U.S. residents.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have restricted non-essential travel for their employees.</w:t>
      </w:r>
    </w:p>
    <w:p>
      <w:pPr>
        <w:spacing w:after="0" w:line="82" w:lineRule="exact"/>
        <w:rPr>
          <w:sz w:val="20"/>
          <w:szCs w:val="20"/>
          <w:color w:val="auto"/>
        </w:rPr>
      </w:pPr>
    </w:p>
    <w:p>
      <w:pPr>
        <w:ind w:left="1160" w:right="1239" w:firstLine="293"/>
        <w:spacing w:after="0" w:line="249" w:lineRule="auto"/>
        <w:rPr>
          <w:sz w:val="20"/>
          <w:szCs w:val="20"/>
          <w:color w:val="auto"/>
        </w:rPr>
      </w:pPr>
      <w:r>
        <w:rPr>
          <w:rFonts w:ascii="Arial" w:cs="Arial" w:eastAsia="Arial" w:hAnsi="Arial"/>
          <w:sz w:val="15"/>
          <w:szCs w:val="15"/>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105" w:lineRule="exact"/>
        <w:rPr>
          <w:sz w:val="20"/>
          <w:szCs w:val="20"/>
          <w:color w:val="auto"/>
        </w:rPr>
      </w:pPr>
    </w:p>
    <w:p>
      <w:pPr>
        <w:ind w:left="1160" w:right="1499" w:firstLine="293"/>
        <w:spacing w:after="0" w:line="281" w:lineRule="auto"/>
        <w:rPr>
          <w:sz w:val="20"/>
          <w:szCs w:val="20"/>
          <w:color w:val="auto"/>
        </w:rPr>
      </w:pPr>
      <w:r>
        <w:rPr>
          <w:rFonts w:ascii="Arial" w:cs="Arial" w:eastAsia="Arial" w:hAnsi="Arial"/>
          <w:sz w:val="14"/>
          <w:szCs w:val="14"/>
          <w:color w:val="auto"/>
        </w:rPr>
        <w:t>As the COVID-19 pandemic continues to evolve, the Company’s financial and operational outlook remains subject to change. Despite the pandemic’s impact on the Company’s passenger segment, the Company has continued to provide air cargo service under the ATSA as planned.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9" w:name="page250"/>
    <w:bookmarkEnd w:id="249"/>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3. IMPACT OF THE COVID-19 PANDEMIC (continued)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Coronavirus Aid, Relief, and Economic Security Act (“CARES Act”)</w:t>
      </w:r>
    </w:p>
    <w:p>
      <w:pPr>
        <w:spacing w:after="0" w:line="128" w:lineRule="exact"/>
        <w:rPr>
          <w:sz w:val="20"/>
          <w:szCs w:val="20"/>
          <w:color w:val="auto"/>
        </w:rPr>
      </w:pPr>
    </w:p>
    <w:p>
      <w:pPr>
        <w:ind w:left="1160" w:right="1279" w:firstLine="293"/>
        <w:spacing w:after="0" w:line="249" w:lineRule="auto"/>
        <w:rPr>
          <w:sz w:val="20"/>
          <w:szCs w:val="20"/>
          <w:color w:val="auto"/>
        </w:rPr>
      </w:pPr>
      <w:r>
        <w:rPr>
          <w:rFonts w:ascii="Arial" w:cs="Arial" w:eastAsia="Arial" w:hAnsi="Arial"/>
          <w:sz w:val="15"/>
          <w:szCs w:val="15"/>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and has received certain benefits outlined in the CARES Act including but not limited to payroll tax breaks, government grants and government loans.</w:t>
      </w:r>
    </w:p>
    <w:p>
      <w:pPr>
        <w:spacing w:after="0" w:line="94" w:lineRule="exact"/>
        <w:rPr>
          <w:sz w:val="20"/>
          <w:szCs w:val="20"/>
          <w:color w:val="auto"/>
        </w:rPr>
      </w:pPr>
    </w:p>
    <w:p>
      <w:pPr>
        <w:ind w:left="1160" w:right="1379" w:firstLine="293"/>
        <w:spacing w:after="0" w:line="271" w:lineRule="auto"/>
        <w:rPr>
          <w:sz w:val="20"/>
          <w:szCs w:val="20"/>
          <w:color w:val="auto"/>
        </w:rPr>
      </w:pPr>
      <w:r>
        <w:rPr>
          <w:rFonts w:ascii="Arial" w:cs="Arial" w:eastAsia="Arial" w:hAnsi="Arial"/>
          <w:sz w:val="14"/>
          <w:szCs w:val="14"/>
          <w:color w:val="auto"/>
        </w:rPr>
        <w:t>The grant amount recognized under the CARES Act Payroll Support Program for the year ended December 31, 2020 was $62,312 and was recorded in Special Items, net. During the first quarter of 2021, the Company received and recognized as income $32,208 from the Treasury under the Payroll Support Program Extension (“PSP2”). Subsequent to the first quarter of 2021, on April 22, 2021, the Company received an additional $4,831 from the Treasury as a top-off grant under PSP2.</w:t>
      </w:r>
    </w:p>
    <w:p>
      <w:pPr>
        <w:spacing w:after="0" w:line="91" w:lineRule="exact"/>
        <w:rPr>
          <w:sz w:val="20"/>
          <w:szCs w:val="20"/>
          <w:color w:val="auto"/>
        </w:rPr>
      </w:pPr>
    </w:p>
    <w:p>
      <w:pPr>
        <w:jc w:val="both"/>
        <w:ind w:left="1160" w:right="1299" w:firstLine="293"/>
        <w:spacing w:after="0" w:line="251" w:lineRule="auto"/>
        <w:rPr>
          <w:sz w:val="20"/>
          <w:szCs w:val="20"/>
          <w:color w:val="auto"/>
        </w:rPr>
      </w:pPr>
      <w:r>
        <w:rPr>
          <w:rFonts w:ascii="Arial" w:cs="Arial" w:eastAsia="Arial" w:hAnsi="Arial"/>
          <w:sz w:val="15"/>
          <w:szCs w:val="15"/>
          <w:color w:val="auto"/>
        </w:rPr>
        <w:t>The CARES Act provides an employee retention credit (“CARES Employee Retention Credit”) which is a refundable tax credit against certain employment taxes. During the year ended December 31, 2020, the Company recorded $2,328 related to the CARES Employee Retention Credit within Special Items, net and an additional $334 was recognized in the first quarter of 2021.</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Under the CARES Act Loan Program, the Company received a $45,000 loan (the “CARES Act Loan”)</w:t>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from the Treasury on October 26, 2020, which was repaid in full on March 24, 2021.</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Further, the Company was notified on April 15, 2021 that it will receive a grant of approximately</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$34,547 under the American Rescue Plan Act of 2021 (“PSP3”) enacted on March 11, 2021, in which the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Treasury is authorized to provide additional assistance to passenger air carriers and contractors that received</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financial assistance under the CARES Act. Of this grant amount, $17,274 was received on April 29, 2021.</w:t>
      </w:r>
    </w:p>
    <w:p>
      <w:pPr>
        <w:spacing w:after="0" w:line="125" w:lineRule="exact"/>
        <w:rPr>
          <w:sz w:val="20"/>
          <w:szCs w:val="20"/>
          <w:color w:val="auto"/>
        </w:rPr>
      </w:pPr>
    </w:p>
    <w:p>
      <w:pPr>
        <w:ind w:left="1160" w:right="1219" w:firstLine="293"/>
        <w:spacing w:after="0" w:line="266" w:lineRule="auto"/>
        <w:rPr>
          <w:sz w:val="20"/>
          <w:szCs w:val="20"/>
          <w:color w:val="auto"/>
        </w:rPr>
      </w:pPr>
      <w:r>
        <w:rPr>
          <w:rFonts w:ascii="Arial" w:cs="Arial" w:eastAsia="Arial" w:hAnsi="Arial"/>
          <w:sz w:val="14"/>
          <w:szCs w:val="14"/>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which was extended to September 30, 2022 under PSP3; and restrictions on the payment of certain executive compensation until the October 1, 2022, which was extended to April 1, 2023 under PSP3.</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w:t>
      </w:r>
    </w:p>
    <w:p>
      <w:pPr>
        <w:spacing w:after="0" w:line="128" w:lineRule="exact"/>
        <w:rPr>
          <w:sz w:val="20"/>
          <w:szCs w:val="20"/>
          <w:color w:val="auto"/>
        </w:rPr>
      </w:pPr>
    </w:p>
    <w:p>
      <w:pPr>
        <w:ind w:left="1160" w:right="1239" w:firstLine="293"/>
        <w:spacing w:after="0" w:line="268" w:lineRule="auto"/>
        <w:rPr>
          <w:sz w:val="20"/>
          <w:szCs w:val="20"/>
          <w:color w:val="auto"/>
        </w:rPr>
      </w:pPr>
      <w:r>
        <w:rPr>
          <w:rFonts w:ascii="Arial" w:cs="Arial" w:eastAsia="Arial" w:hAnsi="Arial"/>
          <w:sz w:val="14"/>
          <w:szCs w:val="14"/>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ATSA. Other revenue consists primarily of revenue from services in connection with Sun Country Vacation products.</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0" w:name="page251"/>
    <w:bookmarkEnd w:id="250"/>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significant categories comprising Operating Revenues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w w:val="87"/>
              </w:rPr>
              <w:t>Three Months Ended March 31,</w:t>
            </w:r>
          </w:p>
        </w:tc>
      </w:tr>
      <w:tr>
        <w:trPr>
          <w:trHeight w:val="21"/>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7"/>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89"/>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r>
      <w:tr>
        <w:trPr>
          <w:trHeight w:val="21"/>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Scheduled service</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54,620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$114,228</w:t>
            </w:r>
          </w:p>
        </w:tc>
      </w:tr>
      <w:tr>
        <w:trPr>
          <w:trHeight w:val="209"/>
        </w:trPr>
        <w:tc>
          <w:tcPr>
            <w:tcW w:w="4900" w:type="dxa"/>
            <w:vAlign w:val="bottom"/>
          </w:tcPr>
          <w:p>
            <w:pPr>
              <w:spacing w:after="0"/>
              <w:rPr>
                <w:sz w:val="20"/>
                <w:szCs w:val="20"/>
                <w:color w:val="auto"/>
              </w:rPr>
            </w:pPr>
            <w:r>
              <w:rPr>
                <w:rFonts w:ascii="Arial" w:cs="Arial" w:eastAsia="Arial" w:hAnsi="Arial"/>
                <w:sz w:val="15"/>
                <w:szCs w:val="15"/>
                <w:color w:val="auto"/>
              </w:rPr>
              <w:t>Charter service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25,805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29,227</w:t>
            </w:r>
          </w:p>
        </w:tc>
      </w:tr>
      <w:tr>
        <w:trPr>
          <w:trHeight w:val="214"/>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Ancillary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35,031</w:t>
            </w: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5"/>
        </w:trPr>
        <w:tc>
          <w:tcPr>
            <w:tcW w:w="4900" w:type="dxa"/>
            <w:vAlign w:val="bottom"/>
          </w:tcPr>
          <w:p>
            <w:pPr>
              <w:ind w:left="160"/>
              <w:spacing w:after="0"/>
              <w:rPr>
                <w:sz w:val="20"/>
                <w:szCs w:val="20"/>
                <w:color w:val="auto"/>
              </w:rPr>
            </w:pPr>
            <w:r>
              <w:rPr>
                <w:rFonts w:ascii="Arial" w:cs="Arial" w:eastAsia="Arial" w:hAnsi="Arial"/>
                <w:sz w:val="15"/>
                <w:szCs w:val="15"/>
                <w:color w:val="auto"/>
              </w:rPr>
              <w:t>Passenger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104,195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178,486</w:t>
            </w: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Cargo</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21,585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14"/>
        </w:trPr>
        <w:tc>
          <w:tcPr>
            <w:tcW w:w="4900" w:type="dxa"/>
            <w:vAlign w:val="bottom"/>
          </w:tcPr>
          <w:p>
            <w:pPr>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1,844</w:t>
            </w:r>
          </w:p>
        </w:tc>
      </w:tr>
      <w:tr>
        <w:trPr>
          <w:trHeight w:val="20"/>
        </w:trPr>
        <w:tc>
          <w:tcPr>
            <w:tcW w:w="4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6"/>
        </w:trPr>
        <w:tc>
          <w:tcPr>
            <w:tcW w:w="4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Operating Revenue</w:t>
            </w:r>
          </w:p>
        </w:tc>
        <w:tc>
          <w:tcPr>
            <w:tcW w:w="260" w:type="dxa"/>
            <w:vAlign w:val="bottom"/>
            <w:gridSpan w:val="2"/>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127,611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$180,330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-996950</wp:posOffset>
            </wp:positionV>
            <wp:extent cx="3788410" cy="69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788410" cy="6985"/>
                    </a:xfrm>
                    <a:prstGeom prst="rect">
                      <a:avLst/>
                    </a:prstGeom>
                    <a:noFill/>
                  </pic:spPr>
                </pic:pic>
              </a:graphicData>
            </a:graphic>
          </wp:anchor>
        </w:drawing>
      </w:r>
    </w:p>
    <w:p>
      <w:pPr>
        <w:spacing w:after="0" w:line="178" w:lineRule="exact"/>
        <w:rPr>
          <w:sz w:val="20"/>
          <w:szCs w:val="20"/>
          <w:color w:val="auto"/>
        </w:rPr>
      </w:pPr>
    </w:p>
    <w:p>
      <w:pPr>
        <w:ind w:left="1160" w:right="1279" w:firstLine="293"/>
        <w:spacing w:after="0" w:line="254" w:lineRule="auto"/>
        <w:rPr>
          <w:sz w:val="20"/>
          <w:szCs w:val="20"/>
          <w:color w:val="auto"/>
        </w:rPr>
      </w:pPr>
      <w:r>
        <w:rPr>
          <w:rFonts w:ascii="Arial" w:cs="Arial" w:eastAsia="Arial" w:hAnsi="Arial"/>
          <w:sz w:val="15"/>
          <w:szCs w:val="15"/>
          <w:color w:val="auto"/>
        </w:rPr>
        <w:t>The Company attributes and measures its Operating Revenue by geographic region as defined by the Department of Transportation for airline reporting based upon the origin of each passenger and cargo flight segment.</w:t>
      </w:r>
    </w:p>
    <w:p>
      <w:pPr>
        <w:spacing w:after="0" w:line="101" w:lineRule="exact"/>
        <w:rPr>
          <w:sz w:val="20"/>
          <w:szCs w:val="20"/>
          <w:color w:val="auto"/>
        </w:rPr>
      </w:pPr>
    </w:p>
    <w:p>
      <w:pPr>
        <w:ind w:left="1160" w:right="1179" w:firstLine="293"/>
        <w:spacing w:after="0" w:line="254" w:lineRule="auto"/>
        <w:rPr>
          <w:sz w:val="20"/>
          <w:szCs w:val="20"/>
          <w:color w:val="auto"/>
        </w:rPr>
      </w:pPr>
      <w:r>
        <w:rPr>
          <w:rFonts w:ascii="Arial" w:cs="Arial" w:eastAsia="Arial" w:hAnsi="Arial"/>
          <w:sz w:val="15"/>
          <w:szCs w:val="15"/>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0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Total Operating Revenue by geographic region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7"/>
          </w:tcPr>
          <w:p>
            <w:pPr>
              <w:ind w:left="20"/>
              <w:spacing w:after="0"/>
              <w:rPr>
                <w:sz w:val="20"/>
                <w:szCs w:val="20"/>
                <w:color w:val="auto"/>
              </w:rPr>
            </w:pPr>
            <w:r>
              <w:rPr>
                <w:rFonts w:ascii="Arial" w:cs="Arial" w:eastAsia="Arial" w:hAnsi="Arial"/>
                <w:sz w:val="12"/>
                <w:szCs w:val="12"/>
                <w:b w:val="1"/>
                <w:bCs w:val="1"/>
                <w:color w:val="auto"/>
                <w:w w:val="86"/>
              </w:rPr>
              <w:t>Three Months Ended March 31,</w:t>
            </w:r>
          </w:p>
        </w:tc>
      </w:tr>
      <w:tr>
        <w:trPr>
          <w:trHeight w:val="21"/>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7"/>
        </w:trPr>
        <w:tc>
          <w:tcPr>
            <w:tcW w:w="4920" w:type="dxa"/>
            <w:vAlign w:val="bottom"/>
          </w:tcPr>
          <w:p>
            <w:pPr>
              <w:spacing w:after="0"/>
              <w:rPr>
                <w:sz w:val="13"/>
                <w:szCs w:val="13"/>
                <w:color w:val="auto"/>
              </w:rPr>
            </w:pPr>
          </w:p>
        </w:tc>
        <w:tc>
          <w:tcPr>
            <w:tcW w:w="800" w:type="dxa"/>
            <w:vAlign w:val="bottom"/>
            <w:gridSpan w:val="3"/>
          </w:tcPr>
          <w:p>
            <w:pPr>
              <w:jc w:val="right"/>
              <w:ind w:right="87"/>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00"/>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Domestic</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$119,312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$163,038</w:t>
            </w:r>
          </w:p>
        </w:tc>
        <w:tc>
          <w:tcPr>
            <w:tcW w:w="80" w:type="dxa"/>
            <w:vAlign w:val="bottom"/>
            <w:shd w:val="clear" w:color="auto" w:fill="CCEEFF"/>
          </w:tcPr>
          <w:p>
            <w:pPr>
              <w:spacing w:after="0"/>
              <w:rPr>
                <w:sz w:val="17"/>
                <w:szCs w:val="17"/>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5"/>
                <w:szCs w:val="15"/>
                <w:color w:val="auto"/>
              </w:rPr>
              <w:t>Latin America</w:t>
            </w:r>
          </w:p>
        </w:tc>
        <w:tc>
          <w:tcPr>
            <w:tcW w:w="880" w:type="dxa"/>
            <w:vAlign w:val="bottom"/>
            <w:gridSpan w:val="4"/>
          </w:tcPr>
          <w:p>
            <w:pPr>
              <w:jc w:val="right"/>
              <w:ind w:right="80"/>
              <w:spacing w:after="0"/>
              <w:rPr>
                <w:sz w:val="20"/>
                <w:szCs w:val="20"/>
                <w:color w:val="auto"/>
              </w:rPr>
            </w:pPr>
            <w:r>
              <w:rPr>
                <w:rFonts w:ascii="Arial" w:cs="Arial" w:eastAsia="Arial" w:hAnsi="Arial"/>
                <w:sz w:val="15"/>
                <w:szCs w:val="15"/>
                <w:color w:val="auto"/>
              </w:rPr>
              <w:t>7,877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5"/>
                <w:szCs w:val="15"/>
                <w:color w:val="auto"/>
              </w:rPr>
              <w:t>17,076</w:t>
            </w:r>
          </w:p>
        </w:tc>
      </w:tr>
      <w:tr>
        <w:trPr>
          <w:trHeight w:val="21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6"/>
        </w:trPr>
        <w:tc>
          <w:tcPr>
            <w:tcW w:w="4920" w:type="dxa"/>
            <w:vAlign w:val="bottom"/>
          </w:tcPr>
          <w:p>
            <w:pPr>
              <w:ind w:left="160"/>
              <w:spacing w:after="0"/>
              <w:rPr>
                <w:sz w:val="20"/>
                <w:szCs w:val="20"/>
                <w:color w:val="auto"/>
              </w:rPr>
            </w:pPr>
            <w:r>
              <w:rPr>
                <w:rFonts w:ascii="Arial" w:cs="Arial" w:eastAsia="Arial" w:hAnsi="Arial"/>
                <w:sz w:val="15"/>
                <w:szCs w:val="15"/>
                <w:color w:val="auto"/>
              </w:rPr>
              <w:t>Total Operating Revenue</w:t>
            </w:r>
          </w:p>
        </w:tc>
        <w:tc>
          <w:tcPr>
            <w:tcW w:w="880" w:type="dxa"/>
            <w:vAlign w:val="bottom"/>
            <w:gridSpan w:val="4"/>
          </w:tcPr>
          <w:p>
            <w:pPr>
              <w:jc w:val="right"/>
              <w:ind w:right="80"/>
              <w:spacing w:after="0"/>
              <w:rPr>
                <w:sz w:val="20"/>
                <w:szCs w:val="20"/>
                <w:color w:val="auto"/>
              </w:rPr>
            </w:pPr>
            <w:r>
              <w:rPr>
                <w:rFonts w:ascii="Arial" w:cs="Arial" w:eastAsia="Arial" w:hAnsi="Arial"/>
                <w:sz w:val="15"/>
                <w:szCs w:val="15"/>
                <w:color w:val="auto"/>
              </w:rPr>
              <w:t>$127,611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86"/>
              </w:rPr>
              <w:t>$180,330</w:t>
            </w:r>
          </w:p>
        </w:tc>
        <w:tc>
          <w:tcPr>
            <w:tcW w:w="8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3788410" cy="69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788410" cy="6985"/>
                    </a:xfrm>
                    <a:prstGeom prst="rect">
                      <a:avLst/>
                    </a:prstGeom>
                    <a:noFill/>
                  </pic:spPr>
                </pic:pic>
              </a:graphicData>
            </a:graphic>
          </wp:anchor>
        </w:drawing>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Contract Balances</w:t>
      </w:r>
    </w:p>
    <w:p>
      <w:pPr>
        <w:spacing w:after="0" w:line="128" w:lineRule="exact"/>
        <w:rPr>
          <w:sz w:val="20"/>
          <w:szCs w:val="20"/>
          <w:color w:val="auto"/>
        </w:rPr>
      </w:pPr>
    </w:p>
    <w:p>
      <w:pPr>
        <w:ind w:left="1160" w:right="1399" w:firstLine="293"/>
        <w:spacing w:after="0" w:line="271" w:lineRule="auto"/>
        <w:rPr>
          <w:sz w:val="20"/>
          <w:szCs w:val="20"/>
          <w:color w:val="auto"/>
        </w:rPr>
      </w:pPr>
      <w:r>
        <w:rPr>
          <w:rFonts w:ascii="Arial" w:cs="Arial" w:eastAsia="Arial" w:hAnsi="Arial"/>
          <w:sz w:val="14"/>
          <w:szCs w:val="14"/>
          <w:color w:val="auto"/>
        </w:rPr>
        <w:t>The Company’s contract assets primarily relate to costs incurred to get the 12 Amazon cargo aircraft ready for service. The balances are included in Other Current Assets and Other Assets on the Condensed Consolidated Balance Sheets. The amount expensed during the three months ended March 31, 2021 was $138 and is included in Maintenance expense. There was nothing expensed in the three months ended March 31, 2020, since the Amazon cargo services had not started yet.</w:t>
      </w:r>
    </w:p>
    <w:p>
      <w:pPr>
        <w:spacing w:after="0" w:line="91" w:lineRule="exact"/>
        <w:rPr>
          <w:sz w:val="20"/>
          <w:szCs w:val="20"/>
          <w:color w:val="auto"/>
        </w:rPr>
      </w:pPr>
    </w:p>
    <w:p>
      <w:pPr>
        <w:ind w:left="1160" w:right="1199" w:firstLine="293"/>
        <w:spacing w:after="0" w:line="248" w:lineRule="auto"/>
        <w:rPr>
          <w:sz w:val="20"/>
          <w:szCs w:val="20"/>
          <w:color w:val="auto"/>
        </w:rPr>
      </w:pPr>
      <w:r>
        <w:rPr>
          <w:rFonts w:ascii="Arial" w:cs="Arial" w:eastAsia="Arial" w:hAnsi="Arial"/>
          <w:sz w:val="15"/>
          <w:szCs w:val="15"/>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Amazon Deferred Up-front Payment received (reported within Other Liabilities on the Condensed Consolidated Balance Sheets).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1" w:name="page252"/>
    <w:bookmarkEnd w:id="251"/>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Contract Assets and Liabilities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5"/>
          </w:tcPr>
          <w:p>
            <w:pPr>
              <w:ind w:left="20"/>
              <w:spacing w:after="0"/>
              <w:rPr>
                <w:sz w:val="20"/>
                <w:szCs w:val="20"/>
                <w:color w:val="auto"/>
              </w:rPr>
            </w:pPr>
            <w:r>
              <w:rPr>
                <w:rFonts w:ascii="Arial" w:cs="Arial" w:eastAsia="Arial" w:hAnsi="Arial"/>
                <w:sz w:val="12"/>
                <w:szCs w:val="12"/>
                <w:b w:val="1"/>
                <w:bCs w:val="1"/>
                <w:color w:val="auto"/>
              </w:rPr>
              <w:t>March 31, 2021</w:t>
            </w:r>
          </w:p>
        </w:tc>
        <w:tc>
          <w:tcPr>
            <w:tcW w:w="960" w:type="dxa"/>
            <w:vAlign w:val="bottom"/>
            <w:gridSpan w:val="4"/>
          </w:tcPr>
          <w:p>
            <w:pPr>
              <w:ind w:left="4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Contract 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0"/>
        </w:trPr>
        <w:tc>
          <w:tcPr>
            <w:tcW w:w="4600" w:type="dxa"/>
            <w:vAlign w:val="bottom"/>
          </w:tcPr>
          <w:p>
            <w:pPr>
              <w:spacing w:after="0"/>
              <w:rPr>
                <w:sz w:val="20"/>
                <w:szCs w:val="20"/>
                <w:color w:val="auto"/>
              </w:rPr>
            </w:pPr>
            <w:r>
              <w:rPr>
                <w:rFonts w:ascii="Arial" w:cs="Arial" w:eastAsia="Arial" w:hAnsi="Arial"/>
                <w:sz w:val="15"/>
                <w:szCs w:val="15"/>
                <w:color w:val="auto"/>
              </w:rPr>
              <w:t>Costs to fulfill contract with Amazon</w:t>
            </w:r>
          </w:p>
        </w:tc>
        <w:tc>
          <w:tcPr>
            <w:tcW w:w="3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3,312</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3,614</w:t>
            </w:r>
          </w:p>
        </w:tc>
        <w:tc>
          <w:tcPr>
            <w:tcW w:w="200" w:type="dxa"/>
            <w:vAlign w:val="bottom"/>
          </w:tcPr>
          <w:p>
            <w:pPr>
              <w:spacing w:after="0"/>
              <w:rPr>
                <w:sz w:val="19"/>
                <w:szCs w:val="19"/>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2"/>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Air Traffic Liabilities</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94,733</w:t>
            </w:r>
          </w:p>
        </w:tc>
        <w:tc>
          <w:tcPr>
            <w:tcW w:w="1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101,075</w:t>
            </w:r>
          </w:p>
        </w:tc>
        <w:tc>
          <w:tcPr>
            <w:tcW w:w="200" w:type="dxa"/>
            <w:vAlign w:val="bottom"/>
            <w:shd w:val="clear" w:color="auto" w:fill="CCEEFF"/>
          </w:tcPr>
          <w:p>
            <w:pPr>
              <w:spacing w:after="0"/>
              <w:rPr>
                <w:sz w:val="15"/>
                <w:szCs w:val="15"/>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Loyalty Program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20,774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22,068</w:t>
            </w:r>
          </w:p>
        </w:tc>
        <w:tc>
          <w:tcPr>
            <w:tcW w:w="200" w:type="dxa"/>
            <w:vAlign w:val="bottom"/>
          </w:tcPr>
          <w:p>
            <w:pPr>
              <w:spacing w:after="0"/>
              <w:rPr>
                <w:sz w:val="18"/>
                <w:szCs w:val="18"/>
                <w:color w:val="auto"/>
              </w:rPr>
            </w:pPr>
          </w:p>
        </w:tc>
      </w:tr>
      <w:tr>
        <w:trPr>
          <w:trHeight w:val="214"/>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Amazon Deferred Start-up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5,240</w:t>
            </w:r>
          </w:p>
        </w:tc>
        <w:tc>
          <w:tcPr>
            <w:tcW w:w="200" w:type="dxa"/>
            <w:vAlign w:val="bottom"/>
            <w:shd w:val="clear" w:color="auto" w:fill="CCEEFF"/>
          </w:tcPr>
          <w:p>
            <w:pPr>
              <w:spacing w:after="0"/>
              <w:rPr>
                <w:sz w:val="18"/>
                <w:szCs w:val="18"/>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5"/>
                <w:szCs w:val="15"/>
                <w:color w:val="auto"/>
              </w:rPr>
              <w:t>Total Contract Liabilities</w:t>
            </w:r>
          </w:p>
        </w:tc>
        <w:tc>
          <w:tcPr>
            <w:tcW w:w="2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w w:val="84"/>
              </w:rPr>
              <w:t>120,517</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128,383</w:t>
            </w:r>
          </w:p>
        </w:tc>
        <w:tc>
          <w:tcPr>
            <w:tcW w:w="2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-878205</wp:posOffset>
            </wp:positionV>
            <wp:extent cx="3634740" cy="69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67" w:lineRule="exact"/>
        <w:rPr>
          <w:sz w:val="20"/>
          <w:szCs w:val="20"/>
          <w:color w:val="auto"/>
        </w:rPr>
      </w:pPr>
    </w:p>
    <w:p>
      <w:pPr>
        <w:ind w:left="1160" w:right="1379" w:firstLine="293"/>
        <w:spacing w:after="0" w:line="249" w:lineRule="auto"/>
        <w:rPr>
          <w:sz w:val="20"/>
          <w:szCs w:val="20"/>
          <w:color w:val="auto"/>
        </w:rPr>
      </w:pPr>
      <w:r>
        <w:rPr>
          <w:rFonts w:ascii="Arial" w:cs="Arial" w:eastAsia="Arial" w:hAnsi="Arial"/>
          <w:sz w:val="15"/>
          <w:szCs w:val="15"/>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period ended March 31, 2021, $60,039 of revenue was recognized in Passenger revenue that was included in the Air Traffic Liabilities as of December 31, 2020.</w:t>
      </w:r>
    </w:p>
    <w:p>
      <w:pPr>
        <w:spacing w:after="0" w:line="105"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is being amortized into revenue on a pro-rata basis over the initial six years of the ATSA. For the three months ended March 31, 2021, $231 was amortized into Cargo revenue. Nothing was amortized for the three months ended March 31, 2020 as services did not begin until the second quarter of 2020.</w:t>
      </w:r>
    </w:p>
    <w:p>
      <w:pPr>
        <w:spacing w:after="0" w:line="160"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Loyalty Program</w:t>
      </w:r>
    </w:p>
    <w:p>
      <w:pPr>
        <w:spacing w:after="0" w:line="117" w:lineRule="exact"/>
        <w:rPr>
          <w:sz w:val="20"/>
          <w:szCs w:val="20"/>
          <w:color w:val="auto"/>
        </w:rPr>
      </w:pPr>
    </w:p>
    <w:p>
      <w:pPr>
        <w:ind w:left="1160" w:right="1199" w:firstLine="293"/>
        <w:spacing w:after="0" w:line="297" w:lineRule="auto"/>
        <w:rPr>
          <w:sz w:val="20"/>
          <w:szCs w:val="20"/>
          <w:color w:val="auto"/>
        </w:rPr>
      </w:pPr>
      <w:r>
        <w:rPr>
          <w:rFonts w:ascii="Arial" w:cs="Arial" w:eastAsia="Arial" w:hAnsi="Arial"/>
          <w:sz w:val="13"/>
          <w:szCs w:val="13"/>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the Loyalty Program Liabilities are as follows:</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7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70"/>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5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3"/>
                <w:szCs w:val="13"/>
                <w:color w:val="auto"/>
              </w:rPr>
            </w:pP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55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4"/>
              </w:rPr>
              <w:t>$22,069</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$22,892</w:t>
            </w:r>
          </w:p>
        </w:tc>
        <w:tc>
          <w:tcPr>
            <w:tcW w:w="60" w:type="dxa"/>
            <w:vAlign w:val="bottom"/>
          </w:tcPr>
          <w:p>
            <w:pPr>
              <w:spacing w:after="0"/>
              <w:rPr>
                <w:sz w:val="17"/>
                <w:szCs w:val="17"/>
                <w:color w:val="auto"/>
              </w:rPr>
            </w:pPr>
          </w:p>
        </w:tc>
      </w:tr>
      <w:tr>
        <w:trPr>
          <w:trHeight w:val="209"/>
        </w:trPr>
        <w:tc>
          <w:tcPr>
            <w:tcW w:w="5540" w:type="dxa"/>
            <w:vAlign w:val="bottom"/>
            <w:gridSpan w:val="3"/>
          </w:tcPr>
          <w:p>
            <w:pPr>
              <w:spacing w:after="0"/>
              <w:rPr>
                <w:sz w:val="20"/>
                <w:szCs w:val="20"/>
                <w:color w:val="auto"/>
              </w:rPr>
            </w:pPr>
            <w:r>
              <w:rPr>
                <w:rFonts w:ascii="Arial" w:cs="Arial" w:eastAsia="Arial" w:hAnsi="Arial"/>
                <w:sz w:val="15"/>
                <w:szCs w:val="15"/>
                <w:color w:val="auto"/>
              </w:rPr>
              <w:t>Loyalty Points Earned</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857</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1,635</w:t>
            </w:r>
          </w:p>
        </w:tc>
        <w:tc>
          <w:tcPr>
            <w:tcW w:w="60" w:type="dxa"/>
            <w:vAlign w:val="bottom"/>
          </w:tcPr>
          <w:p>
            <w:pPr>
              <w:spacing w:after="0"/>
              <w:rPr>
                <w:sz w:val="18"/>
                <w:szCs w:val="18"/>
                <w:color w:val="auto"/>
              </w:rPr>
            </w:pPr>
          </w:p>
        </w:tc>
      </w:tr>
      <w:tr>
        <w:trPr>
          <w:trHeight w:val="231"/>
        </w:trPr>
        <w:tc>
          <w:tcPr>
            <w:tcW w:w="5520" w:type="dxa"/>
            <w:vAlign w:val="bottom"/>
            <w:gridSpan w:val="2"/>
            <w:shd w:val="clear" w:color="auto" w:fill="CCEEFF"/>
          </w:tcPr>
          <w:p>
            <w:pPr>
              <w:spacing w:after="0" w:line="231" w:lineRule="exact"/>
              <w:rPr>
                <w:sz w:val="20"/>
                <w:szCs w:val="20"/>
                <w:color w:val="auto"/>
              </w:rPr>
            </w:pPr>
            <w:r>
              <w:rPr>
                <w:rFonts w:ascii="Arial" w:cs="Arial" w:eastAsia="Arial" w:hAnsi="Arial"/>
                <w:sz w:val="15"/>
                <w:szCs w:val="15"/>
                <w:color w:val="auto"/>
              </w:rPr>
              <w:t>Loyalty Points Redeemed</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(2,152)</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(2,206)</w:t>
            </w:r>
          </w:p>
        </w:tc>
        <w:tc>
          <w:tcPr>
            <w:tcW w:w="60" w:type="dxa"/>
            <w:vAlign w:val="bottom"/>
          </w:tcPr>
          <w:p>
            <w:pPr>
              <w:spacing w:after="0"/>
              <w:rPr>
                <w:sz w:val="20"/>
                <w:szCs w:val="20"/>
                <w:color w:val="auto"/>
              </w:rPr>
            </w:pPr>
          </w:p>
        </w:tc>
      </w:tr>
      <w:tr>
        <w:trPr>
          <w:trHeight w:val="211"/>
        </w:trPr>
        <w:tc>
          <w:tcPr>
            <w:tcW w:w="5540" w:type="dxa"/>
            <w:vAlign w:val="bottom"/>
            <w:tcBorders>
              <w:top w:val="single" w:sz="8" w:color="CCEEFF"/>
            </w:tcBorders>
            <w:gridSpan w:val="3"/>
          </w:tcPr>
          <w:p>
            <w:pPr>
              <w:spacing w:after="0"/>
              <w:rPr>
                <w:sz w:val="20"/>
                <w:szCs w:val="20"/>
                <w:color w:val="auto"/>
              </w:rPr>
            </w:pPr>
            <w:r>
              <w:rPr>
                <w:rFonts w:ascii="Arial" w:cs="Arial" w:eastAsia="Arial" w:hAnsi="Arial"/>
                <w:sz w:val="15"/>
                <w:szCs w:val="15"/>
                <w:color w:val="auto"/>
              </w:rPr>
              <w:t>Balance—March 31</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4"/>
              </w:rPr>
              <w:t>$20,774</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4"/>
              </w:rPr>
              <w:t>$22,321</w:t>
            </w:r>
          </w:p>
        </w:tc>
        <w:tc>
          <w:tcPr>
            <w:tcW w:w="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-662305</wp:posOffset>
            </wp:positionV>
            <wp:extent cx="3927475"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927475" cy="6985"/>
                    </a:xfrm>
                    <a:prstGeom prst="rect">
                      <a:avLst/>
                    </a:prstGeom>
                    <a:noFill/>
                  </pic:spPr>
                </pic:pic>
              </a:graphicData>
            </a:graphic>
          </wp:anchor>
        </w:drawing>
      </w:r>
    </w:p>
    <w:p>
      <w:pPr>
        <w:spacing w:after="0" w:line="68" w:lineRule="exact"/>
        <w:rPr>
          <w:sz w:val="20"/>
          <w:szCs w:val="20"/>
          <w:color w:val="auto"/>
        </w:rPr>
      </w:pPr>
    </w:p>
    <w:p>
      <w:pPr>
        <w:ind w:left="1460" w:right="1199" w:hanging="296"/>
        <w:spacing w:after="0" w:line="241" w:lineRule="auto"/>
        <w:tabs>
          <w:tab w:leader="none" w:pos="1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Principally relates to revenue recognized from the redemption of loyalty points for both air and non-air travel awards. Loyalty points are combined in one homogenous pool and are not separately identifiable. As such, the revenue is comprised of points that were part of the loyalty program deferred revenue balance at the beginning of the period, as well as points that were earned during the period.</w:t>
      </w:r>
    </w:p>
    <w:p>
      <w:pPr>
        <w:spacing w:after="0" w:line="89" w:lineRule="exact"/>
        <w:rPr>
          <w:sz w:val="20"/>
          <w:szCs w:val="20"/>
          <w:color w:val="auto"/>
        </w:rPr>
      </w:pPr>
    </w:p>
    <w:p>
      <w:pPr>
        <w:ind w:left="1160" w:right="1319" w:firstLine="293"/>
        <w:spacing w:after="0" w:line="300" w:lineRule="auto"/>
        <w:rPr>
          <w:sz w:val="20"/>
          <w:szCs w:val="20"/>
          <w:color w:val="auto"/>
        </w:rPr>
      </w:pPr>
      <w:r>
        <w:rPr>
          <w:rFonts w:ascii="Arial" w:cs="Arial" w:eastAsia="Arial" w:hAnsi="Arial"/>
          <w:sz w:val="14"/>
          <w:szCs w:val="14"/>
          <w:color w:val="auto"/>
        </w:rPr>
        <w:t>The timing of loyalty point redemptions can vary significantly, however most new points, that are not left to expire, are redeemed within two years. Given the inherent uncertainty of the current operating</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2" w:name="page253"/>
    <w:bookmarkEnd w:id="252"/>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4. REVENUE (continued)</w:t>
      </w:r>
    </w:p>
    <w:p>
      <w:pPr>
        <w:spacing w:after="0" w:line="194" w:lineRule="exact"/>
        <w:rPr>
          <w:sz w:val="20"/>
          <w:szCs w:val="20"/>
          <w:color w:val="auto"/>
        </w:rPr>
      </w:pPr>
    </w:p>
    <w:p>
      <w:pPr>
        <w:ind w:left="1160" w:right="1319"/>
        <w:spacing w:after="0" w:line="279" w:lineRule="auto"/>
        <w:rPr>
          <w:sz w:val="20"/>
          <w:szCs w:val="20"/>
          <w:color w:val="auto"/>
        </w:rPr>
      </w:pPr>
      <w:r>
        <w:rPr>
          <w:rFonts w:ascii="Arial" w:cs="Arial" w:eastAsia="Arial" w:hAnsi="Arial"/>
          <w:sz w:val="15"/>
          <w:szCs w:val="15"/>
          <w:color w:val="auto"/>
        </w:rPr>
        <w:t>environment due to COVID-19, the Company will continue to monitor redemption patterns and will adjust estimates in the future, which could be material.</w:t>
      </w:r>
    </w:p>
    <w:p>
      <w:pPr>
        <w:spacing w:after="0" w:line="13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5. EARNINGS PER SHARE</w:t>
      </w:r>
    </w:p>
    <w:p>
      <w:pPr>
        <w:spacing w:after="0" w:line="128" w:lineRule="exact"/>
        <w:rPr>
          <w:sz w:val="20"/>
          <w:szCs w:val="20"/>
          <w:color w:val="auto"/>
        </w:rPr>
      </w:pPr>
    </w:p>
    <w:p>
      <w:pPr>
        <w:ind w:left="1160" w:right="1439" w:firstLine="293"/>
        <w:spacing w:after="0" w:line="254" w:lineRule="auto"/>
        <w:rPr>
          <w:sz w:val="20"/>
          <w:szCs w:val="20"/>
          <w:color w:val="auto"/>
        </w:rPr>
      </w:pPr>
      <w:r>
        <w:rPr>
          <w:rFonts w:ascii="Arial" w:cs="Arial" w:eastAsia="Arial" w:hAnsi="Arial"/>
          <w:sz w:val="15"/>
          <w:szCs w:val="15"/>
          <w:color w:val="auto"/>
        </w:rPr>
        <w:t>Basic earnings per share, which excludes dilution, is computed by dividing Net Income available to common stockholders by the weighted average number of shares of common stock outstanding for the period.</w:t>
      </w:r>
    </w:p>
    <w:p>
      <w:pPr>
        <w:spacing w:after="0" w:line="90"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0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 shows the computation of basic and diluted earnings per share:</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20" w:type="dxa"/>
            <w:vAlign w:val="bottom"/>
          </w:tcPr>
          <w:p>
            <w:pPr>
              <w:spacing w:after="0"/>
              <w:rPr>
                <w:sz w:val="13"/>
                <w:szCs w:val="13"/>
                <w:color w:val="auto"/>
              </w:rPr>
            </w:pPr>
          </w:p>
        </w:tc>
        <w:tc>
          <w:tcPr>
            <w:tcW w:w="1660" w:type="dxa"/>
            <w:vAlign w:val="bottom"/>
            <w:gridSpan w:val="5"/>
          </w:tcPr>
          <w:p>
            <w:pPr>
              <w:jc w:val="right"/>
              <w:spacing w:after="0"/>
              <w:rPr>
                <w:sz w:val="20"/>
                <w:szCs w:val="20"/>
                <w:color w:val="auto"/>
              </w:rPr>
            </w:pPr>
            <w:r>
              <w:rPr>
                <w:rFonts w:ascii="Arial" w:cs="Arial" w:eastAsia="Arial" w:hAnsi="Arial"/>
                <w:sz w:val="12"/>
                <w:szCs w:val="12"/>
                <w:b w:val="1"/>
                <w:bCs w:val="1"/>
                <w:color w:val="auto"/>
                <w:w w:val="89"/>
              </w:rPr>
              <w:t>Three Months Ended March 31,</w:t>
            </w:r>
          </w:p>
        </w:tc>
      </w:tr>
      <w:tr>
        <w:trPr>
          <w:trHeight w:val="21"/>
        </w:trPr>
        <w:tc>
          <w:tcPr>
            <w:tcW w:w="5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7"/>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9"/>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9"/>
              <w:spacing w:after="0"/>
              <w:rPr>
                <w:sz w:val="20"/>
                <w:szCs w:val="20"/>
                <w:color w:val="auto"/>
              </w:rPr>
            </w:pPr>
            <w:r>
              <w:rPr>
                <w:rFonts w:ascii="Arial" w:cs="Arial" w:eastAsia="Arial" w:hAnsi="Arial"/>
                <w:sz w:val="12"/>
                <w:szCs w:val="12"/>
                <w:b w:val="1"/>
                <w:bCs w:val="1"/>
                <w:color w:val="auto"/>
              </w:rPr>
              <w:t>2020</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5"/>
                <w:szCs w:val="15"/>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12,416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7,251</w:t>
            </w:r>
          </w:p>
        </w:tc>
      </w:tr>
      <w:tr>
        <w:trPr>
          <w:trHeight w:val="297"/>
        </w:trPr>
        <w:tc>
          <w:tcPr>
            <w:tcW w:w="5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Denominator:</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5"/>
                <w:szCs w:val="15"/>
                <w:color w:val="auto"/>
              </w:rPr>
              <w:t>Weighted Average Common Shares Outstanding—Basic</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48,496,077</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46,805,951</w:t>
            </w:r>
          </w:p>
        </w:tc>
      </w:tr>
      <w:tr>
        <w:trPr>
          <w:trHeight w:val="231"/>
        </w:trPr>
        <w:tc>
          <w:tcPr>
            <w:tcW w:w="5020" w:type="dxa"/>
            <w:vAlign w:val="bottom"/>
            <w:shd w:val="clear" w:color="auto" w:fill="CCEEFF"/>
          </w:tcPr>
          <w:p>
            <w:pPr>
              <w:spacing w:after="0" w:line="231" w:lineRule="exact"/>
              <w:rPr>
                <w:sz w:val="20"/>
                <w:szCs w:val="20"/>
                <w:color w:val="auto"/>
              </w:rPr>
            </w:pPr>
            <w:r>
              <w:rPr>
                <w:rFonts w:ascii="Arial" w:cs="Arial" w:eastAsia="Arial" w:hAnsi="Arial"/>
                <w:sz w:val="15"/>
                <w:szCs w:val="15"/>
                <w:color w:val="auto"/>
              </w:rPr>
              <w:t>Dilutive effect of Stock Options and Warrants</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4,012,109</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1,419,652</w:t>
            </w:r>
          </w:p>
        </w:tc>
      </w:tr>
      <w:tr>
        <w:trPr>
          <w:trHeight w:val="20"/>
        </w:trPr>
        <w:tc>
          <w:tcPr>
            <w:tcW w:w="50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05"/>
        </w:trPr>
        <w:tc>
          <w:tcPr>
            <w:tcW w:w="5020" w:type="dxa"/>
            <w:vAlign w:val="bottom"/>
          </w:tcPr>
          <w:p>
            <w:pPr>
              <w:spacing w:after="0"/>
              <w:rPr>
                <w:sz w:val="20"/>
                <w:szCs w:val="20"/>
                <w:color w:val="auto"/>
              </w:rPr>
            </w:pPr>
            <w:r>
              <w:rPr>
                <w:rFonts w:ascii="Arial" w:cs="Arial" w:eastAsia="Arial" w:hAnsi="Arial"/>
                <w:sz w:val="15"/>
                <w:szCs w:val="15"/>
                <w:color w:val="auto"/>
              </w:rPr>
              <w:t>Weighted Average Common Shares Outstanding—Diluted</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w w:val="85"/>
              </w:rPr>
              <w:t>52,508,186</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85"/>
              </w:rPr>
              <w:t>48,225,603</w:t>
            </w:r>
          </w:p>
        </w:tc>
      </w:tr>
      <w:tr>
        <w:trPr>
          <w:trHeight w:val="20"/>
        </w:trPr>
        <w:tc>
          <w:tcPr>
            <w:tcW w:w="50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05"/>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r>
      <w:tr>
        <w:trPr>
          <w:trHeight w:val="220"/>
        </w:trPr>
        <w:tc>
          <w:tcPr>
            <w:tcW w:w="5020" w:type="dxa"/>
            <w:vAlign w:val="bottom"/>
          </w:tcPr>
          <w:p>
            <w:pPr>
              <w:spacing w:after="0"/>
              <w:rPr>
                <w:sz w:val="20"/>
                <w:szCs w:val="20"/>
                <w:color w:val="auto"/>
              </w:rPr>
            </w:pPr>
            <w:r>
              <w:rPr>
                <w:rFonts w:ascii="Arial" w:cs="Arial" w:eastAsia="Arial" w:hAnsi="Arial"/>
                <w:sz w:val="15"/>
                <w:szCs w:val="15"/>
                <w:color w:val="auto"/>
              </w:rPr>
              <w:t>Diluted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0.24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-278765</wp:posOffset>
            </wp:positionV>
            <wp:extent cx="3774440"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7744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-1164590</wp:posOffset>
            </wp:positionV>
            <wp:extent cx="3767455" cy="69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7674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446405"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6" w:lineRule="exact"/>
        <w:rPr>
          <w:sz w:val="20"/>
          <w:szCs w:val="20"/>
          <w:color w:val="auto"/>
        </w:rPr>
      </w:pPr>
    </w:p>
    <w:p>
      <w:pPr>
        <w:ind w:left="1460" w:right="1239" w:hanging="296"/>
        <w:spacing w:after="0" w:line="239" w:lineRule="auto"/>
        <w:tabs>
          <w:tab w:leader="none" w:pos="146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There were 3,557,432 and 3,646,690 performance-based stock options outstanding at March 31, 2021 and 2020, respectively. As a result of the Company’s initial public offering, 75 percent of these options are expected to meet the performance conditions and are included in dilutive options at March 31, 2021. At March 31, 2020, these options were excluded from the calculation of diluted EPS since the performance conditions were not considered likely to be met.</w:t>
      </w:r>
    </w:p>
    <w:p>
      <w:pPr>
        <w:spacing w:after="0" w:line="88" w:lineRule="exact"/>
        <w:rPr>
          <w:sz w:val="20"/>
          <w:szCs w:val="20"/>
          <w:color w:val="auto"/>
        </w:rPr>
      </w:pPr>
    </w:p>
    <w:p>
      <w:pPr>
        <w:ind w:left="1160" w:right="1319" w:firstLine="293"/>
        <w:spacing w:after="0" w:line="281" w:lineRule="auto"/>
        <w:rPr>
          <w:sz w:val="20"/>
          <w:szCs w:val="20"/>
          <w:color w:val="auto"/>
        </w:rPr>
      </w:pPr>
      <w:r>
        <w:rPr>
          <w:rFonts w:ascii="Arial" w:cs="Arial" w:eastAsia="Arial" w:hAnsi="Arial"/>
          <w:sz w:val="14"/>
          <w:szCs w:val="14"/>
          <w:color w:val="auto"/>
        </w:rPr>
        <w:t>Prior to their exercise on January 31, 2020, all 40,005,885 warrants held by the Apollo Stockholder were included in basic and diluted weighted average shares outstanding as they were equity classified, had an exercise price of approximately $0.0005, and all necessary conditions for issuance were met.</w:t>
      </w:r>
    </w:p>
    <w:p>
      <w:pPr>
        <w:spacing w:after="0" w:line="94" w:lineRule="exact"/>
        <w:rPr>
          <w:sz w:val="20"/>
          <w:szCs w:val="20"/>
          <w:color w:val="auto"/>
        </w:rPr>
      </w:pPr>
    </w:p>
    <w:p>
      <w:pPr>
        <w:ind w:left="1160" w:right="1259" w:firstLine="293"/>
        <w:spacing w:after="0" w:line="269" w:lineRule="auto"/>
        <w:rPr>
          <w:sz w:val="20"/>
          <w:szCs w:val="20"/>
          <w:color w:val="auto"/>
        </w:rPr>
      </w:pPr>
      <w:r>
        <w:rPr>
          <w:rFonts w:ascii="Arial" w:cs="Arial" w:eastAsia="Arial" w:hAnsi="Arial"/>
          <w:sz w:val="15"/>
          <w:szCs w:val="15"/>
          <w:color w:val="auto"/>
        </w:rPr>
        <w:t>Warrants held by Amazon are included in dilutive weighted average shares outstanding as of the date the warrants vest. The unvested warrants held by Amazon have not been included in dilutive shares as their performance condition had not been satisfied.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3" w:name="page254"/>
    <w:bookmarkEnd w:id="253"/>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AIRCRAFT—OWNED AND LEASED</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Fleet</w:t>
      </w:r>
    </w:p>
    <w:p>
      <w:pPr>
        <w:spacing w:after="0" w:line="128"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following tables summarize the Company’s aircraft fleet activity for the three months ended</w:t>
      </w:r>
    </w:p>
    <w:p>
      <w:pPr>
        <w:spacing w:after="0" w:line="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March 31, 2021 and 2020, respectively:</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2020</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6"/>
              </w:rPr>
              <w:t>March 31, 2021</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0"/>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9"/>
        </w:trPr>
        <w:tc>
          <w:tcPr>
            <w:tcW w:w="3280" w:type="dxa"/>
            <w:vAlign w:val="bottom"/>
          </w:tcPr>
          <w:p>
            <w:pPr>
              <w:ind w:left="160"/>
              <w:spacing w:after="0"/>
              <w:rPr>
                <w:sz w:val="20"/>
                <w:szCs w:val="20"/>
                <w:color w:val="auto"/>
              </w:rPr>
            </w:pPr>
            <w:r>
              <w:rPr>
                <w:rFonts w:ascii="Arial" w:cs="Arial" w:eastAsia="Arial" w:hAnsi="Arial"/>
                <w:sz w:val="15"/>
                <w:szCs w:val="15"/>
                <w:color w:val="auto"/>
              </w:rPr>
              <w:t>Owned</w:t>
            </w:r>
          </w:p>
        </w:tc>
        <w:tc>
          <w:tcPr>
            <w:tcW w:w="1120" w:type="dxa"/>
            <w:vAlign w:val="bottom"/>
            <w:gridSpan w:val="4"/>
          </w:tcPr>
          <w:p>
            <w:pPr>
              <w:jc w:val="right"/>
              <w:ind w:right="40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320" w:type="dxa"/>
            <w:vAlign w:val="bottom"/>
          </w:tcPr>
          <w:p>
            <w:pPr>
              <w:spacing w:after="0"/>
              <w:rPr>
                <w:sz w:val="18"/>
                <w:szCs w:val="18"/>
                <w:color w:val="auto"/>
              </w:rPr>
            </w:pPr>
          </w:p>
        </w:tc>
      </w:tr>
      <w:tr>
        <w:trPr>
          <w:trHeight w:val="209"/>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leases</w:t>
            </w:r>
          </w:p>
        </w:tc>
        <w:tc>
          <w:tcPr>
            <w:tcW w:w="1120" w:type="dxa"/>
            <w:vAlign w:val="bottom"/>
            <w:gridSpan w:val="4"/>
            <w:shd w:val="clear" w:color="auto" w:fill="CCEEFF"/>
          </w:tcPr>
          <w:p>
            <w:pPr>
              <w:jc w:val="right"/>
              <w:ind w:right="40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5</w:t>
            </w:r>
          </w:p>
        </w:tc>
      </w:tr>
      <w:tr>
        <w:trPr>
          <w:trHeight w:val="214"/>
        </w:trPr>
        <w:tc>
          <w:tcPr>
            <w:tcW w:w="3280" w:type="dxa"/>
            <w:vAlign w:val="bottom"/>
          </w:tcPr>
          <w:p>
            <w:pPr>
              <w:ind w:left="160"/>
              <w:spacing w:after="0"/>
              <w:rPr>
                <w:sz w:val="20"/>
                <w:szCs w:val="20"/>
                <w:color w:val="auto"/>
              </w:rPr>
            </w:pPr>
            <w:r>
              <w:rPr>
                <w:rFonts w:ascii="Arial" w:cs="Arial" w:eastAsia="Arial" w:hAnsi="Arial"/>
                <w:sz w:val="15"/>
                <w:szCs w:val="15"/>
                <w:color w:val="auto"/>
              </w:rPr>
              <w:t>Operating leases</w:t>
            </w:r>
          </w:p>
        </w:tc>
        <w:tc>
          <w:tcPr>
            <w:tcW w:w="560" w:type="dxa"/>
            <w:vAlign w:val="bottom"/>
            <w:gridSpan w:val="2"/>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w w:val="83"/>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5"/>
                <w:szCs w:val="15"/>
                <w:color w:val="auto"/>
              </w:rPr>
              <w:t>7</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05"/>
        </w:trPr>
        <w:tc>
          <w:tcPr>
            <w:tcW w:w="32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shd w:val="clear" w:color="auto" w:fill="CCEEFF"/>
          </w:tcPr>
          <w:p>
            <w:pPr>
              <w:spacing w:after="0"/>
              <w:rPr>
                <w:sz w:val="17"/>
                <w:szCs w:val="17"/>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83"/>
              </w:rPr>
              <w:t>31</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320" w:type="dxa"/>
            <w:vAlign w:val="bottom"/>
            <w:shd w:val="clear" w:color="auto" w:fill="CCEEFF"/>
          </w:tcPr>
          <w:p>
            <w:pPr>
              <w:spacing w:after="0"/>
              <w:rPr>
                <w:sz w:val="17"/>
                <w:szCs w:val="17"/>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5"/>
                <w:szCs w:val="15"/>
                <w:color w:val="auto"/>
              </w:rPr>
              <w:t>Cargo:</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Aircraft Operated for Amazon</w:t>
            </w:r>
          </w:p>
        </w:tc>
        <w:tc>
          <w:tcPr>
            <w:tcW w:w="56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w w:val="83"/>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320" w:type="dxa"/>
            <w:vAlign w:val="bottom"/>
            <w:shd w:val="clear" w:color="auto" w:fill="CCEEFF"/>
          </w:tcPr>
          <w:p>
            <w:pPr>
              <w:spacing w:after="0"/>
              <w:rPr>
                <w:sz w:val="18"/>
                <w:szCs w:val="18"/>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16"/>
        </w:trPr>
        <w:tc>
          <w:tcPr>
            <w:tcW w:w="3280" w:type="dxa"/>
            <w:vAlign w:val="bottom"/>
          </w:tcPr>
          <w:p>
            <w:pPr>
              <w:ind w:left="300"/>
              <w:spacing w:after="0"/>
              <w:rPr>
                <w:sz w:val="20"/>
                <w:szCs w:val="20"/>
                <w:color w:val="auto"/>
              </w:rPr>
            </w:pPr>
            <w:r>
              <w:rPr>
                <w:rFonts w:ascii="Arial" w:cs="Arial" w:eastAsia="Arial" w:hAnsi="Arial"/>
                <w:sz w:val="15"/>
                <w:szCs w:val="15"/>
                <w:color w:val="auto"/>
              </w:rPr>
              <w:t>Total Aircraft Operated</w:t>
            </w:r>
          </w:p>
        </w:tc>
        <w:tc>
          <w:tcPr>
            <w:tcW w:w="560" w:type="dxa"/>
            <w:vAlign w:val="bottom"/>
            <w:gridSpan w:val="2"/>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w w:val="83"/>
              </w:rPr>
              <w:t>43</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32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-585470</wp:posOffset>
            </wp:positionV>
            <wp:extent cx="4241800"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-1129665</wp:posOffset>
            </wp:positionV>
            <wp:extent cx="111760" cy="69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-1129665</wp:posOffset>
            </wp:positionV>
            <wp:extent cx="111760" cy="69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-1129665</wp:posOffset>
            </wp:positionV>
            <wp:extent cx="2901950" cy="698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156" w:lineRule="exact"/>
        <w:rPr>
          <w:sz w:val="20"/>
          <w:szCs w:val="20"/>
          <w:color w:val="auto"/>
        </w:rPr>
      </w:pPr>
    </w:p>
    <w:p>
      <w:pPr>
        <w:ind w:left="1160" w:right="1339" w:firstLine="293"/>
        <w:spacing w:after="0" w:line="323" w:lineRule="auto"/>
        <w:rPr>
          <w:sz w:val="20"/>
          <w:szCs w:val="20"/>
          <w:color w:val="auto"/>
        </w:rPr>
      </w:pPr>
      <w:r>
        <w:rPr>
          <w:rFonts w:ascii="Arial" w:cs="Arial" w:eastAsia="Arial" w:hAnsi="Arial"/>
          <w:sz w:val="13"/>
          <w:szCs w:val="13"/>
          <w:color w:val="auto"/>
        </w:rPr>
        <w:t>The five aircraft purchased during the three months ended March 31, 2021 were financed through the Delayed Draw Term Loan Facility (see Note 7). All five of these were previously under operating leases.</w:t>
      </w:r>
    </w:p>
    <w:p>
      <w:pPr>
        <w:spacing w:after="0" w:line="63"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December 31, 2019</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Additions</w:t>
            </w: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Removals</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6"/>
              </w:rPr>
              <w:t>March 31, 2020</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0"/>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Passenger:</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9"/>
        </w:trPr>
        <w:tc>
          <w:tcPr>
            <w:tcW w:w="3280" w:type="dxa"/>
            <w:vAlign w:val="bottom"/>
          </w:tcPr>
          <w:p>
            <w:pPr>
              <w:ind w:left="160"/>
              <w:spacing w:after="0"/>
              <w:rPr>
                <w:sz w:val="20"/>
                <w:szCs w:val="20"/>
                <w:color w:val="auto"/>
              </w:rPr>
            </w:pPr>
            <w:r>
              <w:rPr>
                <w:rFonts w:ascii="Arial" w:cs="Arial" w:eastAsia="Arial" w:hAnsi="Arial"/>
                <w:sz w:val="15"/>
                <w:szCs w:val="15"/>
                <w:color w:val="auto"/>
              </w:rPr>
              <w:t>Owned</w:t>
            </w:r>
          </w:p>
        </w:tc>
        <w:tc>
          <w:tcPr>
            <w:tcW w:w="1120" w:type="dxa"/>
            <w:vAlign w:val="bottom"/>
            <w:gridSpan w:val="4"/>
          </w:tcPr>
          <w:p>
            <w:pPr>
              <w:jc w:val="right"/>
              <w:ind w:right="400"/>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780" w:type="dxa"/>
            <w:vAlign w:val="bottom"/>
            <w:gridSpan w:val="3"/>
          </w:tcPr>
          <w:p>
            <w:pPr>
              <w:jc w:val="right"/>
              <w:ind w:right="320"/>
              <w:spacing w:after="0"/>
              <w:rPr>
                <w:sz w:val="20"/>
                <w:szCs w:val="20"/>
                <w:color w:val="auto"/>
              </w:rPr>
            </w:pPr>
            <w:r>
              <w:rPr>
                <w:rFonts w:ascii="Arial" w:cs="Arial" w:eastAsia="Arial" w:hAnsi="Arial"/>
                <w:sz w:val="15"/>
                <w:szCs w:val="15"/>
                <w:color w:val="auto"/>
              </w:rPr>
              <w:t>8</w:t>
            </w:r>
          </w:p>
        </w:tc>
      </w:tr>
      <w:tr>
        <w:trPr>
          <w:trHeight w:val="209"/>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Finance leases</w:t>
            </w:r>
          </w:p>
        </w:tc>
        <w:tc>
          <w:tcPr>
            <w:tcW w:w="1120" w:type="dxa"/>
            <w:vAlign w:val="bottom"/>
            <w:gridSpan w:val="4"/>
            <w:shd w:val="clear" w:color="auto" w:fill="CCEEFF"/>
          </w:tcPr>
          <w:p>
            <w:pPr>
              <w:jc w:val="right"/>
              <w:ind w:right="400"/>
              <w:spacing w:after="0"/>
              <w:rPr>
                <w:sz w:val="20"/>
                <w:szCs w:val="20"/>
                <w:color w:val="auto"/>
              </w:rPr>
            </w:pPr>
            <w:r>
              <w:rPr>
                <w:rFonts w:ascii="Arial" w:cs="Arial" w:eastAsia="Arial" w:hAnsi="Arial"/>
                <w:sz w:val="15"/>
                <w:szCs w:val="15"/>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20" w:type="dxa"/>
            <w:vAlign w:val="bottom"/>
            <w:shd w:val="clear" w:color="auto" w:fill="CCEEFF"/>
          </w:tcPr>
          <w:p>
            <w:pPr>
              <w:spacing w:after="0"/>
              <w:rPr>
                <w:sz w:val="18"/>
                <w:szCs w:val="18"/>
                <w:color w:val="auto"/>
              </w:rPr>
            </w:pPr>
          </w:p>
        </w:tc>
      </w:tr>
      <w:tr>
        <w:trPr>
          <w:trHeight w:val="209"/>
        </w:trPr>
        <w:tc>
          <w:tcPr>
            <w:tcW w:w="3280" w:type="dxa"/>
            <w:vAlign w:val="bottom"/>
          </w:tcPr>
          <w:p>
            <w:pPr>
              <w:ind w:left="160"/>
              <w:spacing w:after="0"/>
              <w:rPr>
                <w:sz w:val="20"/>
                <w:szCs w:val="20"/>
                <w:color w:val="auto"/>
              </w:rPr>
            </w:pPr>
            <w:r>
              <w:rPr>
                <w:rFonts w:ascii="Arial" w:cs="Arial" w:eastAsia="Arial" w:hAnsi="Arial"/>
                <w:sz w:val="15"/>
                <w:szCs w:val="15"/>
                <w:color w:val="auto"/>
              </w:rPr>
              <w:t>Operating leases</w:t>
            </w:r>
          </w:p>
        </w:tc>
        <w:tc>
          <w:tcPr>
            <w:tcW w:w="1120" w:type="dxa"/>
            <w:vAlign w:val="bottom"/>
            <w:gridSpan w:val="4"/>
          </w:tcPr>
          <w:p>
            <w:pPr>
              <w:jc w:val="right"/>
              <w:ind w:right="400"/>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13</w:t>
            </w:r>
          </w:p>
        </w:tc>
        <w:tc>
          <w:tcPr>
            <w:tcW w:w="320" w:type="dxa"/>
            <w:vAlign w:val="bottom"/>
          </w:tcPr>
          <w:p>
            <w:pPr>
              <w:spacing w:after="0"/>
              <w:rPr>
                <w:sz w:val="18"/>
                <w:szCs w:val="18"/>
                <w:color w:val="auto"/>
              </w:rPr>
            </w:pPr>
          </w:p>
        </w:tc>
      </w:tr>
      <w:tr>
        <w:trPr>
          <w:trHeight w:val="214"/>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Seasonal leases</w:t>
            </w:r>
          </w:p>
        </w:tc>
        <w:tc>
          <w:tcPr>
            <w:tcW w:w="56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w w:val="93"/>
              </w:rPr>
              <w:t>—</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16"/>
        </w:trPr>
        <w:tc>
          <w:tcPr>
            <w:tcW w:w="3280" w:type="dxa"/>
            <w:vAlign w:val="bottom"/>
          </w:tcPr>
          <w:p>
            <w:pPr>
              <w:ind w:left="300"/>
              <w:spacing w:after="0"/>
              <w:rPr>
                <w:sz w:val="20"/>
                <w:szCs w:val="20"/>
                <w:color w:val="auto"/>
              </w:rPr>
            </w:pPr>
            <w:r>
              <w:rPr>
                <w:rFonts w:ascii="Arial" w:cs="Arial" w:eastAsia="Arial" w:hAnsi="Arial"/>
                <w:sz w:val="15"/>
                <w:szCs w:val="15"/>
                <w:color w:val="auto"/>
              </w:rPr>
              <w:t>Sun Country Airlines’ Fleet</w:t>
            </w:r>
          </w:p>
        </w:tc>
        <w:tc>
          <w:tcPr>
            <w:tcW w:w="560" w:type="dxa"/>
            <w:vAlign w:val="bottom"/>
            <w:gridSpan w:val="2"/>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5"/>
                <w:szCs w:val="15"/>
                <w:color w:val="auto"/>
                <w:w w:val="83"/>
              </w:rPr>
              <w:t>31</w:t>
            </w:r>
          </w:p>
        </w:tc>
        <w:tc>
          <w:tcPr>
            <w:tcW w:w="1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32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-850265</wp:posOffset>
            </wp:positionV>
            <wp:extent cx="111760" cy="698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-850265</wp:posOffset>
            </wp:positionV>
            <wp:extent cx="111760"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-850265</wp:posOffset>
            </wp:positionV>
            <wp:extent cx="2901950"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156" w:lineRule="exact"/>
        <w:rPr>
          <w:sz w:val="20"/>
          <w:szCs w:val="20"/>
          <w:color w:val="auto"/>
        </w:rPr>
      </w:pPr>
    </w:p>
    <w:p>
      <w:pPr>
        <w:ind w:left="1160" w:right="1299" w:firstLine="293"/>
        <w:spacing w:after="0" w:line="258" w:lineRule="auto"/>
        <w:rPr>
          <w:sz w:val="20"/>
          <w:szCs w:val="20"/>
          <w:color w:val="auto"/>
        </w:rPr>
      </w:pPr>
      <w:r>
        <w:rPr>
          <w:rFonts w:ascii="Arial" w:cs="Arial" w:eastAsia="Arial" w:hAnsi="Arial"/>
          <w:sz w:val="14"/>
          <w:szCs w:val="14"/>
          <w:color w:val="auto"/>
        </w:rPr>
        <w:t>The three aircraft purchased during the three months ended March 31, 2020 were financed through equipment trust certificates (see Note 7). One of these aircraft was previously under an operating lease and the other two aircraft were new to the Company’s fleet. In addition, the Company refinanced three previously owned and financed aircraft in January 2020 utilizing equipment trust certificates (see Note 7).</w:t>
      </w:r>
    </w:p>
    <w:p>
      <w:pPr>
        <w:spacing w:after="0" w:line="77" w:lineRule="exact"/>
        <w:rPr>
          <w:sz w:val="20"/>
          <w:szCs w:val="20"/>
          <w:color w:val="auto"/>
        </w:rPr>
      </w:pPr>
    </w:p>
    <w:p>
      <w:pPr>
        <w:ind w:left="1160" w:right="1299" w:firstLine="293"/>
        <w:spacing w:after="0" w:line="239" w:lineRule="auto"/>
        <w:rPr>
          <w:sz w:val="20"/>
          <w:szCs w:val="20"/>
          <w:color w:val="auto"/>
        </w:rPr>
      </w:pPr>
      <w:r>
        <w:rPr>
          <w:rFonts w:ascii="Arial" w:cs="Arial" w:eastAsia="Arial" w:hAnsi="Arial"/>
          <w:sz w:val="15"/>
          <w:szCs w:val="15"/>
          <w:color w:val="auto"/>
        </w:rPr>
        <w:t>The Accumulated Depreciation on owned assets was $57,950 and $ 52,048 as of March 31, 2021 and December 31, 2020, respectively. Depreciation expense was $8,800 and $5,121 for the three months ended March 31, 2021 and 2020, respectively.</w:t>
      </w:r>
    </w:p>
    <w:p>
      <w:pPr>
        <w:spacing w:after="0" w:line="100"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color w:val="auto"/>
        </w:rPr>
        <w:t>The Accumulated Amortization on Finance Lease Assets was $18,517 and $13,018 as of March 31, 2021 and December 31, 2020, respectively. Amortization Expense was $2,692 and $4,290 for the three months ended March 31, 2021 and 2020, respectively.</w:t>
      </w:r>
    </w:p>
    <w:p>
      <w:pPr>
        <w:spacing w:after="0" w:line="100" w:lineRule="exact"/>
        <w:rPr>
          <w:sz w:val="20"/>
          <w:szCs w:val="20"/>
          <w:color w:val="auto"/>
        </w:rPr>
      </w:pPr>
    </w:p>
    <w:p>
      <w:pPr>
        <w:ind w:left="1160" w:right="1499" w:firstLine="293"/>
        <w:spacing w:after="0" w:line="341" w:lineRule="auto"/>
        <w:rPr>
          <w:sz w:val="20"/>
          <w:szCs w:val="20"/>
          <w:color w:val="auto"/>
        </w:rPr>
      </w:pPr>
      <w:r>
        <w:rPr>
          <w:rFonts w:ascii="Arial" w:cs="Arial" w:eastAsia="Arial" w:hAnsi="Arial"/>
          <w:sz w:val="13"/>
          <w:szCs w:val="13"/>
          <w:color w:val="auto"/>
        </w:rPr>
        <w:t>Depreciation expense on owned assets and amortization expense on Finance Lease Assets are each classified in Depreciation and Amortization on the Condensed Consolidated Statements of Operations.</w:t>
      </w:r>
    </w:p>
    <w:p>
      <w:pPr>
        <w:spacing w:after="0" w:line="9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Lease Payment Deferrals</w:t>
      </w:r>
    </w:p>
    <w:p>
      <w:pPr>
        <w:spacing w:after="0" w:line="117" w:lineRule="exact"/>
        <w:rPr>
          <w:sz w:val="20"/>
          <w:szCs w:val="20"/>
          <w:color w:val="auto"/>
        </w:rPr>
      </w:pPr>
    </w:p>
    <w:p>
      <w:pPr>
        <w:ind w:left="1160" w:right="1379" w:firstLine="293"/>
        <w:spacing w:after="0" w:line="251" w:lineRule="auto"/>
        <w:rPr>
          <w:sz w:val="20"/>
          <w:szCs w:val="20"/>
          <w:color w:val="auto"/>
        </w:rPr>
      </w:pPr>
      <w:r>
        <w:rPr>
          <w:rFonts w:ascii="Arial" w:cs="Arial" w:eastAsia="Arial" w:hAnsi="Arial"/>
          <w:sz w:val="15"/>
          <w:szCs w:val="15"/>
          <w:color w:val="auto"/>
        </w:rPr>
        <w:t>During the year ended December 31, 2020 the Company negotiated rent payment deferrals with a majority of its aircraft lessors due to COVID-19 cash flow impacts. The amount deferred as of March 31, 2021 was $975, consisting of $533 under finance leases and $442 under operating leases. The amount deferred</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4" w:name="page255"/>
    <w:bookmarkEnd w:id="254"/>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6. AIRCRAFT—OWNED AND LEASED (continued)</w:t>
      </w:r>
    </w:p>
    <w:p>
      <w:pPr>
        <w:spacing w:after="0" w:line="183" w:lineRule="exact"/>
        <w:rPr>
          <w:sz w:val="20"/>
          <w:szCs w:val="20"/>
          <w:color w:val="auto"/>
        </w:rPr>
      </w:pPr>
    </w:p>
    <w:p>
      <w:pPr>
        <w:ind w:left="1160" w:right="1239"/>
        <w:spacing w:after="0" w:line="239" w:lineRule="auto"/>
        <w:rPr>
          <w:sz w:val="20"/>
          <w:szCs w:val="20"/>
          <w:color w:val="auto"/>
        </w:rPr>
      </w:pPr>
      <w:r>
        <w:rPr>
          <w:rFonts w:ascii="Arial" w:cs="Arial" w:eastAsia="Arial" w:hAnsi="Arial"/>
          <w:sz w:val="15"/>
          <w:szCs w:val="15"/>
          <w:color w:val="auto"/>
        </w:rPr>
        <w:t>as of December 31, 2020 was $7,569, consisting of $2,133 under finance leases and $ 5,436 under operating leases. These deferrals are classified within the current portion of the respective lease liabilities on the Condensed Consolidated Balance Sheets.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Aircraft Maintenance Deposits Contra-Assets</w:t>
      </w:r>
    </w:p>
    <w:p>
      <w:pPr>
        <w:spacing w:after="0" w:line="128" w:lineRule="exact"/>
        <w:rPr>
          <w:sz w:val="20"/>
          <w:szCs w:val="20"/>
          <w:color w:val="auto"/>
        </w:rPr>
      </w:pPr>
    </w:p>
    <w:p>
      <w:pPr>
        <w:ind w:left="1160" w:right="1179" w:firstLine="293"/>
        <w:spacing w:after="0" w:line="250" w:lineRule="auto"/>
        <w:rPr>
          <w:sz w:val="20"/>
          <w:szCs w:val="20"/>
          <w:color w:val="auto"/>
        </w:rPr>
      </w:pPr>
      <w:r>
        <w:rPr>
          <w:rFonts w:ascii="Arial" w:cs="Arial" w:eastAsia="Arial" w:hAnsi="Arial"/>
          <w:sz w:val="14"/>
          <w:szCs w:val="14"/>
          <w:color w:val="auto"/>
        </w:rPr>
        <w:t>At April 11, 2018 (the “Acquisition Date”), the Company established a deposit contra-asset to represent the Company’s obligation to perform planned maintenance events on leased aircraft held as of the Acquisition Date. As of March 31, 2021 and December 31, 2020, the remaining balance of the contra-asset was $26,512 and $36,729, respectively. Of the $10,217 reduction in the contra-asset during the three months ended March 31, 2021, $ 9,880 related to the purchase of five aircrafts previously leased, whereupon the contra-assets and related maintenance deposits were written-off concurrently to Aircraft lease buy- out expense in Special Items, net (see Note 11). For the three months ended March 31, 2021 and 2020, the Company recognized none and $425, respectively, of the contra-asset as a reduction to Maintenance expense on the accompanying Condensed Consolidated Statements of Operations.</w:t>
      </w:r>
    </w:p>
    <w:p>
      <w:pPr>
        <w:spacing w:after="0" w:line="14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Over-market Liabilities</w:t>
      </w:r>
    </w:p>
    <w:p>
      <w:pPr>
        <w:spacing w:after="0" w:line="117" w:lineRule="exact"/>
        <w:rPr>
          <w:sz w:val="20"/>
          <w:szCs w:val="20"/>
          <w:color w:val="auto"/>
        </w:rPr>
      </w:pPr>
    </w:p>
    <w:p>
      <w:pPr>
        <w:ind w:left="1160" w:right="1499" w:firstLine="293"/>
        <w:spacing w:after="0" w:line="248" w:lineRule="auto"/>
        <w:rPr>
          <w:sz w:val="20"/>
          <w:szCs w:val="20"/>
          <w:color w:val="auto"/>
        </w:rPr>
      </w:pPr>
      <w:r>
        <w:rPr>
          <w:rFonts w:ascii="Arial" w:cs="Arial" w:eastAsia="Arial" w:hAnsi="Arial"/>
          <w:sz w:val="15"/>
          <w:szCs w:val="15"/>
          <w:color w:val="auto"/>
        </w:rPr>
        <w:t>At the Acquisition Date, the Company acquired liabilities related to its over-market lease rates and over-market maintenance reserve payments.</w:t>
      </w:r>
    </w:p>
    <w:p>
      <w:pPr>
        <w:spacing w:after="0" w:line="94" w:lineRule="exact"/>
        <w:rPr>
          <w:sz w:val="20"/>
          <w:szCs w:val="20"/>
          <w:color w:val="auto"/>
        </w:rPr>
      </w:pPr>
    </w:p>
    <w:p>
      <w:pPr>
        <w:ind w:left="1160" w:right="1199" w:firstLine="293"/>
        <w:spacing w:after="0" w:line="235" w:lineRule="auto"/>
        <w:rPr>
          <w:sz w:val="20"/>
          <w:szCs w:val="20"/>
          <w:color w:val="auto"/>
        </w:rPr>
      </w:pPr>
      <w:r>
        <w:rPr>
          <w:rFonts w:ascii="Arial" w:cs="Arial" w:eastAsia="Arial" w:hAnsi="Arial"/>
          <w:sz w:val="15"/>
          <w:szCs w:val="15"/>
          <w:color w:val="auto"/>
        </w:rPr>
        <w:t>As of the Acquisition Date, the Company recognized a liability representing lease terms which are unfavorable compared with market terms of similar leases. The remaining balance of this contra -asset as of March 31, 2021 and December 31, 2020 was $12,891 and $ 16,501, respectively and is recorded within Operating Lease Right-of-Use Assets. The purchase of five aircraft in March 2021 contributed $2,858 of the decrease.</w:t>
      </w:r>
    </w:p>
    <w:p>
      <w:pPr>
        <w:spacing w:after="0" w:line="100" w:lineRule="exact"/>
        <w:rPr>
          <w:sz w:val="20"/>
          <w:szCs w:val="20"/>
          <w:color w:val="auto"/>
        </w:rPr>
      </w:pPr>
    </w:p>
    <w:p>
      <w:pPr>
        <w:ind w:left="1160" w:right="1179" w:firstLine="293"/>
        <w:spacing w:after="0" w:line="232" w:lineRule="auto"/>
        <w:rPr>
          <w:sz w:val="20"/>
          <w:szCs w:val="20"/>
          <w:color w:val="auto"/>
        </w:rPr>
      </w:pPr>
      <w:r>
        <w:rPr>
          <w:rFonts w:ascii="Arial" w:cs="Arial" w:eastAsia="Arial" w:hAnsi="Arial"/>
          <w:sz w:val="15"/>
          <w:szCs w:val="15"/>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March 31, 2021 and December 31, 2020 was $21,600 and $37,409, respectively. Of the $ 15,809 reduction in the over-market maintenance reserve liabilities during the three months ended March 31, 2021, $13,805 related to the purchase of five aircrafts previously leased, whereupon the over-market liabilities for those aircraft are included in Aircraft lease buy-out expense in Special Items, net (see Note 11).</w:t>
      </w:r>
    </w:p>
    <w:p>
      <w:pPr>
        <w:spacing w:after="0" w:line="92" w:lineRule="exact"/>
        <w:rPr>
          <w:sz w:val="20"/>
          <w:szCs w:val="20"/>
          <w:color w:val="auto"/>
        </w:rPr>
      </w:pPr>
    </w:p>
    <w:p>
      <w:pPr>
        <w:jc w:val="both"/>
        <w:ind w:left="1160" w:right="1259" w:firstLine="293"/>
        <w:spacing w:after="0" w:line="239" w:lineRule="auto"/>
        <w:rPr>
          <w:sz w:val="20"/>
          <w:szCs w:val="20"/>
          <w:color w:val="auto"/>
        </w:rPr>
      </w:pPr>
      <w:r>
        <w:rPr>
          <w:rFonts w:ascii="Arial" w:cs="Arial" w:eastAsia="Arial" w:hAnsi="Arial"/>
          <w:sz w:val="15"/>
          <w:szCs w:val="15"/>
          <w:color w:val="auto"/>
        </w:rPr>
        <w:t>Aircraft Rent expense for the three months ended March 31, 2021 and 2020, includes credits of $2,755 and $4,103, respectively, for the amortization of over-market liabilities established at the Acquisition Date related to lease rates and maintenance reserves.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w:t>
      </w:r>
    </w:p>
    <w:p>
      <w:pPr>
        <w:spacing w:after="0" w:line="124" w:lineRule="exact"/>
        <w:rPr>
          <w:sz w:val="20"/>
          <w:szCs w:val="20"/>
          <w:color w:val="auto"/>
        </w:rPr>
      </w:pPr>
    </w:p>
    <w:p>
      <w:pPr>
        <w:ind w:left="1160" w:right="1219" w:firstLine="293"/>
        <w:spacing w:after="0" w:line="249" w:lineRule="auto"/>
        <w:rPr>
          <w:sz w:val="20"/>
          <w:szCs w:val="20"/>
          <w:color w:val="auto"/>
        </w:rPr>
      </w:pPr>
      <w:r>
        <w:rPr>
          <w:rFonts w:ascii="Arial" w:cs="Arial" w:eastAsia="Arial" w:hAnsi="Arial"/>
          <w:sz w:val="14"/>
          <w:szCs w:val="14"/>
          <w:b w:val="1"/>
          <w:bCs w:val="1"/>
          <w:color w:val="auto"/>
        </w:rPr>
        <w:t>Lines of Credit—</w:t>
      </w:r>
      <w:r>
        <w:rPr>
          <w:rFonts w:ascii="Arial" w:cs="Arial" w:eastAsia="Arial" w:hAnsi="Arial"/>
          <w:sz w:val="14"/>
          <w:szCs w:val="14"/>
          <w:color w:val="auto"/>
        </w:rPr>
        <w:t>On February 10, 2021, the Company executed a new five-year credit agreement with a</w:t>
      </w:r>
      <w:r>
        <w:rPr>
          <w:rFonts w:ascii="Arial" w:cs="Arial" w:eastAsia="Arial" w:hAnsi="Arial"/>
          <w:sz w:val="14"/>
          <w:szCs w:val="14"/>
          <w:b w:val="1"/>
          <w:bCs w:val="1"/>
          <w:color w:val="auto"/>
        </w:rPr>
        <w:t xml:space="preserve"> </w:t>
      </w:r>
      <w:r>
        <w:rPr>
          <w:rFonts w:ascii="Arial" w:cs="Arial" w:eastAsia="Arial" w:hAnsi="Arial"/>
          <w:sz w:val="14"/>
          <w:szCs w:val="14"/>
          <w:color w:val="auto"/>
        </w:rPr>
        <w:t>group of lenders that replaced the Company’s prior $25,000 asset -based revolving credit facility (the “ABL Facility”). The new agreement provides for a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w:t>
      </w:r>
    </w:p>
    <w:p>
      <w:pPr>
        <w:spacing w:after="0" w:line="3" w:lineRule="exact"/>
        <w:rPr>
          <w:sz w:val="20"/>
          <w:szCs w:val="20"/>
          <w:color w:val="auto"/>
        </w:rPr>
      </w:pPr>
    </w:p>
    <w:p>
      <w:pPr>
        <w:jc w:val="both"/>
        <w:ind w:left="1160" w:right="1479"/>
        <w:spacing w:after="0" w:line="233" w:lineRule="auto"/>
        <w:rPr>
          <w:sz w:val="20"/>
          <w:szCs w:val="20"/>
          <w:color w:val="auto"/>
        </w:rPr>
      </w:pPr>
      <w:r>
        <w:rPr>
          <w:rFonts w:ascii="Arial" w:cs="Arial" w:eastAsia="Arial" w:hAnsi="Arial"/>
          <w:sz w:val="15"/>
          <w:szCs w:val="15"/>
          <w:color w:val="auto"/>
        </w:rPr>
        <w:t>0.5%. The proceeds from the Revolving Credit Facility can be used for general corporate purposes. The proceeds from the Delayed Draw Term Loan Facility are to be used solely to finance the acquisition of aircraft</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5" w:name="page256"/>
    <w:bookmarkEnd w:id="255"/>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 (continued)</w:t>
      </w:r>
    </w:p>
    <w:p>
      <w:pPr>
        <w:spacing w:after="0" w:line="183" w:lineRule="exact"/>
        <w:rPr>
          <w:sz w:val="20"/>
          <w:szCs w:val="20"/>
          <w:color w:val="auto"/>
        </w:rPr>
      </w:pPr>
    </w:p>
    <w:p>
      <w:pPr>
        <w:ind w:left="1160" w:right="1199"/>
        <w:spacing w:after="0" w:line="271" w:lineRule="auto"/>
        <w:rPr>
          <w:sz w:val="20"/>
          <w:szCs w:val="20"/>
          <w:color w:val="auto"/>
        </w:rPr>
      </w:pPr>
      <w:r>
        <w:rPr>
          <w:rFonts w:ascii="Arial" w:cs="Arial" w:eastAsia="Arial" w:hAnsi="Arial"/>
          <w:sz w:val="14"/>
          <w:szCs w:val="14"/>
          <w:color w:val="auto"/>
        </w:rPr>
        <w:t>or engines to be registered in the U.S. During the three months ended March 31, 2021, the Company drew $68,000 on the Delayed Draw Term Loan Facility to purchase five aircrafts. On April 6, 2021, the Company drew an additional $12,500 for the purchase of an additional aircraft, which was under operating lease as of March 31, 2021. The Credit Facilities have financial covenants that require a minimum EBITDAR (ranging from $62,100 to $87,700) and a minimum liquidity of $30,000 at the close of any business day.</w:t>
      </w:r>
    </w:p>
    <w:p>
      <w:pPr>
        <w:spacing w:after="0" w:line="87" w:lineRule="exact"/>
        <w:rPr>
          <w:sz w:val="20"/>
          <w:szCs w:val="20"/>
          <w:color w:val="auto"/>
        </w:rPr>
      </w:pPr>
    </w:p>
    <w:p>
      <w:pPr>
        <w:jc w:val="both"/>
        <w:ind w:left="1160" w:right="1299" w:firstLine="293"/>
        <w:spacing w:after="0" w:line="315" w:lineRule="auto"/>
        <w:rPr>
          <w:sz w:val="20"/>
          <w:szCs w:val="20"/>
          <w:color w:val="auto"/>
        </w:rPr>
      </w:pPr>
      <w:r>
        <w:rPr>
          <w:rFonts w:ascii="Arial" w:cs="Arial" w:eastAsia="Arial" w:hAnsi="Arial"/>
          <w:sz w:val="13"/>
          <w:szCs w:val="13"/>
          <w:b w:val="1"/>
          <w:bCs w:val="1"/>
          <w:color w:val="auto"/>
        </w:rPr>
        <w:t>Long-term Debt—</w:t>
      </w:r>
      <w:r>
        <w:rPr>
          <w:rFonts w:ascii="Arial" w:cs="Arial" w:eastAsia="Arial" w:hAnsi="Arial"/>
          <w:sz w:val="13"/>
          <w:szCs w:val="13"/>
          <w:color w:val="auto"/>
        </w:rPr>
        <w:t>In December 2019, the Company arranged for the issuance of Class A, Class B and</w:t>
      </w:r>
      <w:r>
        <w:rPr>
          <w:rFonts w:ascii="Arial" w:cs="Arial" w:eastAsia="Arial" w:hAnsi="Arial"/>
          <w:sz w:val="13"/>
          <w:szCs w:val="13"/>
          <w:b w:val="1"/>
          <w:bCs w:val="1"/>
          <w:color w:val="auto"/>
        </w:rPr>
        <w:t xml:space="preserve"> </w:t>
      </w:r>
      <w:r>
        <w:rPr>
          <w:rFonts w:ascii="Arial" w:cs="Arial" w:eastAsia="Arial" w:hAnsi="Arial"/>
          <w:sz w:val="13"/>
          <w:szCs w:val="13"/>
          <w:color w:val="auto"/>
        </w:rPr>
        <w:t>Class C pass-through trust certificates Series 2019-1 (the “2019-1 EETC”), in an aggregate face amount of $248,587 for the purpose of financing or refinancing 13 used aircraft, which was completed in 2020.</w:t>
      </w:r>
    </w:p>
    <w:p>
      <w:pPr>
        <w:spacing w:after="0" w:line="53" w:lineRule="exact"/>
        <w:rPr>
          <w:sz w:val="20"/>
          <w:szCs w:val="20"/>
          <w:color w:val="auto"/>
        </w:rPr>
      </w:pPr>
    </w:p>
    <w:p>
      <w:pPr>
        <w:ind w:left="1160" w:right="1199" w:firstLine="293"/>
        <w:spacing w:after="0" w:line="269" w:lineRule="auto"/>
        <w:rPr>
          <w:sz w:val="20"/>
          <w:szCs w:val="20"/>
          <w:color w:val="auto"/>
        </w:rPr>
      </w:pPr>
      <w:r>
        <w:rPr>
          <w:rFonts w:ascii="Arial" w:cs="Arial" w:eastAsia="Arial" w:hAnsi="Arial"/>
          <w:sz w:val="14"/>
          <w:szCs w:val="14"/>
          <w:color w:val="auto"/>
        </w:rPr>
        <w:t>Under the CARES Act Loan Program, on October 26, 2020, the Company was awarded a $45,000 loan, which was secured by the Company’s loyalty program and certain cash deposit accounts. The loan bore interest at a rate per annum equal to the Adjusted LIBO Rate plus 6.50% and was due to be repaid on the earlier of (i) October 24, 2025 or (ii) six months prior to the expiration date of any material loyalty program securing the loan. On March 24, 2021, the CARES Act Loan was repaid in full, including outstanding principal and accrued interest for a total repayment amount of $46,260.</w:t>
      </w:r>
    </w:p>
    <w:p>
      <w:pPr>
        <w:spacing w:after="0" w:line="9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Company was in compliance with all covenants in its debt agreements at March 31, 2021.</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Long-term Debt included the following:</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ind w:left="20"/>
              <w:spacing w:after="0"/>
              <w:rPr>
                <w:sz w:val="20"/>
                <w:szCs w:val="20"/>
                <w:color w:val="auto"/>
              </w:rPr>
            </w:pPr>
            <w:r>
              <w:rPr>
                <w:rFonts w:ascii="Arial" w:cs="Arial" w:eastAsia="Arial" w:hAnsi="Arial"/>
                <w:sz w:val="12"/>
                <w:szCs w:val="12"/>
                <w:b w:val="1"/>
                <w:bCs w:val="1"/>
                <w:color w:val="auto"/>
              </w:rPr>
              <w:t>March 31, 2021</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85"/>
              </w:rPr>
              <w:t>December 31, 2020</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78"/>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Notes payable under the Company’s 2019-1 EETC agreement dated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4"/>
              </w:rPr>
              <w:t>December 2019, with original loan amounts of $248,587 payable in bi-</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annual installments through December 2027. These notes bear interest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3"/>
              </w:rPr>
              <w:t>at an annual rate of between 4.13% and 6.95% and are secured by the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97"/>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equipment for which the loan was used.</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5"/>
                <w:szCs w:val="15"/>
                <w:color w:val="auto"/>
              </w:rPr>
              <w:t>$227,347</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$227,347</w:t>
            </w:r>
          </w:p>
        </w:tc>
      </w:tr>
      <w:tr>
        <w:trPr>
          <w:trHeight w:val="209"/>
        </w:trPr>
        <w:tc>
          <w:tcPr>
            <w:tcW w:w="4600" w:type="dxa"/>
            <w:vAlign w:val="bottom"/>
          </w:tcPr>
          <w:p>
            <w:pPr>
              <w:spacing w:after="0"/>
              <w:rPr>
                <w:sz w:val="20"/>
                <w:szCs w:val="20"/>
                <w:color w:val="auto"/>
              </w:rPr>
            </w:pPr>
            <w:r>
              <w:rPr>
                <w:rFonts w:ascii="Arial" w:cs="Arial" w:eastAsia="Arial" w:hAnsi="Arial"/>
                <w:sz w:val="15"/>
                <w:szCs w:val="15"/>
                <w:color w:val="auto"/>
              </w:rPr>
              <w:t>Delayed Draw Term Loan Facility (see terms and conditions above)</w:t>
            </w:r>
          </w:p>
        </w:tc>
        <w:tc>
          <w:tcPr>
            <w:tcW w:w="960" w:type="dxa"/>
            <w:vAlign w:val="bottom"/>
            <w:gridSpan w:val="4"/>
          </w:tcPr>
          <w:p>
            <w:pPr>
              <w:jc w:val="right"/>
              <w:ind w:right="120"/>
              <w:spacing w:after="0"/>
              <w:rPr>
                <w:sz w:val="20"/>
                <w:szCs w:val="20"/>
                <w:color w:val="auto"/>
              </w:rPr>
            </w:pPr>
            <w:r>
              <w:rPr>
                <w:rFonts w:ascii="Arial" w:cs="Arial" w:eastAsia="Arial" w:hAnsi="Arial"/>
                <w:sz w:val="15"/>
                <w:szCs w:val="15"/>
                <w:color w:val="auto"/>
              </w:rPr>
              <w:t>68,000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187"/>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U. S. Department of the Treasury CARES Act Loan (see terms and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7"/>
        </w:trPr>
        <w:tc>
          <w:tcPr>
            <w:tcW w:w="46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conditions above)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45,419</w:t>
            </w:r>
          </w:p>
        </w:tc>
      </w:tr>
      <w:tr>
        <w:trPr>
          <w:trHeight w:val="187"/>
        </w:trPr>
        <w:tc>
          <w:tcPr>
            <w:tcW w:w="4600" w:type="dxa"/>
            <w:vAlign w:val="bottom"/>
          </w:tcPr>
          <w:p>
            <w:pPr>
              <w:spacing w:after="0"/>
              <w:rPr>
                <w:sz w:val="20"/>
                <w:szCs w:val="20"/>
                <w:color w:val="auto"/>
              </w:rPr>
            </w:pPr>
            <w:r>
              <w:rPr>
                <w:rFonts w:ascii="Arial" w:cs="Arial" w:eastAsia="Arial" w:hAnsi="Arial"/>
                <w:sz w:val="15"/>
                <w:szCs w:val="15"/>
                <w:color w:val="auto"/>
                <w:w w:val="97"/>
              </w:rPr>
              <w:t>Notes payable to Wilmington Trust Company. Notes bear interest at an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4600" w:type="dxa"/>
            <w:vAlign w:val="bottom"/>
          </w:tcPr>
          <w:p>
            <w:pPr>
              <w:ind w:left="160"/>
              <w:spacing w:after="0"/>
              <w:rPr>
                <w:sz w:val="20"/>
                <w:szCs w:val="20"/>
                <w:color w:val="auto"/>
              </w:rPr>
            </w:pPr>
            <w:r>
              <w:rPr>
                <w:rFonts w:ascii="Arial" w:cs="Arial" w:eastAsia="Arial" w:hAnsi="Arial"/>
                <w:sz w:val="15"/>
                <w:szCs w:val="15"/>
                <w:color w:val="auto"/>
              </w:rPr>
              <w:t>annual rate of 8.45% and mature Nov. 2023 to Feb. 2024.</w:t>
            </w:r>
          </w:p>
        </w:tc>
        <w:tc>
          <w:tcPr>
            <w:tcW w:w="960" w:type="dxa"/>
            <w:vAlign w:val="bottom"/>
            <w:gridSpan w:val="4"/>
          </w:tcPr>
          <w:p>
            <w:pPr>
              <w:jc w:val="right"/>
              <w:ind w:right="120"/>
              <w:spacing w:after="0"/>
              <w:rPr>
                <w:sz w:val="20"/>
                <w:szCs w:val="20"/>
                <w:color w:val="auto"/>
              </w:rPr>
            </w:pPr>
            <w:r>
              <w:rPr>
                <w:rFonts w:ascii="Arial" w:cs="Arial" w:eastAsia="Arial" w:hAnsi="Arial"/>
                <w:sz w:val="15"/>
                <w:szCs w:val="15"/>
                <w:color w:val="auto"/>
              </w:rPr>
              <w:t>11,880</w:t>
            </w:r>
          </w:p>
        </w:tc>
        <w:tc>
          <w:tcPr>
            <w:tcW w:w="16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12,506</w:t>
            </w:r>
          </w:p>
        </w:tc>
      </w:tr>
      <w:tr>
        <w:trPr>
          <w:trHeight w:val="193"/>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Other Notes payable. These notes bear interest at an annual rate of</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8"/>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approximately 5.0% and mature March 2029.</w:t>
            </w:r>
          </w:p>
        </w:tc>
        <w:tc>
          <w:tcPr>
            <w:tcW w:w="280" w:type="dxa"/>
            <w:vAlign w:val="bottom"/>
            <w:tcBorders>
              <w:bottom w:val="single" w:sz="8" w:color="CCEEFF"/>
            </w:tcBorders>
            <w:gridSpan w:val="2"/>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505</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529</w:t>
            </w:r>
          </w:p>
        </w:tc>
      </w:tr>
      <w:tr>
        <w:trPr>
          <w:trHeight w:val="20"/>
        </w:trPr>
        <w:tc>
          <w:tcPr>
            <w:tcW w:w="4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0"/>
        </w:trPr>
        <w:tc>
          <w:tcPr>
            <w:tcW w:w="4600" w:type="dxa"/>
            <w:vAlign w:val="bottom"/>
          </w:tcPr>
          <w:p>
            <w:pPr>
              <w:spacing w:after="0"/>
              <w:rPr>
                <w:sz w:val="20"/>
                <w:szCs w:val="20"/>
                <w:color w:val="auto"/>
              </w:rPr>
            </w:pPr>
            <w:r>
              <w:rPr>
                <w:rFonts w:ascii="Arial" w:cs="Arial" w:eastAsia="Arial" w:hAnsi="Arial"/>
                <w:sz w:val="15"/>
                <w:szCs w:val="15"/>
                <w:color w:val="auto"/>
              </w:rPr>
              <w:t>Total Debt</w:t>
            </w:r>
          </w:p>
        </w:tc>
        <w:tc>
          <w:tcPr>
            <w:tcW w:w="280" w:type="dxa"/>
            <w:vAlign w:val="bottom"/>
            <w:gridSpan w:val="2"/>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307,732</w:t>
            </w:r>
          </w:p>
        </w:tc>
        <w:tc>
          <w:tcPr>
            <w:tcW w:w="16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5"/>
                <w:szCs w:val="15"/>
                <w:color w:val="auto"/>
              </w:rPr>
              <w:t>285,801</w:t>
            </w: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Less: Unamortized debt issuance costs</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(4,391)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(3,338)</w:t>
            </w:r>
          </w:p>
        </w:tc>
      </w:tr>
      <w:tr>
        <w:trPr>
          <w:trHeight w:val="214"/>
        </w:trPr>
        <w:tc>
          <w:tcPr>
            <w:tcW w:w="4600" w:type="dxa"/>
            <w:vAlign w:val="bottom"/>
          </w:tcPr>
          <w:p>
            <w:pPr>
              <w:spacing w:after="0"/>
              <w:rPr>
                <w:sz w:val="20"/>
                <w:szCs w:val="20"/>
                <w:color w:val="auto"/>
              </w:rPr>
            </w:pPr>
            <w:r>
              <w:rPr>
                <w:rFonts w:ascii="Arial" w:cs="Arial" w:eastAsia="Arial" w:hAnsi="Arial"/>
                <w:sz w:val="15"/>
                <w:szCs w:val="15"/>
                <w:color w:val="auto"/>
              </w:rPr>
              <w:t>Less: Current Maturities of Long-term Debt</w:t>
            </w:r>
          </w:p>
        </w:tc>
        <w:tc>
          <w:tcPr>
            <w:tcW w:w="280" w:type="dxa"/>
            <w:vAlign w:val="bottom"/>
            <w:gridSpan w:val="2"/>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(29,232)</w:t>
            </w:r>
          </w:p>
        </w:tc>
        <w:tc>
          <w:tcPr>
            <w:tcW w:w="16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(26,118)</w:t>
            </w:r>
          </w:p>
        </w:tc>
      </w:tr>
      <w:tr>
        <w:trPr>
          <w:trHeight w:val="20"/>
        </w:trPr>
        <w:tc>
          <w:tcPr>
            <w:tcW w:w="4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36"/>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Total Long-term Debt</w:t>
            </w:r>
          </w:p>
        </w:tc>
        <w:tc>
          <w:tcPr>
            <w:tcW w:w="280" w:type="dxa"/>
            <w:vAlign w:val="bottom"/>
            <w:gridSpan w:val="2"/>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6"/>
              </w:rPr>
              <w:t>$274,109</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$256,345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-2043430</wp:posOffset>
            </wp:positionV>
            <wp:extent cx="3634740" cy="69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6" w:name="page257"/>
    <w:bookmarkEnd w:id="256"/>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7. DEBT (continued)</w:t>
      </w:r>
    </w:p>
    <w:p>
      <w:pPr>
        <w:spacing w:after="0" w:line="18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Future maturities of the outstanding Debt are as follows:</w:t>
      </w:r>
    </w:p>
    <w:p>
      <w:pPr>
        <w:spacing w:after="0" w:line="13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2"/>
                <w:szCs w:val="12"/>
                <w:b w:val="1"/>
                <w:bCs w:val="1"/>
                <w:color w:val="auto"/>
                <w:w w:val="86"/>
              </w:rPr>
              <w:t>Debt Principal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11"/>
          </w:tcPr>
          <w:p>
            <w:pPr>
              <w:ind w:left="20"/>
              <w:spacing w:after="0"/>
              <w:rPr>
                <w:sz w:val="20"/>
                <w:szCs w:val="20"/>
                <w:color w:val="auto"/>
              </w:rPr>
            </w:pPr>
            <w:r>
              <w:rPr>
                <w:rFonts w:ascii="Arial" w:cs="Arial" w:eastAsia="Arial" w:hAnsi="Arial"/>
                <w:sz w:val="12"/>
                <w:szCs w:val="12"/>
                <w:b w:val="1"/>
                <w:bCs w:val="1"/>
                <w:color w:val="auto"/>
              </w:rPr>
              <w:t>Amortization of Debt</w:t>
            </w:r>
          </w:p>
        </w:tc>
      </w:tr>
      <w:tr>
        <w:trPr>
          <w:trHeight w:val="150"/>
        </w:trPr>
        <w:tc>
          <w:tcPr>
            <w:tcW w:w="3940" w:type="dxa"/>
            <w:vAlign w:val="bottom"/>
          </w:tcPr>
          <w:p>
            <w:pPr>
              <w:spacing w:after="0"/>
              <w:rPr>
                <w:sz w:val="20"/>
                <w:szCs w:val="20"/>
                <w:color w:val="auto"/>
              </w:rPr>
            </w:pPr>
            <w:r>
              <w:rPr>
                <w:rFonts w:ascii="Arial" w:cs="Arial" w:eastAsia="Arial" w:hAnsi="Arial"/>
                <w:sz w:val="12"/>
                <w:szCs w:val="12"/>
                <w:b w:val="1"/>
                <w:bCs w:val="1"/>
                <w:color w:val="auto"/>
              </w:rPr>
              <w:t>March 31, 2021</w:t>
            </w:r>
          </w:p>
        </w:tc>
        <w:tc>
          <w:tcPr>
            <w:tcW w:w="100" w:type="dxa"/>
            <w:vAlign w:val="bottom"/>
          </w:tcPr>
          <w:p>
            <w:pPr>
              <w:spacing w:after="0"/>
              <w:rPr>
                <w:sz w:val="13"/>
                <w:szCs w:val="13"/>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4"/>
              </w:rPr>
              <w:t>Payments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ind w:left="160"/>
              <w:spacing w:after="0"/>
              <w:rPr>
                <w:sz w:val="20"/>
                <w:szCs w:val="20"/>
                <w:color w:val="auto"/>
              </w:rPr>
            </w:pPr>
            <w:r>
              <w:rPr>
                <w:rFonts w:ascii="Arial" w:cs="Arial" w:eastAsia="Arial" w:hAnsi="Arial"/>
                <w:sz w:val="12"/>
                <w:szCs w:val="12"/>
                <w:b w:val="1"/>
                <w:bCs w:val="1"/>
                <w:color w:val="auto"/>
                <w:w w:val="79"/>
              </w:rPr>
              <w:t>Issuance Costs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97"/>
              </w:rPr>
              <w:t>Net Debt</w:t>
            </w: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28,799</w:t>
            </w: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5"/>
                <w:szCs w:val="15"/>
                <w:color w:val="auto"/>
              </w:rPr>
              <w:t>$  (775)</w:t>
            </w:r>
          </w:p>
        </w:tc>
        <w:tc>
          <w:tcPr>
            <w:tcW w:w="4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$ 28,024</w:t>
            </w:r>
          </w:p>
        </w:tc>
      </w:tr>
      <w:tr>
        <w:trPr>
          <w:trHeight w:val="209"/>
        </w:trPr>
        <w:tc>
          <w:tcPr>
            <w:tcW w:w="3940" w:type="dxa"/>
            <w:vAlign w:val="bottom"/>
          </w:tcPr>
          <w:p>
            <w:pPr>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32,059</w:t>
            </w:r>
          </w:p>
        </w:tc>
        <w:tc>
          <w:tcPr>
            <w:tcW w:w="1040" w:type="dxa"/>
            <w:vAlign w:val="bottom"/>
            <w:gridSpan w:val="7"/>
          </w:tcPr>
          <w:p>
            <w:pPr>
              <w:jc w:val="right"/>
              <w:ind w:right="40"/>
              <w:spacing w:after="0"/>
              <w:rPr>
                <w:sz w:val="20"/>
                <w:szCs w:val="20"/>
                <w:color w:val="auto"/>
              </w:rPr>
            </w:pPr>
            <w:r>
              <w:rPr>
                <w:rFonts w:ascii="Arial" w:cs="Arial" w:eastAsia="Arial" w:hAnsi="Arial"/>
                <w:sz w:val="15"/>
                <w:szCs w:val="15"/>
                <w:color w:val="auto"/>
              </w:rPr>
              <w:t>(983)</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31,076</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2023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44,900</w:t>
            </w: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5"/>
                <w:szCs w:val="15"/>
                <w:color w:val="auto"/>
              </w:rPr>
              <w:t>(908)</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43,992</w:t>
            </w:r>
          </w:p>
        </w:tc>
      </w:tr>
      <w:tr>
        <w:trPr>
          <w:trHeight w:val="209"/>
        </w:trPr>
        <w:tc>
          <w:tcPr>
            <w:tcW w:w="3940" w:type="dxa"/>
            <w:vAlign w:val="bottom"/>
          </w:tcPr>
          <w:p>
            <w:pPr>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5"/>
                <w:szCs w:val="15"/>
                <w:color w:val="auto"/>
              </w:rPr>
              <w:t>43,962</w:t>
            </w:r>
          </w:p>
        </w:tc>
        <w:tc>
          <w:tcPr>
            <w:tcW w:w="1040" w:type="dxa"/>
            <w:vAlign w:val="bottom"/>
            <w:gridSpan w:val="7"/>
          </w:tcPr>
          <w:p>
            <w:pPr>
              <w:jc w:val="right"/>
              <w:ind w:right="40"/>
              <w:spacing w:after="0"/>
              <w:rPr>
                <w:sz w:val="20"/>
                <w:szCs w:val="20"/>
                <w:color w:val="auto"/>
              </w:rPr>
            </w:pPr>
            <w:r>
              <w:rPr>
                <w:rFonts w:ascii="Arial" w:cs="Arial" w:eastAsia="Arial" w:hAnsi="Arial"/>
                <w:sz w:val="15"/>
                <w:szCs w:val="15"/>
                <w:color w:val="auto"/>
              </w:rPr>
              <w:t>(785)</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43,177</w:t>
            </w: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2025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45,062</w:t>
            </w:r>
          </w:p>
        </w:tc>
        <w:tc>
          <w:tcPr>
            <w:tcW w:w="1040" w:type="dxa"/>
            <w:vAlign w:val="bottom"/>
            <w:gridSpan w:val="7"/>
            <w:shd w:val="clear" w:color="auto" w:fill="CCEEFF"/>
          </w:tcPr>
          <w:p>
            <w:pPr>
              <w:jc w:val="right"/>
              <w:ind w:right="40"/>
              <w:spacing w:after="0"/>
              <w:rPr>
                <w:sz w:val="20"/>
                <w:szCs w:val="20"/>
                <w:color w:val="auto"/>
              </w:rPr>
            </w:pPr>
            <w:r>
              <w:rPr>
                <w:rFonts w:ascii="Arial" w:cs="Arial" w:eastAsia="Arial" w:hAnsi="Arial"/>
                <w:sz w:val="15"/>
                <w:szCs w:val="15"/>
                <w:color w:val="auto"/>
              </w:rPr>
              <w:t>(670)</w:t>
            </w: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44,392</w:t>
            </w:r>
          </w:p>
        </w:tc>
      </w:tr>
      <w:tr>
        <w:trPr>
          <w:trHeight w:val="214"/>
        </w:trPr>
        <w:tc>
          <w:tcPr>
            <w:tcW w:w="3940" w:type="dxa"/>
            <w:vAlign w:val="bottom"/>
          </w:tcPr>
          <w:p>
            <w:pPr>
              <w:spacing w:after="0"/>
              <w:rPr>
                <w:sz w:val="20"/>
                <w:szCs w:val="20"/>
                <w:color w:val="auto"/>
              </w:rPr>
            </w:pPr>
            <w:r>
              <w:rPr>
                <w:rFonts w:ascii="Arial" w:cs="Arial" w:eastAsia="Arial" w:hAnsi="Arial"/>
                <w:sz w:val="15"/>
                <w:szCs w:val="15"/>
                <w:color w:val="auto"/>
              </w:rPr>
              <w:t>Thereafter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112,950</w:t>
            </w:r>
          </w:p>
        </w:tc>
        <w:tc>
          <w:tcPr>
            <w:tcW w:w="80" w:type="dxa"/>
            <w:vAlign w:val="bottom"/>
          </w:tcPr>
          <w:p>
            <w:pPr>
              <w:spacing w:after="0"/>
              <w:rPr>
                <w:sz w:val="18"/>
                <w:szCs w:val="18"/>
                <w:color w:val="auto"/>
              </w:rPr>
            </w:pPr>
          </w:p>
        </w:tc>
        <w:tc>
          <w:tcPr>
            <w:tcW w:w="480" w:type="dxa"/>
            <w:vAlign w:val="bottom"/>
            <w:gridSpan w:val="4"/>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5"/>
                <w:szCs w:val="15"/>
                <w:color w:val="auto"/>
              </w:rPr>
              <w:t>(270)</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5"/>
                <w:szCs w:val="15"/>
                <w:color w:val="auto"/>
              </w:rPr>
              <w:t>112,680</w:t>
            </w:r>
          </w:p>
        </w:tc>
      </w:tr>
      <w:tr>
        <w:trPr>
          <w:trHeight w:val="20"/>
        </w:trPr>
        <w:tc>
          <w:tcPr>
            <w:tcW w:w="3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36"/>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307,732</w:t>
            </w:r>
          </w:p>
        </w:tc>
        <w:tc>
          <w:tcPr>
            <w:tcW w:w="80" w:type="dxa"/>
            <w:vAlign w:val="bottom"/>
            <w:shd w:val="clear" w:color="auto" w:fill="CCEEFF"/>
          </w:tcPr>
          <w:p>
            <w:pPr>
              <w:spacing w:after="0"/>
              <w:rPr>
                <w:sz w:val="20"/>
                <w:szCs w:val="20"/>
                <w:color w:val="auto"/>
              </w:rPr>
            </w:pPr>
          </w:p>
        </w:tc>
        <w:tc>
          <w:tcPr>
            <w:tcW w:w="480" w:type="dxa"/>
            <w:vAlign w:val="bottom"/>
            <w:gridSpan w:val="4"/>
            <w:shd w:val="clear" w:color="auto" w:fill="CCEEFF"/>
          </w:tcPr>
          <w:p>
            <w:pPr>
              <w:spacing w:after="0"/>
              <w:rPr>
                <w:sz w:val="20"/>
                <w:szCs w:val="20"/>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89"/>
              </w:rPr>
              <w:t>$(4,391)</w:t>
            </w:r>
          </w:p>
        </w:tc>
        <w:tc>
          <w:tcPr>
            <w:tcW w:w="40" w:type="dxa"/>
            <w:vAlign w:val="bottom"/>
            <w:shd w:val="clear" w:color="auto" w:fill="CCEEFF"/>
          </w:tcPr>
          <w:p>
            <w:pPr>
              <w:spacing w:after="0"/>
              <w:rPr>
                <w:sz w:val="20"/>
                <w:szCs w:val="20"/>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$303,341</w:t>
            </w:r>
          </w:p>
        </w:tc>
      </w:tr>
      <w:tr>
        <w:trPr>
          <w:trHeight w:val="20"/>
        </w:trPr>
        <w:tc>
          <w:tcPr>
            <w:tcW w:w="404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349"/>
        </w:trPr>
        <w:tc>
          <w:tcPr>
            <w:tcW w:w="4680" w:type="dxa"/>
            <w:vAlign w:val="bottom"/>
            <w:gridSpan w:val="5"/>
          </w:tcPr>
          <w:p>
            <w:pPr>
              <w:ind w:left="300"/>
              <w:spacing w:after="0"/>
              <w:rPr>
                <w:sz w:val="20"/>
                <w:szCs w:val="20"/>
                <w:color w:val="auto"/>
              </w:rPr>
            </w:pPr>
            <w:r>
              <w:rPr>
                <w:rFonts w:ascii="Arial" w:cs="Arial" w:eastAsia="Arial" w:hAnsi="Arial"/>
                <w:sz w:val="15"/>
                <w:szCs w:val="15"/>
                <w:color w:val="auto"/>
                <w:w w:val="94"/>
              </w:rPr>
              <w:t>The table below presents the Company’s debt measured at fair value: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6"/>
        </w:trPr>
        <w:tc>
          <w:tcPr>
            <w:tcW w:w="3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7"/>
          </w:tcPr>
          <w:p>
            <w:pPr>
              <w:ind w:left="20"/>
              <w:spacing w:after="0"/>
              <w:rPr>
                <w:sz w:val="20"/>
                <w:szCs w:val="20"/>
                <w:color w:val="auto"/>
              </w:rPr>
            </w:pPr>
            <w:r>
              <w:rPr>
                <w:rFonts w:ascii="Arial" w:cs="Arial" w:eastAsia="Arial" w:hAnsi="Arial"/>
                <w:sz w:val="12"/>
                <w:szCs w:val="12"/>
                <w:b w:val="1"/>
                <w:bCs w:val="1"/>
                <w:color w:val="auto"/>
              </w:rPr>
              <w:t>March 31, 2021</w:t>
            </w:r>
          </w:p>
        </w:tc>
        <w:tc>
          <w:tcPr>
            <w:tcW w:w="92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83"/>
              </w:rPr>
              <w:t>December 31, 2020</w:t>
            </w: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5"/>
        </w:trPr>
        <w:tc>
          <w:tcPr>
            <w:tcW w:w="3940" w:type="dxa"/>
            <w:vAlign w:val="bottom"/>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spacing w:after="0"/>
              <w:rPr>
                <w:sz w:val="17"/>
                <w:szCs w:val="17"/>
                <w:color w:val="auto"/>
              </w:rPr>
            </w:pPr>
          </w:p>
        </w:tc>
        <w:tc>
          <w:tcPr>
            <w:tcW w:w="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$307,732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center"/>
              <w:ind w:left="88"/>
              <w:spacing w:after="0"/>
              <w:rPr>
                <w:sz w:val="20"/>
                <w:szCs w:val="20"/>
                <w:color w:val="auto"/>
              </w:rPr>
            </w:pPr>
            <w:r>
              <w:rPr>
                <w:rFonts w:ascii="Arial" w:cs="Arial" w:eastAsia="Arial" w:hAnsi="Arial"/>
                <w:sz w:val="15"/>
                <w:szCs w:val="15"/>
                <w:color w:val="auto"/>
                <w:w w:val="89"/>
              </w:rPr>
              <w:t>$285,801</w:t>
            </w:r>
          </w:p>
        </w:tc>
        <w:tc>
          <w:tcPr>
            <w:tcW w:w="200" w:type="dxa"/>
            <w:vAlign w:val="bottom"/>
            <w:shd w:val="clear" w:color="auto" w:fill="CCEEFF"/>
          </w:tcPr>
          <w:p>
            <w:pPr>
              <w:spacing w:after="0"/>
              <w:rPr>
                <w:sz w:val="17"/>
                <w:szCs w:val="17"/>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5"/>
                <w:szCs w:val="15"/>
                <w:color w:val="auto"/>
              </w:rPr>
              <w:t>Fair Value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5"/>
                <w:szCs w:val="15"/>
                <w:color w:val="auto"/>
              </w:rPr>
              <w:t>$301,513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center"/>
              <w:ind w:left="88"/>
              <w:spacing w:after="0"/>
              <w:rPr>
                <w:sz w:val="20"/>
                <w:szCs w:val="20"/>
                <w:color w:val="auto"/>
              </w:rPr>
            </w:pPr>
            <w:r>
              <w:rPr>
                <w:rFonts w:ascii="Arial" w:cs="Arial" w:eastAsia="Arial" w:hAnsi="Arial"/>
                <w:sz w:val="15"/>
                <w:szCs w:val="15"/>
                <w:color w:val="auto"/>
                <w:w w:val="89"/>
              </w:rPr>
              <w:t>$279,119</w:t>
            </w:r>
          </w:p>
        </w:tc>
        <w:tc>
          <w:tcPr>
            <w:tcW w:w="20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4311015</wp:posOffset>
            </wp:positionH>
            <wp:positionV relativeFrom="paragraph">
              <wp:posOffset>-927100</wp:posOffset>
            </wp:positionV>
            <wp:extent cx="313690"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136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-927100</wp:posOffset>
            </wp:positionV>
            <wp:extent cx="3279140"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279140" cy="698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-1736725</wp:posOffset>
            </wp:positionV>
            <wp:extent cx="111760"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-1736725</wp:posOffset>
            </wp:positionV>
            <wp:extent cx="3083560"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0835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-320040</wp:posOffset>
            </wp:positionV>
            <wp:extent cx="3634740" cy="69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89" w:lineRule="exact"/>
        <w:rPr>
          <w:sz w:val="20"/>
          <w:szCs w:val="20"/>
          <w:color w:val="auto"/>
        </w:rPr>
      </w:pPr>
    </w:p>
    <w:p>
      <w:pPr>
        <w:ind w:left="1160" w:right="1359" w:firstLine="293"/>
        <w:spacing w:after="0" w:line="269" w:lineRule="auto"/>
        <w:rPr>
          <w:sz w:val="20"/>
          <w:szCs w:val="20"/>
          <w:color w:val="auto"/>
        </w:rPr>
      </w:pPr>
      <w:r>
        <w:rPr>
          <w:rFonts w:ascii="Arial" w:cs="Arial" w:eastAsia="Arial" w:hAnsi="Arial"/>
          <w:sz w:val="15"/>
          <w:szCs w:val="15"/>
          <w:color w:val="auto"/>
        </w:rPr>
        <w:t>The fair value of the Company’s debt was based on the discounted amount of future cash flows using the Company’s end-of-period incremental borrowing rate for similar obligations. The estimates were primarily based on Level 3 inputs.</w:t>
      </w:r>
    </w:p>
    <w:p>
      <w:pPr>
        <w:spacing w:after="0" w:line="14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8. FUEL DERIVATIVES AND RISK MANAGEMENT</w:t>
      </w:r>
    </w:p>
    <w:p>
      <w:pPr>
        <w:spacing w:after="0" w:line="117" w:lineRule="exact"/>
        <w:rPr>
          <w:sz w:val="20"/>
          <w:szCs w:val="20"/>
          <w:color w:val="auto"/>
        </w:rPr>
      </w:pPr>
    </w:p>
    <w:p>
      <w:pPr>
        <w:ind w:left="1160" w:right="1219" w:firstLine="293"/>
        <w:spacing w:after="0" w:line="251" w:lineRule="auto"/>
        <w:rPr>
          <w:sz w:val="20"/>
          <w:szCs w:val="20"/>
          <w:color w:val="auto"/>
        </w:rPr>
      </w:pPr>
      <w:r>
        <w:rPr>
          <w:rFonts w:ascii="Arial" w:cs="Arial" w:eastAsia="Arial" w:hAnsi="Arial"/>
          <w:sz w:val="15"/>
          <w:szCs w:val="15"/>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02" w:lineRule="exact"/>
        <w:rPr>
          <w:sz w:val="20"/>
          <w:szCs w:val="20"/>
          <w:color w:val="auto"/>
        </w:rPr>
      </w:pPr>
    </w:p>
    <w:p>
      <w:pPr>
        <w:ind w:left="1160" w:right="1199" w:firstLine="293"/>
        <w:spacing w:after="0" w:line="249" w:lineRule="auto"/>
        <w:rPr>
          <w:sz w:val="20"/>
          <w:szCs w:val="20"/>
          <w:color w:val="auto"/>
        </w:rPr>
      </w:pPr>
      <w:r>
        <w:rPr>
          <w:rFonts w:ascii="Arial" w:cs="Arial" w:eastAsia="Arial" w:hAnsi="Arial"/>
          <w:sz w:val="15"/>
          <w:szCs w:val="15"/>
          <w:color w:val="auto"/>
        </w:rPr>
        <w:t>Fuel derivative contracts are recognized at fair value on the Condensed Consolidated Balance Sheets as Derivative Assets, if the fair value is in an asset position, or as Derivative Liabilities, if the fair value is in a liability position. The Company did not have any collateral held by counterparties to these agreements as of March 31, 2021 and December 31, 2020. Derivatives where the payment due date is greater than one year from the balance sheet date are classified as long-term.</w:t>
      </w:r>
    </w:p>
    <w:p>
      <w:pPr>
        <w:spacing w:after="0" w:line="10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Changes in Derivative Assets (Liabilities) were as follows:</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20" w:type="dxa"/>
            <w:vAlign w:val="bottom"/>
            <w:gridSpan w:val="8"/>
          </w:tcPr>
          <w:p>
            <w:pPr>
              <w:jc w:val="right"/>
              <w:ind w:right="40"/>
              <w:spacing w:after="0"/>
              <w:rPr>
                <w:sz w:val="20"/>
                <w:szCs w:val="20"/>
                <w:color w:val="auto"/>
              </w:rPr>
            </w:pPr>
            <w:r>
              <w:rPr>
                <w:rFonts w:ascii="Arial" w:cs="Arial" w:eastAsia="Arial" w:hAnsi="Arial"/>
                <w:sz w:val="12"/>
                <w:szCs w:val="12"/>
                <w:b w:val="1"/>
                <w:bCs w:val="1"/>
                <w:color w:val="auto"/>
                <w:w w:val="87"/>
              </w:rPr>
              <w:t>Three Months Ended March 31,</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7"/>
        </w:trPr>
        <w:tc>
          <w:tcPr>
            <w:tcW w:w="10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280" w:type="dxa"/>
            <w:vAlign w:val="bottom"/>
            <w:gridSpan w:val="3"/>
          </w:tcPr>
          <w:p>
            <w:pPr>
              <w:jc w:val="right"/>
              <w:ind w:right="4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Balance—January 1</w:t>
            </w:r>
          </w:p>
        </w:tc>
        <w:tc>
          <w:tcPr>
            <w:tcW w:w="3400" w:type="dxa"/>
            <w:vAlign w:val="bottom"/>
            <w:gridSpan w:val="4"/>
            <w:shd w:val="clear" w:color="auto" w:fill="CCEEFF"/>
          </w:tcPr>
          <w:p>
            <w:pPr>
              <w:jc w:val="right"/>
              <w:ind w:right="80"/>
              <w:spacing w:after="0"/>
              <w:rPr>
                <w:sz w:val="20"/>
                <w:szCs w:val="20"/>
                <w:color w:val="auto"/>
              </w:rPr>
            </w:pPr>
            <w:r>
              <w:rPr>
                <w:rFonts w:ascii="Arial" w:cs="Arial" w:eastAsia="Arial" w:hAnsi="Arial"/>
                <w:sz w:val="15"/>
                <w:szCs w:val="15"/>
                <w:color w:val="auto"/>
              </w:rPr>
              <w:t>$(1,173)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2,233</w:t>
            </w:r>
          </w:p>
        </w:tc>
        <w:tc>
          <w:tcPr>
            <w:tcW w:w="102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Non-cash Gains (Losses)</w:t>
            </w:r>
          </w:p>
        </w:tc>
        <w:tc>
          <w:tcPr>
            <w:tcW w:w="3400" w:type="dxa"/>
            <w:vAlign w:val="bottom"/>
            <w:gridSpan w:val="4"/>
          </w:tcPr>
          <w:p>
            <w:pPr>
              <w:jc w:val="right"/>
              <w:ind w:right="120"/>
              <w:spacing w:after="0"/>
              <w:rPr>
                <w:sz w:val="20"/>
                <w:szCs w:val="20"/>
                <w:color w:val="auto"/>
              </w:rPr>
            </w:pPr>
            <w:r>
              <w:rPr>
                <w:rFonts w:ascii="Arial" w:cs="Arial" w:eastAsia="Arial" w:hAnsi="Arial"/>
                <w:sz w:val="15"/>
                <w:szCs w:val="15"/>
                <w:color w:val="auto"/>
              </w:rPr>
              <w:t>2,386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(21,752)</w:t>
            </w:r>
          </w:p>
        </w:tc>
        <w:tc>
          <w:tcPr>
            <w:tcW w:w="1020" w:type="dxa"/>
            <w:vAlign w:val="bottom"/>
          </w:tcPr>
          <w:p>
            <w:pPr>
              <w:spacing w:after="0"/>
              <w:rPr>
                <w:sz w:val="18"/>
                <w:szCs w:val="18"/>
                <w:color w:val="auto"/>
              </w:rPr>
            </w:pPr>
          </w:p>
        </w:tc>
      </w:tr>
      <w:tr>
        <w:trPr>
          <w:trHeight w:val="214"/>
        </w:trPr>
        <w:tc>
          <w:tcPr>
            <w:tcW w:w="10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Contract Settlements</w:t>
            </w:r>
          </w:p>
        </w:tc>
        <w:tc>
          <w:tcPr>
            <w:tcW w:w="282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w:t>
            </w: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Balance—March 31</w:t>
            </w:r>
          </w:p>
        </w:tc>
        <w:tc>
          <w:tcPr>
            <w:tcW w:w="2820" w:type="dxa"/>
            <w:vAlign w:val="bottom"/>
            <w:gridSpan w:val="2"/>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$ 1,205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85"/>
              </w:rPr>
              <w:t>(19,454)</w:t>
            </w: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78"/>
        </w:trPr>
        <w:tc>
          <w:tcPr>
            <w:tcW w:w="1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80" w:type="dxa"/>
            <w:vAlign w:val="bottom"/>
            <w:gridSpan w:val="6"/>
          </w:tcPr>
          <w:p>
            <w:pPr>
              <w:ind w:left="820"/>
              <w:spacing w:after="0"/>
              <w:rPr>
                <w:sz w:val="20"/>
                <w:szCs w:val="20"/>
                <w:color w:val="auto"/>
              </w:rPr>
            </w:pPr>
            <w:r>
              <w:rPr>
                <w:rFonts w:ascii="Arial" w:cs="Arial" w:eastAsia="Arial" w:hAnsi="Arial"/>
                <w:sz w:val="15"/>
                <w:szCs w:val="15"/>
                <w:color w:val="auto"/>
              </w:rPr>
              <w:t>F-63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-1115695</wp:posOffset>
            </wp:positionV>
            <wp:extent cx="3760470"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76047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7" w:name="page258"/>
    <w:bookmarkEnd w:id="257"/>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300" w:hanging="136"/>
        <w:spacing w:after="0"/>
        <w:tabs>
          <w:tab w:leader="none" w:pos="130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FUEL DERIVATIVES AND RISK MANAGEMENT (continued)</w:t>
      </w:r>
    </w:p>
    <w:p>
      <w:pPr>
        <w:spacing w:after="0" w:line="183" w:lineRule="exact"/>
        <w:rPr>
          <w:rFonts w:ascii="Arial" w:cs="Arial" w:eastAsia="Arial" w:hAnsi="Arial"/>
          <w:sz w:val="15"/>
          <w:szCs w:val="15"/>
          <w:b w:val="1"/>
          <w:bCs w:val="1"/>
          <w:color w:val="auto"/>
        </w:rPr>
      </w:pPr>
    </w:p>
    <w:p>
      <w:pPr>
        <w:ind w:left="1460"/>
        <w:spacing w:after="0"/>
        <w:rPr>
          <w:rFonts w:ascii="Arial" w:cs="Arial" w:eastAsia="Arial" w:hAnsi="Arial"/>
          <w:sz w:val="15"/>
          <w:szCs w:val="15"/>
          <w:b w:val="1"/>
          <w:bCs w:val="1"/>
          <w:color w:val="auto"/>
        </w:rPr>
      </w:pPr>
      <w:r>
        <w:rPr>
          <w:rFonts w:ascii="Arial" w:cs="Arial" w:eastAsia="Arial" w:hAnsi="Arial"/>
          <w:sz w:val="15"/>
          <w:szCs w:val="15"/>
          <w:color w:val="auto"/>
        </w:rPr>
        <w:t>Fuel Derivative Gains (Losses) consisted of the following:</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5080" w:type="dxa"/>
            <w:vAlign w:val="bottom"/>
          </w:tcPr>
          <w:p>
            <w:pPr>
              <w:spacing w:after="0"/>
              <w:rPr>
                <w:sz w:val="13"/>
                <w:szCs w:val="13"/>
                <w:color w:val="auto"/>
              </w:rPr>
            </w:pPr>
          </w:p>
        </w:tc>
        <w:tc>
          <w:tcPr>
            <w:tcW w:w="160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87"/>
              </w:rPr>
              <w:t>Three Months Ended March 31,</w:t>
            </w:r>
          </w:p>
        </w:tc>
      </w:tr>
      <w:tr>
        <w:trPr>
          <w:trHeight w:val="21"/>
        </w:trPr>
        <w:tc>
          <w:tcPr>
            <w:tcW w:w="50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57"/>
        </w:trPr>
        <w:tc>
          <w:tcPr>
            <w:tcW w:w="5080" w:type="dxa"/>
            <w:vAlign w:val="bottom"/>
          </w:tcPr>
          <w:p>
            <w:pPr>
              <w:spacing w:after="0"/>
              <w:rPr>
                <w:sz w:val="13"/>
                <w:szCs w:val="13"/>
                <w:color w:val="auto"/>
              </w:rPr>
            </w:pPr>
          </w:p>
        </w:tc>
        <w:tc>
          <w:tcPr>
            <w:tcW w:w="520" w:type="dxa"/>
            <w:vAlign w:val="bottom"/>
            <w:gridSpan w:val="2"/>
          </w:tcPr>
          <w:p>
            <w:pPr>
              <w:jc w:val="right"/>
              <w:ind w:right="7"/>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21"/>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0"/>
        </w:trPr>
        <w:tc>
          <w:tcPr>
            <w:tcW w:w="5080" w:type="dxa"/>
            <w:vAlign w:val="bottom"/>
            <w:shd w:val="clear" w:color="auto" w:fill="CCEEFF"/>
          </w:tcPr>
          <w:p>
            <w:pPr>
              <w:spacing w:after="0"/>
              <w:rPr>
                <w:sz w:val="20"/>
                <w:szCs w:val="20"/>
                <w:color w:val="auto"/>
              </w:rPr>
            </w:pPr>
            <w:r>
              <w:rPr>
                <w:rFonts w:ascii="Arial" w:cs="Arial" w:eastAsia="Arial" w:hAnsi="Arial"/>
                <w:sz w:val="15"/>
                <w:szCs w:val="15"/>
                <w:color w:val="auto"/>
              </w:rPr>
              <w:t>Non-cash Gains (Losses)</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$2,386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$(21,752)</w:t>
            </w:r>
          </w:p>
        </w:tc>
      </w:tr>
      <w:tr>
        <w:trPr>
          <w:trHeight w:val="214"/>
        </w:trPr>
        <w:tc>
          <w:tcPr>
            <w:tcW w:w="5080" w:type="dxa"/>
            <w:vAlign w:val="bottom"/>
          </w:tcPr>
          <w:p>
            <w:pPr>
              <w:spacing w:after="0"/>
              <w:rPr>
                <w:sz w:val="20"/>
                <w:szCs w:val="20"/>
                <w:color w:val="auto"/>
              </w:rPr>
            </w:pPr>
            <w:r>
              <w:rPr>
                <w:rFonts w:ascii="Arial" w:cs="Arial" w:eastAsia="Arial" w:hAnsi="Arial"/>
                <w:sz w:val="15"/>
                <w:szCs w:val="15"/>
                <w:color w:val="auto"/>
              </w:rPr>
              <w:t>Cash Premiums Paid</w:t>
            </w:r>
          </w:p>
        </w:tc>
        <w:tc>
          <w:tcPr>
            <w:tcW w:w="12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(284)</w:t>
            </w:r>
          </w:p>
        </w:tc>
      </w:tr>
      <w:tr>
        <w:trPr>
          <w:trHeight w:val="20"/>
        </w:trPr>
        <w:tc>
          <w:tcPr>
            <w:tcW w:w="5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Fuel Derivative Gains (Losses)</w:t>
            </w: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2"/>
              </w:rPr>
              <w:t>$2,386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$(22,036)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746500" cy="69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746500" cy="6985"/>
                    </a:xfrm>
                    <a:prstGeom prst="rect">
                      <a:avLst/>
                    </a:prstGeom>
                    <a:noFill/>
                  </pic:spPr>
                </pic:pic>
              </a:graphicData>
            </a:graphic>
          </wp:anchor>
        </w:drawing>
      </w:r>
    </w:p>
    <w:p>
      <w:pPr>
        <w:spacing w:after="0" w:line="145" w:lineRule="exact"/>
        <w:rPr>
          <w:sz w:val="20"/>
          <w:szCs w:val="20"/>
          <w:color w:val="auto"/>
        </w:rPr>
      </w:pPr>
    </w:p>
    <w:p>
      <w:pPr>
        <w:ind w:left="1160" w:right="1199" w:firstLine="293"/>
        <w:spacing w:after="0" w:line="255" w:lineRule="auto"/>
        <w:rPr>
          <w:sz w:val="20"/>
          <w:szCs w:val="20"/>
          <w:color w:val="auto"/>
        </w:rPr>
      </w:pPr>
      <w:r>
        <w:rPr>
          <w:rFonts w:ascii="Arial" w:cs="Arial" w:eastAsia="Arial" w:hAnsi="Arial"/>
          <w:sz w:val="14"/>
          <w:szCs w:val="14"/>
          <w:color w:val="auto"/>
        </w:rPr>
        <w:t>The gain in the quarter ended March 31, 2021 was primarily due to an increase in oil prices. The loss in the quarter ended March 31, 2020 was primarily due to the significant decline in oil prices. There were fuel derivative gains in the second, third and fourth quarters of 2020, primarily due to the partial recovery of oil prices following the decline during the first quarter of 2020. Fuel derivative gains and losses are classified in Aircraft Fuel on the Condensed Consolidated Statements of Operations.</w:t>
      </w:r>
    </w:p>
    <w:p>
      <w:pPr>
        <w:spacing w:after="0" w:line="90"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As of March 31, 2021, the Company had outstanding fuel derivative contracts covering 12.7 million gallons of crude oil and jet fuel that will settle between April 2021 and September 2021.</w:t>
      </w:r>
    </w:p>
    <w:p>
      <w:pPr>
        <w:spacing w:after="0" w:line="11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FAIR VALUE MEASUREMENTS</w:t>
      </w:r>
    </w:p>
    <w:p>
      <w:pPr>
        <w:spacing w:after="0" w:line="106" w:lineRule="exact"/>
        <w:rPr>
          <w:sz w:val="20"/>
          <w:szCs w:val="20"/>
          <w:color w:val="auto"/>
        </w:rPr>
      </w:pPr>
    </w:p>
    <w:p>
      <w:pPr>
        <w:ind w:left="1160" w:right="1179" w:firstLine="293"/>
        <w:spacing w:after="0" w:line="234" w:lineRule="auto"/>
        <w:rPr>
          <w:sz w:val="20"/>
          <w:szCs w:val="20"/>
          <w:color w:val="auto"/>
        </w:rPr>
      </w:pPr>
      <w:r>
        <w:rPr>
          <w:rFonts w:ascii="Arial" w:cs="Arial" w:eastAsia="Arial" w:hAnsi="Arial"/>
          <w:sz w:val="15"/>
          <w:szCs w:val="15"/>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79" w:lineRule="exact"/>
        <w:rPr>
          <w:sz w:val="20"/>
          <w:szCs w:val="20"/>
          <w:color w:val="auto"/>
        </w:rPr>
      </w:pPr>
    </w:p>
    <w:p>
      <w:pPr>
        <w:ind w:left="14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—Quoted prices for identical assets or liabilities in active markets.</w:t>
      </w:r>
    </w:p>
    <w:p>
      <w:pPr>
        <w:spacing w:after="0" w:line="113" w:lineRule="exact"/>
        <w:rPr>
          <w:sz w:val="20"/>
          <w:szCs w:val="20"/>
          <w:color w:val="auto"/>
        </w:rPr>
      </w:pPr>
    </w:p>
    <w:p>
      <w:pPr>
        <w:ind w:left="2040" w:right="1559" w:hanging="585"/>
        <w:spacing w:after="0" w:line="274" w:lineRule="auto"/>
        <w:rPr>
          <w:sz w:val="20"/>
          <w:szCs w:val="20"/>
          <w:color w:val="auto"/>
        </w:rPr>
      </w:pPr>
      <w:r>
        <w:rPr>
          <w:rFonts w:ascii="Arial" w:cs="Arial" w:eastAsia="Arial" w:hAnsi="Arial"/>
          <w:sz w:val="14"/>
          <w:szCs w:val="14"/>
          <w:u w:val="single" w:color="auto"/>
          <w:color w:val="auto"/>
        </w:rPr>
        <w:t>Level 2</w:t>
      </w:r>
      <w:r>
        <w:rPr>
          <w:rFonts w:ascii="Arial" w:cs="Arial" w:eastAsia="Arial" w:hAnsi="Arial"/>
          <w:sz w:val="14"/>
          <w:szCs w:val="14"/>
          <w:color w:val="auto"/>
        </w:rPr>
        <w:t>—Observable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67" w:lineRule="exact"/>
        <w:rPr>
          <w:sz w:val="20"/>
          <w:szCs w:val="20"/>
          <w:color w:val="auto"/>
        </w:rPr>
      </w:pPr>
    </w:p>
    <w:p>
      <w:pPr>
        <w:ind w:left="2040" w:right="1279" w:hanging="585"/>
        <w:spacing w:after="0" w:line="264" w:lineRule="auto"/>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—Unobservable inputs that are supported by little or no market activity and that are significant to the fair value of the assets or liabilities.</w:t>
      </w:r>
    </w:p>
    <w:p>
      <w:pPr>
        <w:spacing w:after="0" w:line="93"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The Company uses the following valuation methodologies for financial instruments measured at fair value on a recurring basis.</w:t>
      </w:r>
    </w:p>
    <w:p>
      <w:pPr>
        <w:spacing w:after="0" w:line="79" w:lineRule="exact"/>
        <w:rPr>
          <w:sz w:val="20"/>
          <w:szCs w:val="20"/>
          <w:color w:val="auto"/>
        </w:rPr>
      </w:pPr>
    </w:p>
    <w:p>
      <w:pPr>
        <w:ind w:left="1160" w:right="1299" w:firstLine="293"/>
        <w:spacing w:after="0" w:line="260" w:lineRule="auto"/>
        <w:rPr>
          <w:sz w:val="20"/>
          <w:szCs w:val="20"/>
          <w:color w:val="auto"/>
        </w:rPr>
      </w:pPr>
      <w:r>
        <w:rPr>
          <w:rFonts w:ascii="Arial" w:cs="Arial" w:eastAsia="Arial" w:hAnsi="Arial"/>
          <w:sz w:val="14"/>
          <w:szCs w:val="14"/>
          <w:b w:val="1"/>
          <w:bCs w:val="1"/>
          <w:color w:val="auto"/>
        </w:rPr>
        <w:t>Derivative Instruments—</w:t>
      </w:r>
      <w:r>
        <w:rPr>
          <w:rFonts w:ascii="Arial" w:cs="Arial" w:eastAsia="Arial" w:hAnsi="Arial"/>
          <w:sz w:val="14"/>
          <w:szCs w:val="14"/>
          <w:color w:val="auto"/>
        </w:rPr>
        <w:t>Derivative instruments are accounted for as either assets or liabilities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86"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following table summarizes the assets and liabilities measured at fair value on a recurring basis:</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50"/>
        </w:trPr>
        <w:tc>
          <w:tcPr>
            <w:tcW w:w="10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120"/>
              <w:spacing w:after="0"/>
              <w:rPr>
                <w:sz w:val="20"/>
                <w:szCs w:val="20"/>
                <w:color w:val="auto"/>
              </w:rPr>
            </w:pPr>
            <w:r>
              <w:rPr>
                <w:rFonts w:ascii="Arial" w:cs="Arial" w:eastAsia="Arial" w:hAnsi="Arial"/>
                <w:sz w:val="12"/>
                <w:szCs w:val="12"/>
                <w:b w:val="1"/>
                <w:bCs w:val="1"/>
                <w:color w:val="auto"/>
              </w:rPr>
              <w:t>March 31, 2021</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3"/>
              </w:rPr>
              <w:t>Level 1</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Level 2</w:t>
            </w:r>
          </w:p>
        </w:tc>
        <w:tc>
          <w:tcPr>
            <w:tcW w:w="5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Level 3</w:t>
            </w:r>
          </w:p>
        </w:tc>
        <w:tc>
          <w:tcPr>
            <w:tcW w:w="1420" w:type="dxa"/>
            <w:vAlign w:val="bottom"/>
            <w:gridSpan w:val="2"/>
          </w:tcPr>
          <w:p>
            <w:pPr>
              <w:jc w:val="center"/>
              <w:ind w:right="1020"/>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Assets</w:t>
            </w:r>
          </w:p>
        </w:tc>
        <w:tc>
          <w:tcPr>
            <w:tcW w:w="3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91"/>
              </w:rPr>
              <w:t>$1,205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1420" w:type="dxa"/>
            <w:vAlign w:val="bottom"/>
            <w:gridSpan w:val="2"/>
          </w:tcPr>
          <w:p>
            <w:pPr>
              <w:jc w:val="center"/>
              <w:ind w:right="1020"/>
              <w:spacing w:after="0"/>
              <w:rPr>
                <w:sz w:val="20"/>
                <w:szCs w:val="20"/>
                <w:color w:val="auto"/>
              </w:rPr>
            </w:pPr>
            <w:r>
              <w:rPr>
                <w:rFonts w:ascii="Arial" w:cs="Arial" w:eastAsia="Arial" w:hAnsi="Arial"/>
                <w:sz w:val="15"/>
                <w:szCs w:val="15"/>
                <w:color w:val="auto"/>
                <w:w w:val="87"/>
              </w:rPr>
              <w:t>$1,205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Assets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$1,205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$1,205</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ind w:left="3180"/>
              <w:spacing w:after="0"/>
              <w:rPr>
                <w:sz w:val="20"/>
                <w:szCs w:val="20"/>
                <w:color w:val="auto"/>
              </w:rPr>
            </w:pPr>
            <w:r>
              <w:rPr>
                <w:rFonts w:ascii="Arial" w:cs="Arial" w:eastAsia="Arial" w:hAnsi="Arial"/>
                <w:sz w:val="15"/>
                <w:szCs w:val="15"/>
                <w:color w:val="auto"/>
              </w:rPr>
              <w:t>F-64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0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-711200</wp:posOffset>
            </wp:positionV>
            <wp:extent cx="3983355" cy="69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-975995</wp:posOffset>
            </wp:positionV>
            <wp:extent cx="3976370" cy="69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976370" cy="698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8" w:name="page259"/>
    <w:bookmarkEnd w:id="258"/>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9. FAIR VALUE MEASUREMENTS (continued)</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4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w w:val="98"/>
              </w:rPr>
              <w:t>December 31, 2020</w:t>
            </w:r>
          </w:p>
        </w:tc>
        <w:tc>
          <w:tcPr>
            <w:tcW w:w="400" w:type="dxa"/>
            <w:vAlign w:val="bottom"/>
          </w:tcPr>
          <w:p>
            <w:pPr>
              <w:spacing w:after="0"/>
              <w:rPr>
                <w:sz w:val="13"/>
                <w:szCs w:val="13"/>
                <w:color w:val="auto"/>
              </w:rPr>
            </w:pPr>
          </w:p>
        </w:tc>
      </w:tr>
      <w:tr>
        <w:trPr>
          <w:trHeight w:val="21"/>
        </w:trPr>
        <w:tc>
          <w:tcPr>
            <w:tcW w:w="46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57"/>
        </w:trPr>
        <w:tc>
          <w:tcPr>
            <w:tcW w:w="4660" w:type="dxa"/>
            <w:vAlign w:val="bottom"/>
          </w:tcPr>
          <w:p>
            <w:pPr>
              <w:spacing w:after="0"/>
              <w:rPr>
                <w:sz w:val="13"/>
                <w:szCs w:val="13"/>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73"/>
              </w:rPr>
              <w:t>Level 1</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3"/>
              </w:rPr>
              <w:t>Level 2</w:t>
            </w:r>
          </w:p>
        </w:tc>
        <w:tc>
          <w:tcPr>
            <w:tcW w:w="56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83"/>
              </w:rPr>
              <w:t>Level 3</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83"/>
              </w:rPr>
              <w:t>Total</w:t>
            </w: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0"/>
        </w:trPr>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Liabilities</w:t>
            </w: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4"/>
        </w:trPr>
        <w:tc>
          <w:tcPr>
            <w:tcW w:w="4660" w:type="dxa"/>
            <w:vAlign w:val="bottom"/>
          </w:tcPr>
          <w:p>
            <w:pPr>
              <w:ind w:left="160"/>
              <w:spacing w:after="0"/>
              <w:rPr>
                <w:sz w:val="20"/>
                <w:szCs w:val="20"/>
                <w:color w:val="auto"/>
              </w:rPr>
            </w:pPr>
            <w:r>
              <w:rPr>
                <w:rFonts w:ascii="Arial" w:cs="Arial" w:eastAsia="Arial" w:hAnsi="Arial"/>
                <w:sz w:val="15"/>
                <w:szCs w:val="15"/>
                <w:color w:val="auto"/>
              </w:rPr>
              <w:t>Fuel Derivative Contracts</w:t>
            </w:r>
          </w:p>
        </w:tc>
        <w:tc>
          <w:tcPr>
            <w:tcW w:w="300" w:type="dxa"/>
            <w:vAlign w:val="bottom"/>
          </w:tcPr>
          <w:p>
            <w:pPr>
              <w:jc w:val="center"/>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5"/>
                <w:szCs w:val="15"/>
                <w:color w:val="auto"/>
                <w:w w:val="91"/>
              </w:rPr>
              <w:t>$1,173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6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36"/>
        </w:trPr>
        <w:tc>
          <w:tcPr>
            <w:tcW w:w="4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Liabilities measured at fair value on a recurring basis</w:t>
            </w:r>
          </w:p>
        </w:tc>
        <w:tc>
          <w:tcPr>
            <w:tcW w:w="3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$1,173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5"/>
                <w:szCs w:val="15"/>
                <w:color w:val="auto"/>
                <w:w w:val="94"/>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$1,173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3983355" cy="698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98335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-452755</wp:posOffset>
            </wp:positionV>
            <wp:extent cx="3976370"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976370" cy="6985"/>
                    </a:xfrm>
                    <a:prstGeom prst="rect">
                      <a:avLst/>
                    </a:prstGeom>
                    <a:noFill/>
                  </pic:spPr>
                </pic:pic>
              </a:graphicData>
            </a:graphic>
          </wp:anchor>
        </w:drawing>
      </w:r>
    </w:p>
    <w:p>
      <w:pPr>
        <w:spacing w:after="0" w:line="156" w:lineRule="exact"/>
        <w:rPr>
          <w:sz w:val="20"/>
          <w:szCs w:val="20"/>
          <w:color w:val="auto"/>
        </w:rPr>
      </w:pPr>
    </w:p>
    <w:p>
      <w:pPr>
        <w:ind w:left="1160" w:right="1259" w:firstLine="293"/>
        <w:spacing w:after="0" w:line="253" w:lineRule="auto"/>
        <w:rPr>
          <w:sz w:val="20"/>
          <w:szCs w:val="20"/>
          <w:color w:val="auto"/>
        </w:rPr>
      </w:pPr>
      <w:r>
        <w:rPr>
          <w:rFonts w:ascii="Arial" w:cs="Arial" w:eastAsia="Arial" w:hAnsi="Arial"/>
          <w:sz w:val="14"/>
          <w:szCs w:val="14"/>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 -financial assets are assessed for impairment and, if applicable, written down to fair value using significant unobservable inputs, classified as Level 3.</w:t>
      </w:r>
    </w:p>
    <w:p>
      <w:pPr>
        <w:spacing w:after="0" w:line="91" w:lineRule="exact"/>
        <w:rPr>
          <w:sz w:val="20"/>
          <w:szCs w:val="20"/>
          <w:color w:val="auto"/>
        </w:rPr>
      </w:pPr>
    </w:p>
    <w:p>
      <w:pPr>
        <w:ind w:left="1160" w:right="1479" w:firstLine="293"/>
        <w:spacing w:after="0" w:line="248" w:lineRule="auto"/>
        <w:rPr>
          <w:sz w:val="20"/>
          <w:szCs w:val="20"/>
          <w:color w:val="auto"/>
        </w:rPr>
      </w:pPr>
      <w:r>
        <w:rPr>
          <w:rFonts w:ascii="Arial" w:cs="Arial" w:eastAsia="Arial" w:hAnsi="Arial"/>
          <w:sz w:val="15"/>
          <w:szCs w:val="15"/>
          <w:color w:val="auto"/>
        </w:rPr>
        <w:t>The Company’s debt portfolio consists of 2019-1 EETC certificates, borrowings under the Delayed Draw Term Loan Facility, and fixed-rate notes payable. See Note 7 for debt fair values.</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INCOME TAXES</w:t>
      </w:r>
    </w:p>
    <w:p>
      <w:pPr>
        <w:spacing w:after="0" w:line="128" w:lineRule="exact"/>
        <w:rPr>
          <w:sz w:val="20"/>
          <w:szCs w:val="20"/>
          <w:color w:val="auto"/>
        </w:rPr>
      </w:pPr>
    </w:p>
    <w:p>
      <w:pPr>
        <w:ind w:left="1160" w:right="1239" w:firstLine="293"/>
        <w:spacing w:after="0" w:line="234" w:lineRule="auto"/>
        <w:rPr>
          <w:sz w:val="20"/>
          <w:szCs w:val="20"/>
          <w:color w:val="auto"/>
        </w:rPr>
      </w:pPr>
      <w:r>
        <w:rPr>
          <w:rFonts w:ascii="Arial" w:cs="Arial" w:eastAsia="Arial" w:hAnsi="Arial"/>
          <w:sz w:val="15"/>
          <w:szCs w:val="15"/>
          <w:color w:val="auto"/>
        </w:rPr>
        <w:t>The Company’s effective tax rate for the three months ended March 31, 2021 and 2020 was 30.3% and 25.2%, respectively. The effective tax rate represents a blend of federal and state taxes and includes the impact of certain nondeductible items. The increase is primarily related to an unfavorable permanent difference and discrete items related to executive compensation disallowed under Internal Revenue Code Section 162(m), partially offset by the reduction in meals and entertainment disallowed expenses during the current year.</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Tax Receivable Agreement</w:t>
      </w:r>
    </w:p>
    <w:p>
      <w:pPr>
        <w:spacing w:after="0" w:line="117" w:lineRule="exact"/>
        <w:rPr>
          <w:sz w:val="20"/>
          <w:szCs w:val="20"/>
          <w:color w:val="auto"/>
        </w:rPr>
      </w:pPr>
    </w:p>
    <w:p>
      <w:pPr>
        <w:ind w:left="1160" w:right="1219" w:firstLine="293"/>
        <w:spacing w:after="0" w:line="247" w:lineRule="auto"/>
        <w:rPr>
          <w:sz w:val="20"/>
          <w:szCs w:val="20"/>
          <w:color w:val="auto"/>
        </w:rPr>
      </w:pPr>
      <w:r>
        <w:rPr>
          <w:rFonts w:ascii="Arial" w:cs="Arial" w:eastAsia="Arial" w:hAnsi="Arial"/>
          <w:sz w:val="15"/>
          <w:szCs w:val="15"/>
          <w:color w:val="auto"/>
        </w:rPr>
        <w:t>In connection with the Company’s IPO, we entered into an income tax receivable agreement (the “Tax Receivable Agreement” or “TRA”)) with our pre-IPO stockholders (the “TRA holders”). The Tax Receivable Agreement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109" w:lineRule="exact"/>
        <w:rPr>
          <w:sz w:val="20"/>
          <w:szCs w:val="20"/>
          <w:color w:val="auto"/>
        </w:rPr>
      </w:pPr>
    </w:p>
    <w:p>
      <w:pPr>
        <w:ind w:left="1160" w:right="1259" w:firstLine="293"/>
        <w:spacing w:after="0" w:line="247" w:lineRule="auto"/>
        <w:rPr>
          <w:sz w:val="20"/>
          <w:szCs w:val="20"/>
          <w:color w:val="auto"/>
        </w:rPr>
      </w:pPr>
      <w:r>
        <w:rPr>
          <w:rFonts w:ascii="Arial" w:cs="Arial" w:eastAsia="Arial" w:hAnsi="Arial"/>
          <w:sz w:val="15"/>
          <w:szCs w:val="15"/>
          <w:color w:val="auto"/>
        </w:rPr>
        <w:t>Payments under the Tax Receivable Agreement will not begin until at least 12 months after the closing of the Company’s IPO. In the event that the Company is prohibited from making payments under the Tax Receivable Agreement for tax benefits utilized during any periods pursuant to the CARES Act or other governmental programs, the Company is not required to make payments under the Tax Receivable Agreement for Pre-IPO Tax Attributes utilized in such periods. Based on our current participation in the CARES Act Loan Program, the Company does not expect to make payments under the Tax Receivable Agreement until 2023.</w:t>
      </w:r>
    </w:p>
    <w:p>
      <w:pPr>
        <w:spacing w:after="0" w:line="109" w:lineRule="exact"/>
        <w:rPr>
          <w:sz w:val="20"/>
          <w:szCs w:val="20"/>
          <w:color w:val="auto"/>
        </w:rPr>
      </w:pPr>
    </w:p>
    <w:p>
      <w:pPr>
        <w:ind w:left="1160" w:right="1219" w:firstLine="293"/>
        <w:spacing w:after="0" w:line="268" w:lineRule="auto"/>
        <w:rPr>
          <w:sz w:val="20"/>
          <w:szCs w:val="20"/>
          <w:color w:val="auto"/>
        </w:rPr>
      </w:pPr>
      <w:r>
        <w:rPr>
          <w:rFonts w:ascii="Arial" w:cs="Arial" w:eastAsia="Arial" w:hAnsi="Arial"/>
          <w:sz w:val="14"/>
          <w:szCs w:val="14"/>
          <w:color w:val="auto"/>
        </w:rPr>
        <w:t>The Tax Receivable Agreement liability is an estimate and actual amounts payable under the Tax Receivable Agreement could differ from this estimate based on, among other things, (i) generation of future taxable income over the term of the Tax Receivable Agreement, (ii) the Company’s participation in future government programs, (iii) stock option activity during periods prior to the commencement of payments under the Tax Receivable Agreement and (iv) future changes in tax laws. These factors could result in an increase or decrease in the related liability which would be recognized in the Company’s earnings in the period of such change. In April 2021, the Company was notified that it is to receive a PSP3 grant of</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9" w:name="page260"/>
    <w:bookmarkEnd w:id="259"/>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10. INCOME TAXES (continued)</w:t>
      </w:r>
    </w:p>
    <w:p>
      <w:pPr>
        <w:spacing w:after="0" w:line="183" w:lineRule="exact"/>
        <w:rPr>
          <w:sz w:val="20"/>
          <w:szCs w:val="20"/>
          <w:color w:val="auto"/>
        </w:rPr>
      </w:pPr>
    </w:p>
    <w:p>
      <w:pPr>
        <w:ind w:left="1160" w:right="1219"/>
        <w:spacing w:after="0" w:line="246" w:lineRule="auto"/>
        <w:rPr>
          <w:sz w:val="20"/>
          <w:szCs w:val="20"/>
          <w:color w:val="auto"/>
        </w:rPr>
      </w:pPr>
      <w:r>
        <w:rPr>
          <w:rFonts w:ascii="Arial" w:cs="Arial" w:eastAsia="Arial" w:hAnsi="Arial"/>
          <w:sz w:val="15"/>
          <w:szCs w:val="15"/>
          <w:color w:val="auto"/>
        </w:rPr>
        <w:t>approximately $34,547 under the American Rescue Plan Act of 2021, which will result in a decrease to the Tax Receivable Agreement liability in Q2 2021. This TRA liability decrease is due to an extension in the time period in which distributions made to shareholders are restricted. If we do not generate sufficient taxable income in the aggregate over the term of the Tax Receivable Agreement to utilize the tax benefits, then we would not be required to make the related TRA Payments. Upon the closing of the IPO, the Company recognized a non-current liability of $115,200 which represents undiscounted aggregate payments that we expect to pay the TRA holders under the Tax Receivable Agreement and is presented in “Long-term Liabilities” on the Condensed Consolidated Balance Sheet as of March 31, 2021, with an offset to Stockholders’ Equity. Subsequent changes in the measurement of the liability will be adjusted through the Consolidated Statements of Operations.</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11. SPECIAL ITEMS, NET</w:t>
      </w:r>
    </w:p>
    <w:p>
      <w:pPr>
        <w:spacing w:after="0" w:line="128" w:lineRule="exact"/>
        <w:rPr>
          <w:sz w:val="20"/>
          <w:szCs w:val="20"/>
          <w:color w:val="auto"/>
        </w:rPr>
      </w:pPr>
    </w:p>
    <w:p>
      <w:pPr>
        <w:jc w:val="right"/>
        <w:ind w:right="1219"/>
        <w:spacing w:after="0"/>
        <w:rPr>
          <w:sz w:val="20"/>
          <w:szCs w:val="20"/>
          <w:color w:val="auto"/>
        </w:rPr>
      </w:pPr>
      <w:r>
        <w:rPr>
          <w:rFonts w:ascii="Arial" w:cs="Arial" w:eastAsia="Arial" w:hAnsi="Arial"/>
          <w:sz w:val="15"/>
          <w:szCs w:val="15"/>
          <w:color w:val="auto"/>
        </w:rPr>
        <w:t>Special Items, net on the Condensed Consolidated Statements of Operations consisted of the following:</w:t>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CARES Act grant recognition</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-146685</wp:posOffset>
            </wp:positionV>
            <wp:extent cx="4241800" cy="1466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ind w:left="1160"/>
        <w:spacing w:after="0" w:line="229" w:lineRule="auto"/>
        <w:rPr>
          <w:sz w:val="20"/>
          <w:szCs w:val="20"/>
          <w:color w:val="auto"/>
        </w:rPr>
      </w:pPr>
      <w:r>
        <w:rPr>
          <w:rFonts w:ascii="Arial" w:cs="Arial" w:eastAsia="Arial" w:hAnsi="Arial"/>
          <w:sz w:val="14"/>
          <w:szCs w:val="14"/>
          <w:color w:val="auto"/>
        </w:rPr>
        <w:t>CARES Act employee retention credit</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0</wp:posOffset>
            </wp:positionV>
            <wp:extent cx="4241800" cy="1397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5"/>
          <w:szCs w:val="15"/>
          <w:color w:val="auto"/>
        </w:rPr>
        <w:t>Aircraft lease buy-out expense</w:t>
      </w:r>
      <w:r>
        <w:rPr>
          <w:rFonts w:ascii="Arial" w:cs="Arial" w:eastAsia="Arial" w:hAnsi="Arial"/>
          <w:sz w:val="21"/>
          <w:szCs w:val="21"/>
          <w:color w:val="auto"/>
          <w:vertAlign w:val="superscript"/>
        </w:rPr>
        <w:t>(3)</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4241800" cy="1606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3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Total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99695</wp:posOffset>
            </wp:positionV>
            <wp:extent cx="446405"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43180</wp:posOffset>
            </wp:positionV>
            <wp:extent cx="1018540"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018540" cy="6985"/>
                    </a:xfrm>
                    <a:prstGeom prst="rect">
                      <a:avLst/>
                    </a:prstGeom>
                    <a:noFill/>
                  </pic:spPr>
                </pic:pic>
              </a:graphicData>
            </a:graphic>
          </wp:anchor>
        </w:drawing>
      </w:r>
    </w:p>
    <w:p>
      <w:pPr>
        <w:spacing w:after="0" w:line="74"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78"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5"/>
          <w:szCs w:val="15"/>
          <w:color w:val="auto"/>
        </w:rPr>
        <w:t>$(32,208)</w:t>
      </w:r>
      <w:r>
        <w:rPr>
          <w:sz w:val="20"/>
          <w:szCs w:val="20"/>
          <w:color w:val="auto"/>
        </w:rPr>
        <w:tab/>
      </w:r>
      <w:r>
        <w:rPr>
          <w:rFonts w:ascii="Arial" w:cs="Arial" w:eastAsia="Arial" w:hAnsi="Arial"/>
          <w:sz w:val="14"/>
          <w:szCs w:val="14"/>
          <w:color w:val="auto"/>
        </w:rPr>
        <w:t>$—</w:t>
      </w:r>
    </w:p>
    <w:p>
      <w:pPr>
        <w:spacing w:after="0" w:line="47" w:lineRule="exact"/>
        <w:rPr>
          <w:sz w:val="20"/>
          <w:szCs w:val="20"/>
          <w:color w:val="auto"/>
        </w:rPr>
      </w:pPr>
    </w:p>
    <w:p>
      <w:pPr>
        <w:ind w:left="1260" w:hanging="865"/>
        <w:spacing w:after="0"/>
        <w:tabs>
          <w:tab w:leader="none" w:pos="12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w:t>
      </w:r>
    </w:p>
    <w:p>
      <w:pPr>
        <w:spacing w:after="0" w:line="47"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15"/>
          <w:szCs w:val="15"/>
          <w:color w:val="auto"/>
        </w:rPr>
        <w:t>5,664</w:t>
      </w:r>
      <w:r>
        <w:rPr>
          <w:sz w:val="20"/>
          <w:szCs w:val="20"/>
          <w:color w:val="auto"/>
        </w:rPr>
        <w:tab/>
      </w:r>
      <w:r>
        <w:rPr>
          <w:rFonts w:ascii="Arial" w:cs="Arial" w:eastAsia="Arial" w:hAnsi="Arial"/>
          <w:sz w:val="15"/>
          <w:szCs w:val="15"/>
          <w:color w:val="auto"/>
        </w:rPr>
        <w:t>—</w:t>
      </w:r>
    </w:p>
    <w:p>
      <w:pPr>
        <w:spacing w:after="0" w:line="36" w:lineRule="exact"/>
        <w:rPr>
          <w:sz w:val="20"/>
          <w:szCs w:val="20"/>
          <w:color w:val="auto"/>
        </w:rPr>
      </w:pPr>
    </w:p>
    <w:p>
      <w:pPr>
        <w:ind w:left="1260" w:hanging="670"/>
        <w:spacing w:after="0"/>
        <w:tabs>
          <w:tab w:leader="none" w:pos="12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w:t>
      </w:r>
    </w:p>
    <w:p>
      <w:pPr>
        <w:spacing w:after="0" w:line="58"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5"/>
          <w:szCs w:val="15"/>
          <w:color w:val="auto"/>
        </w:rPr>
        <w:t>$(26,871)</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36830</wp:posOffset>
            </wp:positionV>
            <wp:extent cx="146685" cy="698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46685" cy="698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36830</wp:posOffset>
            </wp:positionV>
            <wp:extent cx="341630" cy="69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341630" cy="698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5560" w:space="720"/>
            <w:col w:w="2739"/>
          </w:cols>
          <w:pgMar w:left="1440" w:top="134" w:right="1440" w:bottom="1440" w:gutter="0" w:footer="0" w:header="0"/>
          <w:type w:val="continuous"/>
        </w:sectPr>
      </w:pPr>
    </w:p>
    <w:p>
      <w:pPr>
        <w:spacing w:after="0" w:line="45" w:lineRule="exact"/>
        <w:rPr>
          <w:sz w:val="20"/>
          <w:szCs w:val="20"/>
          <w:color w:val="auto"/>
        </w:rPr>
      </w:pPr>
    </w:p>
    <w:p>
      <w:pPr>
        <w:ind w:left="1460" w:hanging="296"/>
        <w:spacing w:after="0"/>
        <w:tabs>
          <w:tab w:leader="none" w:pos="14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In the quarter ended March 31, 2021, the Treasury awarded the Company a grant under PSP2.</w:t>
      </w:r>
    </w:p>
    <w:p>
      <w:pPr>
        <w:spacing w:after="0" w:line="69" w:lineRule="exact"/>
        <w:rPr>
          <w:rFonts w:ascii="Arial" w:cs="Arial" w:eastAsia="Arial" w:hAnsi="Arial"/>
          <w:sz w:val="15"/>
          <w:szCs w:val="15"/>
          <w:color w:val="auto"/>
        </w:rPr>
      </w:pPr>
    </w:p>
    <w:p>
      <w:pPr>
        <w:ind w:left="1460" w:right="1299" w:hanging="296"/>
        <w:spacing w:after="0" w:line="236" w:lineRule="auto"/>
        <w:tabs>
          <w:tab w:leader="none" w:pos="14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Relates to a credit recognized under the CARES Act Employee Retention credit which is a refundable tax credit against certain employment taxes.</w:t>
      </w:r>
    </w:p>
    <w:p>
      <w:pPr>
        <w:spacing w:after="0" w:line="23" w:lineRule="exact"/>
        <w:rPr>
          <w:rFonts w:ascii="Arial" w:cs="Arial" w:eastAsia="Arial" w:hAnsi="Arial"/>
          <w:sz w:val="15"/>
          <w:szCs w:val="15"/>
          <w:color w:val="auto"/>
        </w:rPr>
      </w:pPr>
    </w:p>
    <w:p>
      <w:pPr>
        <w:ind w:left="1460" w:right="1259" w:hanging="296"/>
        <w:spacing w:after="0" w:line="225" w:lineRule="auto"/>
        <w:tabs>
          <w:tab w:leader="none" w:pos="14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Five aircraft were purchased in March 2021 that were previously under operating leases. Aircraft lease buy-out expense represents the net costs incurred to terminate the leases on those five aircraft. This includes the associated lease termination costs, write-off of previously capitalized maintenance deposits, and the write-off of over-market liabilities (see Note 6).</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12. COMMITMENTS AND CONTINGENCIES</w:t>
      </w:r>
    </w:p>
    <w:p>
      <w:pPr>
        <w:spacing w:after="0" w:line="128" w:lineRule="exact"/>
        <w:rPr>
          <w:sz w:val="20"/>
          <w:szCs w:val="20"/>
          <w:color w:val="auto"/>
        </w:rPr>
      </w:pPr>
    </w:p>
    <w:p>
      <w:pPr>
        <w:ind w:left="1160" w:right="2019" w:firstLine="293"/>
        <w:spacing w:after="0" w:line="264" w:lineRule="auto"/>
        <w:rPr>
          <w:sz w:val="20"/>
          <w:szCs w:val="20"/>
          <w:color w:val="auto"/>
        </w:rPr>
      </w:pPr>
      <w:r>
        <w:rPr>
          <w:rFonts w:ascii="Arial" w:cs="Arial" w:eastAsia="Arial" w:hAnsi="Arial"/>
          <w:sz w:val="15"/>
          <w:szCs w:val="15"/>
          <w:color w:val="auto"/>
        </w:rPr>
        <w:t>The Company has contractual obligations and commitments primarily with regard to lease arrangements, repayment of debt (see Note 7) and future purchases of aircraft.</w:t>
      </w:r>
    </w:p>
    <w:p>
      <w:pPr>
        <w:spacing w:after="0" w:line="82" w:lineRule="exact"/>
        <w:rPr>
          <w:sz w:val="20"/>
          <w:szCs w:val="20"/>
          <w:color w:val="auto"/>
        </w:rPr>
      </w:pPr>
    </w:p>
    <w:p>
      <w:pPr>
        <w:ind w:left="1160" w:right="1239" w:firstLine="293"/>
        <w:spacing w:after="0" w:line="254" w:lineRule="auto"/>
        <w:rPr>
          <w:sz w:val="20"/>
          <w:szCs w:val="20"/>
          <w:color w:val="auto"/>
        </w:rPr>
      </w:pPr>
      <w:r>
        <w:rPr>
          <w:rFonts w:ascii="Arial" w:cs="Arial" w:eastAsia="Arial" w:hAnsi="Arial"/>
          <w:sz w:val="15"/>
          <w:szCs w:val="15"/>
          <w:color w:val="auto"/>
        </w:rPr>
        <w:t>The Company is subject to various legal proceedings in the normal course of business and expenses legal costs as incurred. Management believes these proceedings will not have a materially adverse effect on the Company.</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OPERATING SEGMENTS</w:t>
      </w:r>
    </w:p>
    <w:p>
      <w:pPr>
        <w:spacing w:after="0" w:line="128"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60" w:name="page261"/>
    <w:bookmarkEnd w:id="260"/>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SUN COUNTRY AIRLINES HOLDINGS, INC.</w:t>
      </w:r>
    </w:p>
    <w:p>
      <w:pPr>
        <w:spacing w:after="0" w:line="91"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NOTES TO CONDENSED CONSOLIDATED FINANCIAL STATEMENTS (continued)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(Dollars in thousands, except per share amounts)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13. OPERATING SEGMENTS (continued)</w:t>
      </w:r>
    </w:p>
    <w:p>
      <w:pPr>
        <w:spacing w:after="0" w:line="183" w:lineRule="exact"/>
        <w:rPr>
          <w:sz w:val="20"/>
          <w:szCs w:val="20"/>
          <w:color w:val="auto"/>
        </w:rPr>
      </w:pPr>
    </w:p>
    <w:p>
      <w:pPr>
        <w:ind w:left="1160" w:right="1579"/>
        <w:spacing w:after="0" w:line="283" w:lineRule="auto"/>
        <w:rPr>
          <w:sz w:val="20"/>
          <w:szCs w:val="20"/>
          <w:color w:val="auto"/>
        </w:rPr>
      </w:pPr>
      <w:r>
        <w:rPr>
          <w:rFonts w:ascii="Arial" w:cs="Arial" w:eastAsia="Arial" w:hAnsi="Arial"/>
          <w:sz w:val="14"/>
          <w:szCs w:val="14"/>
          <w:color w:val="auto"/>
        </w:rPr>
        <w:t>Company’s tangible assets are located in the U.S. or relate to flight equipment, which is mobile across geographic markets. The Company has two operating segments: Passenger and Cargo.</w:t>
      </w:r>
    </w:p>
    <w:p>
      <w:pPr>
        <w:spacing w:after="0" w:line="71" w:lineRule="exact"/>
        <w:rPr>
          <w:sz w:val="20"/>
          <w:szCs w:val="20"/>
          <w:color w:val="auto"/>
        </w:rPr>
      </w:pPr>
    </w:p>
    <w:p>
      <w:pPr>
        <w:ind w:left="1160" w:right="1439" w:firstLine="293"/>
        <w:spacing w:after="0" w:line="279" w:lineRule="auto"/>
        <w:rPr>
          <w:sz w:val="20"/>
          <w:szCs w:val="20"/>
          <w:color w:val="auto"/>
        </w:rPr>
      </w:pPr>
      <w:r>
        <w:rPr>
          <w:rFonts w:ascii="Arial" w:cs="Arial" w:eastAsia="Arial" w:hAnsi="Arial"/>
          <w:sz w:val="13"/>
          <w:szCs w:val="13"/>
          <w:color w:val="auto"/>
        </w:rPr>
        <w:t>The Company’s Passenger segment has two internal passenger groups (Scheduled and Charter), but since they share resources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 All goodwill is related to the Passenger Operating Segment.</w:t>
      </w:r>
    </w:p>
    <w:p>
      <w:pPr>
        <w:spacing w:after="0" w:line="65" w:lineRule="exact"/>
        <w:rPr>
          <w:sz w:val="20"/>
          <w:szCs w:val="20"/>
          <w:color w:val="auto"/>
        </w:rPr>
      </w:pPr>
    </w:p>
    <w:p>
      <w:pPr>
        <w:ind w:left="1160" w:right="1199" w:firstLine="293"/>
        <w:spacing w:after="0" w:line="258" w:lineRule="auto"/>
        <w:rPr>
          <w:sz w:val="20"/>
          <w:szCs w:val="20"/>
          <w:color w:val="auto"/>
        </w:rPr>
      </w:pPr>
      <w:r>
        <w:rPr>
          <w:rFonts w:ascii="Arial" w:cs="Arial" w:eastAsia="Arial" w:hAnsi="Arial"/>
          <w:sz w:val="14"/>
          <w:szCs w:val="14"/>
          <w:color w:val="auto"/>
        </w:rPr>
        <w:t>The Cargo segment began providing air cargo services under the ATSA in May 2020. Fuel consumed in Cargo operations is directly reimbursed by Amazon and therefore presented net on the Consolidated Statements of Operations. Fuel consumed in Cargo maintenance activities is included in the Cargo segment. Certain operating expenses are directly attributable to this operating segment.</w:t>
      </w:r>
    </w:p>
    <w:p>
      <w:pPr>
        <w:spacing w:after="0" w:line="88" w:lineRule="exact"/>
        <w:rPr>
          <w:sz w:val="20"/>
          <w:szCs w:val="20"/>
          <w:color w:val="auto"/>
        </w:rPr>
      </w:pPr>
    </w:p>
    <w:p>
      <w:pPr>
        <w:ind w:left="1160" w:right="1199" w:firstLine="293"/>
        <w:spacing w:after="0" w:line="236" w:lineRule="auto"/>
        <w:rPr>
          <w:sz w:val="20"/>
          <w:szCs w:val="20"/>
          <w:color w:val="auto"/>
        </w:rPr>
      </w:pPr>
      <w:r>
        <w:rPr>
          <w:rFonts w:ascii="Arial" w:cs="Arial" w:eastAsia="Arial" w:hAnsi="Arial"/>
          <w:sz w:val="15"/>
          <w:szCs w:val="15"/>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102" w:lineRule="exact"/>
        <w:rPr>
          <w:sz w:val="20"/>
          <w:szCs w:val="20"/>
          <w:color w:val="auto"/>
        </w:rPr>
      </w:pPr>
    </w:p>
    <w:p>
      <w:pPr>
        <w:ind w:left="1160" w:right="1239" w:firstLine="293"/>
        <w:spacing w:after="0" w:line="239" w:lineRule="auto"/>
        <w:rPr>
          <w:sz w:val="20"/>
          <w:szCs w:val="20"/>
          <w:color w:val="auto"/>
        </w:rPr>
      </w:pPr>
      <w:r>
        <w:rPr>
          <w:rFonts w:ascii="Arial" w:cs="Arial" w:eastAsia="Arial" w:hAnsi="Arial"/>
          <w:sz w:val="15"/>
          <w:szCs w:val="15"/>
          <w:color w:val="auto"/>
        </w:rPr>
        <w:t>The following table presents financial information for the Company’s two operating segments: Passenger and Cargo. Assets by segment are not reviewed by the Chief Operating Decision Maker and have not been presented herein.</w:t>
      </w:r>
    </w:p>
    <w:p>
      <w:pPr>
        <w:spacing w:after="0" w:line="22" w:lineRule="exact"/>
        <w:rPr>
          <w:sz w:val="20"/>
          <w:szCs w:val="20"/>
          <w:color w:val="auto"/>
        </w:rPr>
      </w:pPr>
    </w:p>
    <w:tbl>
      <w:tblPr>
        <w:tblLayout w:type="fixed"/>
        <w:tblInd w:w="1160" w:type="dxa"/>
        <w:tblCellMar>
          <w:top w:w="0" w:type="dxa"/>
          <w:left w:w="0" w:type="dxa"/>
          <w:bottom w:w="0" w:type="dxa"/>
          <w:right w:w="0" w:type="dxa"/>
        </w:tblCellMar>
      </w:tblPr>
      <w:tr>
        <w:trPr>
          <w:trHeight w:val="209"/>
        </w:trPr>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2"/>
                <w:szCs w:val="12"/>
                <w:b w:val="1"/>
                <w:bCs w:val="1"/>
                <w:color w:val="auto"/>
                <w:w w:val="84"/>
              </w:rPr>
              <w:t>Three Months Ended March 31, 2021</w:t>
            </w:r>
            <w:r>
              <w:rPr>
                <w:rFonts w:ascii="Arial" w:cs="Arial" w:eastAsia="Arial" w:hAnsi="Arial"/>
                <w:sz w:val="17"/>
                <w:szCs w:val="17"/>
                <w:b w:val="1"/>
                <w:bCs w:val="1"/>
                <w:color w:val="auto"/>
                <w:w w:val="84"/>
                <w:vertAlign w:val="superscript"/>
              </w:rPr>
              <w:t>(1)</w:t>
            </w:r>
          </w:p>
        </w:tc>
      </w:tr>
      <w:tr>
        <w:trPr>
          <w:trHeight w:val="157"/>
        </w:trPr>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82"/>
              </w:rPr>
              <w:t>Passenger</w:t>
            </w: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Cargo</w:t>
            </w: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w w:val="76"/>
              </w:rPr>
              <w:t>Consolidated</w:t>
            </w:r>
          </w:p>
        </w:tc>
      </w:tr>
      <w:tr>
        <w:trPr>
          <w:trHeight w:val="21"/>
        </w:trPr>
        <w:tc>
          <w:tcPr>
            <w:tcW w:w="7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5"/>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Revenues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106,026</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4"/>
              </w:rPr>
              <w:t>$21,585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127,611</w:t>
            </w:r>
          </w:p>
        </w:tc>
        <w:tc>
          <w:tcPr>
            <w:tcW w:w="40" w:type="dxa"/>
            <w:vAlign w:val="bottom"/>
            <w:shd w:val="clear" w:color="auto" w:fill="CCEEFF"/>
          </w:tcPr>
          <w:p>
            <w:pPr>
              <w:spacing w:after="0"/>
              <w:rPr>
                <w:sz w:val="17"/>
                <w:szCs w:val="17"/>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Non-Fuel Operating Expenses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87,205</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18,070</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w w:val="84"/>
              </w:rPr>
              <w:t>105,275</w:t>
            </w:r>
          </w:p>
        </w:tc>
        <w:tc>
          <w:tcPr>
            <w:tcW w:w="40" w:type="dxa"/>
            <w:vAlign w:val="bottom"/>
          </w:tcPr>
          <w:p>
            <w:pPr>
              <w:spacing w:after="0"/>
              <w:rPr>
                <w:sz w:val="17"/>
                <w:szCs w:val="17"/>
                <w:color w:val="auto"/>
              </w:rPr>
            </w:pPr>
          </w:p>
        </w:tc>
      </w:tr>
      <w:tr>
        <w:trPr>
          <w:trHeight w:val="209"/>
        </w:trPr>
        <w:tc>
          <w:tcPr>
            <w:tcW w:w="44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Aircraft Fuel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24,253</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24,274</w:t>
            </w:r>
          </w:p>
        </w:tc>
        <w:tc>
          <w:tcPr>
            <w:tcW w:w="40" w:type="dxa"/>
            <w:vAlign w:val="bottom"/>
            <w:shd w:val="clear" w:color="auto" w:fill="CCEEFF"/>
          </w:tcPr>
          <w:p>
            <w:pPr>
              <w:spacing w:after="0"/>
              <w:rPr>
                <w:sz w:val="18"/>
                <w:szCs w:val="18"/>
                <w:color w:val="auto"/>
              </w:rPr>
            </w:pPr>
          </w:p>
        </w:tc>
      </w:tr>
      <w:tr>
        <w:trPr>
          <w:trHeight w:val="214"/>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Special Items,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(18,206)</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(8,665)</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(26,871)</w:t>
            </w:r>
          </w:p>
        </w:tc>
      </w:tr>
      <w:tr>
        <w:trPr>
          <w:trHeight w:val="20"/>
        </w:trPr>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93,252</w:t>
            </w:r>
          </w:p>
        </w:tc>
        <w:tc>
          <w:tcPr>
            <w:tcW w:w="7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9,426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102,678</w:t>
            </w:r>
          </w:p>
        </w:tc>
        <w:tc>
          <w:tcPr>
            <w:tcW w:w="40" w:type="dxa"/>
            <w:vAlign w:val="bottom"/>
            <w:shd w:val="clear" w:color="auto" w:fill="CCEEFF"/>
          </w:tcPr>
          <w:p>
            <w:pPr>
              <w:spacing w:after="0"/>
              <w:rPr>
                <w:sz w:val="18"/>
                <w:szCs w:val="18"/>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4440" w:type="dxa"/>
            <w:vAlign w:val="bottom"/>
            <w:gridSpan w:val="2"/>
          </w:tcPr>
          <w:p>
            <w:pPr>
              <w:spacing w:after="0"/>
              <w:rPr>
                <w:sz w:val="20"/>
                <w:szCs w:val="20"/>
                <w:color w:val="auto"/>
              </w:rPr>
            </w:pPr>
            <w:r>
              <w:rPr>
                <w:rFonts w:ascii="Arial" w:cs="Arial" w:eastAsia="Arial" w:hAnsi="Arial"/>
                <w:sz w:val="15"/>
                <w:szCs w:val="15"/>
                <w:color w:val="auto"/>
              </w:rPr>
              <w:t>Operating Income</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12,774</w:t>
            </w: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w w:val="84"/>
              </w:rPr>
              <w:t>$12,159</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24,933</w:t>
            </w:r>
          </w:p>
        </w:tc>
        <w:tc>
          <w:tcPr>
            <w:tcW w:w="40" w:type="dxa"/>
            <w:vAlign w:val="bottom"/>
          </w:tcPr>
          <w:p>
            <w:pPr>
              <w:spacing w:after="0"/>
              <w:rPr>
                <w:sz w:val="18"/>
                <w:szCs w:val="18"/>
                <w:color w:val="auto"/>
              </w:rPr>
            </w:pPr>
          </w:p>
        </w:tc>
      </w:tr>
      <w:tr>
        <w:trPr>
          <w:trHeight w:val="205"/>
        </w:trPr>
        <w:tc>
          <w:tcPr>
            <w:tcW w:w="44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Interest Income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444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(7,121)</w:t>
            </w:r>
          </w:p>
        </w:tc>
      </w:tr>
      <w:tr>
        <w:trPr>
          <w:trHeight w:val="214"/>
        </w:trPr>
        <w:tc>
          <w:tcPr>
            <w:tcW w:w="44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16"/>
        </w:trPr>
        <w:tc>
          <w:tcPr>
            <w:tcW w:w="444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Income before Income Tax</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17,822</w:t>
            </w:r>
          </w:p>
        </w:tc>
        <w:tc>
          <w:tcPr>
            <w:tcW w:w="4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3"/>
        </w:trPr>
        <w:tc>
          <w:tcPr>
            <w:tcW w:w="70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-243840</wp:posOffset>
            </wp:positionV>
            <wp:extent cx="27940" cy="69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-655320</wp:posOffset>
            </wp:positionV>
            <wp:extent cx="27940" cy="698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-655320</wp:posOffset>
            </wp:positionV>
            <wp:extent cx="3858260"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-801370</wp:posOffset>
            </wp:positionV>
            <wp:extent cx="27940"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-948055</wp:posOffset>
            </wp:positionV>
            <wp:extent cx="27940" cy="69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-948055</wp:posOffset>
            </wp:positionV>
            <wp:extent cx="3858260" cy="69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85826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-1359535</wp:posOffset>
            </wp:positionV>
            <wp:extent cx="27940" cy="69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-1506220</wp:posOffset>
            </wp:positionV>
            <wp:extent cx="3830320" cy="698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830320" cy="6985"/>
                    </a:xfrm>
                    <a:prstGeom prst="rect">
                      <a:avLst/>
                    </a:prstGeom>
                    <a:noFill/>
                  </pic:spPr>
                </pic:pic>
              </a:graphicData>
            </a:graphic>
          </wp:anchor>
        </w:drawing>
      </w:r>
    </w:p>
    <w:p>
      <w:pPr>
        <w:spacing w:after="0" w:line="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As air cargo operations commenced in May 2020, there is no comparable prior period information.</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14. SUBSEQUENT EVENTS</w:t>
      </w:r>
    </w:p>
    <w:p>
      <w:pPr>
        <w:spacing w:after="0" w:line="128" w:lineRule="exact"/>
        <w:rPr>
          <w:sz w:val="20"/>
          <w:szCs w:val="20"/>
          <w:color w:val="auto"/>
        </w:rPr>
      </w:pPr>
    </w:p>
    <w:p>
      <w:pPr>
        <w:ind w:left="1160" w:right="1279" w:firstLine="293"/>
        <w:spacing w:after="0" w:line="283" w:lineRule="auto"/>
        <w:rPr>
          <w:sz w:val="20"/>
          <w:szCs w:val="20"/>
          <w:color w:val="auto"/>
        </w:rPr>
      </w:pPr>
      <w:r>
        <w:rPr>
          <w:rFonts w:ascii="Arial" w:cs="Arial" w:eastAsia="Arial" w:hAnsi="Arial"/>
          <w:sz w:val="14"/>
          <w:szCs w:val="14"/>
          <w:color w:val="auto"/>
        </w:rPr>
        <w:t>The Company evaluated subsequent events for the period from the Balance Sheet date through May 6, 2021, the date that the Condensed Consolidated Financial Statements were available to be issued.</w:t>
      </w:r>
    </w:p>
    <w:p>
      <w:pPr>
        <w:spacing w:after="0" w:line="71"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On April 22, 2021, we received $4,831 from the Treasury as a top-off grant under PSP2.</w:t>
      </w:r>
    </w:p>
    <w:p>
      <w:pPr>
        <w:spacing w:after="0" w:line="113" w:lineRule="exact"/>
        <w:rPr>
          <w:sz w:val="20"/>
          <w:szCs w:val="20"/>
          <w:color w:val="auto"/>
        </w:rPr>
      </w:pPr>
    </w:p>
    <w:p>
      <w:pPr>
        <w:ind w:left="1160" w:right="1579" w:firstLine="293"/>
        <w:spacing w:after="0" w:line="283" w:lineRule="auto"/>
        <w:rPr>
          <w:sz w:val="20"/>
          <w:szCs w:val="20"/>
          <w:color w:val="auto"/>
        </w:rPr>
      </w:pPr>
      <w:r>
        <w:rPr>
          <w:rFonts w:ascii="Arial" w:cs="Arial" w:eastAsia="Arial" w:hAnsi="Arial"/>
          <w:sz w:val="14"/>
          <w:szCs w:val="14"/>
          <w:color w:val="auto"/>
        </w:rPr>
        <w:t>Further, the Company was notified on April 15, 2021 that it will receive a grant of approximately $34,547 under PSP3, of which $17,274 was received on April 29, 2021 (see Note 3).</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 *</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1" w:name="page262"/>
    <w:bookmarkEnd w:id="261"/>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Confidential Treatment Requested by Sun Country Airlines Holdings, Inc.</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00"/>
        <w:spacing w:after="0"/>
        <w:rPr>
          <w:sz w:val="20"/>
          <w:szCs w:val="20"/>
          <w:color w:val="auto"/>
        </w:rPr>
      </w:pPr>
      <w:r>
        <w:rPr>
          <w:rFonts w:ascii="Arial" w:cs="Arial" w:eastAsia="Arial" w:hAnsi="Arial"/>
          <w:sz w:val="23"/>
          <w:szCs w:val="2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130810</wp:posOffset>
            </wp:positionV>
            <wp:extent cx="1814195" cy="23050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8141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Sun Country Airlines Holdings, Inc.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1379855</wp:posOffset>
            </wp:positionV>
            <wp:extent cx="1004570" cy="698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Prospectus</w:t>
      </w:r>
    </w:p>
    <w:p>
      <w:pPr>
        <w:spacing w:after="0" w:line="1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186055</wp:posOffset>
            </wp:positionV>
            <wp:extent cx="1004570" cy="69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Joint Bookrunners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Barclays</w:t>
      </w:r>
    </w:p>
    <w:p>
      <w:pPr>
        <w:jc w:val="center"/>
        <w:ind w:right="19"/>
        <w:spacing w:after="0"/>
        <w:rPr>
          <w:sz w:val="20"/>
          <w:szCs w:val="20"/>
          <w:color w:val="auto"/>
        </w:rPr>
      </w:pPr>
      <w:r>
        <w:rPr>
          <w:rFonts w:ascii="Arial" w:cs="Arial" w:eastAsia="Arial" w:hAnsi="Arial"/>
          <w:sz w:val="26"/>
          <w:szCs w:val="26"/>
          <w:b w:val="1"/>
          <w:bCs w:val="1"/>
          <w:color w:val="auto"/>
        </w:rPr>
        <w:t>Morgan Stanley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Co-Manager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Apollo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201295</wp:posOffset>
            </wp:positionV>
            <wp:extent cx="5564505" cy="3937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2" w:name="page263"/>
    <w:bookmarkEnd w:id="262"/>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w:t>
      </w:r>
    </w:p>
    <w:p>
      <w:pPr>
        <w:spacing w:after="0" w:line="179"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128" w:lineRule="exact"/>
        <w:rPr>
          <w:sz w:val="20"/>
          <w:szCs w:val="20"/>
          <w:color w:val="auto"/>
        </w:rPr>
      </w:pPr>
    </w:p>
    <w:p>
      <w:pPr>
        <w:ind w:left="1160" w:right="1299" w:firstLine="293"/>
        <w:spacing w:after="0" w:line="254" w:lineRule="auto"/>
        <w:rPr>
          <w:sz w:val="20"/>
          <w:szCs w:val="20"/>
          <w:color w:val="auto"/>
        </w:rPr>
      </w:pPr>
      <w:r>
        <w:rPr>
          <w:rFonts w:ascii="Arial" w:cs="Arial" w:eastAsia="Arial" w:hAnsi="Arial"/>
          <w:sz w:val="15"/>
          <w:szCs w:val="15"/>
          <w:color w:val="auto"/>
        </w:rPr>
        <w:t>Set forth below is a table of the registration fee for the Securities and Exchange Commission (the “SEC”) and estimates of all other expenses to be paid by the registrant in connection with the issuance and distribution of the securities described in the registration statement:</w:t>
      </w:r>
    </w:p>
    <w:p>
      <w:pPr>
        <w:spacing w:after="0" w:line="115"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SEC registration fee</w:t>
            </w:r>
          </w:p>
        </w:tc>
        <w:tc>
          <w:tcPr>
            <w:tcW w:w="16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r>
      <w:tr>
        <w:trPr>
          <w:trHeight w:val="209"/>
        </w:trPr>
        <w:tc>
          <w:tcPr>
            <w:tcW w:w="4400" w:type="dxa"/>
            <w:vAlign w:val="bottom"/>
          </w:tcPr>
          <w:p>
            <w:pPr>
              <w:spacing w:after="0"/>
              <w:rPr>
                <w:sz w:val="20"/>
                <w:szCs w:val="20"/>
                <w:color w:val="auto"/>
              </w:rPr>
            </w:pPr>
            <w:r>
              <w:rPr>
                <w:rFonts w:ascii="Arial" w:cs="Arial" w:eastAsia="Arial" w:hAnsi="Arial"/>
                <w:sz w:val="15"/>
                <w:szCs w:val="15"/>
                <w:color w:val="auto"/>
              </w:rPr>
              <w:t>Financial Industry Regulatory Authority filing fee</w:t>
            </w:r>
          </w:p>
        </w:tc>
        <w:tc>
          <w:tcPr>
            <w:tcW w:w="1680" w:type="dxa"/>
            <w:vAlign w:val="bottom"/>
          </w:tcPr>
          <w:p>
            <w:pPr>
              <w:spacing w:after="0"/>
              <w:rPr>
                <w:sz w:val="18"/>
                <w:szCs w:val="18"/>
                <w:color w:val="auto"/>
              </w:rPr>
            </w:pPr>
          </w:p>
        </w:tc>
      </w:tr>
      <w:tr>
        <w:trPr>
          <w:trHeight w:val="220"/>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Printing expenses</w:t>
            </w:r>
          </w:p>
        </w:tc>
        <w:tc>
          <w:tcPr>
            <w:tcW w:w="1680" w:type="dxa"/>
            <w:vAlign w:val="bottom"/>
            <w:shd w:val="clear" w:color="auto" w:fill="CCEEFF"/>
          </w:tcPr>
          <w:p>
            <w:pPr>
              <w:spacing w:after="0"/>
              <w:rPr>
                <w:sz w:val="19"/>
                <w:szCs w:val="19"/>
                <w:color w:val="auto"/>
              </w:rPr>
            </w:pPr>
          </w:p>
        </w:tc>
      </w:tr>
      <w:tr>
        <w:trPr>
          <w:trHeight w:val="220"/>
        </w:trPr>
        <w:tc>
          <w:tcPr>
            <w:tcW w:w="4400" w:type="dxa"/>
            <w:vAlign w:val="bottom"/>
          </w:tcPr>
          <w:p>
            <w:pPr>
              <w:spacing w:after="0"/>
              <w:rPr>
                <w:sz w:val="20"/>
                <w:szCs w:val="20"/>
                <w:color w:val="auto"/>
              </w:rPr>
            </w:pPr>
            <w:r>
              <w:rPr>
                <w:rFonts w:ascii="Arial" w:cs="Arial" w:eastAsia="Arial" w:hAnsi="Arial"/>
                <w:sz w:val="15"/>
                <w:szCs w:val="15"/>
                <w:color w:val="auto"/>
              </w:rPr>
              <w:t>Legal fees and expenses</w:t>
            </w:r>
          </w:p>
        </w:tc>
        <w:tc>
          <w:tcPr>
            <w:tcW w:w="1680" w:type="dxa"/>
            <w:vAlign w:val="bottom"/>
          </w:tcPr>
          <w:p>
            <w:pPr>
              <w:spacing w:after="0"/>
              <w:rPr>
                <w:sz w:val="19"/>
                <w:szCs w:val="19"/>
                <w:color w:val="auto"/>
              </w:rPr>
            </w:pPr>
          </w:p>
        </w:tc>
      </w:tr>
      <w:tr>
        <w:trPr>
          <w:trHeight w:val="220"/>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Accounting fees and expenses</w:t>
            </w:r>
          </w:p>
        </w:tc>
        <w:tc>
          <w:tcPr>
            <w:tcW w:w="1680" w:type="dxa"/>
            <w:vAlign w:val="bottom"/>
            <w:shd w:val="clear" w:color="auto" w:fill="CCEEFF"/>
          </w:tcPr>
          <w:p>
            <w:pPr>
              <w:spacing w:after="0"/>
              <w:rPr>
                <w:sz w:val="19"/>
                <w:szCs w:val="19"/>
                <w:color w:val="auto"/>
              </w:rPr>
            </w:pPr>
          </w:p>
        </w:tc>
      </w:tr>
      <w:tr>
        <w:trPr>
          <w:trHeight w:val="220"/>
        </w:trPr>
        <w:tc>
          <w:tcPr>
            <w:tcW w:w="4400" w:type="dxa"/>
            <w:vAlign w:val="bottom"/>
          </w:tcPr>
          <w:p>
            <w:pPr>
              <w:spacing w:after="0"/>
              <w:rPr>
                <w:sz w:val="20"/>
                <w:szCs w:val="20"/>
                <w:color w:val="auto"/>
              </w:rPr>
            </w:pPr>
            <w:r>
              <w:rPr>
                <w:rFonts w:ascii="Arial" w:cs="Arial" w:eastAsia="Arial" w:hAnsi="Arial"/>
                <w:sz w:val="15"/>
                <w:szCs w:val="15"/>
                <w:color w:val="auto"/>
              </w:rPr>
              <w:t>Total</w:t>
            </w:r>
          </w:p>
        </w:tc>
        <w:tc>
          <w:tcPr>
            <w:tcW w:w="1680" w:type="dxa"/>
            <w:vAlign w:val="bottom"/>
          </w:tcPr>
          <w:p>
            <w:pPr>
              <w:jc w:val="right"/>
              <w:ind w:right="227"/>
              <w:spacing w:after="0"/>
              <w:rPr>
                <w:sz w:val="20"/>
                <w:szCs w:val="20"/>
                <w:color w:val="auto"/>
              </w:rPr>
            </w:pPr>
            <w:r>
              <w:rPr>
                <w:rFonts w:ascii="Arial" w:cs="Arial" w:eastAsia="Arial" w:hAnsi="Arial"/>
                <w:sz w:val="15"/>
                <w:szCs w:val="15"/>
                <w:color w:val="auto"/>
              </w:rPr>
              <w:t>$</w:t>
            </w:r>
          </w:p>
        </w:tc>
      </w:tr>
    </w:tbl>
    <w:p>
      <w:pPr>
        <w:spacing w:after="0" w:line="16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128" w:lineRule="exact"/>
        <w:rPr>
          <w:sz w:val="20"/>
          <w:szCs w:val="20"/>
          <w:color w:val="auto"/>
        </w:rPr>
      </w:pPr>
    </w:p>
    <w:p>
      <w:pPr>
        <w:ind w:left="1160" w:right="1259" w:firstLine="293"/>
        <w:spacing w:after="0" w:line="266" w:lineRule="auto"/>
        <w:rPr>
          <w:sz w:val="20"/>
          <w:szCs w:val="20"/>
          <w:color w:val="auto"/>
        </w:rPr>
      </w:pPr>
      <w:r>
        <w:rPr>
          <w:rFonts w:ascii="Arial" w:cs="Arial" w:eastAsia="Arial" w:hAnsi="Arial"/>
          <w:sz w:val="14"/>
          <w:szCs w:val="14"/>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DGCL.</w:t>
      </w:r>
    </w:p>
    <w:p>
      <w:pPr>
        <w:spacing w:after="0" w:line="97" w:lineRule="exact"/>
        <w:rPr>
          <w:sz w:val="20"/>
          <w:szCs w:val="20"/>
          <w:color w:val="auto"/>
        </w:rPr>
      </w:pPr>
    </w:p>
    <w:p>
      <w:pPr>
        <w:ind w:left="1160" w:right="1199" w:firstLine="293"/>
        <w:spacing w:after="0" w:line="247" w:lineRule="auto"/>
        <w:rPr>
          <w:sz w:val="20"/>
          <w:szCs w:val="20"/>
          <w:color w:val="auto"/>
        </w:rPr>
      </w:pPr>
      <w:r>
        <w:rPr>
          <w:rFonts w:ascii="Arial" w:cs="Arial" w:eastAsia="Arial" w:hAnsi="Arial"/>
          <w:sz w:val="15"/>
          <w:szCs w:val="15"/>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96" w:lineRule="exact"/>
        <w:rPr>
          <w:sz w:val="20"/>
          <w:szCs w:val="20"/>
          <w:color w:val="auto"/>
        </w:rPr>
      </w:pPr>
    </w:p>
    <w:p>
      <w:pPr>
        <w:ind w:left="1160" w:right="1199" w:firstLine="293"/>
        <w:spacing w:after="0" w:line="274" w:lineRule="auto"/>
        <w:rPr>
          <w:sz w:val="20"/>
          <w:szCs w:val="20"/>
          <w:color w:val="auto"/>
        </w:rPr>
      </w:pPr>
      <w:r>
        <w:rPr>
          <w:rFonts w:ascii="Arial" w:cs="Arial" w:eastAsia="Arial" w:hAnsi="Arial"/>
          <w:sz w:val="14"/>
          <w:szCs w:val="14"/>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89" w:lineRule="exact"/>
        <w:rPr>
          <w:sz w:val="20"/>
          <w:szCs w:val="20"/>
          <w:color w:val="auto"/>
        </w:rPr>
      </w:pPr>
    </w:p>
    <w:p>
      <w:pPr>
        <w:ind w:left="1160" w:right="1459" w:firstLine="293"/>
        <w:spacing w:after="0" w:line="254" w:lineRule="auto"/>
        <w:rPr>
          <w:sz w:val="20"/>
          <w:szCs w:val="20"/>
          <w:color w:val="auto"/>
        </w:rPr>
      </w:pPr>
      <w:r>
        <w:rPr>
          <w:rFonts w:ascii="Arial" w:cs="Arial" w:eastAsia="Arial" w:hAnsi="Arial"/>
          <w:sz w:val="15"/>
          <w:szCs w:val="15"/>
          <w:color w:val="auto"/>
        </w:rPr>
        <w:t>The proposed form of underwriting agreement we enter into in connection with the sale of common stock being registered will provide for indemnification of directors and officers of the registrant by the underwriters against certain liabilities.</w:t>
      </w:r>
    </w:p>
    <w:p>
      <w:pPr>
        <w:spacing w:after="0" w:line="101" w:lineRule="exact"/>
        <w:rPr>
          <w:sz w:val="20"/>
          <w:szCs w:val="20"/>
          <w:color w:val="auto"/>
        </w:rPr>
      </w:pPr>
    </w:p>
    <w:p>
      <w:pPr>
        <w:jc w:val="both"/>
        <w:ind w:left="1160" w:right="1379" w:firstLine="293"/>
        <w:spacing w:after="0" w:line="254" w:lineRule="auto"/>
        <w:rPr>
          <w:sz w:val="20"/>
          <w:szCs w:val="20"/>
          <w:color w:val="auto"/>
        </w:rPr>
      </w:pPr>
      <w:r>
        <w:rPr>
          <w:rFonts w:ascii="Arial" w:cs="Arial" w:eastAsia="Arial" w:hAnsi="Arial"/>
          <w:sz w:val="15"/>
          <w:szCs w:val="15"/>
          <w:color w:val="auto"/>
        </w:rPr>
        <w:t>We entered into customary indemnification agreements with our executive officers and directors that provide them, in general, with customary indemnification in connection with their service to us or on our behalf.</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117" w:lineRule="exact"/>
        <w:rPr>
          <w:sz w:val="20"/>
          <w:szCs w:val="20"/>
          <w:color w:val="auto"/>
        </w:rPr>
      </w:pPr>
    </w:p>
    <w:p>
      <w:pPr>
        <w:ind w:left="1160" w:right="1199" w:firstLine="293"/>
        <w:spacing w:after="0" w:line="281" w:lineRule="auto"/>
        <w:rPr>
          <w:sz w:val="20"/>
          <w:szCs w:val="20"/>
          <w:color w:val="auto"/>
        </w:rPr>
      </w:pPr>
      <w:r>
        <w:rPr>
          <w:rFonts w:ascii="Arial" w:cs="Arial" w:eastAsia="Arial" w:hAnsi="Arial"/>
          <w:sz w:val="14"/>
          <w:szCs w:val="14"/>
          <w:color w:val="auto"/>
        </w:rPr>
        <w:t>Set forth below is information regarding securities sold or granted by us within the past three years that were not registered under the Securities Act of 1933, as amended (the “Securities Act”). Also included is the consideration, if any, received by us for such securities and information relating to the section of the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3" w:name="page264"/>
    <w:bookmarkEnd w:id="263"/>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259"/>
        <w:spacing w:after="0" w:line="248" w:lineRule="auto"/>
        <w:rPr>
          <w:sz w:val="20"/>
          <w:szCs w:val="20"/>
          <w:color w:val="auto"/>
        </w:rPr>
      </w:pPr>
      <w:r>
        <w:rPr>
          <w:rFonts w:ascii="Arial" w:cs="Arial" w:eastAsia="Arial" w:hAnsi="Arial"/>
          <w:sz w:val="15"/>
          <w:szCs w:val="15"/>
          <w:color w:val="auto"/>
        </w:rPr>
        <w:t>Securities Act, or rule of the SEC, under which exemption from registration was claimed for such sales and grants. Such information is rounded to the nearest whole number.</w:t>
      </w:r>
    </w:p>
    <w:p>
      <w:pPr>
        <w:spacing w:after="0" w:line="94" w:lineRule="exact"/>
        <w:rPr>
          <w:sz w:val="20"/>
          <w:szCs w:val="20"/>
          <w:color w:val="auto"/>
        </w:rPr>
      </w:pPr>
    </w:p>
    <w:p>
      <w:pPr>
        <w:ind w:left="1160" w:right="1339" w:firstLine="293"/>
        <w:spacing w:after="0" w:line="264" w:lineRule="auto"/>
        <w:rPr>
          <w:sz w:val="20"/>
          <w:szCs w:val="20"/>
          <w:color w:val="auto"/>
        </w:rPr>
      </w:pPr>
      <w:r>
        <w:rPr>
          <w:rFonts w:ascii="Arial" w:cs="Arial" w:eastAsia="Arial" w:hAnsi="Arial"/>
          <w:sz w:val="14"/>
          <w:szCs w:val="14"/>
          <w:color w:val="auto"/>
        </w:rPr>
        <w:t>On April 11, 2018, SCA Acquisition Holdings, LLC issued 5,326,755 equity interests, which are denominated as shares of common stock (“SCA common stock”), to AP VIII (SCA Stock AIV), LLC, and warrants to purchase 40,005,885 shares of SCA common stock to AP VIII (SCA Warrant AIV), LLC.</w:t>
      </w:r>
    </w:p>
    <w:p>
      <w:pPr>
        <w:spacing w:after="0" w:line="73" w:lineRule="exact"/>
        <w:rPr>
          <w:sz w:val="20"/>
          <w:szCs w:val="20"/>
          <w:color w:val="auto"/>
        </w:rPr>
      </w:pPr>
    </w:p>
    <w:p>
      <w:pPr>
        <w:ind w:left="1160" w:right="1259" w:firstLine="293"/>
        <w:spacing w:after="0" w:line="248" w:lineRule="auto"/>
        <w:rPr>
          <w:sz w:val="20"/>
          <w:szCs w:val="20"/>
          <w:color w:val="auto"/>
        </w:rPr>
      </w:pPr>
      <w:r>
        <w:rPr>
          <w:rFonts w:ascii="Arial" w:cs="Arial" w:eastAsia="Arial" w:hAnsi="Arial"/>
          <w:sz w:val="15"/>
          <w:szCs w:val="15"/>
          <w:color w:val="auto"/>
        </w:rPr>
        <w:t>On April 20, 2018, SCA Acquisition Holdings, LLC issued 1,227,759 shares of SCA common stock to an employee at a purchase price of $5.30 per share.</w:t>
      </w:r>
    </w:p>
    <w:p>
      <w:pPr>
        <w:spacing w:after="0" w:line="94" w:lineRule="exact"/>
        <w:rPr>
          <w:sz w:val="20"/>
          <w:szCs w:val="20"/>
          <w:color w:val="auto"/>
        </w:rPr>
      </w:pPr>
    </w:p>
    <w:p>
      <w:pPr>
        <w:jc w:val="both"/>
        <w:ind w:left="1160" w:right="1199" w:firstLine="293"/>
        <w:spacing w:after="0" w:line="248" w:lineRule="auto"/>
        <w:rPr>
          <w:sz w:val="20"/>
          <w:szCs w:val="20"/>
          <w:color w:val="auto"/>
        </w:rPr>
      </w:pPr>
      <w:r>
        <w:rPr>
          <w:rFonts w:ascii="Arial" w:cs="Arial" w:eastAsia="Arial" w:hAnsi="Arial"/>
          <w:sz w:val="15"/>
          <w:szCs w:val="15"/>
          <w:color w:val="auto"/>
        </w:rPr>
        <w:t>On April 20, 2018, SCA Acquisition Holdings, LLC issued 188,886 shares of SCA common stock to an employee at a purchase price of $5.30 per share.</w:t>
      </w:r>
    </w:p>
    <w:p>
      <w:pPr>
        <w:spacing w:after="0" w:line="94" w:lineRule="exact"/>
        <w:rPr>
          <w:sz w:val="20"/>
          <w:szCs w:val="20"/>
          <w:color w:val="auto"/>
        </w:rPr>
      </w:pPr>
    </w:p>
    <w:p>
      <w:pPr>
        <w:ind w:left="1160" w:right="1319" w:firstLine="293"/>
        <w:spacing w:after="0" w:line="248" w:lineRule="auto"/>
        <w:rPr>
          <w:sz w:val="20"/>
          <w:szCs w:val="20"/>
          <w:color w:val="auto"/>
        </w:rPr>
      </w:pPr>
      <w:r>
        <w:rPr>
          <w:rFonts w:ascii="Arial" w:cs="Arial" w:eastAsia="Arial" w:hAnsi="Arial"/>
          <w:sz w:val="15"/>
          <w:szCs w:val="15"/>
          <w:color w:val="auto"/>
        </w:rPr>
        <w:t>On November 21, 2018, SCA Acquisition Holdings, LLC issued an aggregate of 5,835,576 options to purchase shares of SCA common stock to certain employees.</w:t>
      </w:r>
    </w:p>
    <w:p>
      <w:pPr>
        <w:spacing w:after="0" w:line="83" w:lineRule="exact"/>
        <w:rPr>
          <w:sz w:val="20"/>
          <w:szCs w:val="20"/>
          <w:color w:val="auto"/>
        </w:rPr>
      </w:pPr>
    </w:p>
    <w:p>
      <w:pPr>
        <w:ind w:left="1160" w:right="1679" w:firstLine="293"/>
        <w:spacing w:after="0" w:line="248" w:lineRule="auto"/>
        <w:rPr>
          <w:sz w:val="20"/>
          <w:szCs w:val="20"/>
          <w:color w:val="auto"/>
        </w:rPr>
      </w:pPr>
      <w:r>
        <w:rPr>
          <w:rFonts w:ascii="Arial" w:cs="Arial" w:eastAsia="Arial" w:hAnsi="Arial"/>
          <w:sz w:val="15"/>
          <w:szCs w:val="15"/>
          <w:color w:val="auto"/>
        </w:rPr>
        <w:t>On February 6, 2019, SCA Acquisition Holdings, LLC issued an aggregate of 32,242 options to purchase shares of SCA common stock to certain employees.</w:t>
      </w:r>
    </w:p>
    <w:p>
      <w:pPr>
        <w:spacing w:after="0" w:line="9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On April 17, 2019, SCA Acquisition Holdings, LLC issued an aggregate of 36,946 options to purchase shares of SCA common stock to certain employees.</w:t>
      </w:r>
    </w:p>
    <w:p>
      <w:pPr>
        <w:spacing w:after="0" w:line="9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On May 20, 2019, SCA Acquisition Holdings, LLC issued an aggregate of 268,670 options to purchase shares of SCA common stock to certain employees.</w:t>
      </w:r>
    </w:p>
    <w:p>
      <w:pPr>
        <w:spacing w:after="0" w:line="83" w:lineRule="exact"/>
        <w:rPr>
          <w:sz w:val="20"/>
          <w:szCs w:val="20"/>
          <w:color w:val="auto"/>
        </w:rPr>
      </w:pPr>
    </w:p>
    <w:p>
      <w:pPr>
        <w:ind w:left="1160" w:right="1299" w:firstLine="293"/>
        <w:spacing w:after="0" w:line="248" w:lineRule="auto"/>
        <w:rPr>
          <w:sz w:val="20"/>
          <w:szCs w:val="20"/>
          <w:color w:val="auto"/>
        </w:rPr>
      </w:pPr>
      <w:r>
        <w:rPr>
          <w:rFonts w:ascii="Arial" w:cs="Arial" w:eastAsia="Arial" w:hAnsi="Arial"/>
          <w:sz w:val="15"/>
          <w:szCs w:val="15"/>
          <w:color w:val="auto"/>
        </w:rPr>
        <w:t>On June 3, 2019, SCA Acquisition Holdings, LLC issued an aggregate of 537,348 options to purchase shares of SCA common stock to certain employees.</w:t>
      </w:r>
    </w:p>
    <w:p>
      <w:pPr>
        <w:spacing w:after="0" w:line="94" w:lineRule="exact"/>
        <w:rPr>
          <w:sz w:val="20"/>
          <w:szCs w:val="20"/>
          <w:color w:val="auto"/>
        </w:rPr>
      </w:pPr>
    </w:p>
    <w:p>
      <w:pPr>
        <w:ind w:left="1160" w:right="1399" w:firstLine="293"/>
        <w:spacing w:after="0" w:line="248" w:lineRule="auto"/>
        <w:rPr>
          <w:sz w:val="20"/>
          <w:szCs w:val="20"/>
          <w:color w:val="auto"/>
        </w:rPr>
      </w:pPr>
      <w:r>
        <w:rPr>
          <w:rFonts w:ascii="Arial" w:cs="Arial" w:eastAsia="Arial" w:hAnsi="Arial"/>
          <w:sz w:val="15"/>
          <w:szCs w:val="15"/>
          <w:color w:val="auto"/>
        </w:rPr>
        <w:t>On July 31, 2019, SCA Acquisition Holdings, LLC issued an aggregate of 8,045 options to purchase shares of SCA common stock to certain employees.</w:t>
      </w:r>
    </w:p>
    <w:p>
      <w:pPr>
        <w:spacing w:after="0" w:line="94" w:lineRule="exact"/>
        <w:rPr>
          <w:sz w:val="20"/>
          <w:szCs w:val="20"/>
          <w:color w:val="auto"/>
        </w:rPr>
      </w:pPr>
    </w:p>
    <w:p>
      <w:pPr>
        <w:ind w:left="1160" w:right="1219" w:firstLine="293"/>
        <w:spacing w:after="0" w:line="248" w:lineRule="auto"/>
        <w:rPr>
          <w:sz w:val="20"/>
          <w:szCs w:val="20"/>
          <w:color w:val="auto"/>
        </w:rPr>
      </w:pPr>
      <w:r>
        <w:rPr>
          <w:rFonts w:ascii="Arial" w:cs="Arial" w:eastAsia="Arial" w:hAnsi="Arial"/>
          <w:sz w:val="15"/>
          <w:szCs w:val="15"/>
          <w:color w:val="auto"/>
        </w:rPr>
        <w:t>On August 1, 2019, SCA Acquisition Holdings, LLC issued 56,665 shares of SCA common stock to an employee.</w:t>
      </w:r>
    </w:p>
    <w:p>
      <w:pPr>
        <w:spacing w:after="0" w:line="83"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On November 19, 2019, SCA Acquisition Holdings, LLC issued 134,335 options to purchase shares of SCA common stock to an employee.</w:t>
      </w:r>
    </w:p>
    <w:p>
      <w:pPr>
        <w:spacing w:after="0" w:line="94"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On December 13, 2019, SCA Acquisition Holdings, LLC issued warrants to purchase 9,482,606 shares of SCA common stock to Amazon.com NV Investment Holdings LLC.</w:t>
      </w:r>
    </w:p>
    <w:p>
      <w:pPr>
        <w:spacing w:after="0" w:line="94" w:lineRule="exact"/>
        <w:rPr>
          <w:sz w:val="20"/>
          <w:szCs w:val="20"/>
          <w:color w:val="auto"/>
        </w:rPr>
      </w:pPr>
    </w:p>
    <w:p>
      <w:pPr>
        <w:ind w:left="1160" w:right="1419" w:firstLine="293"/>
        <w:spacing w:after="0" w:line="248" w:lineRule="auto"/>
        <w:rPr>
          <w:sz w:val="20"/>
          <w:szCs w:val="20"/>
          <w:color w:val="auto"/>
        </w:rPr>
      </w:pPr>
      <w:r>
        <w:rPr>
          <w:rFonts w:ascii="Arial" w:cs="Arial" w:eastAsia="Arial" w:hAnsi="Arial"/>
          <w:sz w:val="15"/>
          <w:szCs w:val="15"/>
          <w:color w:val="auto"/>
        </w:rPr>
        <w:t>On January 28, 2020, SCA Acquisition Holdings, LLC issued 193,438 options to purchase shares of SCA common stock to certain employees.</w:t>
      </w:r>
    </w:p>
    <w:p>
      <w:pPr>
        <w:spacing w:after="0" w:line="83" w:lineRule="exact"/>
        <w:rPr>
          <w:sz w:val="20"/>
          <w:szCs w:val="20"/>
          <w:color w:val="auto"/>
        </w:rPr>
      </w:pPr>
    </w:p>
    <w:p>
      <w:pPr>
        <w:jc w:val="both"/>
        <w:ind w:left="1160" w:right="1199" w:firstLine="293"/>
        <w:spacing w:after="0" w:line="239" w:lineRule="auto"/>
        <w:rPr>
          <w:sz w:val="20"/>
          <w:szCs w:val="20"/>
          <w:color w:val="auto"/>
        </w:rPr>
      </w:pPr>
      <w:r>
        <w:rPr>
          <w:rFonts w:ascii="Arial" w:cs="Arial" w:eastAsia="Arial" w:hAnsi="Arial"/>
          <w:sz w:val="15"/>
          <w:szCs w:val="15"/>
          <w:color w:val="auto"/>
        </w:rPr>
        <w:t>On January 31, 2020, SCA Acquisition Holdings, LLC issued 40,005,885 shares of SCA common stock to SCA Horus Holdings, LLC upon the exercise of the warrant to purchase 40,005,885 shares at an exercise price of approximately $0.0005 per share.</w:t>
      </w:r>
    </w:p>
    <w:p>
      <w:pPr>
        <w:spacing w:after="0" w:line="100" w:lineRule="exact"/>
        <w:rPr>
          <w:sz w:val="20"/>
          <w:szCs w:val="20"/>
          <w:color w:val="auto"/>
        </w:rPr>
      </w:pPr>
    </w:p>
    <w:p>
      <w:pPr>
        <w:ind w:left="1160" w:right="1219" w:firstLine="293"/>
        <w:spacing w:after="0" w:line="255" w:lineRule="auto"/>
        <w:rPr>
          <w:sz w:val="20"/>
          <w:szCs w:val="20"/>
          <w:color w:val="auto"/>
        </w:rPr>
      </w:pPr>
      <w:r>
        <w:rPr>
          <w:rFonts w:ascii="Arial" w:cs="Arial" w:eastAsia="Arial" w:hAnsi="Arial"/>
          <w:sz w:val="14"/>
          <w:szCs w:val="14"/>
          <w:color w:val="auto"/>
        </w:rPr>
        <w:t>On January 31, 2020, upon the conversion of SCA Acquisition Holdings, LLC to Sun Country Airlines Holdings, Inc., all of the outstanding shares of SCA common stock were converted into 46,805,950 shares of common stock of Sun Country Airlines Holdings, Inc., all outstanding options to purchase shares of SCA common stock were converted into options to purchase shares of common stock and all outstanding warrants to purchase common stock were converted into warrants to purchase shares of common stock.</w:t>
      </w:r>
    </w:p>
    <w:p>
      <w:pPr>
        <w:spacing w:after="0" w:line="90" w:lineRule="exact"/>
        <w:rPr>
          <w:sz w:val="20"/>
          <w:szCs w:val="20"/>
          <w:color w:val="auto"/>
        </w:rPr>
      </w:pPr>
    </w:p>
    <w:p>
      <w:pPr>
        <w:ind w:left="1160" w:right="1239" w:firstLine="293"/>
        <w:spacing w:after="0" w:line="248" w:lineRule="auto"/>
        <w:rPr>
          <w:sz w:val="20"/>
          <w:szCs w:val="20"/>
          <w:color w:val="auto"/>
        </w:rPr>
      </w:pPr>
      <w:r>
        <w:rPr>
          <w:rFonts w:ascii="Arial" w:cs="Arial" w:eastAsia="Arial" w:hAnsi="Arial"/>
          <w:sz w:val="15"/>
          <w:szCs w:val="15"/>
          <w:color w:val="auto"/>
        </w:rPr>
        <w:t>On August 11, 2020, Sun Country Airlines Holdings, Inc. issued 540,027 options to purchase shares of common stock of Sun Country Airlines Holdings, Inc. to certain employees.</w:t>
      </w:r>
    </w:p>
    <w:p>
      <w:pPr>
        <w:spacing w:after="0" w:line="83" w:lineRule="exact"/>
        <w:rPr>
          <w:sz w:val="20"/>
          <w:szCs w:val="20"/>
          <w:color w:val="auto"/>
        </w:rPr>
      </w:pPr>
    </w:p>
    <w:p>
      <w:pPr>
        <w:ind w:left="1160" w:right="1379" w:firstLine="293"/>
        <w:spacing w:after="0" w:line="255" w:lineRule="auto"/>
        <w:rPr>
          <w:sz w:val="20"/>
          <w:szCs w:val="20"/>
          <w:color w:val="auto"/>
        </w:rPr>
      </w:pPr>
      <w:r>
        <w:rPr>
          <w:rFonts w:ascii="Arial" w:cs="Arial" w:eastAsia="Arial" w:hAnsi="Arial"/>
          <w:sz w:val="14"/>
          <w:szCs w:val="14"/>
          <w:color w:val="auto"/>
        </w:rPr>
        <w:t>On December 31, 2020, Sun Country Airlines Holdings, Inc. issued an aggregate of 30,820 shares of common stock of Sun Country Airlines Holdings, Inc. and 24,176 options to purchase shares of common stock of Sun Country Airlines Holdings, Inc. to certain employees and an aggregate of 2,889 shares of common stock of Sun Country Airlines Holdings, Inc. and 4,722 options to purchase shares of common stock of Sun Country Airlines Holdings, Inc. to certain directors.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4" w:name="page265"/>
    <w:bookmarkEnd w:id="264"/>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right="1459" w:firstLine="293"/>
        <w:spacing w:after="0" w:line="239" w:lineRule="auto"/>
        <w:rPr>
          <w:sz w:val="20"/>
          <w:szCs w:val="20"/>
          <w:color w:val="auto"/>
        </w:rPr>
      </w:pPr>
      <w:r>
        <w:rPr>
          <w:rFonts w:ascii="Arial" w:cs="Arial" w:eastAsia="Arial" w:hAnsi="Arial"/>
          <w:sz w:val="15"/>
          <w:szCs w:val="15"/>
          <w:color w:val="auto"/>
        </w:rPr>
        <w:t>Except as otherwise noted above, these transactions were exempt from registration pursuant to Section 4(a)(2) of the Securities Act, as they were transactions by an issuer that did not involve a public offering of securities.</w:t>
      </w:r>
    </w:p>
    <w:p>
      <w:pPr>
        <w:spacing w:after="0" w:line="151"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16. Exhibits and Financial Statement Schedules</w:t>
      </w:r>
    </w:p>
    <w:p>
      <w:pPr>
        <w:spacing w:after="0" w:line="183"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(a) Exhibits</w:t>
      </w:r>
    </w:p>
    <w:p>
      <w:pPr>
        <w:sectPr>
          <w:pgSz w:w="11900" w:h="16838" w:orient="portrait"/>
          <w:cols w:equalWidth="0" w:num="1">
            <w:col w:w="9019"/>
          </w:cols>
          <w:pgMar w:left="1440" w:top="134" w:right="1440" w:bottom="1440" w:gutter="0" w:footer="0" w:header="0"/>
        </w:sectPr>
      </w:pP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1"/>
          <w:szCs w:val="11"/>
          <w:b w:val="1"/>
          <w:bCs w:val="1"/>
          <w:color w:val="auto"/>
        </w:rPr>
        <w:t>Exhibit</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9"/>
          <w:szCs w:val="9"/>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35560</wp:posOffset>
            </wp:positionV>
            <wp:extent cx="369570" cy="69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69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43180</wp:posOffset>
            </wp:positionV>
            <wp:extent cx="3760470" cy="698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760470" cy="698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3700" w:space="720"/>
            <w:col w:w="4599"/>
          </w:cols>
          <w:pgMar w:left="1440" w:top="134" w:right="1440" w:bottom="1440" w:gutter="0" w:footer="0" w:header="0"/>
          <w:type w:val="continuous"/>
        </w:sectPr>
      </w:pPr>
    </w:p>
    <w:p>
      <w:pPr>
        <w:ind w:left="1560"/>
        <w:spacing w:after="0"/>
        <w:rPr>
          <w:sz w:val="20"/>
          <w:szCs w:val="20"/>
          <w:color w:val="auto"/>
        </w:rPr>
      </w:pPr>
      <w:r>
        <w:rPr>
          <w:rFonts w:ascii="Arial" w:cs="Arial" w:eastAsia="Arial" w:hAnsi="Arial"/>
          <w:sz w:val="15"/>
          <w:szCs w:val="15"/>
          <w:color w:val="auto"/>
        </w:rPr>
        <w:t>1.1*  Form of Underwriting Agreement</w:t>
      </w:r>
    </w:p>
    <w:p>
      <w:pPr>
        <w:spacing w:after="0" w:line="14" w:lineRule="exact"/>
        <w:rPr>
          <w:sz w:val="20"/>
          <w:szCs w:val="20"/>
          <w:color w:val="auto"/>
        </w:rPr>
      </w:pPr>
    </w:p>
    <w:p>
      <w:pPr>
        <w:ind w:left="1920" w:right="1279" w:hanging="358"/>
        <w:spacing w:after="0" w:line="251" w:lineRule="auto"/>
        <w:tabs>
          <w:tab w:leader="none" w:pos="1900" w:val="left"/>
        </w:tabs>
        <w:rPr>
          <w:sz w:val="20"/>
          <w:szCs w:val="20"/>
          <w:color w:val="auto"/>
        </w:rPr>
      </w:pPr>
      <w:r>
        <w:rPr>
          <w:rFonts w:ascii="Arial" w:cs="Arial" w:eastAsia="Arial" w:hAnsi="Arial"/>
          <w:sz w:val="15"/>
          <w:szCs w:val="15"/>
          <w:color w:val="auto"/>
        </w:rPr>
        <w:t>2.1</w:t>
        <w:tab/>
        <w:t>Membership Interest Purchase Agreement, dated December 13, 2017, by and among Minnesota Aviation, LLC, SCA Acquisition Holdings, LLC and SCA Acquisition, LLC (incorporated by reference to Exhibit 2.1 to Sun Country Airlines Holdings, Inc.’s Registration Statement on Form S-1 (File No. 333-252858))</w:t>
      </w:r>
    </w:p>
    <w:p>
      <w:pPr>
        <w:spacing w:after="0" w:line="15" w:lineRule="exact"/>
        <w:rPr>
          <w:sz w:val="20"/>
          <w:szCs w:val="20"/>
          <w:color w:val="auto"/>
        </w:rPr>
      </w:pPr>
    </w:p>
    <w:p>
      <w:pPr>
        <w:ind w:left="1920" w:right="1479" w:hanging="358"/>
        <w:spacing w:after="0" w:line="264" w:lineRule="auto"/>
        <w:tabs>
          <w:tab w:leader="none" w:pos="1900" w:val="left"/>
        </w:tabs>
        <w:rPr>
          <w:sz w:val="20"/>
          <w:szCs w:val="20"/>
          <w:color w:val="auto"/>
        </w:rPr>
      </w:pPr>
      <w:r>
        <w:rPr>
          <w:rFonts w:ascii="Arial" w:cs="Arial" w:eastAsia="Arial" w:hAnsi="Arial"/>
          <w:sz w:val="15"/>
          <w:szCs w:val="15"/>
          <w:color w:val="auto"/>
        </w:rPr>
        <w:t>2.2</w:t>
        <w:tab/>
        <w:t>Certificate of Conversion (incorporated by reference to Exhibit 2.2 to Sun Country Airlines Holdings, Inc.’s Registration Statement on Form S-1 (File No. 333-252858))</w:t>
      </w:r>
    </w:p>
    <w:p>
      <w:pPr>
        <w:spacing w:after="0" w:line="5" w:lineRule="exact"/>
        <w:rPr>
          <w:sz w:val="20"/>
          <w:szCs w:val="20"/>
          <w:color w:val="auto"/>
        </w:rPr>
      </w:pPr>
    </w:p>
    <w:p>
      <w:pPr>
        <w:ind w:left="1920" w:right="1299" w:hanging="358"/>
        <w:spacing w:after="0" w:line="254" w:lineRule="auto"/>
        <w:tabs>
          <w:tab w:leader="none" w:pos="1900" w:val="left"/>
        </w:tabs>
        <w:rPr>
          <w:sz w:val="20"/>
          <w:szCs w:val="20"/>
          <w:color w:val="auto"/>
        </w:rPr>
      </w:pPr>
      <w:r>
        <w:rPr>
          <w:rFonts w:ascii="Arial" w:cs="Arial" w:eastAsia="Arial" w:hAnsi="Arial"/>
          <w:sz w:val="15"/>
          <w:szCs w:val="15"/>
          <w:color w:val="auto"/>
        </w:rPr>
        <w:t>3.1</w:t>
        <w:tab/>
        <w:t>Second Amended and Restated Certificate of Incorporation of Sun Country Airlines Holdings, Inc. (incorporated by reference to Exhibit 3.1 to Sun Country Airlines Holdings, Inc.’s Registration Statement on Form S-8 (File No. 333-254371))</w:t>
      </w:r>
    </w:p>
    <w:p>
      <w:pPr>
        <w:spacing w:after="0" w:line="13" w:lineRule="exact"/>
        <w:rPr>
          <w:sz w:val="20"/>
          <w:szCs w:val="20"/>
          <w:color w:val="auto"/>
        </w:rPr>
      </w:pPr>
    </w:p>
    <w:p>
      <w:pPr>
        <w:ind w:left="1920" w:right="1199" w:hanging="358"/>
        <w:spacing w:after="0" w:line="254" w:lineRule="auto"/>
        <w:tabs>
          <w:tab w:leader="none" w:pos="1900" w:val="left"/>
        </w:tabs>
        <w:rPr>
          <w:sz w:val="20"/>
          <w:szCs w:val="20"/>
          <w:color w:val="auto"/>
        </w:rPr>
      </w:pPr>
      <w:r>
        <w:rPr>
          <w:rFonts w:ascii="Arial" w:cs="Arial" w:eastAsia="Arial" w:hAnsi="Arial"/>
          <w:sz w:val="15"/>
          <w:szCs w:val="15"/>
          <w:color w:val="auto"/>
        </w:rPr>
        <w:t>3.2</w:t>
        <w:tab/>
        <w:t>Second Amended and Restated Bylaws of Sun Country Airlines Holdings, Inc. (incorporated by reference to Exhibit 3.2 to Sun Country Airlines Holdings, Inc.’s Registration Statement on Form S-8 (File No. 333-254371))</w:t>
      </w:r>
    </w:p>
    <w:p>
      <w:pPr>
        <w:spacing w:after="0" w:line="24" w:lineRule="exact"/>
        <w:rPr>
          <w:sz w:val="20"/>
          <w:szCs w:val="20"/>
          <w:color w:val="auto"/>
        </w:rPr>
      </w:pPr>
    </w:p>
    <w:p>
      <w:pPr>
        <w:ind w:left="1920" w:right="1279" w:hanging="358"/>
        <w:spacing w:after="0" w:line="251" w:lineRule="auto"/>
        <w:tabs>
          <w:tab w:leader="none" w:pos="1900" w:val="left"/>
        </w:tabs>
        <w:rPr>
          <w:sz w:val="20"/>
          <w:szCs w:val="20"/>
          <w:color w:val="auto"/>
        </w:rPr>
      </w:pPr>
      <w:r>
        <w:rPr>
          <w:rFonts w:ascii="Arial" w:cs="Arial" w:eastAsia="Arial" w:hAnsi="Arial"/>
          <w:sz w:val="15"/>
          <w:szCs w:val="15"/>
          <w:color w:val="auto"/>
        </w:rPr>
        <w:t>4.1</w:t>
        <w:tab/>
        <w:t>Pass Through Trust Agreement, dated as of December 9, 2019, between Sun Country Inc. and Wilmington Trust, National Association, as trustee (incorporated by reference to Exhibit 4.1 to Sun Country Airlines Holdings, Inc.’s Registration Statement on Form S-1 (File No. 333-252858))</w:t>
      </w:r>
    </w:p>
    <w:p>
      <w:pPr>
        <w:spacing w:after="0" w:line="26" w:lineRule="exact"/>
        <w:rPr>
          <w:sz w:val="20"/>
          <w:szCs w:val="20"/>
          <w:color w:val="auto"/>
        </w:rPr>
      </w:pPr>
    </w:p>
    <w:p>
      <w:pPr>
        <w:ind w:left="1920" w:right="1299" w:hanging="358"/>
        <w:spacing w:after="0" w:line="254" w:lineRule="auto"/>
        <w:tabs>
          <w:tab w:leader="none" w:pos="1900" w:val="left"/>
        </w:tabs>
        <w:rPr>
          <w:sz w:val="20"/>
          <w:szCs w:val="20"/>
          <w:color w:val="auto"/>
        </w:rPr>
      </w:pPr>
      <w:r>
        <w:rPr>
          <w:rFonts w:ascii="Arial" w:cs="Arial" w:eastAsia="Arial" w:hAnsi="Arial"/>
          <w:sz w:val="15"/>
          <w:szCs w:val="15"/>
          <w:color w:val="auto"/>
        </w:rPr>
        <w:t>4.2</w:t>
        <w:tab/>
        <w:t>Form of Pass Through Trust Certificate, Series 2019-1A (incorporated by reference to Exhibit 4.2 to Sun Country Airlines Holdings, Inc.’s Registration Statement on Form S-1 (File No. 333-252858))</w:t>
      </w:r>
    </w:p>
    <w:p>
      <w:pPr>
        <w:spacing w:after="0" w:line="24" w:lineRule="exact"/>
        <w:rPr>
          <w:sz w:val="20"/>
          <w:szCs w:val="20"/>
          <w:color w:val="auto"/>
        </w:rPr>
      </w:pPr>
    </w:p>
    <w:p>
      <w:pPr>
        <w:ind w:left="1920" w:right="1299" w:hanging="358"/>
        <w:spacing w:after="0" w:line="254" w:lineRule="auto"/>
        <w:tabs>
          <w:tab w:leader="none" w:pos="1900" w:val="left"/>
        </w:tabs>
        <w:rPr>
          <w:sz w:val="20"/>
          <w:szCs w:val="20"/>
          <w:color w:val="auto"/>
        </w:rPr>
      </w:pPr>
      <w:r>
        <w:rPr>
          <w:rFonts w:ascii="Arial" w:cs="Arial" w:eastAsia="Arial" w:hAnsi="Arial"/>
          <w:sz w:val="15"/>
          <w:szCs w:val="15"/>
          <w:color w:val="auto"/>
        </w:rPr>
        <w:t>4.3</w:t>
        <w:tab/>
        <w:t>Form of Pass Through Trust Certificate, Series 2019-1B (incorporated by reference to Exhibit 4.3 to Sun Country Airlines Holdings, Inc.’s Registration Statement on Form S-1 (File No. 333-252858))</w:t>
      </w:r>
    </w:p>
    <w:p>
      <w:pPr>
        <w:spacing w:after="0" w:line="24" w:lineRule="exact"/>
        <w:rPr>
          <w:sz w:val="20"/>
          <w:szCs w:val="20"/>
          <w:color w:val="auto"/>
        </w:rPr>
      </w:pPr>
    </w:p>
    <w:p>
      <w:pPr>
        <w:ind w:left="1920" w:right="1299" w:hanging="358"/>
        <w:spacing w:after="0" w:line="254" w:lineRule="auto"/>
        <w:tabs>
          <w:tab w:leader="none" w:pos="1900" w:val="left"/>
        </w:tabs>
        <w:rPr>
          <w:sz w:val="20"/>
          <w:szCs w:val="20"/>
          <w:color w:val="auto"/>
        </w:rPr>
      </w:pPr>
      <w:r>
        <w:rPr>
          <w:rFonts w:ascii="Arial" w:cs="Arial" w:eastAsia="Arial" w:hAnsi="Arial"/>
          <w:sz w:val="15"/>
          <w:szCs w:val="15"/>
          <w:color w:val="auto"/>
        </w:rPr>
        <w:t>4.4</w:t>
        <w:tab/>
        <w:t>Form of Pass Through Trust Certificate, Series 2019-1C (incorporated by reference to Exhibit 4.4 to Sun Country Airlines Holdings, Inc.’s Registration Statement on Form S-1 (File No. 333-252858))</w:t>
      </w:r>
    </w:p>
    <w:p>
      <w:pPr>
        <w:spacing w:after="0" w:line="24" w:lineRule="exact"/>
        <w:rPr>
          <w:sz w:val="20"/>
          <w:szCs w:val="20"/>
          <w:color w:val="auto"/>
        </w:rPr>
      </w:pPr>
    </w:p>
    <w:p>
      <w:pPr>
        <w:jc w:val="center"/>
        <w:ind w:right="-80"/>
        <w:spacing w:after="0"/>
        <w:tabs>
          <w:tab w:leader="none" w:pos="160"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4"/>
          <w:szCs w:val="14"/>
          <w:color w:val="auto"/>
        </w:rPr>
        <w:t>Intercreditor Agreement, dated as of December 9, 2019, among Wilmington Trust, National</w:t>
      </w:r>
    </w:p>
    <w:p>
      <w:pPr>
        <w:spacing w:after="0" w:line="14" w:lineRule="exact"/>
        <w:rPr>
          <w:sz w:val="20"/>
          <w:szCs w:val="20"/>
          <w:color w:val="auto"/>
        </w:rPr>
      </w:pPr>
    </w:p>
    <w:p>
      <w:pPr>
        <w:ind w:left="1920" w:right="1179"/>
        <w:spacing w:after="0" w:line="246" w:lineRule="auto"/>
        <w:rPr>
          <w:sz w:val="20"/>
          <w:szCs w:val="20"/>
          <w:color w:val="auto"/>
        </w:rPr>
      </w:pPr>
      <w:r>
        <w:rPr>
          <w:rFonts w:ascii="Arial" w:cs="Arial" w:eastAsia="Arial" w:hAnsi="Arial"/>
          <w:sz w:val="15"/>
          <w:szCs w:val="15"/>
          <w:color w:val="auto"/>
        </w:rPr>
        <w:t>Association, as trustee of the Sun Country Pass Through Trusts, Series 2019-1, and as subordination agent (incorporated by reference to Exhibit 4.5 to Sun Country Airlines Holdings, Inc.’s Registration Statement on Form S-1 (File No. 333-252858))</w:t>
      </w:r>
    </w:p>
    <w:p>
      <w:pPr>
        <w:spacing w:after="0" w:line="30" w:lineRule="exact"/>
        <w:rPr>
          <w:sz w:val="20"/>
          <w:szCs w:val="20"/>
          <w:color w:val="auto"/>
        </w:rPr>
      </w:pPr>
    </w:p>
    <w:p>
      <w:pPr>
        <w:ind w:left="1920" w:right="1399" w:hanging="358"/>
        <w:spacing w:after="0" w:line="264" w:lineRule="auto"/>
        <w:rPr>
          <w:sz w:val="20"/>
          <w:szCs w:val="20"/>
          <w:color w:val="auto"/>
        </w:rPr>
      </w:pPr>
      <w:r>
        <w:rPr>
          <w:rFonts w:ascii="Arial" w:cs="Arial" w:eastAsia="Arial" w:hAnsi="Arial"/>
          <w:sz w:val="15"/>
          <w:szCs w:val="15"/>
          <w:color w:val="auto"/>
        </w:rPr>
        <w:t>5.1* Opinion of Paul, Weiss, Rifkind, Wharton &amp; Garrison LLP as to the validity of the securities being offered</w:t>
      </w:r>
    </w:p>
    <w:p>
      <w:pPr>
        <w:spacing w:after="0" w:line="16" w:lineRule="exact"/>
        <w:rPr>
          <w:sz w:val="20"/>
          <w:szCs w:val="20"/>
          <w:color w:val="auto"/>
        </w:rPr>
      </w:pPr>
    </w:p>
    <w:p>
      <w:pPr>
        <w:ind w:left="1920" w:right="1199" w:hanging="431"/>
        <w:spacing w:after="0" w:line="251" w:lineRule="auto"/>
        <w:tabs>
          <w:tab w:leader="none" w:pos="1900" w:val="left"/>
        </w:tabs>
        <w:rPr>
          <w:sz w:val="20"/>
          <w:szCs w:val="20"/>
          <w:color w:val="auto"/>
        </w:rPr>
      </w:pPr>
      <w:r>
        <w:rPr>
          <w:rFonts w:ascii="Arial" w:cs="Arial" w:eastAsia="Arial" w:hAnsi="Arial"/>
          <w:sz w:val="15"/>
          <w:szCs w:val="15"/>
          <w:color w:val="auto"/>
        </w:rPr>
        <w:t>10.1</w:t>
        <w:tab/>
        <w:t>Asset-based Revolving Credit Agreement, dated December 13, 2017, by and among SCA Acquisition, LLC, MN Airlines, LLC, the lenders party thereto and Barclays Bank PLC (incorporated by reference to Exhibit 10.1 to Sun Country Airlines Holdings, Inc.’s Registration Statement on Form S-1 (File No. 333-252858))</w:t>
      </w:r>
    </w:p>
    <w:p>
      <w:pPr>
        <w:spacing w:after="0" w:line="26" w:lineRule="exact"/>
        <w:rPr>
          <w:sz w:val="20"/>
          <w:szCs w:val="20"/>
          <w:color w:val="auto"/>
        </w:rPr>
      </w:pPr>
    </w:p>
    <w:p>
      <w:pPr>
        <w:jc w:val="both"/>
        <w:ind w:left="1920" w:right="1299" w:hanging="431"/>
        <w:spacing w:after="0" w:line="251" w:lineRule="auto"/>
        <w:tabs>
          <w:tab w:leader="none" w:pos="1900" w:val="left"/>
        </w:tabs>
        <w:rPr>
          <w:sz w:val="20"/>
          <w:szCs w:val="20"/>
          <w:color w:val="auto"/>
        </w:rPr>
      </w:pPr>
      <w:r>
        <w:rPr>
          <w:rFonts w:ascii="Arial" w:cs="Arial" w:eastAsia="Arial" w:hAnsi="Arial"/>
          <w:sz w:val="15"/>
          <w:szCs w:val="15"/>
          <w:color w:val="auto"/>
        </w:rPr>
        <w:t>10.2</w:t>
        <w:tab/>
        <w:t>Amendment No. 1 to the Asset-based Revolving Credit Agreement, dated January 7, 2019, by and among SCA Acquisition, LLC, MN Airlines, LLC, the lenders party thereto and Barclays Bank PLC (incorporated by reference to Exhibit 10.2 to Sun Country Airlines Holdings, Inc.’s Registration Statement on Form S-1 (File No. 333-252858))</w:t>
      </w:r>
    </w:p>
    <w:p>
      <w:pPr>
        <w:spacing w:after="0" w:line="26" w:lineRule="exact"/>
        <w:rPr>
          <w:sz w:val="20"/>
          <w:szCs w:val="20"/>
          <w:color w:val="auto"/>
        </w:rPr>
      </w:pPr>
    </w:p>
    <w:p>
      <w:pPr>
        <w:jc w:val="center"/>
        <w:ind w:right="-300"/>
        <w:spacing w:after="0"/>
        <w:tabs>
          <w:tab w:leader="none" w:pos="160" w:val="left"/>
        </w:tabs>
        <w:rPr>
          <w:sz w:val="20"/>
          <w:szCs w:val="20"/>
          <w:color w:val="auto"/>
        </w:rPr>
      </w:pPr>
      <w:r>
        <w:rPr>
          <w:rFonts w:ascii="Arial" w:cs="Arial" w:eastAsia="Arial" w:hAnsi="Arial"/>
          <w:sz w:val="15"/>
          <w:szCs w:val="15"/>
          <w:color w:val="auto"/>
        </w:rPr>
        <w:t>10.3</w:t>
      </w:r>
      <w:r>
        <w:rPr>
          <w:sz w:val="20"/>
          <w:szCs w:val="20"/>
          <w:color w:val="auto"/>
        </w:rPr>
        <w:tab/>
      </w:r>
      <w:r>
        <w:rPr>
          <w:rFonts w:ascii="Arial" w:cs="Arial" w:eastAsia="Arial" w:hAnsi="Arial"/>
          <w:sz w:val="13"/>
          <w:szCs w:val="13"/>
          <w:color w:val="auto"/>
        </w:rPr>
        <w:t>Amendment No. 2 to the Asset-based Revolving Credit Agreement, dated May 15, 2020, by and</w:t>
      </w:r>
    </w:p>
    <w:p>
      <w:pPr>
        <w:spacing w:after="0" w:line="14"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among SCA Acquisition, LLC, MN Airlines, LLC, the lenders party thereto and Barclays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65" w:name="page266"/>
    <w:bookmarkEnd w:id="265"/>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ind w:left="46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20" w:type="dxa"/>
            <w:vAlign w:val="bottom"/>
          </w:tcPr>
          <w:p>
            <w:pPr>
              <w:ind w:left="1600"/>
              <w:spacing w:after="0"/>
              <w:rPr>
                <w:sz w:val="20"/>
                <w:szCs w:val="20"/>
                <w:color w:val="auto"/>
              </w:rPr>
            </w:pPr>
            <w:r>
              <w:rPr>
                <w:rFonts w:ascii="Arial" w:cs="Arial" w:eastAsia="Arial" w:hAnsi="Arial"/>
                <w:sz w:val="15"/>
                <w:szCs w:val="15"/>
                <w:b w:val="1"/>
                <w:bCs w:val="1"/>
                <w:color w:val="auto"/>
              </w:rPr>
              <w:t>Pursuant to 17 C.F.R. Section 200.83</w:t>
            </w:r>
          </w:p>
        </w:tc>
        <w:tc>
          <w:tcPr>
            <w:tcW w:w="0" w:type="dxa"/>
            <w:vAlign w:val="bottom"/>
          </w:tcPr>
          <w:p>
            <w:pPr>
              <w:spacing w:after="0"/>
              <w:rPr>
                <w:sz w:val="1"/>
                <w:szCs w:val="1"/>
                <w:color w:val="auto"/>
              </w:rPr>
            </w:pPr>
          </w:p>
        </w:tc>
      </w:tr>
      <w:tr>
        <w:trPr>
          <w:trHeight w:val="213"/>
        </w:trPr>
        <w:tc>
          <w:tcPr>
            <w:tcW w:w="6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Exhibit</w:t>
            </w: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2"/>
              </w:rPr>
              <w:t>Number</w:t>
            </w:r>
          </w:p>
        </w:tc>
        <w:tc>
          <w:tcPr>
            <w:tcW w:w="6020" w:type="dxa"/>
            <w:vAlign w:val="bottom"/>
          </w:tcPr>
          <w:p>
            <w:pPr>
              <w:ind w:left="2540"/>
              <w:spacing w:after="0"/>
              <w:rPr>
                <w:sz w:val="20"/>
                <w:szCs w:val="20"/>
                <w:color w:val="auto"/>
              </w:rPr>
            </w:pPr>
            <w:r>
              <w:rPr>
                <w:rFonts w:ascii="Arial" w:cs="Arial" w:eastAsia="Arial" w:hAnsi="Arial"/>
                <w:sz w:val="12"/>
                <w:szCs w:val="12"/>
                <w:b w:val="1"/>
                <w:bCs w:val="1"/>
                <w:color w:val="auto"/>
              </w:rPr>
              <w:t>Exhibit Description</w:t>
            </w:r>
          </w:p>
        </w:tc>
        <w:tc>
          <w:tcPr>
            <w:tcW w:w="0" w:type="dxa"/>
            <w:vAlign w:val="bottom"/>
          </w:tcPr>
          <w:p>
            <w:pPr>
              <w:spacing w:after="0"/>
              <w:rPr>
                <w:sz w:val="1"/>
                <w:szCs w:val="1"/>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8"/>
              </w:rPr>
              <w:t>Bank PLC (incorporated by reference to Exhibit 10.3 to Sun Country Airlines Holdings, Inc.’s</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c>
          <w:tcPr>
            <w:tcW w:w="0" w:type="dxa"/>
            <w:vAlign w:val="bottom"/>
          </w:tcPr>
          <w:p>
            <w:pPr>
              <w:spacing w:after="0"/>
              <w:rPr>
                <w:sz w:val="1"/>
                <w:szCs w:val="1"/>
                <w:color w:val="auto"/>
              </w:rPr>
            </w:pPr>
          </w:p>
        </w:tc>
      </w:tr>
      <w:tr>
        <w:trPr>
          <w:trHeight w:val="187"/>
        </w:trPr>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10.4</w:t>
            </w:r>
          </w:p>
        </w:tc>
        <w:tc>
          <w:tcPr>
            <w:tcW w:w="6020" w:type="dxa"/>
            <w:vAlign w:val="bottom"/>
          </w:tcPr>
          <w:p>
            <w:pPr>
              <w:spacing w:after="0"/>
              <w:rPr>
                <w:sz w:val="20"/>
                <w:szCs w:val="20"/>
                <w:color w:val="auto"/>
              </w:rPr>
            </w:pPr>
            <w:r>
              <w:rPr>
                <w:rFonts w:ascii="Arial" w:cs="Arial" w:eastAsia="Arial" w:hAnsi="Arial"/>
                <w:sz w:val="15"/>
                <w:szCs w:val="15"/>
                <w:color w:val="auto"/>
                <w:w w:val="94"/>
              </w:rPr>
              <w:t>Amendment No. 3 to the Asset-based Revolving Credit Agreement, dated September 14, 2020,</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by and among SCA Acquisition, LLC, MN Airlines, LLC, the lenders party thereto and</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Barclays Bank PLC (incorporated by reference to Exhibit 10.4 to Sun Country Airlines</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c>
          <w:tcPr>
            <w:tcW w:w="0" w:type="dxa"/>
            <w:vAlign w:val="bottom"/>
          </w:tcPr>
          <w:p>
            <w:pPr>
              <w:spacing w:after="0"/>
              <w:rPr>
                <w:sz w:val="1"/>
                <w:szCs w:val="1"/>
                <w:color w:val="auto"/>
              </w:rPr>
            </w:pPr>
          </w:p>
        </w:tc>
      </w:tr>
      <w:tr>
        <w:trPr>
          <w:trHeight w:val="187"/>
        </w:trPr>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10.5</w:t>
            </w:r>
          </w:p>
        </w:tc>
        <w:tc>
          <w:tcPr>
            <w:tcW w:w="6020" w:type="dxa"/>
            <w:vAlign w:val="bottom"/>
          </w:tcPr>
          <w:p>
            <w:pPr>
              <w:spacing w:after="0"/>
              <w:rPr>
                <w:sz w:val="20"/>
                <w:szCs w:val="20"/>
                <w:color w:val="auto"/>
              </w:rPr>
            </w:pPr>
            <w:r>
              <w:rPr>
                <w:rFonts w:ascii="Arial" w:cs="Arial" w:eastAsia="Arial" w:hAnsi="Arial"/>
                <w:sz w:val="15"/>
                <w:szCs w:val="15"/>
                <w:color w:val="auto"/>
                <w:w w:val="97"/>
              </w:rPr>
              <w:t>Loan and Guarantee Agreement, dated as of October 26, 2020, among Sun Country, Inc., as</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Borrower, the Guarantors party thereto from time to time, the United States Department of the</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9"/>
              </w:rPr>
              <w:t>Treasury, and The Bank of New York Mellon, as Administrative Agent and Collateral Agent</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(incorporated by reference to Exhibit 10.5 to Sun Country Airlines Holdings, Inc.’s Registration</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c>
          <w:tcPr>
            <w:tcW w:w="0" w:type="dxa"/>
            <w:vAlign w:val="bottom"/>
          </w:tcPr>
          <w:p>
            <w:pPr>
              <w:spacing w:after="0"/>
              <w:rPr>
                <w:sz w:val="1"/>
                <w:szCs w:val="1"/>
                <w:color w:val="auto"/>
              </w:rPr>
            </w:pPr>
          </w:p>
        </w:tc>
      </w:tr>
      <w:tr>
        <w:trPr>
          <w:trHeight w:val="187"/>
        </w:trPr>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10.6</w:t>
            </w:r>
          </w:p>
        </w:tc>
        <w:tc>
          <w:tcPr>
            <w:tcW w:w="6020" w:type="dxa"/>
            <w:vAlign w:val="bottom"/>
          </w:tcPr>
          <w:p>
            <w:pPr>
              <w:spacing w:after="0"/>
              <w:rPr>
                <w:sz w:val="20"/>
                <w:szCs w:val="20"/>
                <w:color w:val="auto"/>
              </w:rPr>
            </w:pPr>
            <w:r>
              <w:rPr>
                <w:rFonts w:ascii="Arial" w:cs="Arial" w:eastAsia="Arial" w:hAnsi="Arial"/>
                <w:sz w:val="15"/>
                <w:szCs w:val="15"/>
                <w:color w:val="auto"/>
                <w:w w:val="96"/>
              </w:rPr>
              <w:t>Pledge and Security Agreement, dated as of October 26, 2020, between each of the Grantors</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5"/>
              </w:rPr>
              <w:t>party thereto and The Bank of New York Mellon, as Collateral Agent (incorporated by reference</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9"/>
              </w:rPr>
              <w:t>to Exhibit 10.6 to Sun Country Airlines Holdings, Inc.’s Registration Statement on Form S-1</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(File No. 333-252858))</w:t>
            </w:r>
          </w:p>
        </w:tc>
        <w:tc>
          <w:tcPr>
            <w:tcW w:w="0" w:type="dxa"/>
            <w:vAlign w:val="bottom"/>
          </w:tcPr>
          <w:p>
            <w:pPr>
              <w:spacing w:after="0"/>
              <w:rPr>
                <w:sz w:val="1"/>
                <w:szCs w:val="1"/>
                <w:color w:val="auto"/>
              </w:rPr>
            </w:pPr>
          </w:p>
        </w:tc>
      </w:tr>
      <w:tr>
        <w:trPr>
          <w:trHeight w:val="187"/>
        </w:trPr>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10.7</w:t>
            </w:r>
          </w:p>
        </w:tc>
        <w:tc>
          <w:tcPr>
            <w:tcW w:w="6020" w:type="dxa"/>
            <w:vAlign w:val="bottom"/>
          </w:tcPr>
          <w:p>
            <w:pPr>
              <w:spacing w:after="0"/>
              <w:rPr>
                <w:sz w:val="20"/>
                <w:szCs w:val="20"/>
                <w:color w:val="auto"/>
              </w:rPr>
            </w:pPr>
            <w:r>
              <w:rPr>
                <w:rFonts w:ascii="Arial" w:cs="Arial" w:eastAsia="Arial" w:hAnsi="Arial"/>
                <w:sz w:val="15"/>
                <w:szCs w:val="15"/>
                <w:color w:val="auto"/>
                <w:w w:val="95"/>
              </w:rPr>
              <w:t>Payroll Support Program Agreement, dated as of April 16, 2020, by and between Sun Country,</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Inc. and the Department of the Treasury (incorporated by reference to Exhibit 10.7 to Sun</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8"/>
              </w:rPr>
              <w:t>Country Airlines Holdings, Inc.’s Registration Statement on Form S-1 (File No. 333-252858))</w:t>
            </w:r>
          </w:p>
        </w:tc>
        <w:tc>
          <w:tcPr>
            <w:tcW w:w="0" w:type="dxa"/>
            <w:vAlign w:val="bottom"/>
          </w:tcPr>
          <w:p>
            <w:pPr>
              <w:spacing w:after="0"/>
              <w:rPr>
                <w:sz w:val="1"/>
                <w:szCs w:val="1"/>
                <w:color w:val="auto"/>
              </w:rPr>
            </w:pPr>
          </w:p>
        </w:tc>
      </w:tr>
      <w:tr>
        <w:trPr>
          <w:trHeight w:val="187"/>
        </w:trPr>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10.8</w:t>
            </w:r>
          </w:p>
        </w:tc>
        <w:tc>
          <w:tcPr>
            <w:tcW w:w="6020" w:type="dxa"/>
            <w:vAlign w:val="bottom"/>
          </w:tcPr>
          <w:p>
            <w:pPr>
              <w:spacing w:after="0"/>
              <w:rPr>
                <w:sz w:val="20"/>
                <w:szCs w:val="20"/>
                <w:color w:val="auto"/>
              </w:rPr>
            </w:pPr>
            <w:r>
              <w:rPr>
                <w:rFonts w:ascii="Arial" w:cs="Arial" w:eastAsia="Arial" w:hAnsi="Arial"/>
                <w:sz w:val="15"/>
                <w:szCs w:val="15"/>
                <w:color w:val="auto"/>
                <w:w w:val="95"/>
              </w:rPr>
              <w:t>Payroll Support Program Extension Agreement, dated as of January 29, 2021, by and between</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Sun Country, Inc. and the Department of the Treasury (incorporated by reference to</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Exhibit 10.8 to Sun Country Airlines Holdings, Inc.’s Registration Statement on Form S-1 (File</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No. 333-252858))</w:t>
            </w:r>
          </w:p>
        </w:tc>
        <w:tc>
          <w:tcPr>
            <w:tcW w:w="0" w:type="dxa"/>
            <w:vAlign w:val="bottom"/>
          </w:tcPr>
          <w:p>
            <w:pPr>
              <w:spacing w:after="0"/>
              <w:rPr>
                <w:sz w:val="1"/>
                <w:szCs w:val="1"/>
                <w:color w:val="auto"/>
              </w:rPr>
            </w:pPr>
          </w:p>
        </w:tc>
      </w:tr>
      <w:tr>
        <w:trPr>
          <w:trHeight w:val="187"/>
        </w:trPr>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10.9</w:t>
            </w:r>
          </w:p>
        </w:tc>
        <w:tc>
          <w:tcPr>
            <w:tcW w:w="6020" w:type="dxa"/>
            <w:vAlign w:val="bottom"/>
          </w:tcPr>
          <w:p>
            <w:pPr>
              <w:spacing w:after="0"/>
              <w:rPr>
                <w:sz w:val="20"/>
                <w:szCs w:val="20"/>
                <w:color w:val="auto"/>
              </w:rPr>
            </w:pPr>
            <w:r>
              <w:rPr>
                <w:rFonts w:ascii="Arial" w:cs="Arial" w:eastAsia="Arial" w:hAnsi="Arial"/>
                <w:sz w:val="15"/>
                <w:szCs w:val="15"/>
                <w:color w:val="auto"/>
                <w:w w:val="93"/>
              </w:rPr>
              <w:t>Amended and Restated Airline Operating Agreement and Terminal Building Lease, Minneapolis-</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St. Paul International Airport, between Metropolitan Airports Commission and MN Airlines,</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LLC d/b/a Sun Country Airlines, effective January 1, 2019 (incorporated by reference to</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Exhibit 10.9 to Sun Country Airlines Holdings, Inc.’s Registration Statement on Form S-1 (File</w:t>
            </w:r>
          </w:p>
        </w:tc>
        <w:tc>
          <w:tcPr>
            <w:tcW w:w="0" w:type="dxa"/>
            <w:vAlign w:val="bottom"/>
          </w:tcPr>
          <w:p>
            <w:pPr>
              <w:spacing w:after="0"/>
              <w:rPr>
                <w:sz w:val="1"/>
                <w:szCs w:val="1"/>
                <w:color w:val="auto"/>
              </w:rPr>
            </w:pPr>
          </w:p>
        </w:tc>
      </w:tr>
      <w:tr>
        <w:trPr>
          <w:trHeight w:val="186"/>
        </w:trPr>
        <w:tc>
          <w:tcPr>
            <w:tcW w:w="6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10.10</w:t>
            </w:r>
            <w:r>
              <w:rPr>
                <w:rFonts w:ascii="Arial" w:cs="Arial" w:eastAsia="Arial" w:hAnsi="Arial"/>
                <w:sz w:val="21"/>
                <w:szCs w:val="21"/>
                <w:color w:val="auto"/>
                <w:vertAlign w:val="superscript"/>
              </w:rPr>
              <w:t>#</w:t>
            </w:r>
          </w:p>
        </w:tc>
        <w:tc>
          <w:tcPr>
            <w:tcW w:w="6020" w:type="dxa"/>
            <w:vAlign w:val="bottom"/>
          </w:tcPr>
          <w:p>
            <w:pPr>
              <w:spacing w:after="0"/>
              <w:rPr>
                <w:sz w:val="20"/>
                <w:szCs w:val="20"/>
                <w:color w:val="auto"/>
              </w:rPr>
            </w:pPr>
            <w:r>
              <w:rPr>
                <w:rFonts w:ascii="Arial" w:cs="Arial" w:eastAsia="Arial" w:hAnsi="Arial"/>
                <w:sz w:val="15"/>
                <w:szCs w:val="15"/>
                <w:color w:val="auto"/>
              </w:rPr>
              <w:t>No. 333-252858))</w:t>
            </w:r>
          </w:p>
        </w:tc>
        <w:tc>
          <w:tcPr>
            <w:tcW w:w="0" w:type="dxa"/>
            <w:vAlign w:val="bottom"/>
          </w:tcPr>
          <w:p>
            <w:pPr>
              <w:spacing w:after="0"/>
              <w:rPr>
                <w:sz w:val="1"/>
                <w:szCs w:val="1"/>
                <w:color w:val="auto"/>
              </w:rPr>
            </w:pPr>
          </w:p>
        </w:tc>
      </w:tr>
      <w:tr>
        <w:trPr>
          <w:trHeight w:val="187"/>
        </w:trPr>
        <w:tc>
          <w:tcPr>
            <w:tcW w:w="660" w:type="dxa"/>
            <w:vAlign w:val="bottom"/>
            <w:gridSpan w:val="2"/>
            <w:vMerge w:val="continue"/>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Air Transportation Services Agreement, dated as of December 13, 2019, by and between Sun</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4"/>
              </w:rPr>
              <w:t>Country, Inc. and Amazon.com Services, Inc. (incorporated by reference to Exhibit 10.10 to Sun</w:t>
            </w:r>
          </w:p>
        </w:tc>
        <w:tc>
          <w:tcPr>
            <w:tcW w:w="0" w:type="dxa"/>
            <w:vAlign w:val="bottom"/>
          </w:tcPr>
          <w:p>
            <w:pPr>
              <w:spacing w:after="0"/>
              <w:rPr>
                <w:sz w:val="1"/>
                <w:szCs w:val="1"/>
                <w:color w:val="auto"/>
              </w:rPr>
            </w:pPr>
          </w:p>
        </w:tc>
      </w:tr>
      <w:tr>
        <w:trPr>
          <w:trHeight w:val="186"/>
        </w:trPr>
        <w:tc>
          <w:tcPr>
            <w:tcW w:w="6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10.11</w:t>
            </w:r>
            <w:r>
              <w:rPr>
                <w:rFonts w:ascii="Arial" w:cs="Arial" w:eastAsia="Arial" w:hAnsi="Arial"/>
                <w:sz w:val="21"/>
                <w:szCs w:val="21"/>
                <w:color w:val="auto"/>
                <w:vertAlign w:val="superscript"/>
              </w:rPr>
              <w:t>#</w:t>
            </w:r>
          </w:p>
        </w:tc>
        <w:tc>
          <w:tcPr>
            <w:tcW w:w="6020" w:type="dxa"/>
            <w:vAlign w:val="bottom"/>
          </w:tcPr>
          <w:p>
            <w:pPr>
              <w:spacing w:after="0"/>
              <w:rPr>
                <w:sz w:val="20"/>
                <w:szCs w:val="20"/>
                <w:color w:val="auto"/>
              </w:rPr>
            </w:pPr>
            <w:r>
              <w:rPr>
                <w:rFonts w:ascii="Arial" w:cs="Arial" w:eastAsia="Arial" w:hAnsi="Arial"/>
                <w:sz w:val="15"/>
                <w:szCs w:val="15"/>
                <w:color w:val="auto"/>
                <w:w w:val="98"/>
              </w:rPr>
              <w:t>Country Airlines Holdings, Inc.’s Registration Statement on Form S-1 (File No. 333-252858))</w:t>
            </w:r>
          </w:p>
        </w:tc>
        <w:tc>
          <w:tcPr>
            <w:tcW w:w="0" w:type="dxa"/>
            <w:vAlign w:val="bottom"/>
          </w:tcPr>
          <w:p>
            <w:pPr>
              <w:spacing w:after="0"/>
              <w:rPr>
                <w:sz w:val="1"/>
                <w:szCs w:val="1"/>
                <w:color w:val="auto"/>
              </w:rPr>
            </w:pPr>
          </w:p>
        </w:tc>
      </w:tr>
      <w:tr>
        <w:trPr>
          <w:trHeight w:val="187"/>
        </w:trPr>
        <w:tc>
          <w:tcPr>
            <w:tcW w:w="660" w:type="dxa"/>
            <w:vAlign w:val="bottom"/>
            <w:gridSpan w:val="2"/>
            <w:vMerge w:val="continue"/>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4"/>
              </w:rPr>
              <w:t>Amendment No. 1 to Air Transportation Services Agreement, dated as of June 30, 2020, by and</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between Sun Country, Inc. and Amazon.com Services, Inc. (incorporated by reference to</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5"/>
              </w:rPr>
              <w:t>Exhibit 10.11 to Sun Country Airlines Holdings, Inc.’s Registration Statement on Form S-1 (File</w:t>
            </w:r>
          </w:p>
        </w:tc>
        <w:tc>
          <w:tcPr>
            <w:tcW w:w="0" w:type="dxa"/>
            <w:vAlign w:val="bottom"/>
          </w:tcPr>
          <w:p>
            <w:pPr>
              <w:spacing w:after="0"/>
              <w:rPr>
                <w:sz w:val="1"/>
                <w:szCs w:val="1"/>
                <w:color w:val="auto"/>
              </w:rPr>
            </w:pPr>
          </w:p>
        </w:tc>
      </w:tr>
      <w:tr>
        <w:trPr>
          <w:trHeight w:val="186"/>
        </w:trPr>
        <w:tc>
          <w:tcPr>
            <w:tcW w:w="6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10.12</w:t>
            </w:r>
            <w:r>
              <w:rPr>
                <w:rFonts w:ascii="Arial" w:cs="Arial" w:eastAsia="Arial" w:hAnsi="Arial"/>
                <w:sz w:val="21"/>
                <w:szCs w:val="21"/>
                <w:color w:val="auto"/>
                <w:vertAlign w:val="superscript"/>
              </w:rPr>
              <w:t>#</w:t>
            </w:r>
          </w:p>
        </w:tc>
        <w:tc>
          <w:tcPr>
            <w:tcW w:w="6020" w:type="dxa"/>
            <w:vAlign w:val="bottom"/>
          </w:tcPr>
          <w:p>
            <w:pPr>
              <w:spacing w:after="0"/>
              <w:rPr>
                <w:sz w:val="20"/>
                <w:szCs w:val="20"/>
                <w:color w:val="auto"/>
              </w:rPr>
            </w:pPr>
            <w:r>
              <w:rPr>
                <w:rFonts w:ascii="Arial" w:cs="Arial" w:eastAsia="Arial" w:hAnsi="Arial"/>
                <w:sz w:val="15"/>
                <w:szCs w:val="15"/>
                <w:color w:val="auto"/>
              </w:rPr>
              <w:t>No. 333-252858))</w:t>
            </w:r>
          </w:p>
        </w:tc>
        <w:tc>
          <w:tcPr>
            <w:tcW w:w="0" w:type="dxa"/>
            <w:vAlign w:val="bottom"/>
          </w:tcPr>
          <w:p>
            <w:pPr>
              <w:spacing w:after="0"/>
              <w:rPr>
                <w:sz w:val="1"/>
                <w:szCs w:val="1"/>
                <w:color w:val="auto"/>
              </w:rPr>
            </w:pPr>
          </w:p>
        </w:tc>
      </w:tr>
      <w:tr>
        <w:trPr>
          <w:trHeight w:val="187"/>
        </w:trPr>
        <w:tc>
          <w:tcPr>
            <w:tcW w:w="660" w:type="dxa"/>
            <w:vAlign w:val="bottom"/>
            <w:gridSpan w:val="2"/>
            <w:vMerge w:val="continue"/>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Warrant, dated as of December 13, 2019, issued by SCA Acquisition Holdings, LLC to</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Amazon.com NV Investment Holdings LLC (incorporated by reference to Exhibit 10.12 to Sun</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8"/>
              </w:rPr>
              <w:t>Country Airlines Holdings, Inc.’s Registration Statement on Form S-1 (File No. 333-252858))</w:t>
            </w:r>
          </w:p>
        </w:tc>
        <w:tc>
          <w:tcPr>
            <w:tcW w:w="0" w:type="dxa"/>
            <w:vAlign w:val="bottom"/>
          </w:tcPr>
          <w:p>
            <w:pPr>
              <w:spacing w:after="0"/>
              <w:rPr>
                <w:sz w:val="1"/>
                <w:szCs w:val="1"/>
                <w:color w:val="auto"/>
              </w:rPr>
            </w:pPr>
          </w:p>
        </w:tc>
      </w:tr>
      <w:tr>
        <w:trPr>
          <w:trHeight w:val="187"/>
        </w:trPr>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10.13</w:t>
            </w:r>
          </w:p>
        </w:tc>
        <w:tc>
          <w:tcPr>
            <w:tcW w:w="6020" w:type="dxa"/>
            <w:vAlign w:val="bottom"/>
          </w:tcPr>
          <w:p>
            <w:pPr>
              <w:spacing w:after="0"/>
              <w:rPr>
                <w:sz w:val="20"/>
                <w:szCs w:val="20"/>
                <w:color w:val="auto"/>
              </w:rPr>
            </w:pPr>
            <w:r>
              <w:rPr>
                <w:rFonts w:ascii="Arial" w:cs="Arial" w:eastAsia="Arial" w:hAnsi="Arial"/>
                <w:sz w:val="15"/>
                <w:szCs w:val="15"/>
                <w:color w:val="auto"/>
                <w:w w:val="97"/>
              </w:rPr>
              <w:t>Headquarters Facility Lease Agreement, dated as of February 19, 2019, by and between the</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Metropolitan Airports Commission and MN Airlines, LLC dba Sun Country Airlines</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5"/>
              </w:rPr>
              <w:t>(incorporated by reference to Exhibit 10.13 to Sun Country Airlines Holdings, Inc.’s Registration</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c>
          <w:tcPr>
            <w:tcW w:w="0" w:type="dxa"/>
            <w:vAlign w:val="bottom"/>
          </w:tcPr>
          <w:p>
            <w:pPr>
              <w:spacing w:after="0"/>
              <w:rPr>
                <w:sz w:val="1"/>
                <w:szCs w:val="1"/>
                <w:color w:val="auto"/>
              </w:rPr>
            </w:pPr>
          </w:p>
        </w:tc>
      </w:tr>
      <w:tr>
        <w:trPr>
          <w:trHeight w:val="187"/>
        </w:trPr>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10.14</w:t>
            </w:r>
          </w:p>
        </w:tc>
        <w:tc>
          <w:tcPr>
            <w:tcW w:w="6020" w:type="dxa"/>
            <w:vAlign w:val="bottom"/>
          </w:tcPr>
          <w:p>
            <w:pPr>
              <w:spacing w:after="0"/>
              <w:rPr>
                <w:sz w:val="20"/>
                <w:szCs w:val="20"/>
                <w:color w:val="auto"/>
              </w:rPr>
            </w:pPr>
            <w:r>
              <w:rPr>
                <w:rFonts w:ascii="Arial" w:cs="Arial" w:eastAsia="Arial" w:hAnsi="Arial"/>
                <w:sz w:val="15"/>
                <w:szCs w:val="15"/>
                <w:color w:val="auto"/>
                <w:w w:val="93"/>
              </w:rPr>
              <w:t>Amended and Restated Co-Brand Marketing Agreement, dated as of October 17, 2018, between</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5"/>
              </w:rPr>
              <w:t>First National Bank of Omaha and MN Airlines, LLC dba Sun Country Airlines (incorporated by</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8"/>
              </w:rPr>
              <w:t>reference to Exhibit 10.14 to Sun Country Airlines Holdings, Inc.’s Registration Statement on</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Form S-1 (File No. 333-252858))</w:t>
            </w:r>
          </w:p>
        </w:tc>
        <w:tc>
          <w:tcPr>
            <w:tcW w:w="0" w:type="dxa"/>
            <w:vAlign w:val="bottom"/>
          </w:tcPr>
          <w:p>
            <w:pPr>
              <w:spacing w:after="0"/>
              <w:rPr>
                <w:sz w:val="1"/>
                <w:szCs w:val="1"/>
                <w:color w:val="auto"/>
              </w:rPr>
            </w:pPr>
          </w:p>
        </w:tc>
      </w:tr>
      <w:tr>
        <w:trPr>
          <w:trHeight w:val="187"/>
        </w:trPr>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10.15</w:t>
            </w:r>
          </w:p>
        </w:tc>
        <w:tc>
          <w:tcPr>
            <w:tcW w:w="6020" w:type="dxa"/>
            <w:vAlign w:val="bottom"/>
          </w:tcPr>
          <w:p>
            <w:pPr>
              <w:spacing w:after="0"/>
              <w:rPr>
                <w:sz w:val="20"/>
                <w:szCs w:val="20"/>
                <w:color w:val="auto"/>
              </w:rPr>
            </w:pPr>
            <w:r>
              <w:rPr>
                <w:rFonts w:ascii="Arial" w:cs="Arial" w:eastAsia="Arial" w:hAnsi="Arial"/>
                <w:sz w:val="15"/>
                <w:szCs w:val="15"/>
                <w:color w:val="auto"/>
              </w:rPr>
              <w:t>Amendment No. 1 to Amended and Restated Co-Brand Marketing Agreement, dated as of</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7"/>
              </w:rPr>
              <w:t>November 1, 2018, by and between First National Bank of Omaha and MN Airlines, LLC dba</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Sun Country Airlines (incorporated by reference to Exhibit 10.15 to Sun Country Airlines</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6" w:name="page267"/>
    <w:bookmarkEnd w:id="266"/>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ind w:left="36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r>
      <w:tr>
        <w:trPr>
          <w:trHeight w:val="209"/>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tcPr>
          <w:p>
            <w:pPr>
              <w:ind w:left="1500"/>
              <w:spacing w:after="0"/>
              <w:rPr>
                <w:sz w:val="20"/>
                <w:szCs w:val="20"/>
                <w:color w:val="auto"/>
              </w:rPr>
            </w:pPr>
            <w:r>
              <w:rPr>
                <w:rFonts w:ascii="Arial" w:cs="Arial" w:eastAsia="Arial" w:hAnsi="Arial"/>
                <w:sz w:val="15"/>
                <w:szCs w:val="15"/>
                <w:b w:val="1"/>
                <w:bCs w:val="1"/>
                <w:color w:val="auto"/>
              </w:rPr>
              <w:t>Pursuant to 17 C.F.R. Section 200.83</w:t>
            </w:r>
          </w:p>
        </w:tc>
      </w:tr>
      <w:tr>
        <w:trPr>
          <w:trHeight w:val="224"/>
        </w:trPr>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Exhibit</w:t>
            </w:r>
          </w:p>
        </w:tc>
        <w:tc>
          <w:tcPr>
            <w:tcW w:w="5920" w:type="dxa"/>
            <w:vAlign w:val="bottom"/>
          </w:tcPr>
          <w:p>
            <w:pPr>
              <w:spacing w:after="0"/>
              <w:rPr>
                <w:sz w:val="19"/>
                <w:szCs w:val="19"/>
                <w:color w:val="auto"/>
              </w:rPr>
            </w:pPr>
          </w:p>
        </w:tc>
      </w:tr>
      <w:tr>
        <w:trPr>
          <w:trHeight w:val="150"/>
        </w:trPr>
        <w:tc>
          <w:tcPr>
            <w:tcW w:w="7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Number</w:t>
            </w:r>
          </w:p>
        </w:tc>
        <w:tc>
          <w:tcPr>
            <w:tcW w:w="5920" w:type="dxa"/>
            <w:vAlign w:val="bottom"/>
          </w:tcPr>
          <w:p>
            <w:pPr>
              <w:ind w:left="2500"/>
              <w:spacing w:after="0"/>
              <w:rPr>
                <w:sz w:val="20"/>
                <w:szCs w:val="20"/>
                <w:color w:val="auto"/>
              </w:rPr>
            </w:pPr>
            <w:r>
              <w:rPr>
                <w:rFonts w:ascii="Arial" w:cs="Arial" w:eastAsia="Arial" w:hAnsi="Arial"/>
                <w:sz w:val="12"/>
                <w:szCs w:val="12"/>
                <w:b w:val="1"/>
                <w:bCs w:val="1"/>
                <w:color w:val="auto"/>
              </w:rPr>
              <w:t>Exhibit Description</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r>
      <w:tr>
        <w:trPr>
          <w:trHeight w:val="200"/>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r>
      <w:tr>
        <w:trPr>
          <w:trHeight w:val="176"/>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10.16</w:t>
            </w:r>
          </w:p>
        </w:tc>
        <w:tc>
          <w:tcPr>
            <w:tcW w:w="5920" w:type="dxa"/>
            <w:vAlign w:val="bottom"/>
          </w:tcPr>
          <w:p>
            <w:pPr>
              <w:spacing w:after="0"/>
              <w:rPr>
                <w:sz w:val="20"/>
                <w:szCs w:val="20"/>
                <w:color w:val="auto"/>
              </w:rPr>
            </w:pPr>
            <w:r>
              <w:rPr>
                <w:rFonts w:ascii="Arial" w:cs="Arial" w:eastAsia="Arial" w:hAnsi="Arial"/>
                <w:sz w:val="15"/>
                <w:szCs w:val="15"/>
                <w:color w:val="auto"/>
                <w:w w:val="91"/>
              </w:rPr>
              <w:t>Inventory Support and Services Agreement, dated as of October 27, 2003, by and between Delta</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Airlines, Inc. and MN Airlines, LLC (incorporated by reference to Exhibit 10.16 to Sun</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6"/>
              </w:rPr>
              <w:t>Country Airlines Holdings, Inc.’s Registration Statement on Form S-1 (File No. 333-252858))</w:t>
            </w:r>
          </w:p>
        </w:tc>
      </w:tr>
      <w:tr>
        <w:trPr>
          <w:trHeight w:val="198"/>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10.17</w:t>
            </w:r>
          </w:p>
        </w:tc>
        <w:tc>
          <w:tcPr>
            <w:tcW w:w="5920" w:type="dxa"/>
            <w:vAlign w:val="bottom"/>
          </w:tcPr>
          <w:p>
            <w:pPr>
              <w:spacing w:after="0"/>
              <w:rPr>
                <w:sz w:val="20"/>
                <w:szCs w:val="20"/>
                <w:color w:val="auto"/>
              </w:rPr>
            </w:pPr>
            <w:r>
              <w:rPr>
                <w:rFonts w:ascii="Arial" w:cs="Arial" w:eastAsia="Arial" w:hAnsi="Arial"/>
                <w:sz w:val="15"/>
                <w:szCs w:val="15"/>
                <w:color w:val="auto"/>
                <w:w w:val="98"/>
              </w:rPr>
              <w:t>Amendment No. 1 to Inventory Support and Services Agreement, dated as of November 8,</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5"/>
              </w:rPr>
              <w:t>2004, by 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10.17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198"/>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10.18</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2 to Inventory Support and Services Agreement, dated as of March 18, 2005,</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10.18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10.19</w:t>
            </w:r>
          </w:p>
        </w:tc>
        <w:tc>
          <w:tcPr>
            <w:tcW w:w="5920" w:type="dxa"/>
            <w:vAlign w:val="bottom"/>
          </w:tcPr>
          <w:p>
            <w:pPr>
              <w:spacing w:after="0"/>
              <w:rPr>
                <w:sz w:val="20"/>
                <w:szCs w:val="20"/>
                <w:color w:val="auto"/>
              </w:rPr>
            </w:pPr>
            <w:r>
              <w:rPr>
                <w:rFonts w:ascii="Arial" w:cs="Arial" w:eastAsia="Arial" w:hAnsi="Arial"/>
                <w:sz w:val="15"/>
                <w:szCs w:val="15"/>
                <w:color w:val="auto"/>
                <w:w w:val="93"/>
              </w:rPr>
              <w:t>Amendment No. 3 to Inventory Support and Services Agreement, dated as of July 15, 2007, by</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10.19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10.20</w:t>
            </w:r>
          </w:p>
        </w:tc>
        <w:tc>
          <w:tcPr>
            <w:tcW w:w="5920" w:type="dxa"/>
            <w:vAlign w:val="bottom"/>
          </w:tcPr>
          <w:p>
            <w:pPr>
              <w:spacing w:after="0"/>
              <w:rPr>
                <w:sz w:val="20"/>
                <w:szCs w:val="20"/>
                <w:color w:val="auto"/>
              </w:rPr>
            </w:pPr>
            <w:r>
              <w:rPr>
                <w:rFonts w:ascii="Arial" w:cs="Arial" w:eastAsia="Arial" w:hAnsi="Arial"/>
                <w:sz w:val="15"/>
                <w:szCs w:val="15"/>
                <w:color w:val="auto"/>
                <w:w w:val="93"/>
              </w:rPr>
              <w:t>Amendment No. 4 to Inventory Support and Services Agreement, dated as of May 23, 2008, by</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10.20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10.21</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5 to Inventory Support and Services Agreement, dated as of June 4, 2008, by</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10.21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10.22</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6 to Inventory Support and Services Agreement, dated as of April 1, 2009, by</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10.22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10.23</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7 to Inventory Support and Services Agreement, dated as of April 7, 2009, by</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10.23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10.24</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8 to Inventory Support and Services Agreement, dated as of May 1, 2009, by</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10.24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10.25</w:t>
            </w:r>
          </w:p>
        </w:tc>
        <w:tc>
          <w:tcPr>
            <w:tcW w:w="5920" w:type="dxa"/>
            <w:vAlign w:val="bottom"/>
          </w:tcPr>
          <w:p>
            <w:pPr>
              <w:spacing w:after="0"/>
              <w:rPr>
                <w:sz w:val="20"/>
                <w:szCs w:val="20"/>
                <w:color w:val="auto"/>
              </w:rPr>
            </w:pPr>
            <w:r>
              <w:rPr>
                <w:rFonts w:ascii="Arial" w:cs="Arial" w:eastAsia="Arial" w:hAnsi="Arial"/>
                <w:sz w:val="15"/>
                <w:szCs w:val="15"/>
                <w:color w:val="auto"/>
                <w:w w:val="95"/>
              </w:rPr>
              <w:t>Amendment No. 9 to Inventory Support and Services Agreement, dated as of August 1, 2009,</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10.25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10.26</w:t>
            </w:r>
          </w:p>
        </w:tc>
        <w:tc>
          <w:tcPr>
            <w:tcW w:w="5920" w:type="dxa"/>
            <w:vAlign w:val="bottom"/>
          </w:tcPr>
          <w:p>
            <w:pPr>
              <w:spacing w:after="0"/>
              <w:rPr>
                <w:sz w:val="20"/>
                <w:szCs w:val="20"/>
                <w:color w:val="auto"/>
              </w:rPr>
            </w:pPr>
            <w:r>
              <w:rPr>
                <w:rFonts w:ascii="Arial" w:cs="Arial" w:eastAsia="Arial" w:hAnsi="Arial"/>
                <w:sz w:val="15"/>
                <w:szCs w:val="15"/>
                <w:color w:val="auto"/>
                <w:w w:val="92"/>
              </w:rPr>
              <w:t>Amendment No. 10 to Inventory Support and Services Agreement, dated as of January 1, 2010,</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10.26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10.27</w:t>
            </w:r>
          </w:p>
        </w:tc>
        <w:tc>
          <w:tcPr>
            <w:tcW w:w="5920" w:type="dxa"/>
            <w:vAlign w:val="bottom"/>
          </w:tcPr>
          <w:p>
            <w:pPr>
              <w:spacing w:after="0"/>
              <w:rPr>
                <w:sz w:val="20"/>
                <w:szCs w:val="20"/>
                <w:color w:val="auto"/>
              </w:rPr>
            </w:pPr>
            <w:r>
              <w:rPr>
                <w:rFonts w:ascii="Arial" w:cs="Arial" w:eastAsia="Arial" w:hAnsi="Arial"/>
                <w:sz w:val="15"/>
                <w:szCs w:val="15"/>
                <w:color w:val="auto"/>
                <w:w w:val="93"/>
              </w:rPr>
              <w:t>Amendment No. 11 to Inventory Support and Services Agreement, dated as of May 1, 2010, by</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10.27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231"/>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10.28</w:t>
            </w:r>
          </w:p>
        </w:tc>
        <w:tc>
          <w:tcPr>
            <w:tcW w:w="5920" w:type="dxa"/>
            <w:vAlign w:val="bottom"/>
          </w:tcPr>
          <w:p>
            <w:pPr>
              <w:spacing w:after="0"/>
              <w:rPr>
                <w:sz w:val="20"/>
                <w:szCs w:val="20"/>
                <w:color w:val="auto"/>
              </w:rPr>
            </w:pPr>
            <w:r>
              <w:rPr>
                <w:rFonts w:ascii="Arial" w:cs="Arial" w:eastAsia="Arial" w:hAnsi="Arial"/>
                <w:sz w:val="15"/>
                <w:szCs w:val="15"/>
                <w:color w:val="auto"/>
                <w:w w:val="96"/>
              </w:rPr>
              <w:t>Amendment No. 13 to Inventory Support and Services Agreement, dated as of November 1,</w:t>
            </w:r>
          </w:p>
        </w:tc>
      </w:tr>
    </w:tbl>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7" w:name="page268"/>
    <w:bookmarkEnd w:id="267"/>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ind w:left="36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r>
      <w:tr>
        <w:trPr>
          <w:trHeight w:val="209"/>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tcPr>
          <w:p>
            <w:pPr>
              <w:ind w:left="1500"/>
              <w:spacing w:after="0"/>
              <w:rPr>
                <w:sz w:val="20"/>
                <w:szCs w:val="20"/>
                <w:color w:val="auto"/>
              </w:rPr>
            </w:pPr>
            <w:r>
              <w:rPr>
                <w:rFonts w:ascii="Arial" w:cs="Arial" w:eastAsia="Arial" w:hAnsi="Arial"/>
                <w:sz w:val="15"/>
                <w:szCs w:val="15"/>
                <w:b w:val="1"/>
                <w:bCs w:val="1"/>
                <w:color w:val="auto"/>
              </w:rPr>
              <w:t>Pursuant to 17 C.F.R. Section 200.83</w:t>
            </w:r>
          </w:p>
        </w:tc>
      </w:tr>
      <w:tr>
        <w:trPr>
          <w:trHeight w:val="224"/>
        </w:trPr>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Exhibit</w:t>
            </w:r>
          </w:p>
        </w:tc>
        <w:tc>
          <w:tcPr>
            <w:tcW w:w="5920" w:type="dxa"/>
            <w:vAlign w:val="bottom"/>
          </w:tcPr>
          <w:p>
            <w:pPr>
              <w:spacing w:after="0"/>
              <w:rPr>
                <w:sz w:val="19"/>
                <w:szCs w:val="19"/>
                <w:color w:val="auto"/>
              </w:rPr>
            </w:pPr>
          </w:p>
        </w:tc>
      </w:tr>
      <w:tr>
        <w:trPr>
          <w:trHeight w:val="150"/>
        </w:trPr>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Number</w:t>
            </w:r>
          </w:p>
        </w:tc>
        <w:tc>
          <w:tcPr>
            <w:tcW w:w="5920" w:type="dxa"/>
            <w:vAlign w:val="bottom"/>
          </w:tcPr>
          <w:p>
            <w:pPr>
              <w:ind w:left="2500"/>
              <w:spacing w:after="0"/>
              <w:rPr>
                <w:sz w:val="20"/>
                <w:szCs w:val="20"/>
                <w:color w:val="auto"/>
              </w:rPr>
            </w:pPr>
            <w:r>
              <w:rPr>
                <w:rFonts w:ascii="Arial" w:cs="Arial" w:eastAsia="Arial" w:hAnsi="Arial"/>
                <w:sz w:val="12"/>
                <w:szCs w:val="12"/>
                <w:b w:val="1"/>
                <w:bCs w:val="1"/>
                <w:color w:val="auto"/>
              </w:rPr>
              <w:t>Exhibit Description</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r>
      <w:tr>
        <w:trPr>
          <w:trHeight w:val="178"/>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5"/>
              </w:rPr>
              <w:t>2011, by 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10.28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r>
        <w:trPr>
          <w:trHeight w:val="198"/>
        </w:trPr>
        <w:tc>
          <w:tcPr>
            <w:tcW w:w="6680" w:type="dxa"/>
            <w:vAlign w:val="bottom"/>
            <w:gridSpan w:val="3"/>
          </w:tcPr>
          <w:p>
            <w:pPr>
              <w:ind w:left="260"/>
              <w:spacing w:after="0"/>
              <w:rPr>
                <w:sz w:val="20"/>
                <w:szCs w:val="20"/>
                <w:color w:val="auto"/>
              </w:rPr>
            </w:pPr>
            <w:r>
              <w:rPr>
                <w:rFonts w:ascii="Arial" w:cs="Arial" w:eastAsia="Arial" w:hAnsi="Arial"/>
                <w:sz w:val="15"/>
                <w:szCs w:val="15"/>
                <w:color w:val="auto"/>
                <w:w w:val="95"/>
              </w:rPr>
              <w:t>10.29   Amendment No. 14 to Inventory Support and Services Agreement, dated as of May 28, 2013,</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10.29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bl>
    <w:p>
      <w:pPr>
        <w:spacing w:after="0" w:line="22" w:lineRule="exact"/>
        <w:rPr>
          <w:sz w:val="20"/>
          <w:szCs w:val="20"/>
          <w:color w:val="auto"/>
        </w:rPr>
      </w:pPr>
    </w:p>
    <w:tbl>
      <w:tblPr>
        <w:tblLayout w:type="fixed"/>
        <w:tblInd w:w="1420" w:type="dxa"/>
        <w:tblCellMar>
          <w:top w:w="0" w:type="dxa"/>
          <w:left w:w="0" w:type="dxa"/>
          <w:bottom w:w="0" w:type="dxa"/>
          <w:right w:w="0" w:type="dxa"/>
        </w:tblCellMar>
      </w:tblPr>
      <w:tr>
        <w:trPr>
          <w:trHeight w:val="176"/>
        </w:trPr>
        <w:tc>
          <w:tcPr>
            <w:tcW w:w="440" w:type="dxa"/>
            <w:vAlign w:val="bottom"/>
          </w:tcPr>
          <w:p>
            <w:pPr>
              <w:spacing w:after="0"/>
              <w:rPr>
                <w:sz w:val="20"/>
                <w:szCs w:val="20"/>
                <w:color w:val="auto"/>
              </w:rPr>
            </w:pPr>
            <w:r>
              <w:rPr>
                <w:rFonts w:ascii="Arial" w:cs="Arial" w:eastAsia="Arial" w:hAnsi="Arial"/>
                <w:sz w:val="15"/>
                <w:szCs w:val="15"/>
                <w:color w:val="auto"/>
              </w:rPr>
              <w:t>10.30</w:t>
            </w:r>
          </w:p>
        </w:tc>
        <w:tc>
          <w:tcPr>
            <w:tcW w:w="5980" w:type="dxa"/>
            <w:vAlign w:val="bottom"/>
          </w:tcPr>
          <w:p>
            <w:pPr>
              <w:ind w:left="60"/>
              <w:spacing w:after="0"/>
              <w:rPr>
                <w:sz w:val="20"/>
                <w:szCs w:val="20"/>
                <w:color w:val="auto"/>
              </w:rPr>
            </w:pPr>
            <w:r>
              <w:rPr>
                <w:rFonts w:ascii="Arial" w:cs="Arial" w:eastAsia="Arial" w:hAnsi="Arial"/>
                <w:sz w:val="15"/>
                <w:szCs w:val="15"/>
                <w:color w:val="auto"/>
                <w:w w:val="92"/>
              </w:rPr>
              <w:t>Amendment No. 15 to Inventory Support and Services Agreement, dated as of July 23, 2014, by</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w w:val="99"/>
              </w:rPr>
              <w:t>Exhibit 10.30 to Sun Country Airlines Holdings, Inc.’s Registration Statement on Form S-1</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(File No. 333-252858))</w:t>
            </w:r>
          </w:p>
        </w:tc>
      </w:tr>
      <w:tr>
        <w:trPr>
          <w:trHeight w:val="198"/>
        </w:trPr>
        <w:tc>
          <w:tcPr>
            <w:tcW w:w="440" w:type="dxa"/>
            <w:vAlign w:val="bottom"/>
          </w:tcPr>
          <w:p>
            <w:pPr>
              <w:spacing w:after="0"/>
              <w:rPr>
                <w:sz w:val="20"/>
                <w:szCs w:val="20"/>
                <w:color w:val="auto"/>
              </w:rPr>
            </w:pPr>
            <w:r>
              <w:rPr>
                <w:rFonts w:ascii="Arial" w:cs="Arial" w:eastAsia="Arial" w:hAnsi="Arial"/>
                <w:sz w:val="15"/>
                <w:szCs w:val="15"/>
                <w:color w:val="auto"/>
              </w:rPr>
              <w:t>10.31</w:t>
            </w:r>
          </w:p>
        </w:tc>
        <w:tc>
          <w:tcPr>
            <w:tcW w:w="5980" w:type="dxa"/>
            <w:vAlign w:val="bottom"/>
          </w:tcPr>
          <w:p>
            <w:pPr>
              <w:ind w:left="60"/>
              <w:spacing w:after="0"/>
              <w:rPr>
                <w:sz w:val="20"/>
                <w:szCs w:val="20"/>
                <w:color w:val="auto"/>
              </w:rPr>
            </w:pPr>
            <w:r>
              <w:rPr>
                <w:rFonts w:ascii="Arial" w:cs="Arial" w:eastAsia="Arial" w:hAnsi="Arial"/>
                <w:sz w:val="15"/>
                <w:szCs w:val="15"/>
                <w:color w:val="auto"/>
                <w:w w:val="93"/>
              </w:rPr>
              <w:t>Amendment No. 16 to Inventory Support and Services Agreement, dated as of March 20, 2015,</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w w:val="99"/>
              </w:rPr>
              <w:t>Exhibit 10.31 to Sun Country Airlines Holdings, Inc.’s Registration Statement on Form S-1</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(File No. 333-252858))</w:t>
            </w:r>
          </w:p>
        </w:tc>
      </w:tr>
      <w:tr>
        <w:trPr>
          <w:trHeight w:val="198"/>
        </w:trPr>
        <w:tc>
          <w:tcPr>
            <w:tcW w:w="440" w:type="dxa"/>
            <w:vAlign w:val="bottom"/>
          </w:tcPr>
          <w:p>
            <w:pPr>
              <w:spacing w:after="0"/>
              <w:rPr>
                <w:sz w:val="20"/>
                <w:szCs w:val="20"/>
                <w:color w:val="auto"/>
              </w:rPr>
            </w:pPr>
            <w:r>
              <w:rPr>
                <w:rFonts w:ascii="Arial" w:cs="Arial" w:eastAsia="Arial" w:hAnsi="Arial"/>
                <w:sz w:val="15"/>
                <w:szCs w:val="15"/>
                <w:color w:val="auto"/>
              </w:rPr>
              <w:t>10.32</w:t>
            </w:r>
          </w:p>
        </w:tc>
        <w:tc>
          <w:tcPr>
            <w:tcW w:w="5980" w:type="dxa"/>
            <w:vAlign w:val="bottom"/>
          </w:tcPr>
          <w:p>
            <w:pPr>
              <w:ind w:left="60"/>
              <w:spacing w:after="0"/>
              <w:rPr>
                <w:sz w:val="20"/>
                <w:szCs w:val="20"/>
                <w:color w:val="auto"/>
              </w:rPr>
            </w:pPr>
            <w:r>
              <w:rPr>
                <w:rFonts w:ascii="Arial" w:cs="Arial" w:eastAsia="Arial" w:hAnsi="Arial"/>
                <w:sz w:val="15"/>
                <w:szCs w:val="15"/>
                <w:color w:val="auto"/>
                <w:w w:val="93"/>
              </w:rPr>
              <w:t>Amendment No. 17 to Inventory Support and Services Agreement, dated as of April 1, 2018, by</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and between Delta Airlines, Inc. and MN Airlines, LLC (incorporated by reference to</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w w:val="99"/>
              </w:rPr>
              <w:t>Exhibit 10.32 to Sun Country Airlines Holdings, Inc.’s Registration Statement on Form S-1</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(File No. 333-252858))</w:t>
            </w:r>
          </w:p>
        </w:tc>
      </w:tr>
      <w:tr>
        <w:trPr>
          <w:trHeight w:val="198"/>
        </w:trPr>
        <w:tc>
          <w:tcPr>
            <w:tcW w:w="440" w:type="dxa"/>
            <w:vAlign w:val="bottom"/>
          </w:tcPr>
          <w:p>
            <w:pPr>
              <w:spacing w:after="0"/>
              <w:rPr>
                <w:sz w:val="20"/>
                <w:szCs w:val="20"/>
                <w:color w:val="auto"/>
              </w:rPr>
            </w:pPr>
            <w:r>
              <w:rPr>
                <w:rFonts w:ascii="Arial" w:cs="Arial" w:eastAsia="Arial" w:hAnsi="Arial"/>
                <w:sz w:val="15"/>
                <w:szCs w:val="15"/>
                <w:color w:val="auto"/>
              </w:rPr>
              <w:t>10.33</w:t>
            </w:r>
          </w:p>
        </w:tc>
        <w:tc>
          <w:tcPr>
            <w:tcW w:w="5980" w:type="dxa"/>
            <w:vAlign w:val="bottom"/>
          </w:tcPr>
          <w:p>
            <w:pPr>
              <w:ind w:left="60"/>
              <w:spacing w:after="0"/>
              <w:rPr>
                <w:sz w:val="20"/>
                <w:szCs w:val="20"/>
                <w:color w:val="auto"/>
              </w:rPr>
            </w:pPr>
            <w:r>
              <w:rPr>
                <w:rFonts w:ascii="Arial" w:cs="Arial" w:eastAsia="Arial" w:hAnsi="Arial"/>
                <w:sz w:val="15"/>
                <w:szCs w:val="15"/>
                <w:color w:val="auto"/>
                <w:w w:val="95"/>
              </w:rPr>
              <w:t>Amendment No. 18 to Inventory Support and Services Agreement, dated as of May 15, 2019,</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w w:val="99"/>
              </w:rPr>
              <w:t>Exhibit 10.33 to Sun Country Airlines Holdings, Inc.’s Registration Statement on Form S-1</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(File No. 333-252858))</w:t>
            </w:r>
          </w:p>
        </w:tc>
      </w:tr>
      <w:tr>
        <w:trPr>
          <w:trHeight w:val="209"/>
        </w:trPr>
        <w:tc>
          <w:tcPr>
            <w:tcW w:w="440" w:type="dxa"/>
            <w:vAlign w:val="bottom"/>
          </w:tcPr>
          <w:p>
            <w:pPr>
              <w:spacing w:after="0"/>
              <w:rPr>
                <w:sz w:val="20"/>
                <w:szCs w:val="20"/>
                <w:color w:val="auto"/>
              </w:rPr>
            </w:pPr>
            <w:r>
              <w:rPr>
                <w:rFonts w:ascii="Arial" w:cs="Arial" w:eastAsia="Arial" w:hAnsi="Arial"/>
                <w:sz w:val="15"/>
                <w:szCs w:val="15"/>
                <w:color w:val="auto"/>
              </w:rPr>
              <w:t>10.34</w:t>
            </w:r>
          </w:p>
        </w:tc>
        <w:tc>
          <w:tcPr>
            <w:tcW w:w="5980" w:type="dxa"/>
            <w:vAlign w:val="bottom"/>
          </w:tcPr>
          <w:p>
            <w:pPr>
              <w:ind w:left="60"/>
              <w:spacing w:after="0"/>
              <w:rPr>
                <w:sz w:val="20"/>
                <w:szCs w:val="20"/>
                <w:color w:val="auto"/>
              </w:rPr>
            </w:pPr>
            <w:r>
              <w:rPr>
                <w:rFonts w:ascii="Arial" w:cs="Arial" w:eastAsia="Arial" w:hAnsi="Arial"/>
                <w:sz w:val="15"/>
                <w:szCs w:val="15"/>
                <w:color w:val="auto"/>
                <w:w w:val="96"/>
              </w:rPr>
              <w:t>2002 Master Agreement, dated as of May 1, 2019 between J. Aron &amp; Company LLC and MN</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w w:val="98"/>
              </w:rPr>
              <w:t>Airlines, LLC (incorporated by reference to Exhibit 10.34 to Sun Country Airlines Holdings,</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209"/>
        </w:trPr>
        <w:tc>
          <w:tcPr>
            <w:tcW w:w="440" w:type="dxa"/>
            <w:vAlign w:val="bottom"/>
          </w:tcPr>
          <w:p>
            <w:pPr>
              <w:spacing w:after="0"/>
              <w:rPr>
                <w:sz w:val="20"/>
                <w:szCs w:val="20"/>
                <w:color w:val="auto"/>
              </w:rPr>
            </w:pPr>
            <w:r>
              <w:rPr>
                <w:rFonts w:ascii="Arial" w:cs="Arial" w:eastAsia="Arial" w:hAnsi="Arial"/>
                <w:sz w:val="15"/>
                <w:szCs w:val="15"/>
                <w:color w:val="auto"/>
              </w:rPr>
              <w:t>10.35</w:t>
            </w:r>
          </w:p>
        </w:tc>
        <w:tc>
          <w:tcPr>
            <w:tcW w:w="5980" w:type="dxa"/>
            <w:vAlign w:val="bottom"/>
          </w:tcPr>
          <w:p>
            <w:pPr>
              <w:ind w:left="60"/>
              <w:spacing w:after="0"/>
              <w:rPr>
                <w:sz w:val="20"/>
                <w:szCs w:val="20"/>
                <w:color w:val="auto"/>
              </w:rPr>
            </w:pPr>
            <w:r>
              <w:rPr>
                <w:rFonts w:ascii="Arial" w:cs="Arial" w:eastAsia="Arial" w:hAnsi="Arial"/>
                <w:sz w:val="15"/>
                <w:szCs w:val="15"/>
                <w:color w:val="auto"/>
                <w:w w:val="94"/>
              </w:rPr>
              <w:t>2002 Master Agreement, dated as of April 12, 2018 between Morgan Stanley Capital Services</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LLC and MN Airlines, LLC (incorporated by reference to Exhibit 10.35 to Sun Country</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Airlines Holdings, Inc.’s Registration Statement on Form S-1 (File No. 333-252858))</w:t>
            </w:r>
          </w:p>
        </w:tc>
      </w:tr>
      <w:tr>
        <w:trPr>
          <w:trHeight w:val="209"/>
        </w:trPr>
        <w:tc>
          <w:tcPr>
            <w:tcW w:w="440" w:type="dxa"/>
            <w:vAlign w:val="bottom"/>
          </w:tcPr>
          <w:p>
            <w:pPr>
              <w:spacing w:after="0"/>
              <w:rPr>
                <w:sz w:val="20"/>
                <w:szCs w:val="20"/>
                <w:color w:val="auto"/>
              </w:rPr>
            </w:pPr>
            <w:r>
              <w:rPr>
                <w:rFonts w:ascii="Arial" w:cs="Arial" w:eastAsia="Arial" w:hAnsi="Arial"/>
                <w:sz w:val="15"/>
                <w:szCs w:val="15"/>
                <w:color w:val="auto"/>
              </w:rPr>
              <w:t>10.36</w:t>
            </w:r>
          </w:p>
        </w:tc>
        <w:tc>
          <w:tcPr>
            <w:tcW w:w="5980" w:type="dxa"/>
            <w:vAlign w:val="bottom"/>
          </w:tcPr>
          <w:p>
            <w:pPr>
              <w:ind w:left="60"/>
              <w:spacing w:after="0"/>
              <w:rPr>
                <w:sz w:val="20"/>
                <w:szCs w:val="20"/>
                <w:color w:val="auto"/>
              </w:rPr>
            </w:pPr>
            <w:r>
              <w:rPr>
                <w:rFonts w:ascii="Arial" w:cs="Arial" w:eastAsia="Arial" w:hAnsi="Arial"/>
                <w:sz w:val="15"/>
                <w:szCs w:val="15"/>
                <w:color w:val="auto"/>
                <w:w w:val="99"/>
              </w:rPr>
              <w:t>Trust Agreement of SCA-1 Intermediate Aircraft Holding Trust, dated as of September 25,</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w w:val="98"/>
              </w:rPr>
              <w:t>2018, by and among SCA-1 Intermediate Charitable Trust and Wilmington Trust Company</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(incorporated by reference to Exhibit 10.36 to Sun Country Airlines Holdings, Inc.’s</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Registration Statement on Form S-1 (File No. 333-252858))</w:t>
            </w:r>
          </w:p>
        </w:tc>
      </w:tr>
      <w:tr>
        <w:trPr>
          <w:trHeight w:val="209"/>
        </w:trPr>
        <w:tc>
          <w:tcPr>
            <w:tcW w:w="440" w:type="dxa"/>
            <w:vAlign w:val="bottom"/>
          </w:tcPr>
          <w:p>
            <w:pPr>
              <w:spacing w:after="0"/>
              <w:rPr>
                <w:sz w:val="20"/>
                <w:szCs w:val="20"/>
                <w:color w:val="auto"/>
              </w:rPr>
            </w:pPr>
            <w:r>
              <w:rPr>
                <w:rFonts w:ascii="Arial" w:cs="Arial" w:eastAsia="Arial" w:hAnsi="Arial"/>
                <w:sz w:val="15"/>
                <w:szCs w:val="15"/>
                <w:color w:val="auto"/>
              </w:rPr>
              <w:t>10.37</w:t>
            </w:r>
          </w:p>
        </w:tc>
        <w:tc>
          <w:tcPr>
            <w:tcW w:w="5980" w:type="dxa"/>
            <w:vAlign w:val="bottom"/>
          </w:tcPr>
          <w:p>
            <w:pPr>
              <w:ind w:left="60"/>
              <w:spacing w:after="0"/>
              <w:rPr>
                <w:sz w:val="20"/>
                <w:szCs w:val="20"/>
                <w:color w:val="auto"/>
              </w:rPr>
            </w:pPr>
            <w:r>
              <w:rPr>
                <w:rFonts w:ascii="Arial" w:cs="Arial" w:eastAsia="Arial" w:hAnsi="Arial"/>
                <w:sz w:val="15"/>
                <w:szCs w:val="15"/>
                <w:color w:val="auto"/>
                <w:w w:val="97"/>
              </w:rPr>
              <w:t>Third Amended and Restated Stockholders’ Agreement by and among Sun Country Airlines</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w w:val="95"/>
              </w:rPr>
              <w:t>Holdings, Inc. and the stockholders party thereto (incorporated by reference to Exhibit 10.2 to</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w w:val="99"/>
              </w:rPr>
              <w:t>Sun Country Airlines Holdings, Inc.’s Current Report on Form 8-K filed with the Securities</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and Exchange Commission on March 22, 2021)</w:t>
            </w:r>
          </w:p>
        </w:tc>
      </w:tr>
      <w:tr>
        <w:trPr>
          <w:trHeight w:val="209"/>
        </w:trPr>
        <w:tc>
          <w:tcPr>
            <w:tcW w:w="440" w:type="dxa"/>
            <w:vAlign w:val="bottom"/>
          </w:tcPr>
          <w:p>
            <w:pPr>
              <w:spacing w:after="0"/>
              <w:rPr>
                <w:sz w:val="20"/>
                <w:szCs w:val="20"/>
                <w:color w:val="auto"/>
              </w:rPr>
            </w:pPr>
            <w:r>
              <w:rPr>
                <w:rFonts w:ascii="Arial" w:cs="Arial" w:eastAsia="Arial" w:hAnsi="Arial"/>
                <w:sz w:val="15"/>
                <w:szCs w:val="15"/>
                <w:color w:val="auto"/>
              </w:rPr>
              <w:t>10.38</w:t>
            </w:r>
          </w:p>
        </w:tc>
        <w:tc>
          <w:tcPr>
            <w:tcW w:w="5980" w:type="dxa"/>
            <w:vAlign w:val="bottom"/>
          </w:tcPr>
          <w:p>
            <w:pPr>
              <w:ind w:left="60"/>
              <w:spacing w:after="0"/>
              <w:rPr>
                <w:sz w:val="20"/>
                <w:szCs w:val="20"/>
                <w:color w:val="auto"/>
              </w:rPr>
            </w:pPr>
            <w:r>
              <w:rPr>
                <w:rFonts w:ascii="Arial" w:cs="Arial" w:eastAsia="Arial" w:hAnsi="Arial"/>
                <w:sz w:val="15"/>
                <w:szCs w:val="15"/>
                <w:color w:val="auto"/>
                <w:w w:val="97"/>
              </w:rPr>
              <w:t>Registration Rights Agreement by and between Sun Country Airlines Holdings, Inc. and the</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Holders party thereto (incorporated by reference to Exhibit 10.1 to Sun Country Airlines</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Holdings, Inc.’s Current Report on Form 8-K filed with the Securities and Exchange</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Commission on March 22, 2021)</w:t>
            </w:r>
          </w:p>
        </w:tc>
      </w:tr>
      <w:tr>
        <w:trPr>
          <w:trHeight w:val="209"/>
        </w:trPr>
        <w:tc>
          <w:tcPr>
            <w:tcW w:w="440" w:type="dxa"/>
            <w:vAlign w:val="bottom"/>
          </w:tcPr>
          <w:p>
            <w:pPr>
              <w:spacing w:after="0" w:line="209" w:lineRule="exact"/>
              <w:rPr>
                <w:sz w:val="20"/>
                <w:szCs w:val="20"/>
                <w:color w:val="auto"/>
              </w:rPr>
            </w:pPr>
            <w:r>
              <w:rPr>
                <w:rFonts w:ascii="Arial" w:cs="Arial" w:eastAsia="Arial" w:hAnsi="Arial"/>
                <w:sz w:val="15"/>
                <w:szCs w:val="15"/>
                <w:color w:val="auto"/>
                <w:w w:val="92"/>
              </w:rPr>
              <w:t>10.39</w:t>
            </w:r>
            <w:r>
              <w:rPr>
                <w:rFonts w:ascii="Arial" w:cs="Arial" w:eastAsia="Arial" w:hAnsi="Arial"/>
                <w:sz w:val="21"/>
                <w:szCs w:val="21"/>
                <w:color w:val="auto"/>
                <w:w w:val="92"/>
                <w:vertAlign w:val="superscript"/>
              </w:rPr>
              <w:t>†</w:t>
            </w:r>
          </w:p>
        </w:tc>
        <w:tc>
          <w:tcPr>
            <w:tcW w:w="5980" w:type="dxa"/>
            <w:vAlign w:val="bottom"/>
          </w:tcPr>
          <w:p>
            <w:pPr>
              <w:ind w:left="60"/>
              <w:spacing w:after="0"/>
              <w:rPr>
                <w:sz w:val="20"/>
                <w:szCs w:val="20"/>
                <w:color w:val="auto"/>
              </w:rPr>
            </w:pPr>
            <w:r>
              <w:rPr>
                <w:rFonts w:ascii="Arial" w:cs="Arial" w:eastAsia="Arial" w:hAnsi="Arial"/>
                <w:sz w:val="15"/>
                <w:szCs w:val="15"/>
                <w:color w:val="auto"/>
                <w:w w:val="92"/>
              </w:rPr>
              <w:t>Form of Indemnification Agreement by and between the Registrant and each of its directors and</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executive officers (incorporated by reference to Exhibit 10.39 to Sun Country Airlines</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Holdings, Inc.’s Registration Statement on Form S-1 (File No. 333-252858))</w:t>
            </w:r>
          </w:p>
        </w:tc>
      </w:tr>
      <w:tr>
        <w:trPr>
          <w:trHeight w:val="209"/>
        </w:trPr>
        <w:tc>
          <w:tcPr>
            <w:tcW w:w="440" w:type="dxa"/>
            <w:vAlign w:val="bottom"/>
          </w:tcPr>
          <w:p>
            <w:pPr>
              <w:spacing w:after="0" w:line="209" w:lineRule="exact"/>
              <w:rPr>
                <w:sz w:val="20"/>
                <w:szCs w:val="20"/>
                <w:color w:val="auto"/>
              </w:rPr>
            </w:pPr>
            <w:r>
              <w:rPr>
                <w:rFonts w:ascii="Arial" w:cs="Arial" w:eastAsia="Arial" w:hAnsi="Arial"/>
                <w:sz w:val="15"/>
                <w:szCs w:val="15"/>
                <w:color w:val="auto"/>
                <w:w w:val="92"/>
              </w:rPr>
              <w:t>10.40</w:t>
            </w:r>
            <w:r>
              <w:rPr>
                <w:rFonts w:ascii="Arial" w:cs="Arial" w:eastAsia="Arial" w:hAnsi="Arial"/>
                <w:sz w:val="21"/>
                <w:szCs w:val="21"/>
                <w:color w:val="auto"/>
                <w:w w:val="92"/>
                <w:vertAlign w:val="superscript"/>
              </w:rPr>
              <w:t>†</w:t>
            </w:r>
          </w:p>
        </w:tc>
        <w:tc>
          <w:tcPr>
            <w:tcW w:w="5980" w:type="dxa"/>
            <w:vAlign w:val="bottom"/>
          </w:tcPr>
          <w:p>
            <w:pPr>
              <w:ind w:left="60"/>
              <w:spacing w:after="0"/>
              <w:rPr>
                <w:sz w:val="20"/>
                <w:szCs w:val="20"/>
                <w:color w:val="auto"/>
              </w:rPr>
            </w:pPr>
            <w:r>
              <w:rPr>
                <w:rFonts w:ascii="Arial" w:cs="Arial" w:eastAsia="Arial" w:hAnsi="Arial"/>
                <w:sz w:val="15"/>
                <w:szCs w:val="15"/>
                <w:color w:val="auto"/>
                <w:w w:val="99"/>
              </w:rPr>
              <w:t>SCA Acquisition Holdings, LLC Amended and Restated Equity Incentive Plan, dated as of</w:t>
            </w:r>
          </w:p>
        </w:tc>
      </w:tr>
      <w:tr>
        <w:trPr>
          <w:trHeight w:val="176"/>
        </w:trPr>
        <w:tc>
          <w:tcPr>
            <w:tcW w:w="440" w:type="dxa"/>
            <w:vAlign w:val="bottom"/>
          </w:tcPr>
          <w:p>
            <w:pPr>
              <w:spacing w:after="0"/>
              <w:rPr>
                <w:sz w:val="15"/>
                <w:szCs w:val="15"/>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w w:val="99"/>
              </w:rPr>
              <w:t>July 1, 2019 (incorporated by reference to Exhibit 10.40 to Sun Country Airlines Holdings,</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209"/>
        </w:trPr>
        <w:tc>
          <w:tcPr>
            <w:tcW w:w="440" w:type="dxa"/>
            <w:vAlign w:val="bottom"/>
          </w:tcPr>
          <w:p>
            <w:pPr>
              <w:spacing w:after="0" w:line="209" w:lineRule="exact"/>
              <w:rPr>
                <w:sz w:val="20"/>
                <w:szCs w:val="20"/>
                <w:color w:val="auto"/>
              </w:rPr>
            </w:pPr>
            <w:r>
              <w:rPr>
                <w:rFonts w:ascii="Arial" w:cs="Arial" w:eastAsia="Arial" w:hAnsi="Arial"/>
                <w:sz w:val="15"/>
                <w:szCs w:val="15"/>
                <w:color w:val="auto"/>
                <w:w w:val="92"/>
              </w:rPr>
              <w:t>10.41</w:t>
            </w:r>
            <w:r>
              <w:rPr>
                <w:rFonts w:ascii="Arial" w:cs="Arial" w:eastAsia="Arial" w:hAnsi="Arial"/>
                <w:sz w:val="21"/>
                <w:szCs w:val="21"/>
                <w:color w:val="auto"/>
                <w:w w:val="92"/>
                <w:vertAlign w:val="superscript"/>
              </w:rPr>
              <w:t>†</w:t>
            </w:r>
          </w:p>
        </w:tc>
        <w:tc>
          <w:tcPr>
            <w:tcW w:w="5980" w:type="dxa"/>
            <w:vAlign w:val="bottom"/>
          </w:tcPr>
          <w:p>
            <w:pPr>
              <w:ind w:left="60"/>
              <w:spacing w:after="0"/>
              <w:rPr>
                <w:sz w:val="20"/>
                <w:szCs w:val="20"/>
                <w:color w:val="auto"/>
              </w:rPr>
            </w:pPr>
            <w:r>
              <w:rPr>
                <w:rFonts w:ascii="Arial" w:cs="Arial" w:eastAsia="Arial" w:hAnsi="Arial"/>
                <w:sz w:val="15"/>
                <w:szCs w:val="15"/>
                <w:color w:val="auto"/>
                <w:w w:val="93"/>
              </w:rPr>
              <w:t>Sun Country Airlines Holdings, Inc. 2021 Omnibus Incentive Plan (incorporated by reference to</w:t>
            </w:r>
          </w:p>
        </w:tc>
      </w:tr>
      <w:tr>
        <w:trPr>
          <w:trHeight w:val="186"/>
        </w:trPr>
        <w:tc>
          <w:tcPr>
            <w:tcW w:w="440" w:type="dxa"/>
            <w:vAlign w:val="bottom"/>
          </w:tcPr>
          <w:p>
            <w:pPr>
              <w:spacing w:after="0"/>
              <w:rPr>
                <w:sz w:val="16"/>
                <w:szCs w:val="16"/>
                <w:color w:val="auto"/>
              </w:rPr>
            </w:pPr>
          </w:p>
        </w:tc>
        <w:tc>
          <w:tcPr>
            <w:tcW w:w="5980" w:type="dxa"/>
            <w:vAlign w:val="bottom"/>
          </w:tcPr>
          <w:p>
            <w:pPr>
              <w:ind w:left="60"/>
              <w:spacing w:after="0"/>
              <w:rPr>
                <w:sz w:val="20"/>
                <w:szCs w:val="20"/>
                <w:color w:val="auto"/>
              </w:rPr>
            </w:pPr>
            <w:r>
              <w:rPr>
                <w:rFonts w:ascii="Arial" w:cs="Arial" w:eastAsia="Arial" w:hAnsi="Arial"/>
                <w:sz w:val="15"/>
                <w:szCs w:val="15"/>
                <w:color w:val="auto"/>
              </w:rPr>
              <w:t>Exhibit 4.2 to Sun Country Airlines Holdings, Inc.’s Registration Statement on Form S-8</w:t>
            </w:r>
          </w:p>
        </w:tc>
      </w:tr>
    </w:tbl>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205740</wp:posOffset>
            </wp:positionV>
            <wp:extent cx="5564505" cy="3937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8" w:name="page269"/>
    <w:bookmarkEnd w:id="268"/>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ind w:left="36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tcPr>
          <w:p>
            <w:pPr>
              <w:ind w:left="1500"/>
              <w:spacing w:after="0"/>
              <w:rPr>
                <w:sz w:val="20"/>
                <w:szCs w:val="20"/>
                <w:color w:val="auto"/>
              </w:rPr>
            </w:pPr>
            <w:r>
              <w:rPr>
                <w:rFonts w:ascii="Arial" w:cs="Arial" w:eastAsia="Arial" w:hAnsi="Arial"/>
                <w:sz w:val="15"/>
                <w:szCs w:val="15"/>
                <w:b w:val="1"/>
                <w:bCs w:val="1"/>
                <w:color w:val="auto"/>
              </w:rPr>
              <w:t>Pursuant to 17 C.F.R. Section 200.83</w:t>
            </w:r>
          </w:p>
        </w:tc>
        <w:tc>
          <w:tcPr>
            <w:tcW w:w="0" w:type="dxa"/>
            <w:vAlign w:val="bottom"/>
          </w:tcPr>
          <w:p>
            <w:pPr>
              <w:spacing w:after="0"/>
              <w:rPr>
                <w:sz w:val="1"/>
                <w:szCs w:val="1"/>
                <w:color w:val="auto"/>
              </w:rPr>
            </w:pPr>
          </w:p>
        </w:tc>
      </w:tr>
      <w:tr>
        <w:trPr>
          <w:trHeight w:val="213"/>
        </w:trPr>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Exhibit</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7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Number</w:t>
            </w:r>
          </w:p>
        </w:tc>
        <w:tc>
          <w:tcPr>
            <w:tcW w:w="5920" w:type="dxa"/>
            <w:vAlign w:val="bottom"/>
          </w:tcPr>
          <w:p>
            <w:pPr>
              <w:ind w:left="2500"/>
              <w:spacing w:after="0"/>
              <w:rPr>
                <w:sz w:val="20"/>
                <w:szCs w:val="20"/>
                <w:color w:val="auto"/>
              </w:rPr>
            </w:pPr>
            <w:r>
              <w:rPr>
                <w:rFonts w:ascii="Arial" w:cs="Arial" w:eastAsia="Arial" w:hAnsi="Arial"/>
                <w:sz w:val="12"/>
                <w:szCs w:val="12"/>
                <w:b w:val="1"/>
                <w:bCs w:val="1"/>
                <w:color w:val="auto"/>
              </w:rPr>
              <w:t>Exhibit Description</w:t>
            </w:r>
          </w:p>
        </w:tc>
        <w:tc>
          <w:tcPr>
            <w:tcW w:w="0" w:type="dxa"/>
            <w:vAlign w:val="bottom"/>
          </w:tcPr>
          <w:p>
            <w:pPr>
              <w:spacing w:after="0"/>
              <w:rPr>
                <w:sz w:val="1"/>
                <w:szCs w:val="1"/>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10.42</w:t>
            </w:r>
            <w:r>
              <w:rPr>
                <w:rFonts w:ascii="Arial" w:cs="Arial" w:eastAsia="Arial" w:hAnsi="Arial"/>
                <w:sz w:val="21"/>
                <w:szCs w:val="21"/>
                <w:color w:val="auto"/>
                <w:vertAlign w:val="superscript"/>
              </w:rPr>
              <w:t>†</w:t>
            </w:r>
          </w:p>
        </w:tc>
        <w:tc>
          <w:tcPr>
            <w:tcW w:w="5920" w:type="dxa"/>
            <w:vAlign w:val="bottom"/>
          </w:tcPr>
          <w:p>
            <w:pPr>
              <w:spacing w:after="0"/>
              <w:rPr>
                <w:sz w:val="20"/>
                <w:szCs w:val="20"/>
                <w:color w:val="auto"/>
              </w:rPr>
            </w:pPr>
            <w:r>
              <w:rPr>
                <w:rFonts w:ascii="Arial" w:cs="Arial" w:eastAsia="Arial" w:hAnsi="Arial"/>
                <w:sz w:val="15"/>
                <w:szCs w:val="15"/>
                <w:color w:val="auto"/>
              </w:rPr>
              <w:t>(File No. 333-254371))</w:t>
            </w:r>
          </w:p>
        </w:tc>
        <w:tc>
          <w:tcPr>
            <w:tcW w:w="0" w:type="dxa"/>
            <w:vAlign w:val="bottom"/>
          </w:tcPr>
          <w:p>
            <w:pPr>
              <w:spacing w:after="0"/>
              <w:rPr>
                <w:sz w:val="1"/>
                <w:szCs w:val="1"/>
                <w:color w:val="auto"/>
              </w:rPr>
            </w:pPr>
          </w:p>
        </w:tc>
      </w:tr>
      <w:tr>
        <w:trPr>
          <w:trHeight w:val="187"/>
        </w:trPr>
        <w:tc>
          <w:tcPr>
            <w:tcW w:w="760" w:type="dxa"/>
            <w:vAlign w:val="bottom"/>
            <w:gridSpan w:val="2"/>
            <w:vMerge w:val="continue"/>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5"/>
              </w:rPr>
              <w:t>Form of Option Award Agreement (incorporated by reference to Exhibit 10.42 to Sun Country</w:t>
            </w:r>
          </w:p>
        </w:tc>
        <w:tc>
          <w:tcPr>
            <w:tcW w:w="0" w:type="dxa"/>
            <w:vAlign w:val="bottom"/>
          </w:tcPr>
          <w:p>
            <w:pPr>
              <w:spacing w:after="0"/>
              <w:rPr>
                <w:sz w:val="1"/>
                <w:szCs w:val="1"/>
                <w:color w:val="auto"/>
              </w:rPr>
            </w:pPr>
          </w:p>
        </w:tc>
      </w:tr>
      <w:tr>
        <w:trPr>
          <w:trHeight w:val="186"/>
        </w:trPr>
        <w:tc>
          <w:tcPr>
            <w:tcW w:w="7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10.43</w:t>
            </w:r>
            <w:r>
              <w:rPr>
                <w:rFonts w:ascii="Arial" w:cs="Arial" w:eastAsia="Arial" w:hAnsi="Arial"/>
                <w:sz w:val="21"/>
                <w:szCs w:val="21"/>
                <w:color w:val="auto"/>
                <w:vertAlign w:val="superscript"/>
              </w:rPr>
              <w:t>†</w:t>
            </w:r>
          </w:p>
        </w:tc>
        <w:tc>
          <w:tcPr>
            <w:tcW w:w="5920" w:type="dxa"/>
            <w:vAlign w:val="bottom"/>
          </w:tcPr>
          <w:p>
            <w:pPr>
              <w:spacing w:after="0"/>
              <w:rPr>
                <w:sz w:val="20"/>
                <w:szCs w:val="20"/>
                <w:color w:val="auto"/>
              </w:rPr>
            </w:pPr>
            <w:r>
              <w:rPr>
                <w:rFonts w:ascii="Arial" w:cs="Arial" w:eastAsia="Arial" w:hAnsi="Arial"/>
                <w:sz w:val="15"/>
                <w:szCs w:val="15"/>
                <w:color w:val="auto"/>
              </w:rPr>
              <w:t>Airlines Holdings, Inc.’s Registration Statement on Form S-1 (File No. 333-252858))</w:t>
            </w:r>
          </w:p>
        </w:tc>
        <w:tc>
          <w:tcPr>
            <w:tcW w:w="0" w:type="dxa"/>
            <w:vAlign w:val="bottom"/>
          </w:tcPr>
          <w:p>
            <w:pPr>
              <w:spacing w:after="0"/>
              <w:rPr>
                <w:sz w:val="1"/>
                <w:szCs w:val="1"/>
                <w:color w:val="auto"/>
              </w:rPr>
            </w:pPr>
          </w:p>
        </w:tc>
      </w:tr>
      <w:tr>
        <w:trPr>
          <w:trHeight w:val="198"/>
        </w:trPr>
        <w:tc>
          <w:tcPr>
            <w:tcW w:w="760" w:type="dxa"/>
            <w:vAlign w:val="bottom"/>
            <w:gridSpan w:val="2"/>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2"/>
              </w:rPr>
              <w:t>Second Amended and Restated Employment Agreement, dated as of November 7, 2018, by and</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between Jude Bricker and SCA Acquisition Holdings, LLC (incorporated by reference to</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10.43 to Sun Country Airlines Holdings, Inc.’s Registration Statement on Form S-1</w:t>
            </w:r>
          </w:p>
        </w:tc>
        <w:tc>
          <w:tcPr>
            <w:tcW w:w="0" w:type="dxa"/>
            <w:vAlign w:val="bottom"/>
          </w:tcPr>
          <w:p>
            <w:pPr>
              <w:spacing w:after="0"/>
              <w:rPr>
                <w:sz w:val="1"/>
                <w:szCs w:val="1"/>
                <w:color w:val="auto"/>
              </w:rPr>
            </w:pPr>
          </w:p>
        </w:tc>
      </w:tr>
      <w:tr>
        <w:trPr>
          <w:trHeight w:val="186"/>
        </w:trPr>
        <w:tc>
          <w:tcPr>
            <w:tcW w:w="7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10.44</w:t>
            </w:r>
            <w:r>
              <w:rPr>
                <w:rFonts w:ascii="Arial" w:cs="Arial" w:eastAsia="Arial" w:hAnsi="Arial"/>
                <w:sz w:val="21"/>
                <w:szCs w:val="21"/>
                <w:color w:val="auto"/>
                <w:vertAlign w:val="superscript"/>
              </w:rPr>
              <w:t>†</w:t>
            </w: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0" w:type="dxa"/>
            <w:vAlign w:val="bottom"/>
          </w:tcPr>
          <w:p>
            <w:pPr>
              <w:spacing w:after="0"/>
              <w:rPr>
                <w:sz w:val="1"/>
                <w:szCs w:val="1"/>
                <w:color w:val="auto"/>
              </w:rPr>
            </w:pPr>
          </w:p>
        </w:tc>
      </w:tr>
      <w:tr>
        <w:trPr>
          <w:trHeight w:val="198"/>
        </w:trPr>
        <w:tc>
          <w:tcPr>
            <w:tcW w:w="760" w:type="dxa"/>
            <w:vAlign w:val="bottom"/>
            <w:gridSpan w:val="2"/>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Employment Agreement, dated as of April 17, 2019, by and between David Davis and MN</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8"/>
              </w:rPr>
              <w:t>Airlines, LLC (incorporated by reference to Exhibit 10.44 to Sun Country Airlines Holdings,</w:t>
            </w:r>
          </w:p>
        </w:tc>
        <w:tc>
          <w:tcPr>
            <w:tcW w:w="0" w:type="dxa"/>
            <w:vAlign w:val="bottom"/>
          </w:tcPr>
          <w:p>
            <w:pPr>
              <w:spacing w:after="0"/>
              <w:rPr>
                <w:sz w:val="1"/>
                <w:szCs w:val="1"/>
                <w:color w:val="auto"/>
              </w:rPr>
            </w:pPr>
          </w:p>
        </w:tc>
      </w:tr>
      <w:tr>
        <w:trPr>
          <w:trHeight w:val="186"/>
        </w:trPr>
        <w:tc>
          <w:tcPr>
            <w:tcW w:w="7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10.45</w:t>
            </w:r>
            <w:r>
              <w:rPr>
                <w:rFonts w:ascii="Arial" w:cs="Arial" w:eastAsia="Arial" w:hAnsi="Arial"/>
                <w:sz w:val="21"/>
                <w:szCs w:val="21"/>
                <w:color w:val="auto"/>
                <w:vertAlign w:val="superscript"/>
              </w:rPr>
              <w:t>†</w:t>
            </w:r>
          </w:p>
        </w:tc>
        <w:tc>
          <w:tcPr>
            <w:tcW w:w="592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c>
          <w:tcPr>
            <w:tcW w:w="0" w:type="dxa"/>
            <w:vAlign w:val="bottom"/>
          </w:tcPr>
          <w:p>
            <w:pPr>
              <w:spacing w:after="0"/>
              <w:rPr>
                <w:sz w:val="1"/>
                <w:szCs w:val="1"/>
                <w:color w:val="auto"/>
              </w:rPr>
            </w:pPr>
          </w:p>
        </w:tc>
      </w:tr>
      <w:tr>
        <w:trPr>
          <w:trHeight w:val="198"/>
        </w:trPr>
        <w:tc>
          <w:tcPr>
            <w:tcW w:w="760" w:type="dxa"/>
            <w:vAlign w:val="bottom"/>
            <w:gridSpan w:val="2"/>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5"/>
              </w:rPr>
              <w:t>Employment Agreement, dated as of July 1, 2019, by and between Gregory A. Mays and Sun</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8"/>
              </w:rPr>
              <w:t>Country, Inc. (incorporated by reference to Exhibit 10.45 to Sun Country Airlines Holdings,</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10.46</w:t>
            </w:r>
          </w:p>
        </w:tc>
        <w:tc>
          <w:tcPr>
            <w:tcW w:w="5920" w:type="dxa"/>
            <w:vAlign w:val="bottom"/>
          </w:tcPr>
          <w:p>
            <w:pPr>
              <w:spacing w:after="0"/>
              <w:rPr>
                <w:sz w:val="20"/>
                <w:szCs w:val="20"/>
                <w:color w:val="auto"/>
              </w:rPr>
            </w:pPr>
            <w:r>
              <w:rPr>
                <w:rFonts w:ascii="Arial" w:cs="Arial" w:eastAsia="Arial" w:hAnsi="Arial"/>
                <w:sz w:val="15"/>
                <w:szCs w:val="15"/>
                <w:color w:val="auto"/>
                <w:w w:val="97"/>
              </w:rPr>
              <w:t>Income Tax Receivable Agreement, by and among Sun Country Airlines, Inc., Sun Country</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5"/>
              </w:rPr>
              <w:t>Airlines Holdings, Inc. and the other parties thereto (incorporated by reference to Exhibit 10.3</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7"/>
              </w:rPr>
              <w:t>to Sun Country Airlines Holdings, Inc.’s Current Report on Form 8-K filed with the Securities</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Exchange Commission on March 22, 2021)</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10.47</w:t>
            </w:r>
          </w:p>
        </w:tc>
        <w:tc>
          <w:tcPr>
            <w:tcW w:w="5920" w:type="dxa"/>
            <w:vAlign w:val="bottom"/>
          </w:tcPr>
          <w:p>
            <w:pPr>
              <w:spacing w:after="0"/>
              <w:rPr>
                <w:sz w:val="20"/>
                <w:szCs w:val="20"/>
                <w:color w:val="auto"/>
              </w:rPr>
            </w:pPr>
            <w:r>
              <w:rPr>
                <w:rFonts w:ascii="Arial" w:cs="Arial" w:eastAsia="Arial" w:hAnsi="Arial"/>
                <w:sz w:val="15"/>
                <w:szCs w:val="15"/>
                <w:color w:val="auto"/>
                <w:w w:val="94"/>
              </w:rPr>
              <w:t>Credit Agreement, dated as of February 10, 2021, among SCA Acquisition, LLC, Sun Country,</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7"/>
              </w:rPr>
              <w:t>Inc., the lenders and issuing banks party thereto and Barclays Bank PLC, as administrative</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agent (incorporated by reference to Exhibit 10.47 to Sun Country Airlines Holdings, Inc.’s</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10.48</w:t>
            </w:r>
          </w:p>
        </w:tc>
        <w:tc>
          <w:tcPr>
            <w:tcW w:w="5920" w:type="dxa"/>
            <w:vAlign w:val="bottom"/>
          </w:tcPr>
          <w:p>
            <w:pPr>
              <w:spacing w:after="0"/>
              <w:rPr>
                <w:sz w:val="20"/>
                <w:szCs w:val="20"/>
                <w:color w:val="auto"/>
              </w:rPr>
            </w:pPr>
            <w:r>
              <w:rPr>
                <w:rFonts w:ascii="Arial" w:cs="Arial" w:eastAsia="Arial" w:hAnsi="Arial"/>
                <w:sz w:val="15"/>
                <w:szCs w:val="15"/>
                <w:color w:val="auto"/>
                <w:w w:val="95"/>
              </w:rPr>
              <w:t>Securities Purchase Agreement, dated March 7, 2021, among Sun Country Airlines Holdings,</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4"/>
              </w:rPr>
              <w:t>Inc., SCA Horus Holdings, LLC and PAR Investment Partners, L.P. (incorporated by reference</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6"/>
              </w:rPr>
              <w:t>to Exhibit 10.48 to Sun Country Airlines Holdings, Inc.’s Registration Statement on Form S-1</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10.49</w:t>
            </w:r>
          </w:p>
        </w:tc>
        <w:tc>
          <w:tcPr>
            <w:tcW w:w="5920" w:type="dxa"/>
            <w:vAlign w:val="bottom"/>
          </w:tcPr>
          <w:p>
            <w:pPr>
              <w:spacing w:after="0"/>
              <w:rPr>
                <w:sz w:val="20"/>
                <w:szCs w:val="20"/>
                <w:color w:val="auto"/>
              </w:rPr>
            </w:pPr>
            <w:r>
              <w:rPr>
                <w:rFonts w:ascii="Arial" w:cs="Arial" w:eastAsia="Arial" w:hAnsi="Arial"/>
                <w:sz w:val="15"/>
                <w:szCs w:val="15"/>
                <w:color w:val="auto"/>
                <w:w w:val="95"/>
              </w:rPr>
              <w:t>Securities Purchase Agreement, dated March 7, 2021, among Sun Country Airlines Holdings,</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Inc., SCA Horus Holdings, LLC and the Blackrock Entities party thereto. (incorporated by</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6"/>
              </w:rPr>
              <w:t>reference to Exhibit 10.49 to Sun Country Airlines Holdings, Inc.’s Registration Statement on</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Form S-1 (File No. 333-252858))</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10.50</w:t>
            </w:r>
          </w:p>
        </w:tc>
        <w:tc>
          <w:tcPr>
            <w:tcW w:w="5920" w:type="dxa"/>
            <w:vAlign w:val="bottom"/>
          </w:tcPr>
          <w:p>
            <w:pPr>
              <w:spacing w:after="0"/>
              <w:rPr>
                <w:sz w:val="20"/>
                <w:szCs w:val="20"/>
                <w:color w:val="auto"/>
              </w:rPr>
            </w:pPr>
            <w:r>
              <w:rPr>
                <w:rFonts w:ascii="Arial" w:cs="Arial" w:eastAsia="Arial" w:hAnsi="Arial"/>
                <w:sz w:val="15"/>
                <w:szCs w:val="15"/>
                <w:color w:val="auto"/>
              </w:rPr>
              <w:t>Payroll Support Program 3 Agreement, dated as of April 27, 2021, by and between Sun</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Country, Inc. and the Department of the Treasury</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21.1</w:t>
            </w:r>
          </w:p>
        </w:tc>
        <w:tc>
          <w:tcPr>
            <w:tcW w:w="5920" w:type="dxa"/>
            <w:vAlign w:val="bottom"/>
          </w:tcPr>
          <w:p>
            <w:pPr>
              <w:spacing w:after="0"/>
              <w:rPr>
                <w:sz w:val="20"/>
                <w:szCs w:val="20"/>
                <w:color w:val="auto"/>
              </w:rPr>
            </w:pPr>
            <w:r>
              <w:rPr>
                <w:rFonts w:ascii="Arial" w:cs="Arial" w:eastAsia="Arial" w:hAnsi="Arial"/>
                <w:sz w:val="15"/>
                <w:szCs w:val="15"/>
                <w:color w:val="auto"/>
                <w:w w:val="94"/>
              </w:rPr>
              <w:t>Subsidiaries of the registrant (incorporated by reference to Exhibit 21.1 to Sun Country Airlines</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c>
          <w:tcPr>
            <w:tcW w:w="0" w:type="dxa"/>
            <w:vAlign w:val="bottom"/>
          </w:tcPr>
          <w:p>
            <w:pPr>
              <w:spacing w:after="0"/>
              <w:rPr>
                <w:sz w:val="1"/>
                <w:szCs w:val="1"/>
                <w:color w:val="auto"/>
              </w:rPr>
            </w:pPr>
          </w:p>
        </w:tc>
      </w:tr>
      <w:tr>
        <w:trPr>
          <w:trHeight w:val="231"/>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23.1*</w:t>
            </w:r>
          </w:p>
        </w:tc>
        <w:tc>
          <w:tcPr>
            <w:tcW w:w="5920" w:type="dxa"/>
            <w:vAlign w:val="bottom"/>
          </w:tcPr>
          <w:p>
            <w:pPr>
              <w:spacing w:after="0"/>
              <w:rPr>
                <w:sz w:val="20"/>
                <w:szCs w:val="20"/>
                <w:color w:val="auto"/>
              </w:rPr>
            </w:pPr>
            <w:r>
              <w:rPr>
                <w:rFonts w:ascii="Arial" w:cs="Arial" w:eastAsia="Arial" w:hAnsi="Arial"/>
                <w:sz w:val="15"/>
                <w:szCs w:val="15"/>
                <w:color w:val="auto"/>
              </w:rPr>
              <w:t>Consent of KPMG LLP, independent registered public accounting firm</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23.2*</w:t>
            </w:r>
          </w:p>
        </w:tc>
        <w:tc>
          <w:tcPr>
            <w:tcW w:w="5920" w:type="dxa"/>
            <w:vAlign w:val="bottom"/>
          </w:tcPr>
          <w:p>
            <w:pPr>
              <w:spacing w:after="0"/>
              <w:rPr>
                <w:sz w:val="20"/>
                <w:szCs w:val="20"/>
                <w:color w:val="auto"/>
              </w:rPr>
            </w:pPr>
            <w:r>
              <w:rPr>
                <w:rFonts w:ascii="Arial" w:cs="Arial" w:eastAsia="Arial" w:hAnsi="Arial"/>
                <w:sz w:val="15"/>
                <w:szCs w:val="15"/>
                <w:color w:val="auto"/>
              </w:rPr>
              <w:t>Consent of Paul, Weiss, Rifkind, Wharton &amp; Garrison LLP (included in Exhibit 5.1)</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24.1</w:t>
            </w:r>
          </w:p>
        </w:tc>
        <w:tc>
          <w:tcPr>
            <w:tcW w:w="5920" w:type="dxa"/>
            <w:vAlign w:val="bottom"/>
          </w:tcPr>
          <w:p>
            <w:pPr>
              <w:spacing w:after="0"/>
              <w:rPr>
                <w:sz w:val="20"/>
                <w:szCs w:val="20"/>
                <w:color w:val="auto"/>
              </w:rPr>
            </w:pPr>
            <w:r>
              <w:rPr>
                <w:rFonts w:ascii="Arial" w:cs="Arial" w:eastAsia="Arial" w:hAnsi="Arial"/>
                <w:sz w:val="15"/>
                <w:szCs w:val="15"/>
                <w:color w:val="auto"/>
              </w:rPr>
              <w:t>Powers of Attorney (included in signature page)</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101.INS*</w:t>
            </w:r>
          </w:p>
        </w:tc>
        <w:tc>
          <w:tcPr>
            <w:tcW w:w="5920" w:type="dxa"/>
            <w:vAlign w:val="bottom"/>
          </w:tcPr>
          <w:p>
            <w:pPr>
              <w:spacing w:after="0"/>
              <w:rPr>
                <w:sz w:val="20"/>
                <w:szCs w:val="20"/>
                <w:color w:val="auto"/>
              </w:rPr>
            </w:pPr>
            <w:r>
              <w:rPr>
                <w:rFonts w:ascii="Arial" w:cs="Arial" w:eastAsia="Arial" w:hAnsi="Arial"/>
                <w:sz w:val="15"/>
                <w:szCs w:val="15"/>
                <w:color w:val="auto"/>
              </w:rPr>
              <w:t>XBRL Instance Document</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101.SCH*</w:t>
            </w:r>
          </w:p>
        </w:tc>
        <w:tc>
          <w:tcPr>
            <w:tcW w:w="5920" w:type="dxa"/>
            <w:vAlign w:val="bottom"/>
          </w:tcPr>
          <w:p>
            <w:pPr>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101.CAL*</w:t>
            </w:r>
          </w:p>
        </w:tc>
        <w:tc>
          <w:tcPr>
            <w:tcW w:w="5920" w:type="dxa"/>
            <w:vAlign w:val="bottom"/>
          </w:tcPr>
          <w:p>
            <w:pPr>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8"/>
              </w:rPr>
              <w:t>101.DEF*</w:t>
            </w:r>
          </w:p>
        </w:tc>
        <w:tc>
          <w:tcPr>
            <w:tcW w:w="5920" w:type="dxa"/>
            <w:vAlign w:val="bottom"/>
          </w:tcPr>
          <w:p>
            <w:pPr>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101.LAB*</w:t>
            </w:r>
          </w:p>
        </w:tc>
        <w:tc>
          <w:tcPr>
            <w:tcW w:w="5920" w:type="dxa"/>
            <w:vAlign w:val="bottom"/>
          </w:tcPr>
          <w:p>
            <w:pPr>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139700</wp:posOffset>
            </wp:positionV>
            <wp:extent cx="446405" cy="698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310" w:lineRule="exact"/>
        <w:rPr>
          <w:sz w:val="20"/>
          <w:szCs w:val="20"/>
          <w:color w:val="auto"/>
        </w:rPr>
      </w:pPr>
    </w:p>
    <w:p>
      <w:pPr>
        <w:ind w:left="1460" w:hanging="296"/>
        <w:spacing w:after="0"/>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To be filed by amendment.</w:t>
      </w:r>
    </w:p>
    <w:p>
      <w:pPr>
        <w:spacing w:after="0" w:line="80" w:lineRule="exact"/>
        <w:rPr>
          <w:sz w:val="20"/>
          <w:szCs w:val="20"/>
          <w:color w:val="auto"/>
        </w:rPr>
      </w:pPr>
    </w:p>
    <w:p>
      <w:pPr>
        <w:ind w:left="1460" w:hanging="296"/>
        <w:spacing w:after="0"/>
        <w:tabs>
          <w:tab w:leader="none" w:pos="14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47" w:lineRule="exact"/>
        <w:rPr>
          <w:sz w:val="20"/>
          <w:szCs w:val="20"/>
          <w:color w:val="auto"/>
        </w:rPr>
      </w:pPr>
    </w:p>
    <w:p>
      <w:pPr>
        <w:ind w:left="4380" w:right="1819" w:hanging="3216"/>
        <w:spacing w:after="0" w:line="707" w:lineRule="auto"/>
        <w:tabs>
          <w:tab w:leader="none" w:pos="1467" w:val="left"/>
        </w:tabs>
        <w:numPr>
          <w:ilvl w:val="0"/>
          <w:numId w:val="122"/>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Item 601(b)(10)(iv) of Regulation S-K. 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-22860</wp:posOffset>
            </wp:positionV>
            <wp:extent cx="5564505" cy="3937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9" w:name="page270"/>
    <w:bookmarkEnd w:id="269"/>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6"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(b) Financial Statement Schedule</w:t>
      </w:r>
    </w:p>
    <w:p>
      <w:pPr>
        <w:spacing w:after="0" w:line="124" w:lineRule="exact"/>
        <w:rPr>
          <w:sz w:val="20"/>
          <w:szCs w:val="20"/>
          <w:color w:val="auto"/>
        </w:rPr>
      </w:pPr>
    </w:p>
    <w:p>
      <w:pPr>
        <w:ind w:left="1160" w:right="1319" w:firstLine="293"/>
        <w:spacing w:after="0" w:line="251" w:lineRule="auto"/>
        <w:rPr>
          <w:sz w:val="20"/>
          <w:szCs w:val="20"/>
          <w:color w:val="auto"/>
        </w:rPr>
      </w:pPr>
      <w:r>
        <w:rPr>
          <w:rFonts w:ascii="Arial" w:cs="Arial" w:eastAsia="Arial" w:hAnsi="Arial"/>
          <w:sz w:val="15"/>
          <w:szCs w:val="15"/>
          <w:color w:val="auto"/>
        </w:rPr>
        <w:t>See the Index to the consolidated financial statements included on page F-1 for a list of the financial statements included in this registration statement. All schedules not identified above have been omitted because they are not required, are inapplicable, or the information is included in the consolidated financial statements or notes contained in this registration statement.</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Item 17. Undertakings</w:t>
      </w:r>
    </w:p>
    <w:p>
      <w:pPr>
        <w:spacing w:after="0" w:line="117" w:lineRule="exact"/>
        <w:rPr>
          <w:sz w:val="20"/>
          <w:szCs w:val="20"/>
          <w:color w:val="auto"/>
        </w:rPr>
      </w:pPr>
    </w:p>
    <w:p>
      <w:pPr>
        <w:jc w:val="both"/>
        <w:ind w:left="1160" w:right="1259" w:firstLine="293"/>
        <w:spacing w:after="0" w:line="254"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1" w:lineRule="exact"/>
        <w:rPr>
          <w:sz w:val="20"/>
          <w:szCs w:val="20"/>
          <w:color w:val="auto"/>
        </w:rPr>
      </w:pPr>
    </w:p>
    <w:p>
      <w:pPr>
        <w:ind w:left="1160" w:right="1199" w:firstLine="293"/>
        <w:spacing w:after="0" w:line="265"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The undersigned registrant hereby undertakes that:</w:t>
      </w:r>
    </w:p>
    <w:p>
      <w:pPr>
        <w:spacing w:after="0" w:line="113" w:lineRule="exact"/>
        <w:rPr>
          <w:sz w:val="20"/>
          <w:szCs w:val="20"/>
          <w:color w:val="auto"/>
        </w:rPr>
      </w:pPr>
    </w:p>
    <w:p>
      <w:pPr>
        <w:ind w:left="1760" w:right="1319" w:hanging="303"/>
        <w:spacing w:after="0" w:line="249" w:lineRule="auto"/>
        <w:tabs>
          <w:tab w:leader="none" w:pos="17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5" w:lineRule="exact"/>
        <w:rPr>
          <w:rFonts w:ascii="Arial" w:cs="Arial" w:eastAsia="Arial" w:hAnsi="Arial"/>
          <w:sz w:val="15"/>
          <w:szCs w:val="15"/>
          <w:color w:val="auto"/>
        </w:rPr>
      </w:pPr>
    </w:p>
    <w:p>
      <w:pPr>
        <w:ind w:left="1760" w:right="1239" w:hanging="303"/>
        <w:spacing w:after="0" w:line="251" w:lineRule="auto"/>
        <w:tabs>
          <w:tab w:leader="none" w:pos="17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0" w:name="page271"/>
    <w:bookmarkEnd w:id="270"/>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Confidential Treatment Requested by Sun Country Airlines Holdings, Inc.</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INDEX</w:t>
      </w:r>
    </w:p>
    <w:p>
      <w:pPr>
        <w:sectPr>
          <w:pgSz w:w="11900" w:h="16838" w:orient="portrait"/>
          <w:cols w:equalWidth="0" w:num="1">
            <w:col w:w="9019"/>
          </w:cols>
          <w:pgMar w:left="1440" w:top="134" w:right="1440" w:bottom="1440" w:gutter="0" w:footer="0" w:header="0"/>
        </w:sectPr>
      </w:pP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1"/>
          <w:szCs w:val="11"/>
          <w:b w:val="1"/>
          <w:bCs w:val="1"/>
          <w:color w:val="auto"/>
        </w:rPr>
        <w:t>Exhibit</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9"/>
          <w:szCs w:val="9"/>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35560</wp:posOffset>
            </wp:positionV>
            <wp:extent cx="369570"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369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43180</wp:posOffset>
            </wp:positionV>
            <wp:extent cx="3760470" cy="698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760470" cy="698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3700" w:space="720"/>
            <w:col w:w="4599"/>
          </w:cols>
          <w:pgMar w:left="1440" w:top="134" w:right="1440" w:bottom="1440" w:gutter="0" w:footer="0" w:header="0"/>
          <w:type w:val="continuous"/>
        </w:sectPr>
      </w:pPr>
    </w:p>
    <w:p>
      <w:pPr>
        <w:ind w:left="1560"/>
        <w:spacing w:after="0"/>
        <w:rPr>
          <w:sz w:val="20"/>
          <w:szCs w:val="20"/>
          <w:color w:val="auto"/>
        </w:rPr>
      </w:pPr>
      <w:r>
        <w:rPr>
          <w:rFonts w:ascii="Arial" w:cs="Arial" w:eastAsia="Arial" w:hAnsi="Arial"/>
          <w:sz w:val="15"/>
          <w:szCs w:val="15"/>
          <w:color w:val="auto"/>
        </w:rPr>
        <w:t>1.1*  Form of Underwriting Agreement</w:t>
      </w:r>
    </w:p>
    <w:p>
      <w:pPr>
        <w:spacing w:after="0" w:line="14" w:lineRule="exact"/>
        <w:rPr>
          <w:sz w:val="20"/>
          <w:szCs w:val="20"/>
          <w:color w:val="auto"/>
        </w:rPr>
      </w:pPr>
    </w:p>
    <w:p>
      <w:pPr>
        <w:ind w:left="1920" w:right="1279" w:hanging="358"/>
        <w:spacing w:after="0" w:line="251" w:lineRule="auto"/>
        <w:tabs>
          <w:tab w:leader="none" w:pos="1900" w:val="left"/>
        </w:tabs>
        <w:rPr>
          <w:sz w:val="20"/>
          <w:szCs w:val="20"/>
          <w:color w:val="auto"/>
        </w:rPr>
      </w:pPr>
      <w:r>
        <w:rPr>
          <w:rFonts w:ascii="Arial" w:cs="Arial" w:eastAsia="Arial" w:hAnsi="Arial"/>
          <w:sz w:val="15"/>
          <w:szCs w:val="15"/>
          <w:color w:val="auto"/>
        </w:rPr>
        <w:t>2.1</w:t>
        <w:tab/>
        <w:t>Membership Interest Purchase Agreement, dated December 13, 2017, by and among Minnesota Aviation, LLC, SCA Acquisition Holdings, LLC and SCA Acquisition, LLC (incorporated by reference to Exhibit 2.1 to Sun Country Airlines Holdings, Inc.’s Registration Statement on Form S-1 (File No. 333-252858))</w:t>
      </w:r>
    </w:p>
    <w:p>
      <w:pPr>
        <w:spacing w:after="0" w:line="15" w:lineRule="exact"/>
        <w:rPr>
          <w:sz w:val="20"/>
          <w:szCs w:val="20"/>
          <w:color w:val="auto"/>
        </w:rPr>
      </w:pPr>
    </w:p>
    <w:p>
      <w:pPr>
        <w:ind w:left="1920" w:right="1479" w:hanging="358"/>
        <w:spacing w:after="0" w:line="264" w:lineRule="auto"/>
        <w:tabs>
          <w:tab w:leader="none" w:pos="1900" w:val="left"/>
        </w:tabs>
        <w:rPr>
          <w:sz w:val="20"/>
          <w:szCs w:val="20"/>
          <w:color w:val="auto"/>
        </w:rPr>
      </w:pPr>
      <w:r>
        <w:rPr>
          <w:rFonts w:ascii="Arial" w:cs="Arial" w:eastAsia="Arial" w:hAnsi="Arial"/>
          <w:sz w:val="15"/>
          <w:szCs w:val="15"/>
          <w:color w:val="auto"/>
        </w:rPr>
        <w:t>2.2</w:t>
        <w:tab/>
        <w:t>Certificate of Conversion (incorporated by reference to Exhibit 2.2 to Sun Country Airlines Holdings, Inc.’s Registration Statement on Form S-1 (File No. 333-252858))</w:t>
      </w:r>
    </w:p>
    <w:p>
      <w:pPr>
        <w:spacing w:after="0" w:line="5" w:lineRule="exact"/>
        <w:rPr>
          <w:sz w:val="20"/>
          <w:szCs w:val="20"/>
          <w:color w:val="auto"/>
        </w:rPr>
      </w:pPr>
    </w:p>
    <w:p>
      <w:pPr>
        <w:ind w:left="1920" w:right="1299" w:hanging="358"/>
        <w:spacing w:after="0" w:line="254" w:lineRule="auto"/>
        <w:tabs>
          <w:tab w:leader="none" w:pos="1900" w:val="left"/>
        </w:tabs>
        <w:rPr>
          <w:sz w:val="20"/>
          <w:szCs w:val="20"/>
          <w:color w:val="auto"/>
        </w:rPr>
      </w:pPr>
      <w:r>
        <w:rPr>
          <w:rFonts w:ascii="Arial" w:cs="Arial" w:eastAsia="Arial" w:hAnsi="Arial"/>
          <w:sz w:val="15"/>
          <w:szCs w:val="15"/>
          <w:color w:val="auto"/>
        </w:rPr>
        <w:t>3.1</w:t>
        <w:tab/>
        <w:t>Second Amended and Restated Certificate of Incorporation of Sun Country Airlines Holdings, Inc. (incorporated by reference to Exhibit 3.1 to Sun Country Airlines Holdings, Inc.’s Registration Statement on Form S-8 (File No. 333-254371))</w:t>
      </w:r>
    </w:p>
    <w:p>
      <w:pPr>
        <w:spacing w:after="0" w:line="13" w:lineRule="exact"/>
        <w:rPr>
          <w:sz w:val="20"/>
          <w:szCs w:val="20"/>
          <w:color w:val="auto"/>
        </w:rPr>
      </w:pPr>
    </w:p>
    <w:p>
      <w:pPr>
        <w:ind w:left="1920" w:right="1199" w:hanging="358"/>
        <w:spacing w:after="0" w:line="254" w:lineRule="auto"/>
        <w:tabs>
          <w:tab w:leader="none" w:pos="1900" w:val="left"/>
        </w:tabs>
        <w:rPr>
          <w:sz w:val="20"/>
          <w:szCs w:val="20"/>
          <w:color w:val="auto"/>
        </w:rPr>
      </w:pPr>
      <w:r>
        <w:rPr>
          <w:rFonts w:ascii="Arial" w:cs="Arial" w:eastAsia="Arial" w:hAnsi="Arial"/>
          <w:sz w:val="15"/>
          <w:szCs w:val="15"/>
          <w:color w:val="auto"/>
        </w:rPr>
        <w:t>3.2</w:t>
        <w:tab/>
        <w:t>Second Amended and Restated Bylaws of Sun Country Airlines Holdings, Inc. (incorporated by reference to Exhibit 3.2 to Sun Country Airlines Holdings, Inc.’s Registration Statement on Form S-8 (File No. 333-254371))</w:t>
      </w:r>
    </w:p>
    <w:p>
      <w:pPr>
        <w:spacing w:after="0" w:line="24" w:lineRule="exact"/>
        <w:rPr>
          <w:sz w:val="20"/>
          <w:szCs w:val="20"/>
          <w:color w:val="auto"/>
        </w:rPr>
      </w:pPr>
    </w:p>
    <w:p>
      <w:pPr>
        <w:ind w:left="1920" w:right="1279" w:hanging="358"/>
        <w:spacing w:after="0" w:line="251" w:lineRule="auto"/>
        <w:tabs>
          <w:tab w:leader="none" w:pos="1900" w:val="left"/>
        </w:tabs>
        <w:rPr>
          <w:sz w:val="20"/>
          <w:szCs w:val="20"/>
          <w:color w:val="auto"/>
        </w:rPr>
      </w:pPr>
      <w:r>
        <w:rPr>
          <w:rFonts w:ascii="Arial" w:cs="Arial" w:eastAsia="Arial" w:hAnsi="Arial"/>
          <w:sz w:val="15"/>
          <w:szCs w:val="15"/>
          <w:color w:val="auto"/>
        </w:rPr>
        <w:t>4.1</w:t>
        <w:tab/>
        <w:t>Pass Through Trust Agreement, dated as of December 9, 2019, between Sun Country Inc. and Wilmington Trust, National Association, as trustee (incorporated by reference to Exhibit 4.1 to Sun Country Airlines Holdings, Inc.’s Registration Statement on Form S-1 (File No. 333-252858))</w:t>
      </w:r>
    </w:p>
    <w:p>
      <w:pPr>
        <w:spacing w:after="0" w:line="26" w:lineRule="exact"/>
        <w:rPr>
          <w:sz w:val="20"/>
          <w:szCs w:val="20"/>
          <w:color w:val="auto"/>
        </w:rPr>
      </w:pPr>
    </w:p>
    <w:p>
      <w:pPr>
        <w:ind w:left="1920" w:right="1299" w:hanging="358"/>
        <w:spacing w:after="0" w:line="254" w:lineRule="auto"/>
        <w:tabs>
          <w:tab w:leader="none" w:pos="1900" w:val="left"/>
        </w:tabs>
        <w:rPr>
          <w:sz w:val="20"/>
          <w:szCs w:val="20"/>
          <w:color w:val="auto"/>
        </w:rPr>
      </w:pPr>
      <w:r>
        <w:rPr>
          <w:rFonts w:ascii="Arial" w:cs="Arial" w:eastAsia="Arial" w:hAnsi="Arial"/>
          <w:sz w:val="15"/>
          <w:szCs w:val="15"/>
          <w:color w:val="auto"/>
        </w:rPr>
        <w:t>4.2</w:t>
        <w:tab/>
        <w:t>Form of Pass Through Trust Certificate, Series 2019-1A (incorporated by reference to Exhibit 4.2 to Sun Country Airlines Holdings, Inc.’s Registration Statement on Form S-1 (File No. 333-252858))</w:t>
      </w:r>
    </w:p>
    <w:p>
      <w:pPr>
        <w:spacing w:after="0" w:line="24" w:lineRule="exact"/>
        <w:rPr>
          <w:sz w:val="20"/>
          <w:szCs w:val="20"/>
          <w:color w:val="auto"/>
        </w:rPr>
      </w:pPr>
    </w:p>
    <w:p>
      <w:pPr>
        <w:ind w:left="1920" w:right="1299" w:hanging="358"/>
        <w:spacing w:after="0" w:line="254" w:lineRule="auto"/>
        <w:tabs>
          <w:tab w:leader="none" w:pos="1900" w:val="left"/>
        </w:tabs>
        <w:rPr>
          <w:sz w:val="20"/>
          <w:szCs w:val="20"/>
          <w:color w:val="auto"/>
        </w:rPr>
      </w:pPr>
      <w:r>
        <w:rPr>
          <w:rFonts w:ascii="Arial" w:cs="Arial" w:eastAsia="Arial" w:hAnsi="Arial"/>
          <w:sz w:val="15"/>
          <w:szCs w:val="15"/>
          <w:color w:val="auto"/>
        </w:rPr>
        <w:t>4.3</w:t>
        <w:tab/>
        <w:t>Form of Pass Through Trust Certificate, Series 2019-1B (incorporated by reference to Exhibit 4.3 to Sun Country Airlines Holdings, Inc.’s Registration Statement on Form S-1 (File No. 333-252858))</w:t>
      </w:r>
    </w:p>
    <w:p>
      <w:pPr>
        <w:spacing w:after="0" w:line="24" w:lineRule="exact"/>
        <w:rPr>
          <w:sz w:val="20"/>
          <w:szCs w:val="20"/>
          <w:color w:val="auto"/>
        </w:rPr>
      </w:pPr>
    </w:p>
    <w:p>
      <w:pPr>
        <w:ind w:left="1920" w:right="1299" w:hanging="358"/>
        <w:spacing w:after="0" w:line="254" w:lineRule="auto"/>
        <w:tabs>
          <w:tab w:leader="none" w:pos="1900" w:val="left"/>
        </w:tabs>
        <w:rPr>
          <w:sz w:val="20"/>
          <w:szCs w:val="20"/>
          <w:color w:val="auto"/>
        </w:rPr>
      </w:pPr>
      <w:r>
        <w:rPr>
          <w:rFonts w:ascii="Arial" w:cs="Arial" w:eastAsia="Arial" w:hAnsi="Arial"/>
          <w:sz w:val="15"/>
          <w:szCs w:val="15"/>
          <w:color w:val="auto"/>
        </w:rPr>
        <w:t>4.4</w:t>
        <w:tab/>
        <w:t>Form of Pass Through Trust Certificate, Series 2019-1C (incorporated by reference to Exhibit 4.4 to Sun Country Airlines Holdings, Inc.’s Registration Statement on Form S-1 (File No. 333-252858))</w:t>
      </w:r>
    </w:p>
    <w:p>
      <w:pPr>
        <w:spacing w:after="0" w:line="24" w:lineRule="exact"/>
        <w:rPr>
          <w:sz w:val="20"/>
          <w:szCs w:val="20"/>
          <w:color w:val="auto"/>
        </w:rPr>
      </w:pPr>
    </w:p>
    <w:p>
      <w:pPr>
        <w:jc w:val="center"/>
        <w:ind w:right="-80"/>
        <w:spacing w:after="0"/>
        <w:tabs>
          <w:tab w:leader="none" w:pos="160"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4"/>
          <w:szCs w:val="14"/>
          <w:color w:val="auto"/>
        </w:rPr>
        <w:t>Intercreditor Agreement, dated as of December 9, 2019, among Wilmington Trust, National</w:t>
      </w:r>
    </w:p>
    <w:p>
      <w:pPr>
        <w:spacing w:after="0" w:line="14" w:lineRule="exact"/>
        <w:rPr>
          <w:sz w:val="20"/>
          <w:szCs w:val="20"/>
          <w:color w:val="auto"/>
        </w:rPr>
      </w:pPr>
    </w:p>
    <w:p>
      <w:pPr>
        <w:ind w:left="1920" w:right="1179"/>
        <w:spacing w:after="0" w:line="246" w:lineRule="auto"/>
        <w:rPr>
          <w:sz w:val="20"/>
          <w:szCs w:val="20"/>
          <w:color w:val="auto"/>
        </w:rPr>
      </w:pPr>
      <w:r>
        <w:rPr>
          <w:rFonts w:ascii="Arial" w:cs="Arial" w:eastAsia="Arial" w:hAnsi="Arial"/>
          <w:sz w:val="15"/>
          <w:szCs w:val="15"/>
          <w:color w:val="auto"/>
        </w:rPr>
        <w:t>Association, as trustee of the Sun Country Pass Through Trusts, Series 2019-1, and as subordination agent (incorporated by reference to Exhibit 4.5 to Sun Country Airlines Holdings, Inc.’s Registration Statement on Form S-1 (File No. 333-252858))</w:t>
      </w:r>
    </w:p>
    <w:p>
      <w:pPr>
        <w:spacing w:after="0" w:line="30" w:lineRule="exact"/>
        <w:rPr>
          <w:sz w:val="20"/>
          <w:szCs w:val="20"/>
          <w:color w:val="auto"/>
        </w:rPr>
      </w:pPr>
    </w:p>
    <w:p>
      <w:pPr>
        <w:ind w:left="1920" w:right="1399" w:hanging="358"/>
        <w:spacing w:after="0" w:line="264" w:lineRule="auto"/>
        <w:rPr>
          <w:sz w:val="20"/>
          <w:szCs w:val="20"/>
          <w:color w:val="auto"/>
        </w:rPr>
      </w:pPr>
      <w:r>
        <w:rPr>
          <w:rFonts w:ascii="Arial" w:cs="Arial" w:eastAsia="Arial" w:hAnsi="Arial"/>
          <w:sz w:val="15"/>
          <w:szCs w:val="15"/>
          <w:color w:val="auto"/>
        </w:rPr>
        <w:t>5.1* Opinion of Paul, Weiss, Rifkind, Wharton &amp; Garrison LLP as to the validity of the securities being offered</w:t>
      </w:r>
    </w:p>
    <w:p>
      <w:pPr>
        <w:spacing w:after="0" w:line="16" w:lineRule="exact"/>
        <w:rPr>
          <w:sz w:val="20"/>
          <w:szCs w:val="20"/>
          <w:color w:val="auto"/>
        </w:rPr>
      </w:pPr>
    </w:p>
    <w:p>
      <w:pPr>
        <w:ind w:left="1920" w:right="1199" w:hanging="431"/>
        <w:spacing w:after="0" w:line="251" w:lineRule="auto"/>
        <w:tabs>
          <w:tab w:leader="none" w:pos="1900" w:val="left"/>
        </w:tabs>
        <w:rPr>
          <w:sz w:val="20"/>
          <w:szCs w:val="20"/>
          <w:color w:val="auto"/>
        </w:rPr>
      </w:pPr>
      <w:r>
        <w:rPr>
          <w:rFonts w:ascii="Arial" w:cs="Arial" w:eastAsia="Arial" w:hAnsi="Arial"/>
          <w:sz w:val="15"/>
          <w:szCs w:val="15"/>
          <w:color w:val="auto"/>
        </w:rPr>
        <w:t>10.1</w:t>
        <w:tab/>
        <w:t>Asset-based Revolving Credit Agreement, dated December 13, 2017, by and among SCA Acquisition, LLC, MN Airlines, LLC, the lenders party thereto and Barclays Bank PLC (incorporated by reference to Exhibit 10.1 to Sun Country Airlines Holdings, Inc.’s Registration Statement on Form S-1 (File No. 333-252858))</w:t>
      </w:r>
    </w:p>
    <w:p>
      <w:pPr>
        <w:spacing w:after="0" w:line="26" w:lineRule="exact"/>
        <w:rPr>
          <w:sz w:val="20"/>
          <w:szCs w:val="20"/>
          <w:color w:val="auto"/>
        </w:rPr>
      </w:pPr>
    </w:p>
    <w:p>
      <w:pPr>
        <w:jc w:val="both"/>
        <w:ind w:left="1920" w:right="1299" w:hanging="431"/>
        <w:spacing w:after="0" w:line="251" w:lineRule="auto"/>
        <w:tabs>
          <w:tab w:leader="none" w:pos="1900" w:val="left"/>
        </w:tabs>
        <w:rPr>
          <w:sz w:val="20"/>
          <w:szCs w:val="20"/>
          <w:color w:val="auto"/>
        </w:rPr>
      </w:pPr>
      <w:r>
        <w:rPr>
          <w:rFonts w:ascii="Arial" w:cs="Arial" w:eastAsia="Arial" w:hAnsi="Arial"/>
          <w:sz w:val="15"/>
          <w:szCs w:val="15"/>
          <w:color w:val="auto"/>
        </w:rPr>
        <w:t>10.2</w:t>
        <w:tab/>
        <w:t>Amendment No. 1 to the Asset-based Revolving Credit Agreement, dated January 7, 2019, by and among SCA Acquisition, LLC, MN Airlines, LLC, the lenders party thereto and Barclays Bank PLC (incorporated by reference to Exhibit 10.2 to Sun Country Airlines Holdings, Inc.’s Registration Statement on Form S-1 (File No. 333-252858))</w:t>
      </w:r>
    </w:p>
    <w:p>
      <w:pPr>
        <w:spacing w:after="0" w:line="26" w:lineRule="exact"/>
        <w:rPr>
          <w:sz w:val="20"/>
          <w:szCs w:val="20"/>
          <w:color w:val="auto"/>
        </w:rPr>
      </w:pPr>
    </w:p>
    <w:p>
      <w:pPr>
        <w:ind w:left="1920" w:right="1199" w:hanging="431"/>
        <w:spacing w:after="0" w:line="251" w:lineRule="auto"/>
        <w:tabs>
          <w:tab w:leader="none" w:pos="1900" w:val="left"/>
        </w:tabs>
        <w:rPr>
          <w:sz w:val="20"/>
          <w:szCs w:val="20"/>
          <w:color w:val="auto"/>
        </w:rPr>
      </w:pPr>
      <w:r>
        <w:rPr>
          <w:rFonts w:ascii="Arial" w:cs="Arial" w:eastAsia="Arial" w:hAnsi="Arial"/>
          <w:sz w:val="15"/>
          <w:szCs w:val="15"/>
          <w:color w:val="auto"/>
        </w:rPr>
        <w:t>10.3</w:t>
        <w:tab/>
        <w:t>Amendment No. 2 to the Asset-based Revolving Credit Agreement, dated May 15, 2020, by and among SCA Acquisition, LLC, MN Airlines, LLC, the lenders party thereto and Barclays Bank PLC (incorporated by reference to Exhibit 10.3 to Sun Country Airlines Holdings, Inc.’s Registration Statement on Form S-1 (File No. 333-252858))</w:t>
      </w:r>
    </w:p>
    <w:p>
      <w:pPr>
        <w:spacing w:after="0" w:line="26" w:lineRule="exact"/>
        <w:rPr>
          <w:sz w:val="20"/>
          <w:szCs w:val="20"/>
          <w:color w:val="auto"/>
        </w:rPr>
      </w:pPr>
    </w:p>
    <w:p>
      <w:pPr>
        <w:ind w:left="1920" w:right="1279" w:hanging="431"/>
        <w:spacing w:after="0" w:line="281" w:lineRule="auto"/>
        <w:tabs>
          <w:tab w:leader="none" w:pos="190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4"/>
          <w:szCs w:val="14"/>
          <w:color w:val="auto"/>
        </w:rPr>
        <w:t>Amendment No. 3 to the Asset-based Revolving Credit Agreement, dated September 14, 2020, by and among SCA Acquisition, LLC, MN Airlines, LLC, the lenders party thereto and Barclays Bank PLC (incorporated by reference to Exhibit 10.4 to Sun Country Airlines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71" w:name="page272"/>
    <w:bookmarkEnd w:id="271"/>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ind w:left="46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20" w:type="dxa"/>
            <w:vAlign w:val="bottom"/>
          </w:tcPr>
          <w:p>
            <w:pPr>
              <w:ind w:left="1600"/>
              <w:spacing w:after="0"/>
              <w:rPr>
                <w:sz w:val="20"/>
                <w:szCs w:val="20"/>
                <w:color w:val="auto"/>
              </w:rPr>
            </w:pPr>
            <w:r>
              <w:rPr>
                <w:rFonts w:ascii="Arial" w:cs="Arial" w:eastAsia="Arial" w:hAnsi="Arial"/>
                <w:sz w:val="15"/>
                <w:szCs w:val="15"/>
                <w:b w:val="1"/>
                <w:bCs w:val="1"/>
                <w:color w:val="auto"/>
              </w:rPr>
              <w:t>Pursuant to 17 C.F.R. Section 200.83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Exhibit</w:t>
            </w:r>
          </w:p>
        </w:tc>
        <w:tc>
          <w:tcPr>
            <w:tcW w:w="6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2"/>
              </w:rPr>
              <w:t>Number</w:t>
            </w:r>
          </w:p>
        </w:tc>
        <w:tc>
          <w:tcPr>
            <w:tcW w:w="6020" w:type="dxa"/>
            <w:vAlign w:val="bottom"/>
          </w:tcPr>
          <w:p>
            <w:pPr>
              <w:ind w:left="254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10.5</w:t>
            </w:r>
          </w:p>
        </w:tc>
        <w:tc>
          <w:tcPr>
            <w:tcW w:w="6020" w:type="dxa"/>
            <w:vAlign w:val="bottom"/>
          </w:tcPr>
          <w:p>
            <w:pPr>
              <w:spacing w:after="0"/>
              <w:rPr>
                <w:sz w:val="20"/>
                <w:szCs w:val="20"/>
                <w:color w:val="auto"/>
              </w:rPr>
            </w:pPr>
            <w:r>
              <w:rPr>
                <w:rFonts w:ascii="Arial" w:cs="Arial" w:eastAsia="Arial" w:hAnsi="Arial"/>
                <w:sz w:val="15"/>
                <w:szCs w:val="15"/>
                <w:color w:val="auto"/>
                <w:w w:val="97"/>
              </w:rPr>
              <w:t>Loan and Guarantee Agreement, dated as of October 26, 2020, among Sun Country, Inc., as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Borrower, the Guarantors party thereto from time to time, the United States Department of the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9"/>
              </w:rPr>
              <w:t>Treasury, and The Bank of New York Mellon, as Administrative Agent and Collateral Agent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(incorporated by reference to Exhibit 10.5 to Sun Country Airlines Holdings, Inc.’s Registration</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10.6</w:t>
            </w:r>
          </w:p>
        </w:tc>
        <w:tc>
          <w:tcPr>
            <w:tcW w:w="6020" w:type="dxa"/>
            <w:vAlign w:val="bottom"/>
          </w:tcPr>
          <w:p>
            <w:pPr>
              <w:spacing w:after="0"/>
              <w:rPr>
                <w:sz w:val="20"/>
                <w:szCs w:val="20"/>
                <w:color w:val="auto"/>
              </w:rPr>
            </w:pPr>
            <w:r>
              <w:rPr>
                <w:rFonts w:ascii="Arial" w:cs="Arial" w:eastAsia="Arial" w:hAnsi="Arial"/>
                <w:sz w:val="15"/>
                <w:szCs w:val="15"/>
                <w:color w:val="auto"/>
                <w:w w:val="96"/>
              </w:rPr>
              <w:t>Pledge and Security Agreement, dated as of October 26, 2020, between each of the Grantors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5"/>
              </w:rPr>
              <w:t>party thereto and The Bank of New York Mellon, as Collateral Agent (incorporated by reference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9"/>
              </w:rPr>
              <w:t>to Exhibit 10.6 to Sun Country Airlines Holdings, Inc.’s Registration Statement on Form S-1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10.7</w:t>
            </w:r>
          </w:p>
        </w:tc>
        <w:tc>
          <w:tcPr>
            <w:tcW w:w="6020" w:type="dxa"/>
            <w:vAlign w:val="bottom"/>
          </w:tcPr>
          <w:p>
            <w:pPr>
              <w:spacing w:after="0"/>
              <w:rPr>
                <w:sz w:val="20"/>
                <w:szCs w:val="20"/>
                <w:color w:val="auto"/>
              </w:rPr>
            </w:pPr>
            <w:r>
              <w:rPr>
                <w:rFonts w:ascii="Arial" w:cs="Arial" w:eastAsia="Arial" w:hAnsi="Arial"/>
                <w:sz w:val="15"/>
                <w:szCs w:val="15"/>
                <w:color w:val="auto"/>
                <w:w w:val="95"/>
              </w:rPr>
              <w:t>Payroll Support Program Agreement, dated as of April 16, 2020, by and between Sun Country,</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Inc. and the Department of the Treasury (incorporated by reference to Exhibit 10.7 to Sun</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8"/>
              </w:rPr>
              <w:t>Country Airlines Holdings, Inc.’s Registration Statement on Form S-1 (File 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10.8</w:t>
            </w:r>
          </w:p>
        </w:tc>
        <w:tc>
          <w:tcPr>
            <w:tcW w:w="6020" w:type="dxa"/>
            <w:vAlign w:val="bottom"/>
          </w:tcPr>
          <w:p>
            <w:pPr>
              <w:spacing w:after="0"/>
              <w:rPr>
                <w:sz w:val="20"/>
                <w:szCs w:val="20"/>
                <w:color w:val="auto"/>
              </w:rPr>
            </w:pPr>
            <w:r>
              <w:rPr>
                <w:rFonts w:ascii="Arial" w:cs="Arial" w:eastAsia="Arial" w:hAnsi="Arial"/>
                <w:sz w:val="15"/>
                <w:szCs w:val="15"/>
                <w:color w:val="auto"/>
                <w:w w:val="95"/>
              </w:rPr>
              <w:t>Payroll Support Program Extension Agreement, dated as of January 29, 2021, by and between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Sun Country, Inc. and the Department of the Treasury (incorporated by reference to</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Exhibit 10.8 to Sun Country Airlines Holdings, Inc.’s Registration Statement on Form S-1 (File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10.9</w:t>
            </w:r>
          </w:p>
        </w:tc>
        <w:tc>
          <w:tcPr>
            <w:tcW w:w="6020" w:type="dxa"/>
            <w:vAlign w:val="bottom"/>
          </w:tcPr>
          <w:p>
            <w:pPr>
              <w:spacing w:after="0"/>
              <w:rPr>
                <w:sz w:val="20"/>
                <w:szCs w:val="20"/>
                <w:color w:val="auto"/>
              </w:rPr>
            </w:pPr>
            <w:r>
              <w:rPr>
                <w:rFonts w:ascii="Arial" w:cs="Arial" w:eastAsia="Arial" w:hAnsi="Arial"/>
                <w:sz w:val="15"/>
                <w:szCs w:val="15"/>
                <w:color w:val="auto"/>
                <w:w w:val="93"/>
              </w:rPr>
              <w:t>Amended and Restated Airline Operating Agreement and Terminal Building Lease, Minneapolis-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St. Paul International Airport, between Metropolitan Airports Commission and MN Airlines,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LLC d/b/a Sun Country Airlines, effective January 1, 2019 (incorporated by reference to</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Exhibit 10.9 to Sun Country Airlines Holdings, Inc.’s Registration Statement on Form S-1 (File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10.10</w:t>
            </w:r>
            <w:r>
              <w:rPr>
                <w:rFonts w:ascii="Arial" w:cs="Arial" w:eastAsia="Arial" w:hAnsi="Arial"/>
                <w:sz w:val="21"/>
                <w:szCs w:val="21"/>
                <w:color w:val="auto"/>
                <w:vertAlign w:val="superscript"/>
              </w:rPr>
              <w:t>#</w:t>
            </w:r>
          </w:p>
        </w:tc>
        <w:tc>
          <w:tcPr>
            <w:tcW w:w="602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Air Transportation Services Agreement, dated as of December 13, 2019, by and between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4"/>
              </w:rPr>
              <w:t>Sun Country, Inc. and Amazon.com Services, Inc. (incorporated by reference to Exhibit 10.10 to</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Sun Country Airlines Holdings, Inc.’s Registration Statement on Form S-1 (File No.</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10.11</w:t>
            </w:r>
            <w:r>
              <w:rPr>
                <w:rFonts w:ascii="Arial" w:cs="Arial" w:eastAsia="Arial" w:hAnsi="Arial"/>
                <w:sz w:val="21"/>
                <w:szCs w:val="21"/>
                <w:color w:val="auto"/>
                <w:vertAlign w:val="superscript"/>
              </w:rPr>
              <w:t>#</w:t>
            </w:r>
          </w:p>
        </w:tc>
        <w:tc>
          <w:tcPr>
            <w:tcW w:w="6020" w:type="dxa"/>
            <w:vAlign w:val="bottom"/>
          </w:tcPr>
          <w:p>
            <w:pPr>
              <w:spacing w:after="0" w:line="173" w:lineRule="exact"/>
              <w:rPr>
                <w:sz w:val="20"/>
                <w:szCs w:val="20"/>
                <w:color w:val="auto"/>
              </w:rPr>
            </w:pPr>
            <w:r>
              <w:rPr>
                <w:rFonts w:ascii="Arial" w:cs="Arial" w:eastAsia="Arial" w:hAnsi="Arial"/>
                <w:sz w:val="15"/>
                <w:szCs w:val="15"/>
                <w:color w:val="auto"/>
              </w:rPr>
              <w:t>333</w:t>
            </w:r>
            <w:r>
              <w:rPr>
                <w:rFonts w:ascii="MS PGothic" w:cs="MS PGothic" w:eastAsia="MS PGothic" w:hAnsi="MS PGothic"/>
                <w:sz w:val="15"/>
                <w:szCs w:val="15"/>
                <w:color w:val="auto"/>
              </w:rPr>
              <w:t>‑</w:t>
            </w:r>
            <w:r>
              <w:rPr>
                <w:rFonts w:ascii="Arial" w:cs="Arial" w:eastAsia="Arial" w:hAnsi="Arial"/>
                <w:sz w:val="15"/>
                <w:szCs w:val="15"/>
                <w:color w:val="auto"/>
              </w:rPr>
              <w:t>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4"/>
              </w:rPr>
              <w:t>Amendment No. 1 to Air Transportation Services Agreement, dated as of June 30, 2020, by and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between Sun Country, Inc. and Amazon.com Services, Inc. (incorporated by reference to</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5"/>
              </w:rPr>
              <w:t>Exhibit 10.11 to Sun Country Airlines Holdings, Inc.’s Registration Statement on Form S-1 (File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10.12</w:t>
            </w:r>
            <w:r>
              <w:rPr>
                <w:rFonts w:ascii="Arial" w:cs="Arial" w:eastAsia="Arial" w:hAnsi="Arial"/>
                <w:sz w:val="21"/>
                <w:szCs w:val="21"/>
                <w:color w:val="auto"/>
                <w:vertAlign w:val="superscript"/>
              </w:rPr>
              <w:t>#</w:t>
            </w:r>
          </w:p>
        </w:tc>
        <w:tc>
          <w:tcPr>
            <w:tcW w:w="6020" w:type="dxa"/>
            <w:vAlign w:val="bottom"/>
          </w:tcPr>
          <w:p>
            <w:pPr>
              <w:spacing w:after="0"/>
              <w:rPr>
                <w:sz w:val="20"/>
                <w:szCs w:val="20"/>
                <w:color w:val="auto"/>
              </w:rPr>
            </w:pPr>
            <w:r>
              <w:rPr>
                <w:rFonts w:ascii="Arial" w:cs="Arial" w:eastAsia="Arial" w:hAnsi="Arial"/>
                <w:sz w:val="15"/>
                <w:szCs w:val="15"/>
                <w:color w:val="auto"/>
              </w:rPr>
              <w:t>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Warrant, dated as of December 13, 2019, issued by SCA Acquisition Holdings, LLC</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4"/>
              </w:rPr>
              <w:t>to Amazon.com NV Investment Holdings LLC (incorporated by reference to Exhibit 10.12 to Sun</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line="173" w:lineRule="exact"/>
              <w:rPr>
                <w:sz w:val="20"/>
                <w:szCs w:val="20"/>
                <w:color w:val="auto"/>
              </w:rPr>
            </w:pPr>
            <w:r>
              <w:rPr>
                <w:rFonts w:ascii="Arial" w:cs="Arial" w:eastAsia="Arial" w:hAnsi="Arial"/>
                <w:sz w:val="15"/>
                <w:szCs w:val="15"/>
                <w:color w:val="auto"/>
                <w:w w:val="98"/>
              </w:rPr>
              <w:t>Country Airlines Holdings, Inc.’s Registration Statement on Form S-1 (File No. 333</w:t>
            </w:r>
            <w:r>
              <w:rPr>
                <w:rFonts w:ascii="MS PGothic" w:cs="MS PGothic" w:eastAsia="MS PGothic" w:hAnsi="MS PGothic"/>
                <w:sz w:val="15"/>
                <w:szCs w:val="15"/>
                <w:color w:val="auto"/>
                <w:w w:val="98"/>
              </w:rPr>
              <w:t>‑</w:t>
            </w:r>
            <w:r>
              <w:rPr>
                <w:rFonts w:ascii="Arial" w:cs="Arial" w:eastAsia="Arial" w:hAnsi="Arial"/>
                <w:sz w:val="15"/>
                <w:szCs w:val="15"/>
                <w:color w:val="auto"/>
                <w:w w:val="98"/>
              </w:rPr>
              <w:t>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10.13</w:t>
            </w:r>
          </w:p>
        </w:tc>
        <w:tc>
          <w:tcPr>
            <w:tcW w:w="6020" w:type="dxa"/>
            <w:vAlign w:val="bottom"/>
          </w:tcPr>
          <w:p>
            <w:pPr>
              <w:spacing w:after="0"/>
              <w:rPr>
                <w:sz w:val="20"/>
                <w:szCs w:val="20"/>
                <w:color w:val="auto"/>
              </w:rPr>
            </w:pPr>
            <w:r>
              <w:rPr>
                <w:rFonts w:ascii="Arial" w:cs="Arial" w:eastAsia="Arial" w:hAnsi="Arial"/>
                <w:sz w:val="15"/>
                <w:szCs w:val="15"/>
                <w:color w:val="auto"/>
                <w:w w:val="97"/>
              </w:rPr>
              <w:t>Headquarters Facility Lease Agreement, dated as of February 19, 2019, by and between the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Metropolitan Airports Commission and MN Airlines, LLC dba Sun Country Airlines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5"/>
              </w:rPr>
              <w:t>(incorporated by reference to Exhibit 10.13 to Sun Country Airlines Holdings, Inc.’s Registration</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Statement on Form S-1 (File 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10.14</w:t>
            </w:r>
          </w:p>
        </w:tc>
        <w:tc>
          <w:tcPr>
            <w:tcW w:w="6020" w:type="dxa"/>
            <w:vAlign w:val="bottom"/>
          </w:tcPr>
          <w:p>
            <w:pPr>
              <w:spacing w:after="0"/>
              <w:rPr>
                <w:sz w:val="20"/>
                <w:szCs w:val="20"/>
                <w:color w:val="auto"/>
              </w:rPr>
            </w:pPr>
            <w:r>
              <w:rPr>
                <w:rFonts w:ascii="Arial" w:cs="Arial" w:eastAsia="Arial" w:hAnsi="Arial"/>
                <w:sz w:val="15"/>
                <w:szCs w:val="15"/>
                <w:color w:val="auto"/>
                <w:w w:val="93"/>
              </w:rPr>
              <w:t>Amended and Restated Co-Brand Marketing Agreement, dated as of October 17, 2018, between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5"/>
              </w:rPr>
              <w:t>First National Bank of Omaha and MN Airlines, LLC dba Sun Country Airlines (incorporated by</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8"/>
              </w:rPr>
              <w:t>reference to Exhibit 10.14 to Sun Country Airlines Holdings, Inc.’s Registration Statement on</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Form S-1 (File 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10.15</w:t>
            </w:r>
          </w:p>
        </w:tc>
        <w:tc>
          <w:tcPr>
            <w:tcW w:w="6020" w:type="dxa"/>
            <w:vAlign w:val="bottom"/>
          </w:tcPr>
          <w:p>
            <w:pPr>
              <w:spacing w:after="0"/>
              <w:rPr>
                <w:sz w:val="20"/>
                <w:szCs w:val="20"/>
                <w:color w:val="auto"/>
              </w:rPr>
            </w:pPr>
            <w:r>
              <w:rPr>
                <w:rFonts w:ascii="Arial" w:cs="Arial" w:eastAsia="Arial" w:hAnsi="Arial"/>
                <w:sz w:val="15"/>
                <w:szCs w:val="15"/>
                <w:color w:val="auto"/>
              </w:rPr>
              <w:t>Amendment No. 1 to Amended and Restated Co-Brand Marketing Agreement, dated as of</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7"/>
              </w:rPr>
              <w:t>November 1, 2018, by and between First National Bank of Omaha and MN Airlines, LLC dba</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Sun Country Airlines (incorporated by reference to Exhibit 10.15 to Sun Country Airlines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10.16</w:t>
            </w:r>
          </w:p>
        </w:tc>
        <w:tc>
          <w:tcPr>
            <w:tcW w:w="6020" w:type="dxa"/>
            <w:vAlign w:val="bottom"/>
          </w:tcPr>
          <w:p>
            <w:pPr>
              <w:spacing w:after="0"/>
              <w:rPr>
                <w:sz w:val="20"/>
                <w:szCs w:val="20"/>
                <w:color w:val="auto"/>
              </w:rPr>
            </w:pPr>
            <w:r>
              <w:rPr>
                <w:rFonts w:ascii="Arial" w:cs="Arial" w:eastAsia="Arial" w:hAnsi="Arial"/>
                <w:sz w:val="15"/>
                <w:szCs w:val="15"/>
                <w:color w:val="auto"/>
                <w:w w:val="93"/>
              </w:rPr>
              <w:t>Inventory Support and Services Agreement, dated as of October 27, 2003, by and between Delta</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tcPr>
          <w:p>
            <w:pPr>
              <w:spacing w:after="0"/>
              <w:rPr>
                <w:sz w:val="20"/>
                <w:szCs w:val="20"/>
                <w:color w:val="auto"/>
              </w:rPr>
            </w:pPr>
            <w:r>
              <w:rPr>
                <w:rFonts w:ascii="Arial" w:cs="Arial" w:eastAsia="Arial" w:hAnsi="Arial"/>
                <w:sz w:val="15"/>
                <w:szCs w:val="15"/>
                <w:color w:val="auto"/>
                <w:w w:val="96"/>
              </w:rPr>
              <w:t>Airlines, Inc. and MN Airlines, LLC (incorporated by reference to Exhibit 10.16 to Sun Country</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Arial" w:cs="Arial" w:eastAsia="Arial" w:hAnsi="Arial"/>
                <w:sz w:val="15"/>
                <w:szCs w:val="15"/>
                <w:color w:val="auto"/>
              </w:rPr>
              <w:t>Airlines Holdings, Inc.’s Registration Statement on Form S-1 (File No. 333-252858))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20" w:type="dxa"/>
            <w:vAlign w:val="bottom"/>
          </w:tcPr>
          <w:p>
            <w:pPr>
              <w:ind w:left="2520"/>
              <w:spacing w:after="0"/>
              <w:rPr>
                <w:sz w:val="20"/>
                <w:szCs w:val="20"/>
                <w:color w:val="auto"/>
              </w:rPr>
            </w:pPr>
            <w:r>
              <w:rPr>
                <w:rFonts w:ascii="Arial" w:cs="Arial" w:eastAsia="Arial" w:hAnsi="Arial"/>
                <w:sz w:val="15"/>
                <w:szCs w:val="15"/>
                <w:color w:val="auto"/>
              </w:rPr>
              <w:t>II-10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2" w:name="page273"/>
    <w:bookmarkEnd w:id="272"/>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ind w:left="36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tcPr>
          <w:p>
            <w:pPr>
              <w:ind w:left="1500"/>
              <w:spacing w:after="0"/>
              <w:rPr>
                <w:sz w:val="20"/>
                <w:szCs w:val="20"/>
                <w:color w:val="auto"/>
              </w:rPr>
            </w:pPr>
            <w:r>
              <w:rPr>
                <w:rFonts w:ascii="Arial" w:cs="Arial" w:eastAsia="Arial" w:hAnsi="Arial"/>
                <w:sz w:val="15"/>
                <w:szCs w:val="15"/>
                <w:b w:val="1"/>
                <w:bCs w:val="1"/>
                <w:color w:val="auto"/>
              </w:rPr>
              <w:t>Pursuant to 17 C.F.R. Section 200.83</w:t>
            </w:r>
          </w:p>
        </w:tc>
        <w:tc>
          <w:tcPr>
            <w:tcW w:w="1020" w:type="dxa"/>
            <w:vAlign w:val="bottom"/>
          </w:tcPr>
          <w:p>
            <w:pPr>
              <w:spacing w:after="0"/>
              <w:rPr>
                <w:sz w:val="18"/>
                <w:szCs w:val="18"/>
                <w:color w:val="auto"/>
              </w:rPr>
            </w:pPr>
          </w:p>
        </w:tc>
      </w:tr>
      <w:tr>
        <w:trPr>
          <w:trHeight w:val="224"/>
        </w:trPr>
        <w:tc>
          <w:tcPr>
            <w:tcW w:w="102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Exhibit</w:t>
            </w:r>
          </w:p>
        </w:tc>
        <w:tc>
          <w:tcPr>
            <w:tcW w:w="59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50"/>
        </w:trPr>
        <w:tc>
          <w:tcPr>
            <w:tcW w:w="102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Number</w:t>
            </w:r>
          </w:p>
        </w:tc>
        <w:tc>
          <w:tcPr>
            <w:tcW w:w="5920" w:type="dxa"/>
            <w:vAlign w:val="bottom"/>
          </w:tcPr>
          <w:p>
            <w:pPr>
              <w:ind w:left="2500"/>
              <w:spacing w:after="0"/>
              <w:rPr>
                <w:sz w:val="20"/>
                <w:szCs w:val="20"/>
                <w:color w:val="auto"/>
              </w:rPr>
            </w:pPr>
            <w:r>
              <w:rPr>
                <w:rFonts w:ascii="Arial" w:cs="Arial" w:eastAsia="Arial" w:hAnsi="Arial"/>
                <w:sz w:val="12"/>
                <w:szCs w:val="12"/>
                <w:b w:val="1"/>
                <w:bCs w:val="1"/>
                <w:color w:val="auto"/>
              </w:rPr>
              <w:t>Exhibit Description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10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10.17</w:t>
            </w:r>
          </w:p>
        </w:tc>
        <w:tc>
          <w:tcPr>
            <w:tcW w:w="5920" w:type="dxa"/>
            <w:vAlign w:val="bottom"/>
          </w:tcPr>
          <w:p>
            <w:pPr>
              <w:spacing w:after="0"/>
              <w:rPr>
                <w:sz w:val="20"/>
                <w:szCs w:val="20"/>
                <w:color w:val="auto"/>
              </w:rPr>
            </w:pPr>
            <w:r>
              <w:rPr>
                <w:rFonts w:ascii="Arial" w:cs="Arial" w:eastAsia="Arial" w:hAnsi="Arial"/>
                <w:sz w:val="15"/>
                <w:szCs w:val="15"/>
                <w:color w:val="auto"/>
                <w:w w:val="98"/>
              </w:rPr>
              <w:t>Amendment No. 1 to Inventory Support and Services Agreement, dated as of November 8,</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5"/>
              </w:rPr>
              <w:t>2004, by 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10.17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10.18</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2 to Inventory Support and Services Agreement, dated as of March 18, 2005,</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10.18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10.19</w:t>
            </w:r>
          </w:p>
        </w:tc>
        <w:tc>
          <w:tcPr>
            <w:tcW w:w="5920" w:type="dxa"/>
            <w:vAlign w:val="bottom"/>
          </w:tcPr>
          <w:p>
            <w:pPr>
              <w:spacing w:after="0"/>
              <w:rPr>
                <w:sz w:val="20"/>
                <w:szCs w:val="20"/>
                <w:color w:val="auto"/>
              </w:rPr>
            </w:pPr>
            <w:r>
              <w:rPr>
                <w:rFonts w:ascii="Arial" w:cs="Arial" w:eastAsia="Arial" w:hAnsi="Arial"/>
                <w:sz w:val="15"/>
                <w:szCs w:val="15"/>
                <w:color w:val="auto"/>
                <w:w w:val="93"/>
              </w:rPr>
              <w:t>Amendment No. 3 to Inventory Support and Services Agreement, dated as of July 15, 2007, by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10.19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10.20</w:t>
            </w:r>
          </w:p>
        </w:tc>
        <w:tc>
          <w:tcPr>
            <w:tcW w:w="5920" w:type="dxa"/>
            <w:vAlign w:val="bottom"/>
          </w:tcPr>
          <w:p>
            <w:pPr>
              <w:spacing w:after="0"/>
              <w:rPr>
                <w:sz w:val="20"/>
                <w:szCs w:val="20"/>
                <w:color w:val="auto"/>
              </w:rPr>
            </w:pPr>
            <w:r>
              <w:rPr>
                <w:rFonts w:ascii="Arial" w:cs="Arial" w:eastAsia="Arial" w:hAnsi="Arial"/>
                <w:sz w:val="15"/>
                <w:szCs w:val="15"/>
                <w:color w:val="auto"/>
                <w:w w:val="93"/>
              </w:rPr>
              <w:t>Amendment No. 4 to Inventory Support and Services Agreement, dated as of May 23, 2008, by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10.20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198"/>
        </w:trPr>
        <w:tc>
          <w:tcPr>
            <w:tcW w:w="10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10.21</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5 to Inventory Support and Services Agreement, dated as of June 4, 2008, by</w:t>
            </w:r>
          </w:p>
        </w:tc>
        <w:tc>
          <w:tcPr>
            <w:tcW w:w="1020" w:type="dxa"/>
            <w:vAlign w:val="bottom"/>
          </w:tcPr>
          <w:p>
            <w:pPr>
              <w:spacing w:after="0"/>
              <w:rPr>
                <w:sz w:val="17"/>
                <w:szCs w:val="17"/>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10.21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10.22</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6 to Inventory Support and Services Agreement, dated as of April 1, 2009, by</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10.22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10.23</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7 to Inventory Support and Services Agreement, dated as of April 7, 2009, by</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10.23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10.24</w:t>
            </w:r>
          </w:p>
        </w:tc>
        <w:tc>
          <w:tcPr>
            <w:tcW w:w="5920" w:type="dxa"/>
            <w:vAlign w:val="bottom"/>
          </w:tcPr>
          <w:p>
            <w:pPr>
              <w:spacing w:after="0"/>
              <w:rPr>
                <w:sz w:val="20"/>
                <w:szCs w:val="20"/>
                <w:color w:val="auto"/>
              </w:rPr>
            </w:pPr>
            <w:r>
              <w:rPr>
                <w:rFonts w:ascii="Arial" w:cs="Arial" w:eastAsia="Arial" w:hAnsi="Arial"/>
                <w:sz w:val="15"/>
                <w:szCs w:val="15"/>
                <w:color w:val="auto"/>
                <w:w w:val="94"/>
              </w:rPr>
              <w:t>Amendment No. 8 to Inventory Support and Services Agreement, dated as of May 1, 2009, by</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10.24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10.25</w:t>
            </w:r>
          </w:p>
        </w:tc>
        <w:tc>
          <w:tcPr>
            <w:tcW w:w="5920" w:type="dxa"/>
            <w:vAlign w:val="bottom"/>
          </w:tcPr>
          <w:p>
            <w:pPr>
              <w:spacing w:after="0"/>
              <w:rPr>
                <w:sz w:val="20"/>
                <w:szCs w:val="20"/>
                <w:color w:val="auto"/>
              </w:rPr>
            </w:pPr>
            <w:r>
              <w:rPr>
                <w:rFonts w:ascii="Arial" w:cs="Arial" w:eastAsia="Arial" w:hAnsi="Arial"/>
                <w:sz w:val="15"/>
                <w:szCs w:val="15"/>
                <w:color w:val="auto"/>
                <w:w w:val="95"/>
              </w:rPr>
              <w:t>Amendment No. 9 to Inventory Support and Services Agreement, dated as of August 1, 2009,</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10.25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10.26</w:t>
            </w:r>
          </w:p>
        </w:tc>
        <w:tc>
          <w:tcPr>
            <w:tcW w:w="5920" w:type="dxa"/>
            <w:vAlign w:val="bottom"/>
          </w:tcPr>
          <w:p>
            <w:pPr>
              <w:spacing w:after="0"/>
              <w:rPr>
                <w:sz w:val="20"/>
                <w:szCs w:val="20"/>
                <w:color w:val="auto"/>
              </w:rPr>
            </w:pPr>
            <w:r>
              <w:rPr>
                <w:rFonts w:ascii="Arial" w:cs="Arial" w:eastAsia="Arial" w:hAnsi="Arial"/>
                <w:sz w:val="15"/>
                <w:szCs w:val="15"/>
                <w:color w:val="auto"/>
                <w:w w:val="92"/>
              </w:rPr>
              <w:t>Amendment No. 10 to Inventory Support and Services Agreement, dated as of January 1, 2010,</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10.26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10.27</w:t>
            </w:r>
          </w:p>
        </w:tc>
        <w:tc>
          <w:tcPr>
            <w:tcW w:w="5920" w:type="dxa"/>
            <w:vAlign w:val="bottom"/>
          </w:tcPr>
          <w:p>
            <w:pPr>
              <w:spacing w:after="0"/>
              <w:rPr>
                <w:sz w:val="20"/>
                <w:szCs w:val="20"/>
                <w:color w:val="auto"/>
              </w:rPr>
            </w:pPr>
            <w:r>
              <w:rPr>
                <w:rFonts w:ascii="Arial" w:cs="Arial" w:eastAsia="Arial" w:hAnsi="Arial"/>
                <w:sz w:val="15"/>
                <w:szCs w:val="15"/>
                <w:color w:val="auto"/>
                <w:w w:val="93"/>
              </w:rPr>
              <w:t>Amendment No. 11 to Inventory Support and Services Agreement, dated as of May 1, 2010, by</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10.27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10.28</w:t>
            </w:r>
          </w:p>
        </w:tc>
        <w:tc>
          <w:tcPr>
            <w:tcW w:w="5920" w:type="dxa"/>
            <w:vAlign w:val="bottom"/>
          </w:tcPr>
          <w:p>
            <w:pPr>
              <w:spacing w:after="0"/>
              <w:rPr>
                <w:sz w:val="20"/>
                <w:szCs w:val="20"/>
                <w:color w:val="auto"/>
              </w:rPr>
            </w:pPr>
            <w:r>
              <w:rPr>
                <w:rFonts w:ascii="Arial" w:cs="Arial" w:eastAsia="Arial" w:hAnsi="Arial"/>
                <w:sz w:val="15"/>
                <w:szCs w:val="15"/>
                <w:color w:val="auto"/>
                <w:w w:val="96"/>
              </w:rPr>
              <w:t>Amendment No. 13 to Inventory Support and Services Agreement, dated as of November 1,</w:t>
            </w:r>
          </w:p>
        </w:tc>
        <w:tc>
          <w:tcPr>
            <w:tcW w:w="1020" w:type="dxa"/>
            <w:vAlign w:val="bottom"/>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5"/>
              </w:rPr>
              <w:t>2011, by and between Delta Airlines, Inc. and MN Airlines, LLC (incorporated by reference to</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10.28 to Sun Country Airlines Holdings, Inc.’s Registration Statement on Form S-1</w:t>
            </w:r>
          </w:p>
        </w:tc>
        <w:tc>
          <w:tcPr>
            <w:tcW w:w="1020" w:type="dxa"/>
            <w:vAlign w:val="bottom"/>
          </w:tcPr>
          <w:p>
            <w:pPr>
              <w:spacing w:after="0"/>
              <w:rPr>
                <w:sz w:val="15"/>
                <w:szCs w:val="15"/>
                <w:color w:val="auto"/>
              </w:rPr>
            </w:pPr>
          </w:p>
        </w:tc>
      </w:tr>
      <w:tr>
        <w:trPr>
          <w:trHeight w:val="186"/>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1020" w:type="dxa"/>
            <w:vAlign w:val="bottom"/>
          </w:tcPr>
          <w:p>
            <w:pPr>
              <w:spacing w:after="0"/>
              <w:rPr>
                <w:sz w:val="16"/>
                <w:szCs w:val="16"/>
                <w:color w:val="auto"/>
              </w:rPr>
            </w:pPr>
          </w:p>
        </w:tc>
      </w:tr>
      <w:tr>
        <w:trPr>
          <w:trHeight w:val="231"/>
        </w:trPr>
        <w:tc>
          <w:tcPr>
            <w:tcW w:w="10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10.29</w:t>
            </w:r>
          </w:p>
        </w:tc>
        <w:tc>
          <w:tcPr>
            <w:tcW w:w="5920" w:type="dxa"/>
            <w:vAlign w:val="bottom"/>
          </w:tcPr>
          <w:p>
            <w:pPr>
              <w:spacing w:after="0"/>
              <w:rPr>
                <w:sz w:val="20"/>
                <w:szCs w:val="20"/>
                <w:color w:val="auto"/>
              </w:rPr>
            </w:pPr>
            <w:r>
              <w:rPr>
                <w:rFonts w:ascii="Arial" w:cs="Arial" w:eastAsia="Arial" w:hAnsi="Arial"/>
                <w:sz w:val="15"/>
                <w:szCs w:val="15"/>
                <w:color w:val="auto"/>
                <w:w w:val="95"/>
              </w:rPr>
              <w:t>Amendment No. 14 to Inventory Support and Services Agreement, dated as of May 28, 2013,</w:t>
            </w:r>
          </w:p>
        </w:tc>
        <w:tc>
          <w:tcPr>
            <w:tcW w:w="1020" w:type="dxa"/>
            <w:vAlign w:val="bottom"/>
          </w:tcPr>
          <w:p>
            <w:pPr>
              <w:spacing w:after="0"/>
              <w:rPr>
                <w:sz w:val="20"/>
                <w:szCs w:val="20"/>
                <w:color w:val="auto"/>
              </w:rPr>
            </w:pPr>
          </w:p>
        </w:tc>
      </w:tr>
      <w:tr>
        <w:trPr>
          <w:trHeight w:val="494"/>
        </w:trPr>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ind w:left="2420"/>
              <w:spacing w:after="0"/>
              <w:rPr>
                <w:sz w:val="20"/>
                <w:szCs w:val="20"/>
                <w:color w:val="auto"/>
              </w:rPr>
            </w:pPr>
            <w:r>
              <w:rPr>
                <w:rFonts w:ascii="Arial" w:cs="Arial" w:eastAsia="Arial" w:hAnsi="Arial"/>
                <w:sz w:val="15"/>
                <w:szCs w:val="15"/>
                <w:color w:val="auto"/>
              </w:rPr>
              <w:t>II-11</w:t>
            </w:r>
          </w:p>
        </w:tc>
        <w:tc>
          <w:tcPr>
            <w:tcW w:w="1020" w:type="dxa"/>
            <w:vAlign w:val="bottom"/>
          </w:tcPr>
          <w:p>
            <w:pPr>
              <w:spacing w:after="0"/>
              <w:rPr>
                <w:sz w:val="24"/>
                <w:szCs w:val="24"/>
                <w:color w:val="auto"/>
              </w:rPr>
            </w:pPr>
          </w:p>
        </w:tc>
      </w:tr>
      <w:tr>
        <w:trPr>
          <w:trHeight w:val="332"/>
        </w:trPr>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3" w:name="page274"/>
    <w:bookmarkEnd w:id="273"/>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jc w:val="center"/>
              <w:ind w:right="689"/>
              <w:spacing w:after="0"/>
              <w:rPr>
                <w:sz w:val="20"/>
                <w:szCs w:val="20"/>
                <w:color w:val="auto"/>
              </w:rPr>
            </w:pPr>
            <w:r>
              <w:rPr>
                <w:rFonts w:ascii="Arial" w:cs="Arial" w:eastAsia="Arial" w:hAnsi="Arial"/>
                <w:sz w:val="15"/>
                <w:szCs w:val="15"/>
                <w:b w:val="1"/>
                <w:bCs w:val="1"/>
                <w:color w:val="auto"/>
                <w:w w:val="85"/>
              </w:rPr>
              <w:t>Confidential Treatment Requested by Sun Country Airlines Holdings, Inc.</w:t>
            </w:r>
          </w:p>
        </w:tc>
      </w:tr>
      <w:tr>
        <w:trPr>
          <w:trHeight w:val="209"/>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tcPr>
          <w:p>
            <w:pPr>
              <w:jc w:val="center"/>
              <w:ind w:right="669"/>
              <w:spacing w:after="0"/>
              <w:rPr>
                <w:sz w:val="20"/>
                <w:szCs w:val="20"/>
                <w:color w:val="auto"/>
              </w:rPr>
            </w:pPr>
            <w:r>
              <w:rPr>
                <w:rFonts w:ascii="Arial" w:cs="Arial" w:eastAsia="Arial" w:hAnsi="Arial"/>
                <w:sz w:val="15"/>
                <w:szCs w:val="15"/>
                <w:b w:val="1"/>
                <w:bCs w:val="1"/>
                <w:color w:val="auto"/>
                <w:w w:val="83"/>
              </w:rPr>
              <w:t>Pursuant to 17 C.F.R. Section 200.83</w:t>
            </w:r>
          </w:p>
        </w:tc>
      </w:tr>
      <w:tr>
        <w:trPr>
          <w:trHeight w:val="224"/>
        </w:trPr>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Exhibit</w:t>
            </w:r>
          </w:p>
        </w:tc>
        <w:tc>
          <w:tcPr>
            <w:tcW w:w="5920" w:type="dxa"/>
            <w:vAlign w:val="bottom"/>
          </w:tcPr>
          <w:p>
            <w:pPr>
              <w:spacing w:after="0"/>
              <w:rPr>
                <w:sz w:val="19"/>
                <w:szCs w:val="19"/>
                <w:color w:val="auto"/>
              </w:rPr>
            </w:pPr>
          </w:p>
        </w:tc>
      </w:tr>
      <w:tr>
        <w:trPr>
          <w:trHeight w:val="150"/>
        </w:trPr>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Number</w:t>
            </w:r>
          </w:p>
        </w:tc>
        <w:tc>
          <w:tcPr>
            <w:tcW w:w="5920" w:type="dxa"/>
            <w:vAlign w:val="bottom"/>
          </w:tcPr>
          <w:p>
            <w:pPr>
              <w:ind w:left="2500"/>
              <w:spacing w:after="0"/>
              <w:rPr>
                <w:sz w:val="20"/>
                <w:szCs w:val="20"/>
                <w:color w:val="auto"/>
              </w:rPr>
            </w:pPr>
            <w:r>
              <w:rPr>
                <w:rFonts w:ascii="Arial" w:cs="Arial" w:eastAsia="Arial" w:hAnsi="Arial"/>
                <w:sz w:val="12"/>
                <w:szCs w:val="12"/>
                <w:b w:val="1"/>
                <w:bCs w:val="1"/>
                <w:color w:val="auto"/>
              </w:rPr>
              <w:t>Exhibit Description</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r>
      <w:tr>
        <w:trPr>
          <w:trHeight w:val="178"/>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by and between Delta Airlines, Inc. and MN Airlines, LLC (incorporated by reference to</w:t>
            </w: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10.29 to Sun Country Airlines Holdings, Inc.’s Registration Statement on Form S-1</w:t>
            </w: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r>
    </w:tbl>
    <w:p>
      <w:pPr>
        <w:spacing w:after="0" w:line="22" w:lineRule="exact"/>
        <w:rPr>
          <w:sz w:val="20"/>
          <w:szCs w:val="20"/>
          <w:color w:val="auto"/>
        </w:rPr>
      </w:pPr>
    </w:p>
    <w:p>
      <w:pPr>
        <w:ind w:left="1920" w:right="1199" w:hanging="504"/>
        <w:spacing w:after="0" w:line="251" w:lineRule="auto"/>
        <w:tabs>
          <w:tab w:leader="none" w:pos="1900" w:val="left"/>
        </w:tabs>
        <w:rPr>
          <w:sz w:val="20"/>
          <w:szCs w:val="20"/>
          <w:color w:val="auto"/>
        </w:rPr>
      </w:pPr>
      <w:r>
        <w:rPr>
          <w:rFonts w:ascii="Arial" w:cs="Arial" w:eastAsia="Arial" w:hAnsi="Arial"/>
          <w:sz w:val="15"/>
          <w:szCs w:val="15"/>
          <w:color w:val="auto"/>
        </w:rPr>
        <w:t>10.30</w:t>
        <w:tab/>
        <w:t>Amendment No. 15 to Inventory Support and Services Agreement, dated as of July 23, 2014, by and between Delta Airlines, Inc. and MN Airlines, LLC (incorporated by reference to Exhibit 10.30 to Sun Country Airlines Holdings, Inc.’s Registration Statement on Form S-1 (File No. 333-252858))</w:t>
      </w:r>
    </w:p>
    <w:p>
      <w:pPr>
        <w:spacing w:after="0" w:line="15" w:lineRule="exact"/>
        <w:rPr>
          <w:sz w:val="20"/>
          <w:szCs w:val="20"/>
          <w:color w:val="auto"/>
        </w:rPr>
      </w:pPr>
    </w:p>
    <w:p>
      <w:pPr>
        <w:ind w:left="1920" w:right="1239" w:hanging="504"/>
        <w:spacing w:after="0" w:line="251" w:lineRule="auto"/>
        <w:tabs>
          <w:tab w:leader="none" w:pos="1900" w:val="left"/>
        </w:tabs>
        <w:rPr>
          <w:sz w:val="20"/>
          <w:szCs w:val="20"/>
          <w:color w:val="auto"/>
        </w:rPr>
      </w:pPr>
      <w:r>
        <w:rPr>
          <w:rFonts w:ascii="Arial" w:cs="Arial" w:eastAsia="Arial" w:hAnsi="Arial"/>
          <w:sz w:val="15"/>
          <w:szCs w:val="15"/>
          <w:color w:val="auto"/>
        </w:rPr>
        <w:t>10.31</w:t>
        <w:tab/>
        <w:t>Amendment No. 16 to Inventory Support and Services Agreement, dated as of March 20, 2015, by and between Delta Airlines, Inc. and MN Airlines, LLC (incorporated by reference to Exhibit 10.31 to Sun Country Airlines Holdings, Inc.’s Registration Statement on Form S-1 (File No. 333-252858))</w:t>
      </w:r>
    </w:p>
    <w:p>
      <w:pPr>
        <w:spacing w:after="0" w:line="15" w:lineRule="exact"/>
        <w:rPr>
          <w:sz w:val="20"/>
          <w:szCs w:val="20"/>
          <w:color w:val="auto"/>
        </w:rPr>
      </w:pPr>
    </w:p>
    <w:p>
      <w:pPr>
        <w:ind w:left="1920" w:right="1199" w:hanging="504"/>
        <w:spacing w:after="0" w:line="251" w:lineRule="auto"/>
        <w:tabs>
          <w:tab w:leader="none" w:pos="1900" w:val="left"/>
        </w:tabs>
        <w:rPr>
          <w:sz w:val="20"/>
          <w:szCs w:val="20"/>
          <w:color w:val="auto"/>
        </w:rPr>
      </w:pPr>
      <w:r>
        <w:rPr>
          <w:rFonts w:ascii="Arial" w:cs="Arial" w:eastAsia="Arial" w:hAnsi="Arial"/>
          <w:sz w:val="15"/>
          <w:szCs w:val="15"/>
          <w:color w:val="auto"/>
        </w:rPr>
        <w:t>10.32</w:t>
        <w:tab/>
        <w:t>Amendment No. 17 to Inventory Support and Services Agreement, dated as of April 1, 2018, by and between Delta Airlines, Inc. and MN Airlines, LLC (incorporated by reference to Exhibit 10.32 to Sun Country Airlines Holdings, Inc.’s Registration Statement on Form S-1 (File No. 333-252858))</w:t>
      </w:r>
    </w:p>
    <w:p>
      <w:pPr>
        <w:spacing w:after="0" w:line="15" w:lineRule="exact"/>
        <w:rPr>
          <w:sz w:val="20"/>
          <w:szCs w:val="20"/>
          <w:color w:val="auto"/>
        </w:rPr>
      </w:pPr>
    </w:p>
    <w:p>
      <w:pPr>
        <w:ind w:left="1920" w:right="1359" w:hanging="504"/>
        <w:spacing w:after="0" w:line="251" w:lineRule="auto"/>
        <w:tabs>
          <w:tab w:leader="none" w:pos="1900" w:val="left"/>
        </w:tabs>
        <w:rPr>
          <w:sz w:val="20"/>
          <w:szCs w:val="20"/>
          <w:color w:val="auto"/>
        </w:rPr>
      </w:pPr>
      <w:r>
        <w:rPr>
          <w:rFonts w:ascii="Arial" w:cs="Arial" w:eastAsia="Arial" w:hAnsi="Arial"/>
          <w:sz w:val="15"/>
          <w:szCs w:val="15"/>
          <w:color w:val="auto"/>
        </w:rPr>
        <w:t>10.33</w:t>
        <w:tab/>
        <w:t>Amendment No. 18 to Inventory Support and Services Agreement, dated as of May 15, 2019, by and between Delta Airlines, Inc. and MN Airlines, LLC (incorporated by reference to Exhibit 10.33 to Sun Country Airlines Holdings, Inc.’s Registration Statement on Form S-1 (File No. 333-252858))</w:t>
      </w:r>
    </w:p>
    <w:p>
      <w:pPr>
        <w:spacing w:after="0" w:line="26" w:lineRule="exact"/>
        <w:rPr>
          <w:sz w:val="20"/>
          <w:szCs w:val="20"/>
          <w:color w:val="auto"/>
        </w:rPr>
      </w:pPr>
    </w:p>
    <w:p>
      <w:pPr>
        <w:ind w:left="1920" w:right="1639" w:hanging="504"/>
        <w:spacing w:after="0" w:line="281" w:lineRule="auto"/>
        <w:tabs>
          <w:tab w:leader="none" w:pos="1900" w:val="left"/>
        </w:tabs>
        <w:rPr>
          <w:sz w:val="20"/>
          <w:szCs w:val="20"/>
          <w:color w:val="auto"/>
        </w:rPr>
      </w:pPr>
      <w:r>
        <w:rPr>
          <w:rFonts w:ascii="Arial" w:cs="Arial" w:eastAsia="Arial" w:hAnsi="Arial"/>
          <w:sz w:val="15"/>
          <w:szCs w:val="15"/>
          <w:color w:val="auto"/>
        </w:rPr>
        <w:t>10.34</w:t>
      </w:r>
      <w:r>
        <w:rPr>
          <w:sz w:val="20"/>
          <w:szCs w:val="20"/>
          <w:color w:val="auto"/>
        </w:rPr>
        <w:tab/>
      </w:r>
      <w:r>
        <w:rPr>
          <w:rFonts w:ascii="Arial" w:cs="Arial" w:eastAsia="Arial" w:hAnsi="Arial"/>
          <w:sz w:val="14"/>
          <w:szCs w:val="14"/>
          <w:color w:val="auto"/>
        </w:rPr>
        <w:t>2002 Master Agreement, dated as of May 1, 2019 between J. Aron &amp; Company LLC and MN Airlines, LLC (incorporated by reference to Exhibit 10.34 to Sun Country Airlines Holdings, Inc.’s Registration Statement on Form S-1 (File No. 333-252858))</w:t>
      </w:r>
    </w:p>
    <w:p>
      <w:pPr>
        <w:spacing w:after="0" w:line="6" w:lineRule="exact"/>
        <w:rPr>
          <w:sz w:val="20"/>
          <w:szCs w:val="20"/>
          <w:color w:val="auto"/>
        </w:rPr>
      </w:pPr>
    </w:p>
    <w:p>
      <w:pPr>
        <w:ind w:left="1920" w:right="1319" w:hanging="504"/>
        <w:spacing w:after="0" w:line="281" w:lineRule="auto"/>
        <w:tabs>
          <w:tab w:leader="none" w:pos="1900" w:val="left"/>
        </w:tabs>
        <w:rPr>
          <w:sz w:val="20"/>
          <w:szCs w:val="20"/>
          <w:color w:val="auto"/>
        </w:rPr>
      </w:pPr>
      <w:r>
        <w:rPr>
          <w:rFonts w:ascii="Arial" w:cs="Arial" w:eastAsia="Arial" w:hAnsi="Arial"/>
          <w:sz w:val="15"/>
          <w:szCs w:val="15"/>
          <w:color w:val="auto"/>
        </w:rPr>
        <w:t>10.35</w:t>
      </w:r>
      <w:r>
        <w:rPr>
          <w:sz w:val="20"/>
          <w:szCs w:val="20"/>
          <w:color w:val="auto"/>
        </w:rPr>
        <w:tab/>
      </w:r>
      <w:r>
        <w:rPr>
          <w:rFonts w:ascii="Arial" w:cs="Arial" w:eastAsia="Arial" w:hAnsi="Arial"/>
          <w:sz w:val="14"/>
          <w:szCs w:val="14"/>
          <w:color w:val="auto"/>
        </w:rPr>
        <w:t>2002 Master Agreement, dated as of April 12, 2018 between Morgan Stanley Capital Services LLC and MN Airlines, LLC (incorporated by reference to Exhibit 10.35 to Sun Country Airlines Holdings, Inc.’s Registration Statement on Form S-1 (File No. 333-252858))</w:t>
      </w:r>
    </w:p>
    <w:p>
      <w:pPr>
        <w:spacing w:after="0" w:line="6" w:lineRule="exact"/>
        <w:rPr>
          <w:sz w:val="20"/>
          <w:szCs w:val="20"/>
          <w:color w:val="auto"/>
        </w:rPr>
      </w:pPr>
    </w:p>
    <w:p>
      <w:pPr>
        <w:ind w:left="1920" w:right="1519" w:hanging="504"/>
        <w:spacing w:after="0" w:line="274" w:lineRule="auto"/>
        <w:tabs>
          <w:tab w:leader="none" w:pos="1900" w:val="left"/>
        </w:tabs>
        <w:rPr>
          <w:sz w:val="20"/>
          <w:szCs w:val="20"/>
          <w:color w:val="auto"/>
        </w:rPr>
      </w:pPr>
      <w:r>
        <w:rPr>
          <w:rFonts w:ascii="Arial" w:cs="Arial" w:eastAsia="Arial" w:hAnsi="Arial"/>
          <w:sz w:val="15"/>
          <w:szCs w:val="15"/>
          <w:color w:val="auto"/>
        </w:rPr>
        <w:t>10.36</w:t>
      </w:r>
      <w:r>
        <w:rPr>
          <w:sz w:val="20"/>
          <w:szCs w:val="20"/>
          <w:color w:val="auto"/>
        </w:rPr>
        <w:tab/>
      </w:r>
      <w:r>
        <w:rPr>
          <w:rFonts w:ascii="Arial" w:cs="Arial" w:eastAsia="Arial" w:hAnsi="Arial"/>
          <w:sz w:val="14"/>
          <w:szCs w:val="14"/>
          <w:color w:val="auto"/>
        </w:rPr>
        <w:t>Trust Agreement of SCA-1 Intermediate Aircraft Holding Trust, dated as of September 25, 2018, by and among SCA-1 Intermediate Charitable Trust and Wilmington Trust Company (incorporated by reference to Exhibit 10.36 to Sun Country Airlines Holdings, Inc.’s Registration Statement on Form S-1 (File No. 333-252858))</w:t>
      </w:r>
    </w:p>
    <w:p>
      <w:pPr>
        <w:spacing w:after="0" w:line="12" w:lineRule="exact"/>
        <w:rPr>
          <w:sz w:val="20"/>
          <w:szCs w:val="20"/>
          <w:color w:val="auto"/>
        </w:rPr>
      </w:pPr>
    </w:p>
    <w:p>
      <w:pPr>
        <w:ind w:left="1920" w:right="1319" w:hanging="504"/>
        <w:spacing w:after="0" w:line="251" w:lineRule="auto"/>
        <w:tabs>
          <w:tab w:leader="none" w:pos="1900" w:val="left"/>
        </w:tabs>
        <w:rPr>
          <w:sz w:val="20"/>
          <w:szCs w:val="20"/>
          <w:color w:val="auto"/>
        </w:rPr>
      </w:pPr>
      <w:r>
        <w:rPr>
          <w:rFonts w:ascii="Arial" w:cs="Arial" w:eastAsia="Arial" w:hAnsi="Arial"/>
          <w:sz w:val="15"/>
          <w:szCs w:val="15"/>
          <w:color w:val="auto"/>
        </w:rPr>
        <w:t>10.37</w:t>
        <w:tab/>
        <w:t>Third Amended and Restated Stockholders’ Agreement by and among Sun Country Airlines Holdings, Inc. and the stockholders party thereto (incorporated by reference to Exhibit 10.2 to Sun Country Airlines Holdings, Inc.’s Current Report on Form 8-K filed with the Securities and Exchange Commission on March 22, 2021)</w:t>
      </w:r>
    </w:p>
    <w:p>
      <w:pPr>
        <w:spacing w:after="0" w:line="26"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5"/>
          <w:szCs w:val="15"/>
          <w:color w:val="auto"/>
        </w:rPr>
        <w:t>10.38</w:t>
      </w:r>
      <w:r>
        <w:rPr>
          <w:sz w:val="20"/>
          <w:szCs w:val="20"/>
          <w:color w:val="auto"/>
        </w:rPr>
        <w:tab/>
      </w:r>
      <w:r>
        <w:rPr>
          <w:rFonts w:ascii="Arial" w:cs="Arial" w:eastAsia="Arial" w:hAnsi="Arial"/>
          <w:sz w:val="14"/>
          <w:szCs w:val="14"/>
          <w:color w:val="auto"/>
        </w:rPr>
        <w:t>Registration Rights Agreement by and between Sun Country Airlines Holdings, Inc. and the</w:t>
      </w: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Holders party thereto (incorporated by reference to Exhibit 10.1 to Sun Country Airlines</w:t>
            </w:r>
          </w:p>
        </w:tc>
      </w:tr>
      <w:tr>
        <w:trPr>
          <w:trHeight w:val="176"/>
        </w:trPr>
        <w:tc>
          <w:tcPr>
            <w:tcW w:w="1720" w:type="dxa"/>
            <w:vAlign w:val="bottom"/>
          </w:tcPr>
          <w:p>
            <w:pPr>
              <w:spacing w:after="0"/>
              <w:rPr>
                <w:sz w:val="15"/>
                <w:szCs w:val="15"/>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Holdings, Inc.’s Current Report on Form 8-K filed with the Securities and Exchange</w:t>
            </w:r>
          </w:p>
        </w:tc>
      </w:tr>
      <w:tr>
        <w:trPr>
          <w:trHeight w:val="186"/>
        </w:trPr>
        <w:tc>
          <w:tcPr>
            <w:tcW w:w="1720" w:type="dxa"/>
            <w:vAlign w:val="bottom"/>
          </w:tcPr>
          <w:p>
            <w:pPr>
              <w:spacing w:after="0"/>
              <w:rPr>
                <w:sz w:val="16"/>
                <w:szCs w:val="16"/>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Commission on March 22, 2021)</w:t>
            </w:r>
          </w:p>
        </w:tc>
      </w:tr>
      <w:tr>
        <w:trPr>
          <w:trHeight w:val="209"/>
        </w:trPr>
        <w:tc>
          <w:tcPr>
            <w:tcW w:w="1720" w:type="dxa"/>
            <w:vAlign w:val="bottom"/>
          </w:tcPr>
          <w:p>
            <w:pPr>
              <w:ind w:left="1280"/>
              <w:spacing w:after="0" w:line="209" w:lineRule="exact"/>
              <w:rPr>
                <w:sz w:val="20"/>
                <w:szCs w:val="20"/>
                <w:color w:val="auto"/>
              </w:rPr>
            </w:pPr>
            <w:r>
              <w:rPr>
                <w:rFonts w:ascii="Arial" w:cs="Arial" w:eastAsia="Arial" w:hAnsi="Arial"/>
                <w:sz w:val="15"/>
                <w:szCs w:val="15"/>
                <w:color w:val="auto"/>
                <w:w w:val="92"/>
              </w:rPr>
              <w:t>10.39</w:t>
            </w:r>
            <w:r>
              <w:rPr>
                <w:rFonts w:ascii="Arial" w:cs="Arial" w:eastAsia="Arial" w:hAnsi="Arial"/>
                <w:sz w:val="21"/>
                <w:szCs w:val="21"/>
                <w:color w:val="auto"/>
                <w:w w:val="92"/>
                <w:vertAlign w:val="superscript"/>
              </w:rPr>
              <w:t>†</w:t>
            </w:r>
          </w:p>
        </w:tc>
        <w:tc>
          <w:tcPr>
            <w:tcW w:w="7000" w:type="dxa"/>
            <w:vAlign w:val="bottom"/>
          </w:tcPr>
          <w:p>
            <w:pPr>
              <w:ind w:left="60"/>
              <w:spacing w:after="0"/>
              <w:rPr>
                <w:sz w:val="20"/>
                <w:szCs w:val="20"/>
                <w:color w:val="auto"/>
              </w:rPr>
            </w:pPr>
            <w:r>
              <w:rPr>
                <w:rFonts w:ascii="Arial" w:cs="Arial" w:eastAsia="Arial" w:hAnsi="Arial"/>
                <w:sz w:val="15"/>
                <w:szCs w:val="15"/>
                <w:color w:val="auto"/>
              </w:rPr>
              <w:t>Form of Indemnification Agreement by and between the Registrant and each of its directors and</w:t>
            </w:r>
          </w:p>
        </w:tc>
      </w:tr>
      <w:tr>
        <w:trPr>
          <w:trHeight w:val="176"/>
        </w:trPr>
        <w:tc>
          <w:tcPr>
            <w:tcW w:w="1720" w:type="dxa"/>
            <w:vAlign w:val="bottom"/>
          </w:tcPr>
          <w:p>
            <w:pPr>
              <w:spacing w:after="0"/>
              <w:rPr>
                <w:sz w:val="15"/>
                <w:szCs w:val="15"/>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executive officers (incorporated by reference to Exhibit 10.39 to Sun Country Airlines</w:t>
            </w:r>
          </w:p>
        </w:tc>
      </w:tr>
      <w:tr>
        <w:trPr>
          <w:trHeight w:val="186"/>
        </w:trPr>
        <w:tc>
          <w:tcPr>
            <w:tcW w:w="1720" w:type="dxa"/>
            <w:vAlign w:val="bottom"/>
          </w:tcPr>
          <w:p>
            <w:pPr>
              <w:spacing w:after="0"/>
              <w:rPr>
                <w:sz w:val="16"/>
                <w:szCs w:val="16"/>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Holdings, Inc.’s Registration Statement on Form S-1 (File No. 333-252858))</w:t>
            </w:r>
          </w:p>
        </w:tc>
      </w:tr>
      <w:tr>
        <w:trPr>
          <w:trHeight w:val="209"/>
        </w:trPr>
        <w:tc>
          <w:tcPr>
            <w:tcW w:w="1720" w:type="dxa"/>
            <w:vAlign w:val="bottom"/>
          </w:tcPr>
          <w:p>
            <w:pPr>
              <w:ind w:left="1280"/>
              <w:spacing w:after="0" w:line="209" w:lineRule="exact"/>
              <w:rPr>
                <w:sz w:val="20"/>
                <w:szCs w:val="20"/>
                <w:color w:val="auto"/>
              </w:rPr>
            </w:pPr>
            <w:r>
              <w:rPr>
                <w:rFonts w:ascii="Arial" w:cs="Arial" w:eastAsia="Arial" w:hAnsi="Arial"/>
                <w:sz w:val="15"/>
                <w:szCs w:val="15"/>
                <w:color w:val="auto"/>
                <w:w w:val="92"/>
              </w:rPr>
              <w:t>10.40</w:t>
            </w:r>
            <w:r>
              <w:rPr>
                <w:rFonts w:ascii="Arial" w:cs="Arial" w:eastAsia="Arial" w:hAnsi="Arial"/>
                <w:sz w:val="21"/>
                <w:szCs w:val="21"/>
                <w:color w:val="auto"/>
                <w:w w:val="92"/>
                <w:vertAlign w:val="superscript"/>
              </w:rPr>
              <w:t>†</w:t>
            </w:r>
          </w:p>
        </w:tc>
        <w:tc>
          <w:tcPr>
            <w:tcW w:w="7000" w:type="dxa"/>
            <w:vAlign w:val="bottom"/>
          </w:tcPr>
          <w:p>
            <w:pPr>
              <w:ind w:left="60"/>
              <w:spacing w:after="0"/>
              <w:rPr>
                <w:sz w:val="20"/>
                <w:szCs w:val="20"/>
                <w:color w:val="auto"/>
              </w:rPr>
            </w:pPr>
            <w:r>
              <w:rPr>
                <w:rFonts w:ascii="Arial" w:cs="Arial" w:eastAsia="Arial" w:hAnsi="Arial"/>
                <w:sz w:val="15"/>
                <w:szCs w:val="15"/>
                <w:color w:val="auto"/>
              </w:rPr>
              <w:t>SCA Acquisition Holdings, LLC Amended and Restated Equity Incentive Plan, dated as of</w:t>
            </w:r>
          </w:p>
        </w:tc>
      </w:tr>
      <w:tr>
        <w:trPr>
          <w:trHeight w:val="176"/>
        </w:trPr>
        <w:tc>
          <w:tcPr>
            <w:tcW w:w="1720" w:type="dxa"/>
            <w:vAlign w:val="bottom"/>
          </w:tcPr>
          <w:p>
            <w:pPr>
              <w:spacing w:after="0"/>
              <w:rPr>
                <w:sz w:val="15"/>
                <w:szCs w:val="15"/>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July 1, 2019 (incorporated by reference to Exhibit 10.40 to Sun Country Airlines Holdings,</w:t>
            </w:r>
          </w:p>
        </w:tc>
      </w:tr>
      <w:tr>
        <w:trPr>
          <w:trHeight w:val="186"/>
        </w:trPr>
        <w:tc>
          <w:tcPr>
            <w:tcW w:w="1720" w:type="dxa"/>
            <w:vAlign w:val="bottom"/>
          </w:tcPr>
          <w:p>
            <w:pPr>
              <w:spacing w:after="0"/>
              <w:rPr>
                <w:sz w:val="16"/>
                <w:szCs w:val="16"/>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Inc.’s Registration Statement on Form S-1 (File No. 333-252858))</w:t>
            </w:r>
          </w:p>
        </w:tc>
      </w:tr>
      <w:tr>
        <w:trPr>
          <w:trHeight w:val="209"/>
        </w:trPr>
        <w:tc>
          <w:tcPr>
            <w:tcW w:w="1720" w:type="dxa"/>
            <w:vAlign w:val="bottom"/>
          </w:tcPr>
          <w:p>
            <w:pPr>
              <w:ind w:left="1280"/>
              <w:spacing w:after="0" w:line="209" w:lineRule="exact"/>
              <w:rPr>
                <w:sz w:val="20"/>
                <w:szCs w:val="20"/>
                <w:color w:val="auto"/>
              </w:rPr>
            </w:pPr>
            <w:r>
              <w:rPr>
                <w:rFonts w:ascii="Arial" w:cs="Arial" w:eastAsia="Arial" w:hAnsi="Arial"/>
                <w:sz w:val="15"/>
                <w:szCs w:val="15"/>
                <w:color w:val="auto"/>
                <w:w w:val="92"/>
              </w:rPr>
              <w:t>10.41</w:t>
            </w:r>
            <w:r>
              <w:rPr>
                <w:rFonts w:ascii="Arial" w:cs="Arial" w:eastAsia="Arial" w:hAnsi="Arial"/>
                <w:sz w:val="21"/>
                <w:szCs w:val="21"/>
                <w:color w:val="auto"/>
                <w:w w:val="92"/>
                <w:vertAlign w:val="superscript"/>
              </w:rPr>
              <w:t>†</w:t>
            </w:r>
          </w:p>
        </w:tc>
        <w:tc>
          <w:tcPr>
            <w:tcW w:w="7000" w:type="dxa"/>
            <w:vAlign w:val="bottom"/>
          </w:tcPr>
          <w:p>
            <w:pPr>
              <w:ind w:left="60"/>
              <w:spacing w:after="0"/>
              <w:rPr>
                <w:sz w:val="20"/>
                <w:szCs w:val="20"/>
                <w:color w:val="auto"/>
              </w:rPr>
            </w:pPr>
            <w:r>
              <w:rPr>
                <w:rFonts w:ascii="Arial" w:cs="Arial" w:eastAsia="Arial" w:hAnsi="Arial"/>
                <w:sz w:val="15"/>
                <w:szCs w:val="15"/>
                <w:color w:val="auto"/>
              </w:rPr>
              <w:t>Sun Country Airlines Holdings, Inc. 2021 Omnibus Incentive Plan (incorporated by reference to</w:t>
            </w:r>
          </w:p>
        </w:tc>
      </w:tr>
      <w:tr>
        <w:trPr>
          <w:trHeight w:val="176"/>
        </w:trPr>
        <w:tc>
          <w:tcPr>
            <w:tcW w:w="1720" w:type="dxa"/>
            <w:vAlign w:val="bottom"/>
          </w:tcPr>
          <w:p>
            <w:pPr>
              <w:spacing w:after="0"/>
              <w:rPr>
                <w:sz w:val="15"/>
                <w:szCs w:val="15"/>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Exhibit 4.2 to Sun Country Airlines Holdings, Inc.’s Registration Statement on Form S-8 (File</w:t>
            </w:r>
          </w:p>
        </w:tc>
      </w:tr>
      <w:tr>
        <w:trPr>
          <w:trHeight w:val="186"/>
        </w:trPr>
        <w:tc>
          <w:tcPr>
            <w:tcW w:w="1720" w:type="dxa"/>
            <w:vAlign w:val="bottom"/>
          </w:tcPr>
          <w:p>
            <w:pPr>
              <w:spacing w:after="0"/>
              <w:rPr>
                <w:sz w:val="16"/>
                <w:szCs w:val="16"/>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No. 333-254371))</w:t>
            </w:r>
          </w:p>
        </w:tc>
      </w:tr>
      <w:tr>
        <w:trPr>
          <w:trHeight w:val="209"/>
        </w:trPr>
        <w:tc>
          <w:tcPr>
            <w:tcW w:w="1720" w:type="dxa"/>
            <w:vAlign w:val="bottom"/>
          </w:tcPr>
          <w:p>
            <w:pPr>
              <w:ind w:left="1280"/>
              <w:spacing w:after="0" w:line="209" w:lineRule="exact"/>
              <w:rPr>
                <w:sz w:val="20"/>
                <w:szCs w:val="20"/>
                <w:color w:val="auto"/>
              </w:rPr>
            </w:pPr>
            <w:r>
              <w:rPr>
                <w:rFonts w:ascii="Arial" w:cs="Arial" w:eastAsia="Arial" w:hAnsi="Arial"/>
                <w:sz w:val="15"/>
                <w:szCs w:val="15"/>
                <w:color w:val="auto"/>
                <w:w w:val="92"/>
              </w:rPr>
              <w:t>10.42</w:t>
            </w:r>
            <w:r>
              <w:rPr>
                <w:rFonts w:ascii="Arial" w:cs="Arial" w:eastAsia="Arial" w:hAnsi="Arial"/>
                <w:sz w:val="21"/>
                <w:szCs w:val="21"/>
                <w:color w:val="auto"/>
                <w:w w:val="92"/>
                <w:vertAlign w:val="superscript"/>
              </w:rPr>
              <w:t>†</w:t>
            </w:r>
          </w:p>
        </w:tc>
        <w:tc>
          <w:tcPr>
            <w:tcW w:w="7000" w:type="dxa"/>
            <w:vAlign w:val="bottom"/>
          </w:tcPr>
          <w:p>
            <w:pPr>
              <w:ind w:left="60"/>
              <w:spacing w:after="0"/>
              <w:rPr>
                <w:sz w:val="20"/>
                <w:szCs w:val="20"/>
                <w:color w:val="auto"/>
              </w:rPr>
            </w:pPr>
            <w:r>
              <w:rPr>
                <w:rFonts w:ascii="Arial" w:cs="Arial" w:eastAsia="Arial" w:hAnsi="Arial"/>
                <w:sz w:val="15"/>
                <w:szCs w:val="15"/>
                <w:color w:val="auto"/>
              </w:rPr>
              <w:t>Form of Option Award Agreement (incorporated by reference to Exhibit 10.42 to Sun Country</w:t>
            </w:r>
          </w:p>
        </w:tc>
      </w:tr>
      <w:tr>
        <w:trPr>
          <w:trHeight w:val="186"/>
        </w:trPr>
        <w:tc>
          <w:tcPr>
            <w:tcW w:w="1720" w:type="dxa"/>
            <w:vAlign w:val="bottom"/>
          </w:tcPr>
          <w:p>
            <w:pPr>
              <w:spacing w:after="0"/>
              <w:rPr>
                <w:sz w:val="16"/>
                <w:szCs w:val="16"/>
                <w:color w:val="auto"/>
              </w:rPr>
            </w:pPr>
          </w:p>
        </w:tc>
        <w:tc>
          <w:tcPr>
            <w:tcW w:w="7000" w:type="dxa"/>
            <w:vAlign w:val="bottom"/>
          </w:tcPr>
          <w:p>
            <w:pPr>
              <w:ind w:left="60"/>
              <w:spacing w:after="0"/>
              <w:rPr>
                <w:sz w:val="20"/>
                <w:szCs w:val="20"/>
                <w:color w:val="auto"/>
              </w:rPr>
            </w:pPr>
            <w:r>
              <w:rPr>
                <w:rFonts w:ascii="Arial" w:cs="Arial" w:eastAsia="Arial" w:hAnsi="Arial"/>
                <w:sz w:val="15"/>
                <w:szCs w:val="15"/>
                <w:color w:val="auto"/>
              </w:rPr>
              <w:t>Airlines Holdings, Inc.’s Registration Statement on Form S-1 (File No. 333-252858))</w:t>
            </w:r>
          </w:p>
        </w:tc>
      </w:tr>
      <w:tr>
        <w:trPr>
          <w:trHeight w:val="300"/>
        </w:trPr>
        <w:tc>
          <w:tcPr>
            <w:tcW w:w="1720" w:type="dxa"/>
            <w:vAlign w:val="bottom"/>
          </w:tcPr>
          <w:p>
            <w:pPr>
              <w:ind w:left="1280"/>
              <w:spacing w:after="0"/>
              <w:rPr>
                <w:sz w:val="20"/>
                <w:szCs w:val="20"/>
                <w:color w:val="auto"/>
              </w:rPr>
            </w:pPr>
            <w:r>
              <w:rPr>
                <w:rFonts w:ascii="Arial" w:cs="Arial" w:eastAsia="Arial" w:hAnsi="Arial"/>
                <w:sz w:val="15"/>
                <w:szCs w:val="15"/>
                <w:color w:val="auto"/>
                <w:w w:val="92"/>
              </w:rPr>
              <w:t>10.43</w:t>
            </w:r>
            <w:r>
              <w:rPr>
                <w:rFonts w:ascii="Arial" w:cs="Arial" w:eastAsia="Arial" w:hAnsi="Arial"/>
                <w:sz w:val="21"/>
                <w:szCs w:val="21"/>
                <w:color w:val="auto"/>
                <w:w w:val="92"/>
                <w:vertAlign w:val="superscript"/>
              </w:rPr>
              <w:t>†</w:t>
            </w:r>
          </w:p>
        </w:tc>
        <w:tc>
          <w:tcPr>
            <w:tcW w:w="7000" w:type="dxa"/>
            <w:vAlign w:val="bottom"/>
          </w:tcPr>
          <w:p>
            <w:pPr>
              <w:ind w:left="60"/>
              <w:spacing w:after="0"/>
              <w:rPr>
                <w:sz w:val="20"/>
                <w:szCs w:val="20"/>
                <w:color w:val="auto"/>
              </w:rPr>
            </w:pPr>
            <w:r>
              <w:rPr>
                <w:rFonts w:ascii="Arial" w:cs="Arial" w:eastAsia="Arial" w:hAnsi="Arial"/>
                <w:sz w:val="15"/>
                <w:szCs w:val="15"/>
                <w:color w:val="auto"/>
              </w:rPr>
              <w:t>Second Amended and Restated Employment Agreement, dated as of November 7, 2018, by</w:t>
            </w:r>
          </w:p>
        </w:tc>
      </w:tr>
      <w:tr>
        <w:trPr>
          <w:trHeight w:val="425"/>
        </w:trPr>
        <w:tc>
          <w:tcPr>
            <w:tcW w:w="1720" w:type="dxa"/>
            <w:vAlign w:val="bottom"/>
          </w:tcPr>
          <w:p>
            <w:pPr>
              <w:spacing w:after="0"/>
              <w:rPr>
                <w:sz w:val="24"/>
                <w:szCs w:val="24"/>
                <w:color w:val="auto"/>
              </w:rPr>
            </w:pPr>
          </w:p>
        </w:tc>
        <w:tc>
          <w:tcPr>
            <w:tcW w:w="7000" w:type="dxa"/>
            <w:vAlign w:val="bottom"/>
          </w:tcPr>
          <w:p>
            <w:pPr>
              <w:ind w:left="2480"/>
              <w:spacing w:after="0"/>
              <w:rPr>
                <w:sz w:val="20"/>
                <w:szCs w:val="20"/>
                <w:color w:val="auto"/>
              </w:rPr>
            </w:pPr>
            <w:r>
              <w:rPr>
                <w:rFonts w:ascii="Arial" w:cs="Arial" w:eastAsia="Arial" w:hAnsi="Arial"/>
                <w:sz w:val="15"/>
                <w:szCs w:val="15"/>
                <w:color w:val="auto"/>
              </w:rPr>
              <w:t>II-12</w:t>
            </w:r>
          </w:p>
        </w:tc>
      </w:tr>
      <w:tr>
        <w:trPr>
          <w:trHeight w:val="332"/>
        </w:trPr>
        <w:tc>
          <w:tcPr>
            <w:tcW w:w="172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4" w:name="page275"/>
    <w:bookmarkEnd w:id="274"/>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ind w:left="360"/>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tcPr>
          <w:p>
            <w:pPr>
              <w:ind w:left="1500"/>
              <w:spacing w:after="0"/>
              <w:rPr>
                <w:sz w:val="20"/>
                <w:szCs w:val="20"/>
                <w:color w:val="auto"/>
              </w:rPr>
            </w:pPr>
            <w:r>
              <w:rPr>
                <w:rFonts w:ascii="Arial" w:cs="Arial" w:eastAsia="Arial" w:hAnsi="Arial"/>
                <w:sz w:val="15"/>
                <w:szCs w:val="15"/>
                <w:b w:val="1"/>
                <w:bCs w:val="1"/>
                <w:color w:val="auto"/>
              </w:rPr>
              <w:t>Pursuant to 17 C.F.R. Section 200.83</w:t>
            </w:r>
          </w:p>
        </w:tc>
        <w:tc>
          <w:tcPr>
            <w:tcW w:w="0" w:type="dxa"/>
            <w:vAlign w:val="bottom"/>
          </w:tcPr>
          <w:p>
            <w:pPr>
              <w:spacing w:after="0"/>
              <w:rPr>
                <w:sz w:val="1"/>
                <w:szCs w:val="1"/>
                <w:color w:val="auto"/>
              </w:rPr>
            </w:pPr>
          </w:p>
        </w:tc>
      </w:tr>
      <w:tr>
        <w:trPr>
          <w:trHeight w:val="213"/>
        </w:trPr>
        <w:tc>
          <w:tcPr>
            <w:tcW w:w="7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Exhibit</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7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Number</w:t>
            </w:r>
          </w:p>
        </w:tc>
        <w:tc>
          <w:tcPr>
            <w:tcW w:w="5920" w:type="dxa"/>
            <w:vAlign w:val="bottom"/>
          </w:tcPr>
          <w:p>
            <w:pPr>
              <w:ind w:left="2500"/>
              <w:spacing w:after="0"/>
              <w:rPr>
                <w:sz w:val="20"/>
                <w:szCs w:val="20"/>
                <w:color w:val="auto"/>
              </w:rPr>
            </w:pPr>
            <w:r>
              <w:rPr>
                <w:rFonts w:ascii="Arial" w:cs="Arial" w:eastAsia="Arial" w:hAnsi="Arial"/>
                <w:sz w:val="12"/>
                <w:szCs w:val="12"/>
                <w:b w:val="1"/>
                <w:bCs w:val="1"/>
                <w:color w:val="auto"/>
              </w:rPr>
              <w:t>Exhibit Description</w:t>
            </w:r>
          </w:p>
        </w:tc>
        <w:tc>
          <w:tcPr>
            <w:tcW w:w="0" w:type="dxa"/>
            <w:vAlign w:val="bottom"/>
          </w:tcPr>
          <w:p>
            <w:pPr>
              <w:spacing w:after="0"/>
              <w:rPr>
                <w:sz w:val="1"/>
                <w:szCs w:val="1"/>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6"/>
              </w:rPr>
              <w:t>and between Jude Bricker and SCA Acquisition Holdings, LLC (incorporated by reference to</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Exhibit 10.43 to Sun Country Airlines Holdings, Inc.’s Registration Statement on Form S-1</w:t>
            </w:r>
          </w:p>
        </w:tc>
        <w:tc>
          <w:tcPr>
            <w:tcW w:w="0" w:type="dxa"/>
            <w:vAlign w:val="bottom"/>
          </w:tcPr>
          <w:p>
            <w:pPr>
              <w:spacing w:after="0"/>
              <w:rPr>
                <w:sz w:val="1"/>
                <w:szCs w:val="1"/>
                <w:color w:val="auto"/>
              </w:rPr>
            </w:pPr>
          </w:p>
        </w:tc>
      </w:tr>
      <w:tr>
        <w:trPr>
          <w:trHeight w:val="186"/>
        </w:trPr>
        <w:tc>
          <w:tcPr>
            <w:tcW w:w="7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10.44</w:t>
            </w:r>
            <w:r>
              <w:rPr>
                <w:rFonts w:ascii="Arial" w:cs="Arial" w:eastAsia="Arial" w:hAnsi="Arial"/>
                <w:sz w:val="21"/>
                <w:szCs w:val="21"/>
                <w:color w:val="auto"/>
                <w:vertAlign w:val="superscript"/>
              </w:rPr>
              <w:t>†</w:t>
            </w: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0" w:type="dxa"/>
            <w:vAlign w:val="bottom"/>
          </w:tcPr>
          <w:p>
            <w:pPr>
              <w:spacing w:after="0"/>
              <w:rPr>
                <w:sz w:val="1"/>
                <w:szCs w:val="1"/>
                <w:color w:val="auto"/>
              </w:rPr>
            </w:pPr>
          </w:p>
        </w:tc>
      </w:tr>
      <w:tr>
        <w:trPr>
          <w:trHeight w:val="198"/>
        </w:trPr>
        <w:tc>
          <w:tcPr>
            <w:tcW w:w="760" w:type="dxa"/>
            <w:vAlign w:val="bottom"/>
            <w:gridSpan w:val="2"/>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9"/>
              </w:rPr>
              <w:t>Employment Agreement, dated as of April 17, 2019, by and between David Davis and MN</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8"/>
              </w:rPr>
              <w:t>Airlines, LLC (incorporated by reference to Exhibit 10.44 to Sun Country Airlines Holdings,</w:t>
            </w:r>
          </w:p>
        </w:tc>
        <w:tc>
          <w:tcPr>
            <w:tcW w:w="0" w:type="dxa"/>
            <w:vAlign w:val="bottom"/>
          </w:tcPr>
          <w:p>
            <w:pPr>
              <w:spacing w:after="0"/>
              <w:rPr>
                <w:sz w:val="1"/>
                <w:szCs w:val="1"/>
                <w:color w:val="auto"/>
              </w:rPr>
            </w:pPr>
          </w:p>
        </w:tc>
      </w:tr>
      <w:tr>
        <w:trPr>
          <w:trHeight w:val="186"/>
        </w:trPr>
        <w:tc>
          <w:tcPr>
            <w:tcW w:w="7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10.45</w:t>
            </w:r>
            <w:r>
              <w:rPr>
                <w:rFonts w:ascii="Arial" w:cs="Arial" w:eastAsia="Arial" w:hAnsi="Arial"/>
                <w:sz w:val="21"/>
                <w:szCs w:val="21"/>
                <w:color w:val="auto"/>
                <w:vertAlign w:val="superscript"/>
              </w:rPr>
              <w:t>†</w:t>
            </w:r>
          </w:p>
        </w:tc>
        <w:tc>
          <w:tcPr>
            <w:tcW w:w="592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c>
          <w:tcPr>
            <w:tcW w:w="0" w:type="dxa"/>
            <w:vAlign w:val="bottom"/>
          </w:tcPr>
          <w:p>
            <w:pPr>
              <w:spacing w:after="0"/>
              <w:rPr>
                <w:sz w:val="1"/>
                <w:szCs w:val="1"/>
                <w:color w:val="auto"/>
              </w:rPr>
            </w:pPr>
          </w:p>
        </w:tc>
      </w:tr>
      <w:tr>
        <w:trPr>
          <w:trHeight w:val="198"/>
        </w:trPr>
        <w:tc>
          <w:tcPr>
            <w:tcW w:w="760" w:type="dxa"/>
            <w:vAlign w:val="bottom"/>
            <w:gridSpan w:val="2"/>
            <w:vMerge w:val="continue"/>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5"/>
              </w:rPr>
              <w:t>Employment Agreement, dated as of July 1, 2019, by and between Gregory A. Mays and Sun</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8"/>
              </w:rPr>
              <w:t>Country, Inc. (incorporated by reference to Exhibit 10.45 to Sun Country Airlines Holdings,</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Inc.’s Registration Statement on Form S-1 (File No. 333-252858))</w:t>
            </w:r>
          </w:p>
        </w:tc>
        <w:tc>
          <w:tcPr>
            <w:tcW w:w="0" w:type="dxa"/>
            <w:vAlign w:val="bottom"/>
          </w:tcPr>
          <w:p>
            <w:pPr>
              <w:spacing w:after="0"/>
              <w:rPr>
                <w:sz w:val="1"/>
                <w:szCs w:val="1"/>
                <w:color w:val="auto"/>
              </w:rPr>
            </w:pPr>
          </w:p>
        </w:tc>
      </w:tr>
      <w:tr>
        <w:trPr>
          <w:trHeight w:val="198"/>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10.46</w:t>
            </w:r>
          </w:p>
        </w:tc>
        <w:tc>
          <w:tcPr>
            <w:tcW w:w="5920" w:type="dxa"/>
            <w:vAlign w:val="bottom"/>
          </w:tcPr>
          <w:p>
            <w:pPr>
              <w:spacing w:after="0"/>
              <w:rPr>
                <w:sz w:val="20"/>
                <w:szCs w:val="20"/>
                <w:color w:val="auto"/>
              </w:rPr>
            </w:pPr>
            <w:r>
              <w:rPr>
                <w:rFonts w:ascii="Arial" w:cs="Arial" w:eastAsia="Arial" w:hAnsi="Arial"/>
                <w:sz w:val="15"/>
                <w:szCs w:val="15"/>
                <w:color w:val="auto"/>
                <w:w w:val="97"/>
              </w:rPr>
              <w:t>Income Tax Receivable Agreement, by and among Sun Country Airlines, Inc., Sun Country</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5"/>
              </w:rPr>
              <w:t>Airlines Holdings, Inc. and the other parties thereto (incorporated by reference to Exhibit 10.3</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7"/>
              </w:rPr>
              <w:t>to Sun Country Airlines Holdings, Inc.’s Current Report on Form 8-K filed with the Securities</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and Exchange Commission on March 22, 2021)</w:t>
            </w:r>
          </w:p>
        </w:tc>
        <w:tc>
          <w:tcPr>
            <w:tcW w:w="0" w:type="dxa"/>
            <w:vAlign w:val="bottom"/>
          </w:tcPr>
          <w:p>
            <w:pPr>
              <w:spacing w:after="0"/>
              <w:rPr>
                <w:sz w:val="1"/>
                <w:szCs w:val="1"/>
                <w:color w:val="auto"/>
              </w:rPr>
            </w:pPr>
          </w:p>
        </w:tc>
      </w:tr>
      <w:tr>
        <w:trPr>
          <w:trHeight w:val="198"/>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10.47</w:t>
            </w:r>
          </w:p>
        </w:tc>
        <w:tc>
          <w:tcPr>
            <w:tcW w:w="5920" w:type="dxa"/>
            <w:vAlign w:val="bottom"/>
          </w:tcPr>
          <w:p>
            <w:pPr>
              <w:spacing w:after="0"/>
              <w:rPr>
                <w:sz w:val="20"/>
                <w:szCs w:val="20"/>
                <w:color w:val="auto"/>
              </w:rPr>
            </w:pPr>
            <w:r>
              <w:rPr>
                <w:rFonts w:ascii="Arial" w:cs="Arial" w:eastAsia="Arial" w:hAnsi="Arial"/>
                <w:sz w:val="15"/>
                <w:szCs w:val="15"/>
                <w:color w:val="auto"/>
                <w:w w:val="94"/>
              </w:rPr>
              <w:t>Credit Agreement, dated as of February 10, 2021, among SCA Acquisition, LLC, Sun Country,</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7"/>
              </w:rPr>
              <w:t>Inc., the lenders and issuing banks party thereto and Barclays Bank PLC, as administrative</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agent (incorporated by reference to Exhibit 10.47 to Sun Country Airlines Holdings, Inc.’s</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Registration Statement on Form S-1 (File No. 333-252858))</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10.48</w:t>
            </w:r>
          </w:p>
        </w:tc>
        <w:tc>
          <w:tcPr>
            <w:tcW w:w="5920" w:type="dxa"/>
            <w:vAlign w:val="bottom"/>
          </w:tcPr>
          <w:p>
            <w:pPr>
              <w:spacing w:after="0"/>
              <w:rPr>
                <w:sz w:val="20"/>
                <w:szCs w:val="20"/>
                <w:color w:val="auto"/>
              </w:rPr>
            </w:pPr>
            <w:r>
              <w:rPr>
                <w:rFonts w:ascii="Arial" w:cs="Arial" w:eastAsia="Arial" w:hAnsi="Arial"/>
                <w:sz w:val="15"/>
                <w:szCs w:val="15"/>
                <w:color w:val="auto"/>
                <w:w w:val="95"/>
              </w:rPr>
              <w:t>Securities Purchase Agreement, dated March 7, 2021, among Sun Country Airlines Holdings,</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4"/>
              </w:rPr>
              <w:t>Inc., SCA Horus Holdings, LLC and PAR Investment Partners, L.P. (incorporated by reference</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6"/>
              </w:rPr>
              <w:t>to Exhibit 10.48 to Sun Country Airlines Holdings, Inc.’s Registration Statement on Form S-1</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(File No. 333-252858))</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10.49</w:t>
            </w:r>
          </w:p>
        </w:tc>
        <w:tc>
          <w:tcPr>
            <w:tcW w:w="5920" w:type="dxa"/>
            <w:vAlign w:val="bottom"/>
          </w:tcPr>
          <w:p>
            <w:pPr>
              <w:spacing w:after="0"/>
              <w:rPr>
                <w:sz w:val="20"/>
                <w:szCs w:val="20"/>
                <w:color w:val="auto"/>
              </w:rPr>
            </w:pPr>
            <w:r>
              <w:rPr>
                <w:rFonts w:ascii="Arial" w:cs="Arial" w:eastAsia="Arial" w:hAnsi="Arial"/>
                <w:sz w:val="15"/>
                <w:szCs w:val="15"/>
                <w:color w:val="auto"/>
                <w:w w:val="95"/>
              </w:rPr>
              <w:t>Securities Purchase Agreement, dated March 7, 2021, among Sun Country Airlines Holdings,</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Inc., SCA Horus Holdings, LLC and the Blackrock Entities party thereto. (incorporated by</w:t>
            </w: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20" w:type="dxa"/>
            <w:vAlign w:val="bottom"/>
          </w:tcPr>
          <w:p>
            <w:pPr>
              <w:spacing w:after="0"/>
              <w:rPr>
                <w:sz w:val="20"/>
                <w:szCs w:val="20"/>
                <w:color w:val="auto"/>
              </w:rPr>
            </w:pPr>
            <w:r>
              <w:rPr>
                <w:rFonts w:ascii="Arial" w:cs="Arial" w:eastAsia="Arial" w:hAnsi="Arial"/>
                <w:sz w:val="15"/>
                <w:szCs w:val="15"/>
                <w:color w:val="auto"/>
                <w:w w:val="96"/>
              </w:rPr>
              <w:t>reference to Exhibit 10.49 to Sun Country Airlines Holdings, Inc.’s Registration Statement on</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Form S-1 (File No. 333-252858))</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10.50</w:t>
            </w:r>
          </w:p>
        </w:tc>
        <w:tc>
          <w:tcPr>
            <w:tcW w:w="5920" w:type="dxa"/>
            <w:vAlign w:val="bottom"/>
          </w:tcPr>
          <w:p>
            <w:pPr>
              <w:spacing w:after="0"/>
              <w:rPr>
                <w:sz w:val="20"/>
                <w:szCs w:val="20"/>
                <w:color w:val="auto"/>
              </w:rPr>
            </w:pPr>
            <w:r>
              <w:rPr>
                <w:rFonts w:ascii="Arial" w:cs="Arial" w:eastAsia="Arial" w:hAnsi="Arial"/>
                <w:sz w:val="15"/>
                <w:szCs w:val="15"/>
                <w:color w:val="auto"/>
              </w:rPr>
              <w:t>Payroll Support Program 3 Agreement, dated as of April 27, 2021, by and between Sun</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Country, Inc. and the Department of the Treasury</w:t>
            </w:r>
          </w:p>
        </w:tc>
        <w:tc>
          <w:tcPr>
            <w:tcW w:w="0" w:type="dxa"/>
            <w:vAlign w:val="bottom"/>
          </w:tcPr>
          <w:p>
            <w:pPr>
              <w:spacing w:after="0"/>
              <w:rPr>
                <w:sz w:val="1"/>
                <w:szCs w:val="1"/>
                <w:color w:val="auto"/>
              </w:rPr>
            </w:pPr>
          </w:p>
        </w:tc>
      </w:tr>
      <w:tr>
        <w:trPr>
          <w:trHeight w:val="209"/>
        </w:trPr>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21.1</w:t>
            </w:r>
          </w:p>
        </w:tc>
        <w:tc>
          <w:tcPr>
            <w:tcW w:w="5920" w:type="dxa"/>
            <w:vAlign w:val="bottom"/>
          </w:tcPr>
          <w:p>
            <w:pPr>
              <w:spacing w:after="0"/>
              <w:rPr>
                <w:sz w:val="20"/>
                <w:szCs w:val="20"/>
                <w:color w:val="auto"/>
              </w:rPr>
            </w:pPr>
            <w:r>
              <w:rPr>
                <w:rFonts w:ascii="Arial" w:cs="Arial" w:eastAsia="Arial" w:hAnsi="Arial"/>
                <w:sz w:val="15"/>
                <w:szCs w:val="15"/>
                <w:color w:val="auto"/>
                <w:w w:val="94"/>
              </w:rPr>
              <w:t>Subsidiaries of the registrant (incorporated by reference to Exhibit 21.1 to Sun Country Airlines</w:t>
            </w: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Arial" w:cs="Arial" w:eastAsia="Arial" w:hAnsi="Arial"/>
                <w:sz w:val="15"/>
                <w:szCs w:val="15"/>
                <w:color w:val="auto"/>
              </w:rPr>
              <w:t>Holdings, Inc.’s Registration Statement on Form S-1 (File No. 333-252858))</w:t>
            </w:r>
          </w:p>
        </w:tc>
        <w:tc>
          <w:tcPr>
            <w:tcW w:w="0" w:type="dxa"/>
            <w:vAlign w:val="bottom"/>
          </w:tcPr>
          <w:p>
            <w:pPr>
              <w:spacing w:after="0"/>
              <w:rPr>
                <w:sz w:val="1"/>
                <w:szCs w:val="1"/>
                <w:color w:val="auto"/>
              </w:rPr>
            </w:pPr>
          </w:p>
        </w:tc>
      </w:tr>
      <w:tr>
        <w:trPr>
          <w:trHeight w:val="231"/>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23.1*</w:t>
            </w:r>
          </w:p>
        </w:tc>
        <w:tc>
          <w:tcPr>
            <w:tcW w:w="5920" w:type="dxa"/>
            <w:vAlign w:val="bottom"/>
          </w:tcPr>
          <w:p>
            <w:pPr>
              <w:spacing w:after="0"/>
              <w:rPr>
                <w:sz w:val="20"/>
                <w:szCs w:val="20"/>
                <w:color w:val="auto"/>
              </w:rPr>
            </w:pPr>
            <w:r>
              <w:rPr>
                <w:rFonts w:ascii="Arial" w:cs="Arial" w:eastAsia="Arial" w:hAnsi="Arial"/>
                <w:sz w:val="15"/>
                <w:szCs w:val="15"/>
                <w:color w:val="auto"/>
              </w:rPr>
              <w:t>Consent of KPMG LLP, independent registered public accounting firm</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23.2*</w:t>
            </w:r>
          </w:p>
        </w:tc>
        <w:tc>
          <w:tcPr>
            <w:tcW w:w="5920" w:type="dxa"/>
            <w:vAlign w:val="bottom"/>
          </w:tcPr>
          <w:p>
            <w:pPr>
              <w:spacing w:after="0"/>
              <w:rPr>
                <w:sz w:val="20"/>
                <w:szCs w:val="20"/>
                <w:color w:val="auto"/>
              </w:rPr>
            </w:pPr>
            <w:r>
              <w:rPr>
                <w:rFonts w:ascii="Arial" w:cs="Arial" w:eastAsia="Arial" w:hAnsi="Arial"/>
                <w:sz w:val="15"/>
                <w:szCs w:val="15"/>
                <w:color w:val="auto"/>
              </w:rPr>
              <w:t>Consent of Paul, Weiss, Rifkind, Wharton &amp; Garrison LLP (included in Exhibit 5.1)</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24.1*</w:t>
            </w:r>
          </w:p>
        </w:tc>
        <w:tc>
          <w:tcPr>
            <w:tcW w:w="5920" w:type="dxa"/>
            <w:vAlign w:val="bottom"/>
          </w:tcPr>
          <w:p>
            <w:pPr>
              <w:spacing w:after="0"/>
              <w:rPr>
                <w:sz w:val="20"/>
                <w:szCs w:val="20"/>
                <w:color w:val="auto"/>
              </w:rPr>
            </w:pPr>
            <w:r>
              <w:rPr>
                <w:rFonts w:ascii="Arial" w:cs="Arial" w:eastAsia="Arial" w:hAnsi="Arial"/>
                <w:sz w:val="15"/>
                <w:szCs w:val="15"/>
                <w:color w:val="auto"/>
              </w:rPr>
              <w:t>Powers of Attorney (included in signature page)</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101.INS*</w:t>
            </w:r>
          </w:p>
        </w:tc>
        <w:tc>
          <w:tcPr>
            <w:tcW w:w="5920" w:type="dxa"/>
            <w:vAlign w:val="bottom"/>
          </w:tcPr>
          <w:p>
            <w:pPr>
              <w:spacing w:after="0"/>
              <w:rPr>
                <w:sz w:val="20"/>
                <w:szCs w:val="20"/>
                <w:color w:val="auto"/>
              </w:rPr>
            </w:pPr>
            <w:r>
              <w:rPr>
                <w:rFonts w:ascii="Arial" w:cs="Arial" w:eastAsia="Arial" w:hAnsi="Arial"/>
                <w:sz w:val="15"/>
                <w:szCs w:val="15"/>
                <w:color w:val="auto"/>
              </w:rPr>
              <w:t>XBRL Instance Document</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101.SCH*</w:t>
            </w:r>
          </w:p>
        </w:tc>
        <w:tc>
          <w:tcPr>
            <w:tcW w:w="5920" w:type="dxa"/>
            <w:vAlign w:val="bottom"/>
          </w:tcPr>
          <w:p>
            <w:pPr>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101.CAL*</w:t>
            </w:r>
          </w:p>
        </w:tc>
        <w:tc>
          <w:tcPr>
            <w:tcW w:w="5920" w:type="dxa"/>
            <w:vAlign w:val="bottom"/>
          </w:tcPr>
          <w:p>
            <w:pPr>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w w:val="98"/>
              </w:rPr>
              <w:t>101.DEF*</w:t>
            </w:r>
          </w:p>
        </w:tc>
        <w:tc>
          <w:tcPr>
            <w:tcW w:w="5920" w:type="dxa"/>
            <w:vAlign w:val="bottom"/>
          </w:tcPr>
          <w:p>
            <w:pPr>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220"/>
        </w:trPr>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101.LAB*</w:t>
            </w:r>
          </w:p>
        </w:tc>
        <w:tc>
          <w:tcPr>
            <w:tcW w:w="5920" w:type="dxa"/>
            <w:vAlign w:val="bottom"/>
          </w:tcPr>
          <w:p>
            <w:pPr>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125730</wp:posOffset>
            </wp:positionV>
            <wp:extent cx="446405" cy="698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446405" cy="6985"/>
                    </a:xfrm>
                    <a:prstGeom prst="rect">
                      <a:avLst/>
                    </a:prstGeom>
                    <a:noFill/>
                  </pic:spPr>
                </pic:pic>
              </a:graphicData>
            </a:graphic>
          </wp:anchor>
        </w:drawing>
      </w:r>
    </w:p>
    <w:p>
      <w:pPr>
        <w:spacing w:after="0" w:line="266" w:lineRule="exact"/>
        <w:rPr>
          <w:sz w:val="20"/>
          <w:szCs w:val="20"/>
          <w:color w:val="auto"/>
        </w:rPr>
      </w:pPr>
    </w:p>
    <w:p>
      <w:pPr>
        <w:ind w:left="1460" w:hanging="296"/>
        <w:spacing w:after="0"/>
        <w:tabs>
          <w:tab w:leader="none" w:pos="1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To be filed by amendment.</w:t>
      </w:r>
    </w:p>
    <w:p>
      <w:pPr>
        <w:spacing w:after="0" w:line="69" w:lineRule="exact"/>
        <w:rPr>
          <w:sz w:val="20"/>
          <w:szCs w:val="20"/>
          <w:color w:val="auto"/>
        </w:rPr>
      </w:pPr>
    </w:p>
    <w:p>
      <w:pPr>
        <w:ind w:left="1460" w:hanging="296"/>
        <w:spacing w:after="0"/>
        <w:tabs>
          <w:tab w:leader="none" w:pos="14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36" w:lineRule="exact"/>
        <w:rPr>
          <w:sz w:val="20"/>
          <w:szCs w:val="20"/>
          <w:color w:val="auto"/>
        </w:rPr>
      </w:pPr>
    </w:p>
    <w:p>
      <w:pPr>
        <w:ind w:left="1460" w:hanging="296"/>
        <w:spacing w:after="0"/>
        <w:tabs>
          <w:tab w:leader="none" w:pos="14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Item 601(b)(10)(iv) of Regulation S-K.</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25" w:lineRule="exact"/>
        <w:rPr>
          <w:rFonts w:ascii="Arial" w:cs="Arial" w:eastAsia="Arial" w:hAnsi="Arial"/>
          <w:sz w:val="15"/>
          <w:szCs w:val="15"/>
          <w:color w:val="auto"/>
        </w:rPr>
      </w:pPr>
    </w:p>
    <w:p>
      <w:pPr>
        <w:ind w:left="4340"/>
        <w:spacing w:after="0"/>
        <w:rPr>
          <w:rFonts w:ascii="Arial" w:cs="Arial" w:eastAsia="Arial" w:hAnsi="Arial"/>
          <w:sz w:val="15"/>
          <w:szCs w:val="15"/>
          <w:color w:val="auto"/>
        </w:rPr>
      </w:pPr>
      <w:r>
        <w:rPr>
          <w:rFonts w:ascii="Arial" w:cs="Arial" w:eastAsia="Arial" w:hAnsi="Arial"/>
          <w:sz w:val="15"/>
          <w:szCs w:val="15"/>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198755</wp:posOffset>
            </wp:positionV>
            <wp:extent cx="5564505" cy="3937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5" w:name="page276"/>
    <w:bookmarkEnd w:id="275"/>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28" w:lineRule="exact"/>
        <w:rPr>
          <w:sz w:val="20"/>
          <w:szCs w:val="20"/>
          <w:color w:val="auto"/>
        </w:rPr>
      </w:pPr>
    </w:p>
    <w:p>
      <w:pPr>
        <w:ind w:left="1160" w:right="1819" w:firstLine="293"/>
        <w:spacing w:after="0" w:line="290"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180" w:type="dxa"/>
            <w:vAlign w:val="bottom"/>
          </w:tcPr>
          <w:p>
            <w:pPr>
              <w:spacing w:after="0"/>
              <w:rPr>
                <w:sz w:val="20"/>
                <w:szCs w:val="20"/>
                <w:color w:val="auto"/>
              </w:rPr>
            </w:pPr>
            <w:r>
              <w:rPr>
                <w:rFonts w:ascii="Arial" w:cs="Arial" w:eastAsia="Arial" w:hAnsi="Arial"/>
                <w:sz w:val="15"/>
                <w:szCs w:val="15"/>
                <w:color w:val="auto"/>
              </w:rPr>
              <w:t>Minneapolis, Minnesota, on the</w:t>
            </w:r>
          </w:p>
        </w:tc>
        <w:tc>
          <w:tcPr>
            <w:tcW w:w="820" w:type="dxa"/>
            <w:vAlign w:val="bottom"/>
          </w:tcPr>
          <w:p>
            <w:pPr>
              <w:ind w:left="240"/>
              <w:spacing w:after="0"/>
              <w:rPr>
                <w:sz w:val="20"/>
                <w:szCs w:val="20"/>
                <w:color w:val="auto"/>
              </w:rPr>
            </w:pPr>
            <w:r>
              <w:rPr>
                <w:rFonts w:ascii="Arial" w:cs="Arial" w:eastAsia="Arial" w:hAnsi="Arial"/>
                <w:sz w:val="15"/>
                <w:szCs w:val="15"/>
                <w:color w:val="auto"/>
              </w:rPr>
              <w:t>day of</w:t>
            </w:r>
          </w:p>
        </w:tc>
        <w:tc>
          <w:tcPr>
            <w:tcW w:w="3680" w:type="dxa"/>
            <w:vAlign w:val="bottom"/>
            <w:gridSpan w:val="2"/>
          </w:tcPr>
          <w:p>
            <w:pPr>
              <w:jc w:val="right"/>
              <w:ind w:right="2807"/>
              <w:spacing w:after="0"/>
              <w:rPr>
                <w:sz w:val="20"/>
                <w:szCs w:val="20"/>
                <w:color w:val="auto"/>
              </w:rPr>
            </w:pPr>
            <w:r>
              <w:rPr>
                <w:rFonts w:ascii="Arial" w:cs="Arial" w:eastAsia="Arial" w:hAnsi="Arial"/>
                <w:sz w:val="15"/>
                <w:szCs w:val="15"/>
                <w:color w:val="auto"/>
              </w:rPr>
              <w:t>, 2021.</w:t>
            </w:r>
          </w:p>
        </w:tc>
      </w:tr>
      <w:tr>
        <w:trPr>
          <w:trHeight w:val="297"/>
        </w:trPr>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80" w:type="dxa"/>
            <w:vAlign w:val="bottom"/>
            <w:gridSpan w:val="2"/>
          </w:tcPr>
          <w:p>
            <w:pPr>
              <w:ind w:left="200"/>
              <w:spacing w:after="0"/>
              <w:rPr>
                <w:sz w:val="20"/>
                <w:szCs w:val="20"/>
                <w:color w:val="auto"/>
              </w:rPr>
            </w:pPr>
            <w:r>
              <w:rPr>
                <w:rFonts w:ascii="Arial" w:cs="Arial" w:eastAsia="Arial" w:hAnsi="Arial"/>
                <w:sz w:val="15"/>
                <w:szCs w:val="15"/>
                <w:color w:val="auto"/>
              </w:rPr>
              <w:t>Sun Country Airlines Holdings, Inc.</w:t>
            </w:r>
          </w:p>
        </w:tc>
      </w:tr>
      <w:tr>
        <w:trPr>
          <w:trHeight w:val="275"/>
        </w:trPr>
        <w:tc>
          <w:tcPr>
            <w:tcW w:w="2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80" w:type="dxa"/>
            <w:vAlign w:val="bottom"/>
            <w:gridSpan w:val="2"/>
          </w:tcPr>
          <w:p>
            <w:pPr>
              <w:ind w:left="200"/>
              <w:spacing w:after="0"/>
              <w:rPr>
                <w:sz w:val="20"/>
                <w:szCs w:val="20"/>
                <w:color w:val="auto"/>
              </w:rPr>
            </w:pPr>
            <w:r>
              <w:rPr>
                <w:rFonts w:ascii="Arial" w:cs="Arial" w:eastAsia="Arial" w:hAnsi="Arial"/>
                <w:sz w:val="15"/>
                <w:szCs w:val="15"/>
                <w:color w:val="auto"/>
              </w:rPr>
              <w:t>By:</w:t>
            </w:r>
          </w:p>
        </w:tc>
      </w:tr>
      <w:tr>
        <w:trPr>
          <w:trHeight w:val="44"/>
        </w:trPr>
        <w:tc>
          <w:tcPr>
            <w:tcW w:w="2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178"/>
        </w:trPr>
        <w:tc>
          <w:tcPr>
            <w:tcW w:w="2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Name: Dave Davis</w:t>
            </w:r>
          </w:p>
        </w:tc>
      </w:tr>
      <w:tr>
        <w:trPr>
          <w:trHeight w:val="186"/>
        </w:trPr>
        <w:tc>
          <w:tcPr>
            <w:tcW w:w="2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Title: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5456555</wp:posOffset>
            </wp:positionV>
            <wp:extent cx="5564505" cy="3937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556450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6" w:name="page277"/>
    <w:bookmarkEnd w:id="276"/>
    <w:p>
      <w:pPr>
        <w:ind w:left="140"/>
        <w:spacing w:after="0"/>
        <w:rPr>
          <w:rFonts w:ascii="Arial" w:cs="Arial" w:eastAsia="Arial" w:hAnsi="Arial"/>
          <w:sz w:val="12"/>
          <w:szCs w:val="12"/>
          <w:color w:val="003366"/>
        </w:rPr>
      </w:pPr>
      <w:hyperlink w:anchor="page194">
        <w:r>
          <w:rPr>
            <w:rFonts w:ascii="Arial" w:cs="Arial" w:eastAsia="Arial" w:hAnsi="Arial"/>
            <w:sz w:val="12"/>
            <w:szCs w:val="12"/>
            <w:color w:val="003366"/>
          </w:rPr>
          <w:t>TABLE OF CONTENTS</w:t>
        </w:r>
      </w:hyperlink>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Confidential Treatment Requested by Sun Country Airlines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17 C.F.R. Section 200.83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28" w:lineRule="exact"/>
        <w:rPr>
          <w:sz w:val="20"/>
          <w:szCs w:val="20"/>
          <w:color w:val="auto"/>
        </w:rPr>
      </w:pPr>
    </w:p>
    <w:p>
      <w:pPr>
        <w:ind w:left="1160" w:right="1239" w:firstLine="293"/>
        <w:spacing w:after="0" w:line="284" w:lineRule="auto"/>
        <w:rPr>
          <w:sz w:val="20"/>
          <w:szCs w:val="20"/>
          <w:color w:val="auto"/>
        </w:rPr>
      </w:pPr>
      <w:r>
        <w:rPr>
          <w:rFonts w:ascii="Arial" w:cs="Arial" w:eastAsia="Arial" w:hAnsi="Arial"/>
          <w:sz w:val="13"/>
          <w:szCs w:val="13"/>
          <w:color w:val="auto"/>
        </w:rPr>
        <w:t>KNOW ALL PERSONS BY THESE PRESENTS, that each individual whose signature appears below hereby constitutes and appoints Eric Levenhagen and Dave Davis,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w:t>
      </w:r>
    </w:p>
    <w:p>
      <w:pPr>
        <w:spacing w:after="0" w:line="3" w:lineRule="exact"/>
        <w:rPr>
          <w:sz w:val="20"/>
          <w:szCs w:val="20"/>
          <w:color w:val="auto"/>
        </w:rPr>
      </w:pPr>
    </w:p>
    <w:p>
      <w:pPr>
        <w:ind w:left="1160" w:right="1199" w:firstLine="4"/>
        <w:spacing w:after="0" w:line="264" w:lineRule="auto"/>
        <w:tabs>
          <w:tab w:leader="none" w:pos="139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spacing w:after="0" w:line="87" w:lineRule="exact"/>
        <w:rPr>
          <w:sz w:val="20"/>
          <w:szCs w:val="20"/>
          <w:color w:val="auto"/>
        </w:rPr>
      </w:pPr>
    </w:p>
    <w:p>
      <w:pPr>
        <w:ind w:left="1160" w:right="1239" w:firstLine="293"/>
        <w:spacing w:after="0" w:line="264" w:lineRule="auto"/>
        <w:rPr>
          <w:sz w:val="20"/>
          <w:szCs w:val="20"/>
          <w:color w:val="auto"/>
        </w:rPr>
      </w:pPr>
      <w:r>
        <w:rPr>
          <w:rFonts w:ascii="Arial" w:cs="Arial" w:eastAsia="Arial" w:hAnsi="Arial"/>
          <w:sz w:val="15"/>
          <w:szCs w:val="15"/>
          <w:color w:val="auto"/>
        </w:rPr>
        <w:t>Pursuant to the requirements of the Securities Act of 1933, this Registration Statement has been signed by the following persons in the capacities and on the dates indicated.</w:t>
      </w:r>
    </w:p>
    <w:p>
      <w:pPr>
        <w:spacing w:after="0" w:line="108" w:lineRule="exact"/>
        <w:rPr>
          <w:sz w:val="20"/>
          <w:szCs w:val="20"/>
          <w:color w:val="auto"/>
        </w:rPr>
      </w:pPr>
    </w:p>
    <w:p>
      <w:pPr>
        <w:ind w:left="1820"/>
        <w:spacing w:after="0"/>
        <w:tabs>
          <w:tab w:leader="none" w:pos="4540" w:val="left"/>
          <w:tab w:leader="none" w:pos="700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20955</wp:posOffset>
            </wp:positionV>
            <wp:extent cx="4241800" cy="698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780" w:type="dxa"/>
            <w:vAlign w:val="bottom"/>
          </w:tcPr>
          <w:p>
            <w:pPr>
              <w:jc w:val="center"/>
              <w:ind w:right="287"/>
              <w:spacing w:after="0"/>
              <w:rPr>
                <w:sz w:val="20"/>
                <w:szCs w:val="20"/>
                <w:color w:val="auto"/>
              </w:rPr>
            </w:pPr>
            <w:r>
              <w:rPr>
                <w:rFonts w:ascii="Arial" w:cs="Arial" w:eastAsia="Arial" w:hAnsi="Arial"/>
                <w:sz w:val="15"/>
                <w:szCs w:val="15"/>
                <w:color w:val="auto"/>
                <w:w w:val="96"/>
              </w:rPr>
              <w:t>Chief Executive Officer; Director</w:t>
            </w:r>
          </w:p>
        </w:tc>
        <w:tc>
          <w:tcPr>
            <w:tcW w:w="2140" w:type="dxa"/>
            <w:vAlign w:val="bottom"/>
            <w:vMerge w:val="restart"/>
          </w:tcPr>
          <w:p>
            <w:pPr>
              <w:jc w:val="right"/>
              <w:ind w:right="106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40" w:type="dxa"/>
            <w:vAlign w:val="bottom"/>
            <w:vMerge w:val="restart"/>
          </w:tcPr>
          <w:p>
            <w:pPr>
              <w:jc w:val="center"/>
              <w:spacing w:after="0"/>
              <w:rPr>
                <w:sz w:val="20"/>
                <w:szCs w:val="20"/>
                <w:color w:val="auto"/>
              </w:rPr>
            </w:pPr>
            <w:r>
              <w:rPr>
                <w:rFonts w:ascii="Arial" w:cs="Arial" w:eastAsia="Arial" w:hAnsi="Arial"/>
                <w:sz w:val="15"/>
                <w:szCs w:val="15"/>
                <w:color w:val="auto"/>
                <w:w w:val="93"/>
              </w:rPr>
              <w:t>Jude Bricker</w:t>
            </w:r>
          </w:p>
        </w:tc>
        <w:tc>
          <w:tcPr>
            <w:tcW w:w="20" w:type="dxa"/>
            <w:vAlign w:val="bottom"/>
          </w:tcPr>
          <w:p>
            <w:pPr>
              <w:spacing w:after="0"/>
              <w:rPr>
                <w:sz w:val="5"/>
                <w:szCs w:val="5"/>
                <w:color w:val="auto"/>
              </w:rPr>
            </w:pPr>
          </w:p>
        </w:tc>
        <w:tc>
          <w:tcPr>
            <w:tcW w:w="3780" w:type="dxa"/>
            <w:vAlign w:val="bottom"/>
            <w:vMerge w:val="restart"/>
          </w:tcPr>
          <w:p>
            <w:pPr>
              <w:jc w:val="center"/>
              <w:ind w:right="247"/>
              <w:spacing w:after="0" w:line="167" w:lineRule="exact"/>
              <w:rPr>
                <w:sz w:val="20"/>
                <w:szCs w:val="20"/>
                <w:color w:val="auto"/>
              </w:rPr>
            </w:pPr>
            <w:r>
              <w:rPr>
                <w:rFonts w:ascii="Arial" w:cs="Arial" w:eastAsia="Arial" w:hAnsi="Arial"/>
                <w:sz w:val="15"/>
                <w:szCs w:val="15"/>
                <w:color w:val="auto"/>
                <w:w w:val="96"/>
              </w:rPr>
              <w:t>(Principal Executive Officer)</w:t>
            </w: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2"/>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80" w:type="dxa"/>
            <w:vAlign w:val="bottom"/>
          </w:tcPr>
          <w:p>
            <w:pPr>
              <w:jc w:val="center"/>
              <w:ind w:right="247"/>
              <w:spacing w:after="0"/>
              <w:rPr>
                <w:sz w:val="20"/>
                <w:szCs w:val="20"/>
                <w:color w:val="auto"/>
              </w:rPr>
            </w:pPr>
            <w:r>
              <w:rPr>
                <w:rFonts w:ascii="Arial" w:cs="Arial" w:eastAsia="Arial" w:hAnsi="Arial"/>
                <w:sz w:val="15"/>
                <w:szCs w:val="15"/>
                <w:color w:val="auto"/>
                <w:w w:val="95"/>
              </w:rPr>
              <w:t>President and Chief Financial Officer; Director</w:t>
            </w:r>
          </w:p>
        </w:tc>
        <w:tc>
          <w:tcPr>
            <w:tcW w:w="2140" w:type="dxa"/>
            <w:vAlign w:val="bottom"/>
            <w:vMerge w:val="restart"/>
          </w:tcPr>
          <w:p>
            <w:pPr>
              <w:jc w:val="right"/>
              <w:ind w:right="106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vMerge w:val="restart"/>
          </w:tcPr>
          <w:p>
            <w:pPr>
              <w:jc w:val="center"/>
              <w:spacing w:after="0"/>
              <w:rPr>
                <w:sz w:val="20"/>
                <w:szCs w:val="20"/>
                <w:color w:val="auto"/>
              </w:rPr>
            </w:pPr>
            <w:r>
              <w:rPr>
                <w:rFonts w:ascii="Arial" w:cs="Arial" w:eastAsia="Arial" w:hAnsi="Arial"/>
                <w:sz w:val="15"/>
                <w:szCs w:val="15"/>
                <w:color w:val="auto"/>
                <w:w w:val="91"/>
              </w:rPr>
              <w:t>Dave Davis</w:t>
            </w:r>
          </w:p>
        </w:tc>
        <w:tc>
          <w:tcPr>
            <w:tcW w:w="20" w:type="dxa"/>
            <w:vAlign w:val="bottom"/>
          </w:tcPr>
          <w:p>
            <w:pPr>
              <w:spacing w:after="0"/>
              <w:rPr>
                <w:sz w:val="6"/>
                <w:szCs w:val="6"/>
                <w:color w:val="auto"/>
              </w:rPr>
            </w:pPr>
          </w:p>
        </w:tc>
        <w:tc>
          <w:tcPr>
            <w:tcW w:w="3780" w:type="dxa"/>
            <w:vAlign w:val="bottom"/>
            <w:vMerge w:val="restart"/>
          </w:tcPr>
          <w:p>
            <w:pPr>
              <w:jc w:val="center"/>
              <w:ind w:right="227"/>
              <w:spacing w:after="0" w:line="167" w:lineRule="exact"/>
              <w:rPr>
                <w:sz w:val="20"/>
                <w:szCs w:val="20"/>
                <w:color w:val="auto"/>
              </w:rPr>
            </w:pPr>
            <w:r>
              <w:rPr>
                <w:rFonts w:ascii="Arial" w:cs="Arial" w:eastAsia="Arial" w:hAnsi="Arial"/>
                <w:sz w:val="15"/>
                <w:szCs w:val="15"/>
                <w:color w:val="auto"/>
                <w:w w:val="95"/>
              </w:rPr>
              <w:t>(Principal Financial and Accounting Officer)</w:t>
            </w: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80" w:type="dxa"/>
            <w:vAlign w:val="bottom"/>
            <w:vMerge w:val="restart"/>
          </w:tcPr>
          <w:p>
            <w:pPr>
              <w:jc w:val="center"/>
              <w:ind w:right="247"/>
              <w:spacing w:after="0"/>
              <w:rPr>
                <w:sz w:val="20"/>
                <w:szCs w:val="20"/>
                <w:color w:val="auto"/>
              </w:rPr>
            </w:pPr>
            <w:r>
              <w:rPr>
                <w:rFonts w:ascii="Arial" w:cs="Arial" w:eastAsia="Arial" w:hAnsi="Arial"/>
                <w:sz w:val="15"/>
                <w:szCs w:val="15"/>
                <w:color w:val="auto"/>
                <w:w w:val="95"/>
              </w:rPr>
              <w:t>Director</w:t>
            </w:r>
          </w:p>
        </w:tc>
        <w:tc>
          <w:tcPr>
            <w:tcW w:w="2140" w:type="dxa"/>
            <w:vAlign w:val="bottom"/>
            <w:vMerge w:val="restart"/>
          </w:tcPr>
          <w:p>
            <w:pPr>
              <w:jc w:val="right"/>
              <w:ind w:right="106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vMerge w:val="restart"/>
          </w:tcPr>
          <w:p>
            <w:pPr>
              <w:jc w:val="center"/>
              <w:spacing w:after="0"/>
              <w:rPr>
                <w:sz w:val="20"/>
                <w:szCs w:val="20"/>
                <w:color w:val="auto"/>
              </w:rPr>
            </w:pPr>
            <w:r>
              <w:rPr>
                <w:rFonts w:ascii="Arial" w:cs="Arial" w:eastAsia="Arial" w:hAnsi="Arial"/>
                <w:sz w:val="15"/>
                <w:szCs w:val="15"/>
                <w:color w:val="auto"/>
                <w:w w:val="92"/>
              </w:rPr>
              <w:t>Patrick Kearney</w:t>
            </w:r>
          </w:p>
        </w:tc>
        <w:tc>
          <w:tcPr>
            <w:tcW w:w="2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80" w:type="dxa"/>
            <w:vAlign w:val="bottom"/>
            <w:vMerge w:val="restart"/>
          </w:tcPr>
          <w:p>
            <w:pPr>
              <w:jc w:val="center"/>
              <w:ind w:right="247"/>
              <w:spacing w:after="0"/>
              <w:rPr>
                <w:sz w:val="20"/>
                <w:szCs w:val="20"/>
                <w:color w:val="auto"/>
              </w:rPr>
            </w:pPr>
            <w:r>
              <w:rPr>
                <w:rFonts w:ascii="Arial" w:cs="Arial" w:eastAsia="Arial" w:hAnsi="Arial"/>
                <w:sz w:val="15"/>
                <w:szCs w:val="15"/>
                <w:color w:val="auto"/>
                <w:w w:val="95"/>
              </w:rPr>
              <w:t>Director</w:t>
            </w:r>
          </w:p>
        </w:tc>
        <w:tc>
          <w:tcPr>
            <w:tcW w:w="2140" w:type="dxa"/>
            <w:vAlign w:val="bottom"/>
            <w:vMerge w:val="restart"/>
          </w:tcPr>
          <w:p>
            <w:pPr>
              <w:jc w:val="right"/>
              <w:ind w:right="106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vMerge w:val="restart"/>
          </w:tcPr>
          <w:p>
            <w:pPr>
              <w:jc w:val="center"/>
              <w:spacing w:after="0"/>
              <w:rPr>
                <w:sz w:val="20"/>
                <w:szCs w:val="20"/>
                <w:color w:val="auto"/>
              </w:rPr>
            </w:pPr>
            <w:r>
              <w:rPr>
                <w:rFonts w:ascii="Arial" w:cs="Arial" w:eastAsia="Arial" w:hAnsi="Arial"/>
                <w:sz w:val="15"/>
                <w:szCs w:val="15"/>
                <w:color w:val="auto"/>
                <w:w w:val="92"/>
              </w:rPr>
              <w:t>Thomas C. Kennedy</w:t>
            </w:r>
          </w:p>
        </w:tc>
        <w:tc>
          <w:tcPr>
            <w:tcW w:w="2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80" w:type="dxa"/>
            <w:vAlign w:val="bottom"/>
            <w:vMerge w:val="restart"/>
          </w:tcPr>
          <w:p>
            <w:pPr>
              <w:jc w:val="center"/>
              <w:ind w:right="247"/>
              <w:spacing w:after="0"/>
              <w:rPr>
                <w:sz w:val="20"/>
                <w:szCs w:val="20"/>
                <w:color w:val="auto"/>
              </w:rPr>
            </w:pPr>
            <w:r>
              <w:rPr>
                <w:rFonts w:ascii="Arial" w:cs="Arial" w:eastAsia="Arial" w:hAnsi="Arial"/>
                <w:sz w:val="15"/>
                <w:szCs w:val="15"/>
                <w:color w:val="auto"/>
                <w:w w:val="95"/>
              </w:rPr>
              <w:t>Director</w:t>
            </w:r>
          </w:p>
        </w:tc>
        <w:tc>
          <w:tcPr>
            <w:tcW w:w="2140" w:type="dxa"/>
            <w:vAlign w:val="bottom"/>
            <w:vMerge w:val="restart"/>
          </w:tcPr>
          <w:p>
            <w:pPr>
              <w:jc w:val="right"/>
              <w:ind w:right="106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vMerge w:val="restart"/>
          </w:tcPr>
          <w:p>
            <w:pPr>
              <w:jc w:val="center"/>
              <w:spacing w:after="0"/>
              <w:rPr>
                <w:sz w:val="20"/>
                <w:szCs w:val="20"/>
                <w:color w:val="auto"/>
              </w:rPr>
            </w:pPr>
            <w:r>
              <w:rPr>
                <w:rFonts w:ascii="Arial" w:cs="Arial" w:eastAsia="Arial" w:hAnsi="Arial"/>
                <w:sz w:val="15"/>
                <w:szCs w:val="15"/>
                <w:color w:val="auto"/>
                <w:w w:val="97"/>
              </w:rPr>
              <w:t>Antoine Munfakh</w:t>
            </w:r>
          </w:p>
        </w:tc>
        <w:tc>
          <w:tcPr>
            <w:tcW w:w="2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80" w:type="dxa"/>
            <w:vAlign w:val="bottom"/>
            <w:vMerge w:val="restart"/>
          </w:tcPr>
          <w:p>
            <w:pPr>
              <w:jc w:val="center"/>
              <w:ind w:right="247"/>
              <w:spacing w:after="0"/>
              <w:rPr>
                <w:sz w:val="20"/>
                <w:szCs w:val="20"/>
                <w:color w:val="auto"/>
              </w:rPr>
            </w:pPr>
            <w:r>
              <w:rPr>
                <w:rFonts w:ascii="Arial" w:cs="Arial" w:eastAsia="Arial" w:hAnsi="Arial"/>
                <w:sz w:val="15"/>
                <w:szCs w:val="15"/>
                <w:color w:val="auto"/>
                <w:w w:val="95"/>
              </w:rPr>
              <w:t>Director</w:t>
            </w:r>
          </w:p>
        </w:tc>
        <w:tc>
          <w:tcPr>
            <w:tcW w:w="2140" w:type="dxa"/>
            <w:vAlign w:val="bottom"/>
            <w:vMerge w:val="restart"/>
          </w:tcPr>
          <w:p>
            <w:pPr>
              <w:jc w:val="right"/>
              <w:ind w:right="106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vMerge w:val="restart"/>
          </w:tcPr>
          <w:p>
            <w:pPr>
              <w:jc w:val="center"/>
              <w:spacing w:after="0"/>
              <w:rPr>
                <w:sz w:val="20"/>
                <w:szCs w:val="20"/>
                <w:color w:val="auto"/>
              </w:rPr>
            </w:pPr>
            <w:r>
              <w:rPr>
                <w:rFonts w:ascii="Arial" w:cs="Arial" w:eastAsia="Arial" w:hAnsi="Arial"/>
                <w:sz w:val="15"/>
                <w:szCs w:val="15"/>
                <w:color w:val="auto"/>
                <w:w w:val="98"/>
              </w:rPr>
              <w:t>Kerry Philipovitch</w:t>
            </w:r>
          </w:p>
        </w:tc>
        <w:tc>
          <w:tcPr>
            <w:tcW w:w="2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80" w:type="dxa"/>
            <w:vAlign w:val="bottom"/>
            <w:vMerge w:val="restart"/>
          </w:tcPr>
          <w:p>
            <w:pPr>
              <w:jc w:val="center"/>
              <w:ind w:right="247"/>
              <w:spacing w:after="0"/>
              <w:rPr>
                <w:sz w:val="20"/>
                <w:szCs w:val="20"/>
                <w:color w:val="auto"/>
              </w:rPr>
            </w:pPr>
            <w:r>
              <w:rPr>
                <w:rFonts w:ascii="Arial" w:cs="Arial" w:eastAsia="Arial" w:hAnsi="Arial"/>
                <w:sz w:val="15"/>
                <w:szCs w:val="15"/>
                <w:color w:val="auto"/>
                <w:w w:val="95"/>
              </w:rPr>
              <w:t>Director</w:t>
            </w:r>
          </w:p>
        </w:tc>
        <w:tc>
          <w:tcPr>
            <w:tcW w:w="2140" w:type="dxa"/>
            <w:vAlign w:val="bottom"/>
            <w:vMerge w:val="restart"/>
          </w:tcPr>
          <w:p>
            <w:pPr>
              <w:jc w:val="right"/>
              <w:ind w:right="106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40" w:type="dxa"/>
            <w:vAlign w:val="bottom"/>
            <w:vMerge w:val="restart"/>
          </w:tcPr>
          <w:p>
            <w:pPr>
              <w:jc w:val="center"/>
              <w:spacing w:after="0"/>
              <w:rPr>
                <w:sz w:val="20"/>
                <w:szCs w:val="20"/>
                <w:color w:val="auto"/>
              </w:rPr>
            </w:pPr>
            <w:r>
              <w:rPr>
                <w:rFonts w:ascii="Arial" w:cs="Arial" w:eastAsia="Arial" w:hAnsi="Arial"/>
                <w:sz w:val="15"/>
                <w:szCs w:val="15"/>
                <w:color w:val="auto"/>
                <w:w w:val="92"/>
              </w:rPr>
              <w:t>David Siegel</w:t>
            </w:r>
          </w:p>
        </w:tc>
        <w:tc>
          <w:tcPr>
            <w:tcW w:w="2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80" w:type="dxa"/>
            <w:vAlign w:val="bottom"/>
            <w:vMerge w:val="restart"/>
          </w:tcPr>
          <w:p>
            <w:pPr>
              <w:jc w:val="center"/>
              <w:ind w:right="247"/>
              <w:spacing w:after="0"/>
              <w:rPr>
                <w:sz w:val="20"/>
                <w:szCs w:val="20"/>
                <w:color w:val="auto"/>
              </w:rPr>
            </w:pPr>
            <w:r>
              <w:rPr>
                <w:rFonts w:ascii="Arial" w:cs="Arial" w:eastAsia="Arial" w:hAnsi="Arial"/>
                <w:sz w:val="15"/>
                <w:szCs w:val="15"/>
                <w:color w:val="auto"/>
                <w:w w:val="95"/>
              </w:rPr>
              <w:t>Director</w:t>
            </w:r>
          </w:p>
        </w:tc>
        <w:tc>
          <w:tcPr>
            <w:tcW w:w="2140" w:type="dxa"/>
            <w:vAlign w:val="bottom"/>
            <w:vMerge w:val="restart"/>
          </w:tcPr>
          <w:p>
            <w:pPr>
              <w:jc w:val="right"/>
              <w:ind w:right="1067"/>
              <w:spacing w:after="0"/>
              <w:rPr>
                <w:sz w:val="20"/>
                <w:szCs w:val="20"/>
                <w:color w:val="auto"/>
              </w:rPr>
            </w:pPr>
            <w:r>
              <w:rPr>
                <w:rFonts w:ascii="Arial" w:cs="Arial" w:eastAsia="Arial" w:hAnsi="Arial"/>
                <w:sz w:val="15"/>
                <w:szCs w:val="15"/>
                <w:color w:val="auto"/>
              </w:rPr>
              <w:t>, 2021</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40" w:type="dxa"/>
            <w:vAlign w:val="bottom"/>
            <w:vMerge w:val="restart"/>
          </w:tcPr>
          <w:p>
            <w:pPr>
              <w:jc w:val="center"/>
              <w:spacing w:after="0"/>
              <w:rPr>
                <w:sz w:val="20"/>
                <w:szCs w:val="20"/>
                <w:color w:val="auto"/>
              </w:rPr>
            </w:pPr>
            <w:r>
              <w:rPr>
                <w:rFonts w:ascii="Arial" w:cs="Arial" w:eastAsia="Arial" w:hAnsi="Arial"/>
                <w:sz w:val="15"/>
                <w:szCs w:val="15"/>
                <w:color w:val="auto"/>
                <w:w w:val="89"/>
              </w:rPr>
              <w:t>Juan Carlos Zuazua</w:t>
            </w:r>
          </w:p>
        </w:tc>
        <w:tc>
          <w:tcPr>
            <w:tcW w:w="2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2"/>
        </w:trPr>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5610225</wp:posOffset>
            </wp:positionH>
            <wp:positionV relativeFrom="paragraph">
              <wp:posOffset>-26035</wp:posOffset>
            </wp:positionV>
            <wp:extent cx="32385" cy="3937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-26035</wp:posOffset>
            </wp:positionV>
            <wp:extent cx="32385" cy="3937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10.50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7960" w:type="dxa"/>
            <w:vAlign w:val="bottom"/>
            <w:gridSpan w:val="2"/>
          </w:tcPr>
          <w:p>
            <w:pPr>
              <w:ind w:left="660"/>
              <w:spacing w:after="0"/>
              <w:rPr>
                <w:sz w:val="20"/>
                <w:szCs w:val="20"/>
                <w:color w:val="auto"/>
              </w:rPr>
            </w:pPr>
            <w:r>
              <w:rPr>
                <w:rFonts w:ascii="Arial" w:cs="Arial" w:eastAsia="Arial" w:hAnsi="Arial"/>
                <w:sz w:val="15"/>
                <w:szCs w:val="15"/>
                <w:b w:val="1"/>
                <w:bCs w:val="1"/>
                <w:color w:val="auto"/>
              </w:rPr>
              <w:t>PAYROLL SUPPORT PROGRAM 3 AGREEMENT</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Recipient:</w:t>
            </w:r>
          </w:p>
        </w:tc>
        <w:tc>
          <w:tcPr>
            <w:tcW w:w="2160" w:type="dxa"/>
            <w:vAlign w:val="bottom"/>
            <w:tcBorders>
              <w:right w:val="single" w:sz="8" w:color="auto"/>
            </w:tcBorders>
          </w:tcPr>
          <w:p>
            <w:pPr>
              <w:spacing w:after="0"/>
              <w:rPr>
                <w:sz w:val="13"/>
                <w:szCs w:val="13"/>
                <w:color w:val="auto"/>
              </w:rPr>
            </w:pPr>
          </w:p>
        </w:tc>
        <w:tc>
          <w:tcPr>
            <w:tcW w:w="580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 xml:space="preserve">PSP Participant Number: </w:t>
            </w:r>
            <w:r>
              <w:rPr>
                <w:rFonts w:ascii="Arial" w:cs="Arial" w:eastAsia="Arial" w:hAnsi="Arial"/>
                <w:sz w:val="15"/>
                <w:szCs w:val="15"/>
                <w:color w:val="auto"/>
              </w:rPr>
              <w:t>PSP3A-2104160360</w:t>
            </w:r>
          </w:p>
        </w:tc>
        <w:tc>
          <w:tcPr>
            <w:tcW w:w="0" w:type="dxa"/>
            <w:vAlign w:val="bottom"/>
          </w:tcPr>
          <w:p>
            <w:pPr>
              <w:spacing w:after="0"/>
              <w:rPr>
                <w:sz w:val="1"/>
                <w:szCs w:val="1"/>
                <w:color w:val="auto"/>
              </w:rPr>
            </w:pPr>
          </w:p>
        </w:tc>
      </w:tr>
      <w:tr>
        <w:trPr>
          <w:trHeight w:val="186"/>
        </w:trPr>
        <w:tc>
          <w:tcPr>
            <w:tcW w:w="3320" w:type="dxa"/>
            <w:vAlign w:val="bottom"/>
          </w:tcPr>
          <w:p>
            <w:pPr>
              <w:ind w:left="80"/>
              <w:spacing w:after="0"/>
              <w:rPr>
                <w:sz w:val="20"/>
                <w:szCs w:val="20"/>
                <w:color w:val="auto"/>
              </w:rPr>
            </w:pPr>
            <w:r>
              <w:rPr>
                <w:rFonts w:ascii="Arial" w:cs="Arial" w:eastAsia="Arial" w:hAnsi="Arial"/>
                <w:sz w:val="15"/>
                <w:szCs w:val="15"/>
                <w:color w:val="auto"/>
              </w:rPr>
              <w:t>Sun Country, Inc. dba Sun Country Airlines</w:t>
            </w:r>
          </w:p>
        </w:tc>
        <w:tc>
          <w:tcPr>
            <w:tcW w:w="2160" w:type="dxa"/>
            <w:vAlign w:val="bottom"/>
            <w:tcBorders>
              <w:right w:val="single" w:sz="8" w:color="auto"/>
            </w:tcBorders>
          </w:tcPr>
          <w:p>
            <w:pPr>
              <w:spacing w:after="0"/>
              <w:rPr>
                <w:sz w:val="16"/>
                <w:szCs w:val="16"/>
                <w:color w:val="auto"/>
              </w:rPr>
            </w:pPr>
          </w:p>
        </w:tc>
        <w:tc>
          <w:tcPr>
            <w:tcW w:w="58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 xml:space="preserve">Employer Identification Number: </w:t>
            </w:r>
            <w:r>
              <w:rPr>
                <w:rFonts w:ascii="Arial" w:cs="Arial" w:eastAsia="Arial" w:hAnsi="Arial"/>
                <w:sz w:val="15"/>
                <w:szCs w:val="15"/>
                <w:color w:val="auto"/>
              </w:rPr>
              <w:t>35-2159124</w:t>
            </w:r>
          </w:p>
        </w:tc>
        <w:tc>
          <w:tcPr>
            <w:tcW w:w="0" w:type="dxa"/>
            <w:vAlign w:val="bottom"/>
          </w:tcPr>
          <w:p>
            <w:pPr>
              <w:spacing w:after="0"/>
              <w:rPr>
                <w:sz w:val="1"/>
                <w:szCs w:val="1"/>
                <w:color w:val="auto"/>
              </w:rPr>
            </w:pPr>
          </w:p>
        </w:tc>
      </w:tr>
      <w:tr>
        <w:trPr>
          <w:trHeight w:val="55"/>
        </w:trPr>
        <w:tc>
          <w:tcPr>
            <w:tcW w:w="3320" w:type="dxa"/>
            <w:vAlign w:val="bottom"/>
          </w:tcPr>
          <w:p>
            <w:pPr>
              <w:spacing w:after="0"/>
              <w:rPr>
                <w:sz w:val="4"/>
                <w:szCs w:val="4"/>
                <w:color w:val="auto"/>
              </w:rPr>
            </w:pPr>
          </w:p>
        </w:tc>
        <w:tc>
          <w:tcPr>
            <w:tcW w:w="2160" w:type="dxa"/>
            <w:vAlign w:val="bottom"/>
            <w:tcBorders>
              <w:right w:val="single" w:sz="8" w:color="auto"/>
            </w:tcBorders>
          </w:tcPr>
          <w:p>
            <w:pPr>
              <w:spacing w:after="0"/>
              <w:rPr>
                <w:sz w:val="4"/>
                <w:szCs w:val="4"/>
                <w:color w:val="auto"/>
              </w:rPr>
            </w:pPr>
          </w:p>
        </w:tc>
        <w:tc>
          <w:tcPr>
            <w:tcW w:w="5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20" w:type="dxa"/>
            <w:vAlign w:val="bottom"/>
            <w:vMerge w:val="restart"/>
          </w:tcPr>
          <w:p>
            <w:pPr>
              <w:ind w:left="80"/>
              <w:spacing w:after="0"/>
              <w:rPr>
                <w:sz w:val="20"/>
                <w:szCs w:val="20"/>
                <w:color w:val="auto"/>
              </w:rPr>
            </w:pPr>
            <w:r>
              <w:rPr>
                <w:rFonts w:ascii="Arial" w:cs="Arial" w:eastAsia="Arial" w:hAnsi="Arial"/>
                <w:sz w:val="15"/>
                <w:szCs w:val="15"/>
                <w:color w:val="auto"/>
              </w:rPr>
              <w:t>2005 Cargo Road</w:t>
            </w:r>
          </w:p>
        </w:tc>
        <w:tc>
          <w:tcPr>
            <w:tcW w:w="2160" w:type="dxa"/>
            <w:vAlign w:val="bottom"/>
            <w:tcBorders>
              <w:right w:val="single" w:sz="8" w:color="auto"/>
            </w:tcBorders>
          </w:tcPr>
          <w:p>
            <w:pPr>
              <w:spacing w:after="0"/>
              <w:rPr>
                <w:sz w:val="20"/>
                <w:szCs w:val="20"/>
                <w:color w:val="auto"/>
              </w:rPr>
            </w:pPr>
          </w:p>
        </w:tc>
        <w:tc>
          <w:tcPr>
            <w:tcW w:w="5800" w:type="dxa"/>
            <w:vAlign w:val="bottom"/>
          </w:tcPr>
          <w:p>
            <w:pPr>
              <w:ind w:left="60"/>
              <w:spacing w:after="0"/>
              <w:rPr>
                <w:sz w:val="20"/>
                <w:szCs w:val="20"/>
                <w:color w:val="auto"/>
              </w:rPr>
            </w:pPr>
            <w:r>
              <w:rPr>
                <w:rFonts w:ascii="Arial" w:cs="Arial" w:eastAsia="Arial" w:hAnsi="Arial"/>
                <w:sz w:val="15"/>
                <w:szCs w:val="15"/>
                <w:b w:val="1"/>
                <w:bCs w:val="1"/>
                <w:color w:val="auto"/>
              </w:rPr>
              <w:t xml:space="preserve">DUNS Number: </w:t>
            </w:r>
            <w:r>
              <w:rPr>
                <w:rFonts w:ascii="Arial" w:cs="Arial" w:eastAsia="Arial" w:hAnsi="Arial"/>
                <w:sz w:val="15"/>
                <w:szCs w:val="15"/>
                <w:color w:val="auto"/>
              </w:rPr>
              <w:t>114370096</w:t>
            </w:r>
          </w:p>
        </w:tc>
        <w:tc>
          <w:tcPr>
            <w:tcW w:w="0" w:type="dxa"/>
            <w:vAlign w:val="bottom"/>
          </w:tcPr>
          <w:p>
            <w:pPr>
              <w:spacing w:after="0"/>
              <w:rPr>
                <w:sz w:val="1"/>
                <w:szCs w:val="1"/>
                <w:color w:val="auto"/>
              </w:rPr>
            </w:pPr>
          </w:p>
        </w:tc>
      </w:tr>
      <w:tr>
        <w:trPr>
          <w:trHeight w:val="66"/>
        </w:trPr>
        <w:tc>
          <w:tcPr>
            <w:tcW w:w="3320" w:type="dxa"/>
            <w:vAlign w:val="bottom"/>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5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80"/>
              <w:spacing w:after="0"/>
              <w:rPr>
                <w:sz w:val="20"/>
                <w:szCs w:val="20"/>
                <w:color w:val="auto"/>
              </w:rPr>
            </w:pPr>
            <w:r>
              <w:rPr>
                <w:rFonts w:ascii="Arial" w:cs="Arial" w:eastAsia="Arial" w:hAnsi="Arial"/>
                <w:sz w:val="15"/>
                <w:szCs w:val="15"/>
                <w:color w:val="auto"/>
              </w:rPr>
              <w:t>Minneapolis, MN 55450</w:t>
            </w:r>
          </w:p>
        </w:tc>
        <w:tc>
          <w:tcPr>
            <w:tcW w:w="2160" w:type="dxa"/>
            <w:vAlign w:val="bottom"/>
            <w:tcBorders>
              <w:right w:val="single" w:sz="8" w:color="auto"/>
            </w:tcBorders>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320" w:type="dxa"/>
            <w:vAlign w:val="bottom"/>
            <w:tcBorders>
              <w:bottom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5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320" w:type="dxa"/>
            <w:vAlign w:val="bottom"/>
          </w:tcPr>
          <w:p>
            <w:pPr>
              <w:ind w:left="80"/>
              <w:spacing w:after="0"/>
              <w:rPr>
                <w:sz w:val="20"/>
                <w:szCs w:val="20"/>
                <w:color w:val="auto"/>
              </w:rPr>
            </w:pPr>
            <w:r>
              <w:rPr>
                <w:rFonts w:ascii="Arial" w:cs="Arial" w:eastAsia="Arial" w:hAnsi="Arial"/>
                <w:sz w:val="15"/>
                <w:szCs w:val="15"/>
                <w:b w:val="1"/>
                <w:bCs w:val="1"/>
                <w:color w:val="auto"/>
              </w:rPr>
              <w:t xml:space="preserve">Additional Recipients: </w:t>
            </w:r>
            <w:r>
              <w:rPr>
                <w:rFonts w:ascii="Arial" w:cs="Arial" w:eastAsia="Arial" w:hAnsi="Arial"/>
                <w:sz w:val="15"/>
                <w:szCs w:val="15"/>
                <w:color w:val="auto"/>
              </w:rPr>
              <w:t>N/A</w:t>
            </w:r>
          </w:p>
        </w:tc>
        <w:tc>
          <w:tcPr>
            <w:tcW w:w="21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57720" cy="348107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57720" cy="3481070"/>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Amount of Initial Payroll Support Payment: </w:t>
      </w:r>
      <w:r>
        <w:rPr>
          <w:rFonts w:ascii="Arial" w:cs="Arial" w:eastAsia="Arial" w:hAnsi="Arial"/>
          <w:sz w:val="15"/>
          <w:szCs w:val="15"/>
          <w:color w:val="auto"/>
        </w:rPr>
        <w:t>$17273516.23</w:t>
      </w:r>
    </w:p>
    <w:p>
      <w:pPr>
        <w:spacing w:after="0" w:line="106" w:lineRule="exact"/>
        <w:rPr>
          <w:sz w:val="20"/>
          <w:szCs w:val="20"/>
          <w:color w:val="auto"/>
        </w:rPr>
      </w:pPr>
    </w:p>
    <w:p>
      <w:pPr>
        <w:ind w:left="80" w:right="220"/>
        <w:spacing w:after="0" w:line="274" w:lineRule="auto"/>
        <w:rPr>
          <w:sz w:val="20"/>
          <w:szCs w:val="20"/>
          <w:color w:val="auto"/>
        </w:rPr>
      </w:pPr>
      <w:r>
        <w:rPr>
          <w:rFonts w:ascii="Arial" w:cs="Arial" w:eastAsia="Arial" w:hAnsi="Arial"/>
          <w:sz w:val="14"/>
          <w:szCs w:val="14"/>
          <w:color w:val="auto"/>
        </w:rPr>
        <w:t>The Department of the Treasury (Treasury) hereby provides Payroll Support (as defined herein) under section 7301 of the American Rescue Plan Act of 2021. The Signatory Entity named above, on behalf of itself and its Affiliates (as defined herein), agrees to comply with this Agreement and applicable Federal law as a condition of receiving Payroll Support. The Signatory Entity and its undersigned authorized representatives acknowledge that a materially false, fictitious, or fraudulent statement (or concealment or omission of a material fact) in connection with this Agreement may result in administrative remedies as well as civil and/or criminal penalties.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The undersigned hereby agree to the attached Payroll Support Program 3 Agreement.</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5620" w:type="dxa"/>
            <w:vAlign w:val="bottom"/>
            <w:gridSpan w:val="4"/>
          </w:tcPr>
          <w:p>
            <w:pPr>
              <w:spacing w:after="0"/>
              <w:rPr>
                <w:sz w:val="20"/>
                <w:szCs w:val="20"/>
                <w:color w:val="auto"/>
              </w:rPr>
            </w:pPr>
            <w:r>
              <w:rPr>
                <w:rFonts w:ascii="Arial" w:cs="Arial" w:eastAsia="Arial" w:hAnsi="Arial"/>
                <w:sz w:val="15"/>
                <w:szCs w:val="15"/>
                <w:color w:val="auto"/>
              </w:rPr>
              <w:t>/s/ David A. Lebryk</w:t>
            </w:r>
          </w:p>
        </w:tc>
        <w:tc>
          <w:tcPr>
            <w:tcW w:w="5520" w:type="dxa"/>
            <w:vAlign w:val="bottom"/>
            <w:gridSpan w:val="2"/>
          </w:tcPr>
          <w:p>
            <w:pPr>
              <w:ind w:left="20"/>
              <w:spacing w:after="0"/>
              <w:rPr>
                <w:sz w:val="20"/>
                <w:szCs w:val="20"/>
                <w:color w:val="auto"/>
              </w:rPr>
            </w:pPr>
            <w:r>
              <w:rPr>
                <w:rFonts w:ascii="Arial" w:cs="Arial" w:eastAsia="Arial" w:hAnsi="Arial"/>
                <w:sz w:val="15"/>
                <w:szCs w:val="15"/>
                <w:color w:val="auto"/>
              </w:rPr>
              <w:t>/s/ David M Davis</w:t>
            </w:r>
          </w:p>
        </w:tc>
      </w:tr>
      <w:tr>
        <w:trPr>
          <w:trHeight w:val="156"/>
        </w:trPr>
        <w:tc>
          <w:tcPr>
            <w:tcW w:w="20" w:type="dxa"/>
            <w:vAlign w:val="bottom"/>
          </w:tcPr>
          <w:p>
            <w:pPr>
              <w:spacing w:after="0"/>
              <w:rPr>
                <w:sz w:val="13"/>
                <w:szCs w:val="13"/>
                <w:color w:val="auto"/>
              </w:rPr>
            </w:pPr>
          </w:p>
        </w:tc>
        <w:tc>
          <w:tcPr>
            <w:tcW w:w="548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5"/>
                <w:szCs w:val="15"/>
                <w:color w:val="auto"/>
              </w:rPr>
              <w:t>Department of the Treasury</w:t>
            </w:r>
          </w:p>
        </w:tc>
        <w:tc>
          <w:tcPr>
            <w:tcW w:w="120" w:type="dxa"/>
            <w:vAlign w:val="bottom"/>
          </w:tcPr>
          <w:p>
            <w:pPr>
              <w:spacing w:after="0"/>
              <w:rPr>
                <w:sz w:val="13"/>
                <w:szCs w:val="13"/>
                <w:color w:val="auto"/>
              </w:rPr>
            </w:pPr>
          </w:p>
        </w:tc>
        <w:tc>
          <w:tcPr>
            <w:tcW w:w="552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5"/>
                <w:szCs w:val="15"/>
                <w:color w:val="auto"/>
              </w:rPr>
              <w:t>Sun Country, Inc. dba Sun Country Airlines</w:t>
            </w:r>
          </w:p>
        </w:tc>
      </w:tr>
      <w:tr>
        <w:trPr>
          <w:trHeight w:val="176"/>
        </w:trPr>
        <w:tc>
          <w:tcPr>
            <w:tcW w:w="500" w:type="dxa"/>
            <w:vAlign w:val="bottom"/>
            <w:gridSpan w:val="2"/>
          </w:tcPr>
          <w:p>
            <w:pPr>
              <w:spacing w:after="0"/>
              <w:rPr>
                <w:sz w:val="20"/>
                <w:szCs w:val="20"/>
                <w:color w:val="auto"/>
              </w:rPr>
            </w:pPr>
            <w:r>
              <w:rPr>
                <w:rFonts w:ascii="Arial" w:cs="Arial" w:eastAsia="Arial" w:hAnsi="Arial"/>
                <w:sz w:val="15"/>
                <w:szCs w:val="15"/>
                <w:color w:val="auto"/>
              </w:rPr>
              <w:t>Name:</w:t>
            </w:r>
          </w:p>
        </w:tc>
        <w:tc>
          <w:tcPr>
            <w:tcW w:w="5120" w:type="dxa"/>
            <w:vAlign w:val="bottom"/>
            <w:gridSpan w:val="2"/>
          </w:tcPr>
          <w:p>
            <w:pPr>
              <w:ind w:left="100"/>
              <w:spacing w:after="0"/>
              <w:rPr>
                <w:sz w:val="20"/>
                <w:szCs w:val="20"/>
                <w:color w:val="auto"/>
              </w:rPr>
            </w:pPr>
            <w:r>
              <w:rPr>
                <w:rFonts w:ascii="Arial" w:cs="Arial" w:eastAsia="Arial" w:hAnsi="Arial"/>
                <w:sz w:val="15"/>
                <w:szCs w:val="15"/>
                <w:color w:val="auto"/>
              </w:rPr>
              <w:t>David A. Lebryk</w:t>
            </w:r>
          </w:p>
        </w:tc>
        <w:tc>
          <w:tcPr>
            <w:tcW w:w="48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76"/>
        </w:trPr>
        <w:tc>
          <w:tcPr>
            <w:tcW w:w="500" w:type="dxa"/>
            <w:vAlign w:val="bottom"/>
            <w:gridSpan w:val="2"/>
          </w:tcPr>
          <w:p>
            <w:pPr>
              <w:spacing w:after="0"/>
              <w:rPr>
                <w:sz w:val="20"/>
                <w:szCs w:val="20"/>
                <w:color w:val="auto"/>
              </w:rPr>
            </w:pPr>
            <w:r>
              <w:rPr>
                <w:rFonts w:ascii="Arial" w:cs="Arial" w:eastAsia="Arial" w:hAnsi="Arial"/>
                <w:sz w:val="15"/>
                <w:szCs w:val="15"/>
                <w:color w:val="auto"/>
              </w:rPr>
              <w:t>Title:</w:t>
            </w:r>
          </w:p>
        </w:tc>
        <w:tc>
          <w:tcPr>
            <w:tcW w:w="5120" w:type="dxa"/>
            <w:vAlign w:val="bottom"/>
            <w:gridSpan w:val="2"/>
          </w:tcPr>
          <w:p>
            <w:pPr>
              <w:ind w:left="100"/>
              <w:spacing w:after="0"/>
              <w:rPr>
                <w:sz w:val="20"/>
                <w:szCs w:val="20"/>
                <w:color w:val="auto"/>
              </w:rPr>
            </w:pPr>
            <w:r>
              <w:rPr>
                <w:rFonts w:ascii="Arial" w:cs="Arial" w:eastAsia="Arial" w:hAnsi="Arial"/>
                <w:sz w:val="15"/>
                <w:szCs w:val="15"/>
                <w:color w:val="auto"/>
              </w:rPr>
              <w:t>Fiscal Assistant Secretary</w:t>
            </w:r>
          </w:p>
        </w:tc>
        <w:tc>
          <w:tcPr>
            <w:tcW w:w="5520" w:type="dxa"/>
            <w:vAlign w:val="bottom"/>
            <w:gridSpan w:val="2"/>
          </w:tcPr>
          <w:p>
            <w:pPr>
              <w:ind w:left="20"/>
              <w:spacing w:after="0"/>
              <w:rPr>
                <w:sz w:val="20"/>
                <w:szCs w:val="20"/>
                <w:color w:val="auto"/>
              </w:rPr>
            </w:pPr>
            <w:r>
              <w:rPr>
                <w:rFonts w:ascii="Arial" w:cs="Arial" w:eastAsia="Arial" w:hAnsi="Arial"/>
                <w:sz w:val="15"/>
                <w:szCs w:val="15"/>
                <w:color w:val="auto"/>
              </w:rPr>
              <w:t>First Authorized Representative</w:t>
            </w:r>
          </w:p>
        </w:tc>
      </w:tr>
      <w:tr>
        <w:trPr>
          <w:trHeight w:val="176"/>
        </w:trPr>
        <w:tc>
          <w:tcPr>
            <w:tcW w:w="500" w:type="dxa"/>
            <w:vAlign w:val="bottom"/>
            <w:gridSpan w:val="2"/>
          </w:tcPr>
          <w:p>
            <w:pPr>
              <w:spacing w:after="0"/>
              <w:rPr>
                <w:sz w:val="20"/>
                <w:szCs w:val="20"/>
                <w:color w:val="auto"/>
              </w:rPr>
            </w:pPr>
            <w:r>
              <w:rPr>
                <w:rFonts w:ascii="Arial" w:cs="Arial" w:eastAsia="Arial" w:hAnsi="Arial"/>
                <w:sz w:val="15"/>
                <w:szCs w:val="15"/>
                <w:color w:val="auto"/>
              </w:rPr>
              <w:t>Date:</w:t>
            </w:r>
          </w:p>
        </w:tc>
        <w:tc>
          <w:tcPr>
            <w:tcW w:w="5000" w:type="dxa"/>
            <w:vAlign w:val="bottom"/>
          </w:tcPr>
          <w:p>
            <w:pPr>
              <w:ind w:left="100"/>
              <w:spacing w:after="0"/>
              <w:rPr>
                <w:sz w:val="20"/>
                <w:szCs w:val="20"/>
                <w:color w:val="auto"/>
              </w:rPr>
            </w:pPr>
            <w:r>
              <w:rPr>
                <w:rFonts w:ascii="Arial" w:cs="Arial" w:eastAsia="Arial" w:hAnsi="Arial"/>
                <w:sz w:val="15"/>
                <w:szCs w:val="15"/>
                <w:color w:val="auto"/>
              </w:rPr>
              <w:t>04/27/2021</w:t>
            </w:r>
          </w:p>
        </w:tc>
        <w:tc>
          <w:tcPr>
            <w:tcW w:w="12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auto"/>
                <w:w w:val="99"/>
              </w:rPr>
              <w:t>Name:</w:t>
            </w:r>
          </w:p>
        </w:tc>
        <w:tc>
          <w:tcPr>
            <w:tcW w:w="5040" w:type="dxa"/>
            <w:vAlign w:val="bottom"/>
          </w:tcPr>
          <w:p>
            <w:pPr>
              <w:ind w:left="100"/>
              <w:spacing w:after="0"/>
              <w:rPr>
                <w:sz w:val="20"/>
                <w:szCs w:val="20"/>
                <w:color w:val="auto"/>
              </w:rPr>
            </w:pPr>
            <w:r>
              <w:rPr>
                <w:rFonts w:ascii="Arial" w:cs="Arial" w:eastAsia="Arial" w:hAnsi="Arial"/>
                <w:sz w:val="15"/>
                <w:szCs w:val="15"/>
                <w:color w:val="auto"/>
              </w:rPr>
              <w:t>David M Davis</w:t>
            </w: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auto"/>
              </w:rPr>
              <w:t>Title:</w:t>
            </w:r>
          </w:p>
        </w:tc>
        <w:tc>
          <w:tcPr>
            <w:tcW w:w="5040" w:type="dxa"/>
            <w:vAlign w:val="bottom"/>
          </w:tcPr>
          <w:p>
            <w:pPr>
              <w:ind w:left="100"/>
              <w:spacing w:after="0"/>
              <w:rPr>
                <w:sz w:val="20"/>
                <w:szCs w:val="20"/>
                <w:color w:val="auto"/>
              </w:rPr>
            </w:pPr>
            <w:r>
              <w:rPr>
                <w:rFonts w:ascii="Arial" w:cs="Arial" w:eastAsia="Arial" w:hAnsi="Arial"/>
                <w:sz w:val="15"/>
                <w:szCs w:val="15"/>
                <w:color w:val="auto"/>
              </w:rPr>
              <w:t>President &amp; CFO</w:t>
            </w: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auto"/>
              </w:rPr>
              <w:t>Date:</w:t>
            </w:r>
          </w:p>
        </w:tc>
        <w:tc>
          <w:tcPr>
            <w:tcW w:w="5040" w:type="dxa"/>
            <w:vAlign w:val="bottom"/>
          </w:tcPr>
          <w:p>
            <w:pPr>
              <w:ind w:left="100"/>
              <w:spacing w:after="0"/>
              <w:rPr>
                <w:sz w:val="20"/>
                <w:szCs w:val="20"/>
                <w:color w:val="auto"/>
              </w:rPr>
            </w:pPr>
            <w:r>
              <w:rPr>
                <w:rFonts w:ascii="Arial" w:cs="Arial" w:eastAsia="Arial" w:hAnsi="Arial"/>
                <w:sz w:val="15"/>
                <w:szCs w:val="15"/>
                <w:color w:val="auto"/>
              </w:rPr>
              <w:t>4/23/2021</w:t>
            </w:r>
          </w:p>
        </w:tc>
      </w:tr>
      <w:tr>
        <w:trPr>
          <w:trHeight w:val="35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/s/ Eric M. Levenhagen</w:t>
            </w:r>
          </w:p>
        </w:tc>
      </w:tr>
      <w:tr>
        <w:trPr>
          <w:trHeight w:val="177"/>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20" w:type="dxa"/>
            <w:vAlign w:val="bottom"/>
            <w:gridSpan w:val="2"/>
          </w:tcPr>
          <w:p>
            <w:pPr>
              <w:ind w:left="20"/>
              <w:spacing w:after="0"/>
              <w:rPr>
                <w:sz w:val="20"/>
                <w:szCs w:val="20"/>
                <w:color w:val="auto"/>
              </w:rPr>
            </w:pPr>
            <w:r>
              <w:rPr>
                <w:rFonts w:ascii="Arial" w:cs="Arial" w:eastAsia="Arial" w:hAnsi="Arial"/>
                <w:sz w:val="15"/>
                <w:szCs w:val="15"/>
                <w:color w:val="auto"/>
              </w:rPr>
              <w:t>Sun Country, Inc. dba Sun Country Airlines</w:t>
            </w:r>
          </w:p>
        </w:tc>
      </w:tr>
      <w:tr>
        <w:trPr>
          <w:trHeight w:val="33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2"/>
          </w:tcPr>
          <w:p>
            <w:pPr>
              <w:ind w:left="20"/>
              <w:spacing w:after="0"/>
              <w:rPr>
                <w:sz w:val="20"/>
                <w:szCs w:val="20"/>
                <w:color w:val="auto"/>
              </w:rPr>
            </w:pPr>
            <w:r>
              <w:rPr>
                <w:rFonts w:ascii="Arial" w:cs="Arial" w:eastAsia="Arial" w:hAnsi="Arial"/>
                <w:sz w:val="15"/>
                <w:szCs w:val="15"/>
                <w:color w:val="auto"/>
              </w:rPr>
              <w:t>Second Authorized Representative</w:t>
            </w: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auto"/>
                <w:w w:val="99"/>
              </w:rPr>
              <w:t>Name:</w:t>
            </w:r>
          </w:p>
        </w:tc>
        <w:tc>
          <w:tcPr>
            <w:tcW w:w="5040" w:type="dxa"/>
            <w:vAlign w:val="bottom"/>
          </w:tcPr>
          <w:p>
            <w:pPr>
              <w:ind w:left="100"/>
              <w:spacing w:after="0"/>
              <w:rPr>
                <w:sz w:val="20"/>
                <w:szCs w:val="20"/>
                <w:color w:val="auto"/>
              </w:rPr>
            </w:pPr>
            <w:r>
              <w:rPr>
                <w:rFonts w:ascii="Arial" w:cs="Arial" w:eastAsia="Arial" w:hAnsi="Arial"/>
                <w:sz w:val="15"/>
                <w:szCs w:val="15"/>
                <w:color w:val="auto"/>
              </w:rPr>
              <w:t>Eric M. Levenhagen</w:t>
            </w: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auto"/>
              </w:rPr>
              <w:t>Title:</w:t>
            </w:r>
          </w:p>
        </w:tc>
        <w:tc>
          <w:tcPr>
            <w:tcW w:w="5040" w:type="dxa"/>
            <w:vAlign w:val="bottom"/>
          </w:tcPr>
          <w:p>
            <w:pPr>
              <w:ind w:left="100"/>
              <w:spacing w:after="0"/>
              <w:rPr>
                <w:sz w:val="20"/>
                <w:szCs w:val="20"/>
                <w:color w:val="auto"/>
              </w:rPr>
            </w:pPr>
            <w:r>
              <w:rPr>
                <w:rFonts w:ascii="Arial" w:cs="Arial" w:eastAsia="Arial" w:hAnsi="Arial"/>
                <w:sz w:val="15"/>
                <w:szCs w:val="15"/>
                <w:color w:val="auto"/>
              </w:rPr>
              <w:t>General Counsel &amp; Chief Admin Officer</w:t>
            </w: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auto"/>
              </w:rPr>
              <w:t>Date:</w:t>
            </w:r>
          </w:p>
        </w:tc>
        <w:tc>
          <w:tcPr>
            <w:tcW w:w="5040" w:type="dxa"/>
            <w:vAlign w:val="bottom"/>
          </w:tcPr>
          <w:p>
            <w:pPr>
              <w:ind w:left="100"/>
              <w:spacing w:after="0"/>
              <w:rPr>
                <w:sz w:val="20"/>
                <w:szCs w:val="20"/>
                <w:color w:val="auto"/>
              </w:rPr>
            </w:pPr>
            <w:r>
              <w:rPr>
                <w:rFonts w:ascii="Arial" w:cs="Arial" w:eastAsia="Arial" w:hAnsi="Arial"/>
                <w:sz w:val="15"/>
                <w:szCs w:val="15"/>
                <w:color w:val="auto"/>
              </w:rPr>
              <w:t>4/23/2021</w:t>
            </w:r>
          </w:p>
        </w:tc>
      </w:tr>
    </w:tbl>
    <w:p>
      <w:pPr>
        <w:spacing w:after="0" w:line="44"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OMB Approval No. 1505-0263</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PAPERWORK REDUCTION ACT NOTICE</w:t>
      </w:r>
    </w:p>
    <w:p>
      <w:pPr>
        <w:spacing w:after="0" w:line="14" w:lineRule="exact"/>
        <w:rPr>
          <w:sz w:val="20"/>
          <w:szCs w:val="20"/>
          <w:color w:val="auto"/>
        </w:rPr>
      </w:pPr>
    </w:p>
    <w:p>
      <w:pPr>
        <w:ind w:left="800" w:right="40"/>
        <w:spacing w:after="0" w:line="269" w:lineRule="auto"/>
        <w:rPr>
          <w:sz w:val="20"/>
          <w:szCs w:val="20"/>
          <w:color w:val="auto"/>
        </w:rPr>
      </w:pPr>
      <w:r>
        <w:rPr>
          <w:rFonts w:ascii="Arial" w:cs="Arial" w:eastAsia="Arial" w:hAnsi="Arial"/>
          <w:sz w:val="14"/>
          <w:szCs w:val="14"/>
          <w:color w:val="auto"/>
        </w:rPr>
        <w:t>The information collected will be used for the U.S. Government to process requests for support. The estimated burden associated with this collection of information is 2 hours per response. Comments concerning the accuracy of this burden estimate and suggestions for reducing this burden should be directed to the Office of Privacy, Transparency and Records, Department of the Treasury, 1500 Pennsylvania Ave., N.W., Washington, D.C. 20220. DO NOT send the form to this address. An agency may not conduct or sponsor, and a person is not required to respond to, a collection of information unless it displays a valid control number assigned by OMB.</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278" w:name="page279"/>
    <w:bookmarkEnd w:id="278"/>
    <w:p>
      <w:pPr>
        <w:jc w:val="center"/>
        <w:ind w:right="-79"/>
        <w:spacing w:after="0"/>
        <w:rPr>
          <w:sz w:val="20"/>
          <w:szCs w:val="20"/>
          <w:color w:val="auto"/>
        </w:rPr>
      </w:pPr>
      <w:r>
        <w:rPr>
          <w:rFonts w:ascii="Arial" w:cs="Arial" w:eastAsia="Arial" w:hAnsi="Arial"/>
          <w:sz w:val="15"/>
          <w:szCs w:val="15"/>
          <w:b w:val="1"/>
          <w:bCs w:val="1"/>
          <w:u w:val="single" w:color="auto"/>
          <w:color w:val="auto"/>
        </w:rPr>
        <w:t>PAYROLL SUPPORT PROGRAM 3 AGREEMENT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INTRODUCTION</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Section 7301 of the American Rescue Plan Act of 2021 (ARP) directs the Department of the Treasury (Treasury) to provide Payroll Support (as defined herein) to passenger air carriers and certain contractors that must be exclusively used for the continuation of payment of Employee Salaries, Wages, and Benefits (as defined herein). The ARP requires certain assurances from the Recipient (as defined herein).</w:t>
      </w:r>
    </w:p>
    <w:p>
      <w:pPr>
        <w:spacing w:after="0" w:line="156" w:lineRule="exact"/>
        <w:rPr>
          <w:sz w:val="20"/>
          <w:szCs w:val="20"/>
          <w:color w:val="auto"/>
        </w:rPr>
      </w:pPr>
    </w:p>
    <w:p>
      <w:pPr>
        <w:ind w:right="320"/>
        <w:spacing w:after="0" w:line="264" w:lineRule="auto"/>
        <w:rPr>
          <w:sz w:val="20"/>
          <w:szCs w:val="20"/>
          <w:color w:val="auto"/>
        </w:rPr>
      </w:pPr>
      <w:r>
        <w:rPr>
          <w:rFonts w:ascii="Arial" w:cs="Arial" w:eastAsia="Arial" w:hAnsi="Arial"/>
          <w:sz w:val="15"/>
          <w:szCs w:val="15"/>
          <w:color w:val="auto"/>
        </w:rPr>
        <w:t>This Payroll Support Program 3 Agreement, including all supporting documents submitted by the Recipient and the Payroll Support Program 3 Certification attached hereto (collectively, Agreement), memorializes the binding terms and conditions applicable to the Recipient.</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DEFINITIONS</w:t>
      </w:r>
    </w:p>
    <w:p>
      <w:pPr>
        <w:spacing w:after="0" w:line="183"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As used in this Agreement, the following terms shall have the following respective meanings, unless the context clearly requires otherwise. In addition, this Agreement shall be construed in a manner consistent with any public guidance Treasury may from time to time issue regarding the implementation of section 7301 of the ARP.</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Additional Payroll Support Payment </w:t>
      </w:r>
      <w:r>
        <w:rPr>
          <w:rFonts w:ascii="Arial" w:cs="Arial" w:eastAsia="Arial" w:hAnsi="Arial"/>
          <w:sz w:val="15"/>
          <w:szCs w:val="15"/>
          <w:color w:val="auto"/>
        </w:rPr>
        <w:t>means any disbursement of Payroll Support occurring after the first disbursement of Payroll Support under this Agreement.</w:t>
      </w:r>
    </w:p>
    <w:p>
      <w:pPr>
        <w:spacing w:after="0" w:line="179" w:lineRule="exact"/>
        <w:rPr>
          <w:sz w:val="20"/>
          <w:szCs w:val="20"/>
          <w:color w:val="auto"/>
        </w:rPr>
      </w:pPr>
    </w:p>
    <w:p>
      <w:pPr>
        <w:spacing w:after="0" w:line="341" w:lineRule="auto"/>
        <w:rPr>
          <w:sz w:val="20"/>
          <w:szCs w:val="20"/>
          <w:color w:val="auto"/>
        </w:rPr>
      </w:pPr>
      <w:r>
        <w:rPr>
          <w:rFonts w:ascii="Arial" w:cs="Arial" w:eastAsia="Arial" w:hAnsi="Arial"/>
          <w:sz w:val="13"/>
          <w:szCs w:val="13"/>
          <w:i w:val="1"/>
          <w:iCs w:val="1"/>
          <w:color w:val="auto"/>
        </w:rPr>
        <w:t xml:space="preserve">Affiliate </w:t>
      </w:r>
      <w:r>
        <w:rPr>
          <w:rFonts w:ascii="Arial" w:cs="Arial" w:eastAsia="Arial" w:hAnsi="Arial"/>
          <w:sz w:val="13"/>
          <w:szCs w:val="13"/>
          <w:color w:val="auto"/>
        </w:rPr>
        <w:t>means any Person that directly or indirectly controls, is controlled by, or is under common control with, the Recipient. For purposes of this definition, "control" of a Person shall mean</w:t>
      </w:r>
      <w:r>
        <w:rPr>
          <w:rFonts w:ascii="Arial" w:cs="Arial" w:eastAsia="Arial" w:hAnsi="Arial"/>
          <w:sz w:val="13"/>
          <w:szCs w:val="13"/>
          <w:i w:val="1"/>
          <w:iCs w:val="1"/>
          <w:color w:val="auto"/>
        </w:rPr>
        <w:t xml:space="preserve"> </w:t>
      </w:r>
      <w:r>
        <w:rPr>
          <w:rFonts w:ascii="Arial" w:cs="Arial" w:eastAsia="Arial" w:hAnsi="Arial"/>
          <w:sz w:val="13"/>
          <w:szCs w:val="13"/>
          <w:color w:val="auto"/>
        </w:rPr>
        <w:t>having the power, directly or indirectly, to direct or cause the direction of the management and policies of such Person, whether by ownership of voting equity, by contract,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ARP </w:t>
      </w:r>
      <w:r>
        <w:rPr>
          <w:rFonts w:ascii="Arial" w:cs="Arial" w:eastAsia="Arial" w:hAnsi="Arial"/>
          <w:sz w:val="15"/>
          <w:szCs w:val="15"/>
          <w:color w:val="auto"/>
        </w:rPr>
        <w:t>means the American Rescue Plan Act of 2021.</w:t>
      </w:r>
    </w:p>
    <w:p>
      <w:pPr>
        <w:spacing w:after="0" w:line="179" w:lineRule="exact"/>
        <w:rPr>
          <w:sz w:val="20"/>
          <w:szCs w:val="20"/>
          <w:color w:val="auto"/>
        </w:rPr>
      </w:pPr>
    </w:p>
    <w:p>
      <w:pPr>
        <w:ind w:right="80"/>
        <w:spacing w:after="0" w:line="302" w:lineRule="auto"/>
        <w:rPr>
          <w:sz w:val="20"/>
          <w:szCs w:val="20"/>
          <w:color w:val="auto"/>
        </w:rPr>
      </w:pPr>
      <w:r>
        <w:rPr>
          <w:rFonts w:ascii="Arial" w:cs="Arial" w:eastAsia="Arial" w:hAnsi="Arial"/>
          <w:sz w:val="13"/>
          <w:szCs w:val="13"/>
          <w:i w:val="1"/>
          <w:iCs w:val="1"/>
          <w:color w:val="auto"/>
        </w:rPr>
        <w:t xml:space="preserve">Benefits </w:t>
      </w:r>
      <w:r>
        <w:rPr>
          <w:rFonts w:ascii="Arial" w:cs="Arial" w:eastAsia="Arial" w:hAnsi="Arial"/>
          <w:sz w:val="13"/>
          <w:szCs w:val="13"/>
          <w:color w:val="auto"/>
        </w:rPr>
        <w:t>means, without duplication of any amounts counted as Salary or Wages, pension expenses in respect of Employees, all expenses for accident, sickness, hospital, and death benefits to</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Employees, and the cost of insurance to provide such benefits; any Severance Pay or Other Benefits payable to Employees pursuant to a bona fide voluntary early retirement program or voluntary furlough; and any other similar expenses paid by the Recipient for the benefit of Employees, including any other fringe benefit expense described in lines 10 and 11 of Financial Reporting Schedule P-6, Form 41, as published by the Department of Transportation, but excluding any Federal, state, or local payroll taxes paid by the Recipient.</w:t>
      </w:r>
    </w:p>
    <w:p>
      <w:pPr>
        <w:spacing w:after="0" w:line="126" w:lineRule="exact"/>
        <w:rPr>
          <w:sz w:val="20"/>
          <w:szCs w:val="20"/>
          <w:color w:val="auto"/>
        </w:rPr>
      </w:pPr>
    </w:p>
    <w:p>
      <w:pPr>
        <w:jc w:val="both"/>
        <w:ind w:right="80"/>
        <w:spacing w:after="0" w:line="281" w:lineRule="auto"/>
        <w:rPr>
          <w:sz w:val="20"/>
          <w:szCs w:val="20"/>
          <w:color w:val="auto"/>
        </w:rPr>
      </w:pPr>
      <w:r>
        <w:rPr>
          <w:rFonts w:ascii="Arial" w:cs="Arial" w:eastAsia="Arial" w:hAnsi="Arial"/>
          <w:sz w:val="14"/>
          <w:szCs w:val="14"/>
          <w:i w:val="1"/>
          <w:iCs w:val="1"/>
          <w:color w:val="auto"/>
        </w:rPr>
        <w:t xml:space="preserve">Corporate Officer </w:t>
      </w:r>
      <w:r>
        <w:rPr>
          <w:rFonts w:ascii="Arial" w:cs="Arial" w:eastAsia="Arial" w:hAnsi="Arial"/>
          <w:sz w:val="14"/>
          <w:szCs w:val="14"/>
          <w:color w:val="auto"/>
        </w:rPr>
        <w:t>means, with respect to the Recipient, its president; any vice president in charge of a principal business unit, division, or function (such as sales, administration or finance);</w:t>
      </w:r>
      <w:r>
        <w:rPr>
          <w:rFonts w:ascii="Arial" w:cs="Arial" w:eastAsia="Arial" w:hAnsi="Arial"/>
          <w:sz w:val="14"/>
          <w:szCs w:val="14"/>
          <w:i w:val="1"/>
          <w:iCs w:val="1"/>
          <w:color w:val="auto"/>
        </w:rPr>
        <w:t xml:space="preserve"> </w:t>
      </w:r>
      <w:r>
        <w:rPr>
          <w:rFonts w:ascii="Arial" w:cs="Arial" w:eastAsia="Arial" w:hAnsi="Arial"/>
          <w:sz w:val="14"/>
          <w:szCs w:val="14"/>
          <w:color w:val="auto"/>
        </w:rPr>
        <w:t>any other officer who performs a policy-making function; or any other person who performs similar policy making functions for the Recipient. Executive officers of subsidiaries or parents of the Recipient may be deemed Corporate Officers of the Recipient if they perform such policy-making functions for the Recipient.</w:t>
      </w: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20"/>
          </w:cols>
          <w:pgMar w:left="300" w:top="762" w:right="379" w:bottom="1440" w:gutter="0" w:footer="0" w:header="0"/>
        </w:sectPr>
      </w:pPr>
    </w:p>
    <w:bookmarkStart w:id="279" w:name="page280"/>
    <w:bookmarkEnd w:id="279"/>
    <w:p>
      <w:pPr>
        <w:spacing w:after="0" w:line="300" w:lineRule="auto"/>
        <w:rPr>
          <w:sz w:val="20"/>
          <w:szCs w:val="20"/>
          <w:color w:val="auto"/>
        </w:rPr>
      </w:pPr>
      <w:r>
        <w:rPr>
          <w:rFonts w:ascii="Arial" w:cs="Arial" w:eastAsia="Arial" w:hAnsi="Arial"/>
          <w:sz w:val="14"/>
          <w:szCs w:val="14"/>
          <w:i w:val="1"/>
          <w:iCs w:val="1"/>
          <w:color w:val="auto"/>
        </w:rPr>
        <w:t xml:space="preserve">Employee </w:t>
      </w:r>
      <w:r>
        <w:rPr>
          <w:rFonts w:ascii="Arial" w:cs="Arial" w:eastAsia="Arial" w:hAnsi="Arial"/>
          <w:sz w:val="14"/>
          <w:szCs w:val="14"/>
          <w:color w:val="auto"/>
        </w:rPr>
        <w:t>means an individual who is employed by the Recipient and whose principal place of employment is in the United States (including its territories and possessions), including salaried,</w:t>
      </w:r>
      <w:r>
        <w:rPr>
          <w:rFonts w:ascii="Arial" w:cs="Arial" w:eastAsia="Arial" w:hAnsi="Arial"/>
          <w:sz w:val="14"/>
          <w:szCs w:val="14"/>
          <w:i w:val="1"/>
          <w:iCs w:val="1"/>
          <w:color w:val="auto"/>
        </w:rPr>
        <w:t xml:space="preserve"> </w:t>
      </w:r>
      <w:r>
        <w:rPr>
          <w:rFonts w:ascii="Arial" w:cs="Arial" w:eastAsia="Arial" w:hAnsi="Arial"/>
          <w:sz w:val="14"/>
          <w:szCs w:val="14"/>
          <w:color w:val="auto"/>
        </w:rPr>
        <w:t>hourly, full-time, part-time, temporary, and leased employees, but excluding any individual who is a Corporate Officer or independent contractor.</w:t>
      </w:r>
    </w:p>
    <w:p>
      <w:pPr>
        <w:spacing w:after="0" w:line="125" w:lineRule="exact"/>
        <w:rPr>
          <w:sz w:val="20"/>
          <w:szCs w:val="20"/>
          <w:color w:val="auto"/>
        </w:rPr>
      </w:pPr>
    </w:p>
    <w:p>
      <w:pPr>
        <w:ind w:right="240"/>
        <w:spacing w:after="0" w:line="254" w:lineRule="auto"/>
        <w:rPr>
          <w:sz w:val="20"/>
          <w:szCs w:val="20"/>
          <w:color w:val="auto"/>
        </w:rPr>
      </w:pPr>
      <w:r>
        <w:rPr>
          <w:rFonts w:ascii="Arial" w:cs="Arial" w:eastAsia="Arial" w:hAnsi="Arial"/>
          <w:sz w:val="15"/>
          <w:szCs w:val="15"/>
          <w:i w:val="1"/>
          <w:iCs w:val="1"/>
          <w:color w:val="auto"/>
        </w:rPr>
        <w:t xml:space="preserve">Involuntary Termination or Furlough </w:t>
      </w:r>
      <w:r>
        <w:rPr>
          <w:rFonts w:ascii="Arial" w:cs="Arial" w:eastAsia="Arial" w:hAnsi="Arial"/>
          <w:sz w:val="15"/>
          <w:szCs w:val="15"/>
          <w:color w:val="auto"/>
        </w:rPr>
        <w:t>means the Recipient terminating the employment of one or more Employees or requiring one or more Employees to take a temporary suspension or</w:t>
      </w:r>
      <w:r>
        <w:rPr>
          <w:rFonts w:ascii="Arial" w:cs="Arial" w:eastAsia="Arial" w:hAnsi="Arial"/>
          <w:sz w:val="15"/>
          <w:szCs w:val="15"/>
          <w:i w:val="1"/>
          <w:iCs w:val="1"/>
          <w:color w:val="auto"/>
        </w:rPr>
        <w:t xml:space="preserve"> </w:t>
      </w:r>
      <w:r>
        <w:rPr>
          <w:rFonts w:ascii="Arial" w:cs="Arial" w:eastAsia="Arial" w:hAnsi="Arial"/>
          <w:sz w:val="15"/>
          <w:szCs w:val="15"/>
          <w:color w:val="auto"/>
        </w:rPr>
        <w:t>unpaid leave for any reason, including a shut-down or slow-down of business; provided, however, that an Involuntary Termination or Furlough does not include a Permitted Termination or Furlough.</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Maximum Awardable Amount </w:t>
      </w:r>
      <w:r>
        <w:rPr>
          <w:rFonts w:ascii="Arial" w:cs="Arial" w:eastAsia="Arial" w:hAnsi="Arial"/>
          <w:sz w:val="15"/>
          <w:szCs w:val="15"/>
          <w:color w:val="auto"/>
        </w:rPr>
        <w:t>means the amount determined by the Secretary with respect to the Recipient pursuant to section 7301(b)(2) of the ARP.</w:t>
      </w:r>
    </w:p>
    <w:p>
      <w:pPr>
        <w:spacing w:after="0" w:line="179" w:lineRule="exact"/>
        <w:rPr>
          <w:sz w:val="20"/>
          <w:szCs w:val="20"/>
          <w:color w:val="auto"/>
        </w:rPr>
      </w:pPr>
    </w:p>
    <w:p>
      <w:pPr>
        <w:ind w:right="500"/>
        <w:spacing w:after="0" w:line="264" w:lineRule="auto"/>
        <w:rPr>
          <w:sz w:val="20"/>
          <w:szCs w:val="20"/>
          <w:color w:val="auto"/>
        </w:rPr>
      </w:pPr>
      <w:r>
        <w:rPr>
          <w:rFonts w:ascii="Arial" w:cs="Arial" w:eastAsia="Arial" w:hAnsi="Arial"/>
          <w:sz w:val="15"/>
          <w:szCs w:val="15"/>
          <w:i w:val="1"/>
          <w:iCs w:val="1"/>
          <w:color w:val="auto"/>
        </w:rPr>
        <w:t xml:space="preserve">Payroll Support </w:t>
      </w:r>
      <w:r>
        <w:rPr>
          <w:rFonts w:ascii="Arial" w:cs="Arial" w:eastAsia="Arial" w:hAnsi="Arial"/>
          <w:sz w:val="15"/>
          <w:szCs w:val="15"/>
          <w:color w:val="auto"/>
        </w:rPr>
        <w:t>means funds disbursed by the Secretary to the Recipient under this Agreement, including the first disbursement of Payroll Support and any Additional Payroll Support</w:t>
      </w:r>
      <w:r>
        <w:rPr>
          <w:rFonts w:ascii="Arial" w:cs="Arial" w:eastAsia="Arial" w:hAnsi="Arial"/>
          <w:sz w:val="15"/>
          <w:szCs w:val="15"/>
          <w:i w:val="1"/>
          <w:iCs w:val="1"/>
          <w:color w:val="auto"/>
        </w:rPr>
        <w:t xml:space="preserve"> </w:t>
      </w:r>
      <w:r>
        <w:rPr>
          <w:rFonts w:ascii="Arial" w:cs="Arial" w:eastAsia="Arial" w:hAnsi="Arial"/>
          <w:sz w:val="15"/>
          <w:szCs w:val="15"/>
          <w:color w:val="auto"/>
        </w:rPr>
        <w:t>Payment.</w:t>
      </w:r>
    </w:p>
    <w:p>
      <w:pPr>
        <w:spacing w:after="0" w:line="148" w:lineRule="exact"/>
        <w:rPr>
          <w:sz w:val="20"/>
          <w:szCs w:val="20"/>
          <w:color w:val="auto"/>
        </w:rPr>
      </w:pPr>
    </w:p>
    <w:p>
      <w:pPr>
        <w:spacing w:after="0" w:line="281" w:lineRule="auto"/>
        <w:rPr>
          <w:sz w:val="20"/>
          <w:szCs w:val="20"/>
          <w:color w:val="auto"/>
        </w:rPr>
      </w:pPr>
      <w:r>
        <w:rPr>
          <w:rFonts w:ascii="Arial" w:cs="Arial" w:eastAsia="Arial" w:hAnsi="Arial"/>
          <w:sz w:val="14"/>
          <w:szCs w:val="14"/>
          <w:i w:val="1"/>
          <w:iCs w:val="1"/>
          <w:color w:val="auto"/>
        </w:rPr>
        <w:t xml:space="preserve">Permitted Termination or Furlough </w:t>
      </w:r>
      <w:r>
        <w:rPr>
          <w:rFonts w:ascii="Arial" w:cs="Arial" w:eastAsia="Arial" w:hAnsi="Arial"/>
          <w:sz w:val="14"/>
          <w:szCs w:val="14"/>
          <w:color w:val="auto"/>
        </w:rPr>
        <w:t>means, with respect to an Employee, (1) a voluntary furlough, voluntary leave of absence, voluntary resignation, or voluntary retirement, (2) termination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resulting from such Employee's death or disability, or (3) the Recipient terminating the employment of such Employee for cause or placing such Employee on a temporary suspension or unpaid leave of absence for disciplinary reasons, in either case, as reasonably determined by the Recipient acting in good faith.</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Person </w:t>
      </w:r>
      <w:r>
        <w:rPr>
          <w:rFonts w:ascii="Arial" w:cs="Arial" w:eastAsia="Arial" w:hAnsi="Arial"/>
          <w:sz w:val="15"/>
          <w:szCs w:val="15"/>
          <w:color w:val="auto"/>
        </w:rPr>
        <w:t>means any natural person, corporation, limited liability company, partnership, joint venture, trust, business association, governmental entity, or other entity.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PSP1 </w:t>
      </w:r>
      <w:r>
        <w:rPr>
          <w:rFonts w:ascii="Arial" w:cs="Arial" w:eastAsia="Arial" w:hAnsi="Arial"/>
          <w:sz w:val="14"/>
          <w:szCs w:val="14"/>
          <w:color w:val="auto"/>
        </w:rPr>
        <w:t>means the Payroll Support Program established under Division A, Title IV, Subtitle B of the Coronavirus Aid, Relief, and Economic Security Act (Pub. L. No. 116-136).</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PSP2 </w:t>
      </w:r>
      <w:r>
        <w:rPr>
          <w:rFonts w:ascii="Arial" w:cs="Arial" w:eastAsia="Arial" w:hAnsi="Arial"/>
          <w:sz w:val="15"/>
          <w:szCs w:val="15"/>
          <w:color w:val="auto"/>
        </w:rPr>
        <w:t>means the Payroll Support Program Extension established under Subtitle A of Title IV of Division N of the Consolidated Appropriations Act, 2021.</w:t>
      </w:r>
    </w:p>
    <w:p>
      <w:pPr>
        <w:spacing w:after="0" w:line="179" w:lineRule="exact"/>
        <w:rPr>
          <w:sz w:val="20"/>
          <w:szCs w:val="20"/>
          <w:color w:val="auto"/>
        </w:rPr>
      </w:pPr>
    </w:p>
    <w:p>
      <w:pPr>
        <w:ind w:right="360"/>
        <w:spacing w:after="0" w:line="264" w:lineRule="auto"/>
        <w:rPr>
          <w:sz w:val="20"/>
          <w:szCs w:val="20"/>
          <w:color w:val="auto"/>
        </w:rPr>
      </w:pPr>
      <w:r>
        <w:rPr>
          <w:rFonts w:ascii="Arial" w:cs="Arial" w:eastAsia="Arial" w:hAnsi="Arial"/>
          <w:sz w:val="15"/>
          <w:szCs w:val="15"/>
          <w:i w:val="1"/>
          <w:iCs w:val="1"/>
          <w:color w:val="auto"/>
        </w:rPr>
        <w:t xml:space="preserve">Recipient </w:t>
      </w:r>
      <w:r>
        <w:rPr>
          <w:rFonts w:ascii="Arial" w:cs="Arial" w:eastAsia="Arial" w:hAnsi="Arial"/>
          <w:sz w:val="15"/>
          <w:szCs w:val="15"/>
          <w:color w:val="auto"/>
        </w:rPr>
        <w:t>means, collectively, the Signatory Entity; its Affiliates that are listed on the signature page hereto as Additional Recipients; and their respective heirs, executors, administrators,</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successors, and assigns.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i w:val="1"/>
          <w:iCs w:val="1"/>
          <w:color w:val="auto"/>
        </w:rPr>
        <w:t xml:space="preserve">Salary </w:t>
      </w:r>
      <w:r>
        <w:rPr>
          <w:rFonts w:ascii="Arial" w:cs="Arial" w:eastAsia="Arial" w:hAnsi="Arial"/>
          <w:sz w:val="15"/>
          <w:szCs w:val="15"/>
          <w:color w:val="auto"/>
        </w:rPr>
        <w:t>means, without duplication of any amounts counted as Benefits, a predetermined regular payment, typically paid on a weekly or less frequent basis but which may be expressed as an</w:t>
      </w:r>
      <w:r>
        <w:rPr>
          <w:rFonts w:ascii="Arial" w:cs="Arial" w:eastAsia="Arial" w:hAnsi="Arial"/>
          <w:sz w:val="15"/>
          <w:szCs w:val="15"/>
          <w:i w:val="1"/>
          <w:iCs w:val="1"/>
          <w:color w:val="auto"/>
        </w:rPr>
        <w:t xml:space="preserve"> </w:t>
      </w:r>
      <w:r>
        <w:rPr>
          <w:rFonts w:ascii="Arial" w:cs="Arial" w:eastAsia="Arial" w:hAnsi="Arial"/>
          <w:sz w:val="15"/>
          <w:szCs w:val="15"/>
          <w:color w:val="auto"/>
        </w:rPr>
        <w:t>hourly, weekly, annual or other rate, as well as cost-of-living differentials, vacation time, paid time off, sick leave, and overtime pay, paid by the Recipient to its Employees, but excluding any Federal, state, or local payroll taxes paid by the Recipient.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Secretary </w:t>
      </w:r>
      <w:r>
        <w:rPr>
          <w:rFonts w:ascii="Arial" w:cs="Arial" w:eastAsia="Arial" w:hAnsi="Arial"/>
          <w:sz w:val="15"/>
          <w:szCs w:val="15"/>
          <w:color w:val="auto"/>
        </w:rPr>
        <w:t>means the Secretary of the Treasury.</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6" w:right="359" w:bottom="1440" w:gutter="0" w:footer="0" w:header="0"/>
        </w:sectPr>
      </w:pPr>
    </w:p>
    <w:bookmarkStart w:id="280" w:name="page281"/>
    <w:bookmarkEnd w:id="280"/>
    <w:p>
      <w:pPr>
        <w:ind w:right="100"/>
        <w:spacing w:after="0" w:line="248" w:lineRule="auto"/>
        <w:rPr>
          <w:sz w:val="20"/>
          <w:szCs w:val="20"/>
          <w:color w:val="auto"/>
        </w:rPr>
      </w:pPr>
      <w:r>
        <w:rPr>
          <w:rFonts w:ascii="Arial" w:cs="Arial" w:eastAsia="Arial" w:hAnsi="Arial"/>
          <w:sz w:val="15"/>
          <w:szCs w:val="15"/>
          <w:i w:val="1"/>
          <w:iCs w:val="1"/>
          <w:color w:val="auto"/>
        </w:rPr>
        <w:t xml:space="preserve">Severance Pay or Other Benefits </w:t>
      </w:r>
      <w:r>
        <w:rPr>
          <w:rFonts w:ascii="Arial" w:cs="Arial" w:eastAsia="Arial" w:hAnsi="Arial"/>
          <w:sz w:val="15"/>
          <w:szCs w:val="15"/>
          <w:color w:val="auto"/>
        </w:rPr>
        <w:t>means any severance payment or other similar benefits, including cash payments, health care benefits, perquisites, the enhancement or acceleration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or vesting of any payment or benefit or any other in-kind benefit payable (whether in lump sum or over time, including after October 1, 2022) by the Recipient to a Corporate Officer or Employee in connection with any termination of such Corporate Officer's or Employee's employment (including, without limitation, resignation, severance, retirement, or constructive termination), which shall be determined and calculated in respect of any Employee or Corporate Officer of the Recipient in the manner prescribed in 17 CFR 229.402(j) (without regard to its limitation to the five most highly compensated executives and using the actual date of termination of employment rather than the last business day of the Recipient's last completed fiscal year as the trigger event).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Signatory Entity </w:t>
      </w:r>
      <w:r>
        <w:rPr>
          <w:rFonts w:ascii="Arial" w:cs="Arial" w:eastAsia="Arial" w:hAnsi="Arial"/>
          <w:sz w:val="15"/>
          <w:szCs w:val="15"/>
          <w:color w:val="auto"/>
        </w:rPr>
        <w:t>means the passenger air carrier or contractor that has entered into this Agreement.</w:t>
      </w:r>
    </w:p>
    <w:p>
      <w:pPr>
        <w:spacing w:after="0" w:line="179" w:lineRule="exact"/>
        <w:rPr>
          <w:sz w:val="20"/>
          <w:szCs w:val="20"/>
          <w:color w:val="auto"/>
        </w:rPr>
      </w:pPr>
    </w:p>
    <w:p>
      <w:pPr>
        <w:ind w:right="720"/>
        <w:spacing w:after="0" w:line="264" w:lineRule="auto"/>
        <w:rPr>
          <w:sz w:val="20"/>
          <w:szCs w:val="20"/>
          <w:color w:val="auto"/>
        </w:rPr>
      </w:pPr>
      <w:r>
        <w:rPr>
          <w:rFonts w:ascii="Arial" w:cs="Arial" w:eastAsia="Arial" w:hAnsi="Arial"/>
          <w:sz w:val="15"/>
          <w:szCs w:val="15"/>
          <w:i w:val="1"/>
          <w:iCs w:val="1"/>
          <w:color w:val="auto"/>
        </w:rPr>
        <w:t xml:space="preserve">Taxpayer Protection Instruments </w:t>
      </w:r>
      <w:r>
        <w:rPr>
          <w:rFonts w:ascii="Arial" w:cs="Arial" w:eastAsia="Arial" w:hAnsi="Arial"/>
          <w:sz w:val="15"/>
          <w:szCs w:val="15"/>
          <w:color w:val="auto"/>
        </w:rPr>
        <w:t>means warrants, options, preferred stock, debt securities, notes, or other financial instruments issued by the Recipient or an Affiliate to Treasury as</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for the Payroll Support under this Agreement, if applicable.</w:t>
      </w:r>
    </w:p>
    <w:p>
      <w:pPr>
        <w:spacing w:after="0" w:line="148" w:lineRule="exact"/>
        <w:rPr>
          <w:sz w:val="20"/>
          <w:szCs w:val="20"/>
          <w:color w:val="auto"/>
        </w:rPr>
      </w:pPr>
    </w:p>
    <w:p>
      <w:pPr>
        <w:jc w:val="both"/>
        <w:ind w:right="280"/>
        <w:spacing w:after="0" w:line="311" w:lineRule="auto"/>
        <w:rPr>
          <w:sz w:val="20"/>
          <w:szCs w:val="20"/>
          <w:color w:val="auto"/>
        </w:rPr>
      </w:pPr>
      <w:r>
        <w:rPr>
          <w:rFonts w:ascii="Arial" w:cs="Arial" w:eastAsia="Arial" w:hAnsi="Arial"/>
          <w:sz w:val="13"/>
          <w:szCs w:val="13"/>
          <w:i w:val="1"/>
          <w:iCs w:val="1"/>
          <w:color w:val="auto"/>
        </w:rPr>
        <w:t xml:space="preserve">Total Compensation </w:t>
      </w:r>
      <w:r>
        <w:rPr>
          <w:rFonts w:ascii="Arial" w:cs="Arial" w:eastAsia="Arial" w:hAnsi="Arial"/>
          <w:sz w:val="13"/>
          <w:szCs w:val="13"/>
          <w:color w:val="auto"/>
        </w:rPr>
        <w:t>means compensation including salary, wages, bonuses, awards of stock, and any other financial benefits provided by the Recipient or an Affiliate, as applicable, which</w:t>
      </w:r>
      <w:r>
        <w:rPr>
          <w:rFonts w:ascii="Arial" w:cs="Arial" w:eastAsia="Arial" w:hAnsi="Arial"/>
          <w:sz w:val="13"/>
          <w:szCs w:val="13"/>
          <w:i w:val="1"/>
          <w:iCs w:val="1"/>
          <w:color w:val="auto"/>
        </w:rPr>
        <w:t xml:space="preserve"> </w:t>
      </w:r>
      <w:r>
        <w:rPr>
          <w:rFonts w:ascii="Arial" w:cs="Arial" w:eastAsia="Arial" w:hAnsi="Arial"/>
          <w:sz w:val="13"/>
          <w:szCs w:val="13"/>
          <w:color w:val="auto"/>
        </w:rPr>
        <w:t>shall be determined and calculated for the 2019 calendar year or any applicable 12-month period in respect of any Employee or Corporate Officer of the Recipient in the manner prescribed under paragraph e.6 of the award term in 2 CFR part 170, App. A, but excluding any Severance Pay or Other Benefits in connection with a termination of employment.</w:t>
      </w:r>
    </w:p>
    <w:p>
      <w:pPr>
        <w:spacing w:after="0" w:line="122" w:lineRule="exact"/>
        <w:rPr>
          <w:sz w:val="20"/>
          <w:szCs w:val="20"/>
          <w:color w:val="auto"/>
        </w:rPr>
      </w:pPr>
    </w:p>
    <w:p>
      <w:pPr>
        <w:jc w:val="both"/>
        <w:ind w:right="260"/>
        <w:spacing w:after="0" w:line="300" w:lineRule="auto"/>
        <w:rPr>
          <w:sz w:val="20"/>
          <w:szCs w:val="20"/>
          <w:color w:val="auto"/>
        </w:rPr>
      </w:pPr>
      <w:r>
        <w:rPr>
          <w:rFonts w:ascii="Arial" w:cs="Arial" w:eastAsia="Arial" w:hAnsi="Arial"/>
          <w:sz w:val="14"/>
          <w:szCs w:val="14"/>
          <w:i w:val="1"/>
          <w:iCs w:val="1"/>
          <w:color w:val="auto"/>
        </w:rPr>
        <w:t xml:space="preserve">Wage </w:t>
      </w:r>
      <w:r>
        <w:rPr>
          <w:rFonts w:ascii="Arial" w:cs="Arial" w:eastAsia="Arial" w:hAnsi="Arial"/>
          <w:sz w:val="14"/>
          <w:szCs w:val="14"/>
          <w:color w:val="auto"/>
        </w:rPr>
        <w:t>means, without duplication of any amounts counted as Benefits, a payment, typically paid on an hourly, daily, or piecework basis, including cost-of-living differentials, vacation, paid</w:t>
      </w:r>
      <w:r>
        <w:rPr>
          <w:rFonts w:ascii="Arial" w:cs="Arial" w:eastAsia="Arial" w:hAnsi="Arial"/>
          <w:sz w:val="14"/>
          <w:szCs w:val="14"/>
          <w:i w:val="1"/>
          <w:iCs w:val="1"/>
          <w:color w:val="auto"/>
        </w:rPr>
        <w:t xml:space="preserve"> </w:t>
      </w:r>
      <w:r>
        <w:rPr>
          <w:rFonts w:ascii="Arial" w:cs="Arial" w:eastAsia="Arial" w:hAnsi="Arial"/>
          <w:sz w:val="14"/>
          <w:szCs w:val="14"/>
          <w:color w:val="auto"/>
        </w:rPr>
        <w:t>time off, sick leave, and overtime pay, paid by the Recipient to its Employees, but excluding any Federal, state, or local payroll taxes paid by the Recipient.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PAYROLL SUPPORT PAYMENTS</w:t>
      </w:r>
    </w:p>
    <w:p>
      <w:pPr>
        <w:spacing w:after="0" w:line="183" w:lineRule="exact"/>
        <w:rPr>
          <w:sz w:val="20"/>
          <w:szCs w:val="20"/>
          <w:color w:val="auto"/>
        </w:rPr>
      </w:pPr>
    </w:p>
    <w:p>
      <w:pPr>
        <w:ind w:left="280" w:hanging="272"/>
        <w:spacing w:after="0"/>
        <w:tabs>
          <w:tab w:leader="none" w:pos="2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Upon the execution of this Agreement by Treasury and the Recipient, the Secretary shall approve the Recipient to receive Payroll Support.</w:t>
      </w:r>
    </w:p>
    <w:p>
      <w:pPr>
        <w:spacing w:after="0" w:line="179" w:lineRule="exact"/>
        <w:rPr>
          <w:rFonts w:ascii="Arial" w:cs="Arial" w:eastAsia="Arial" w:hAnsi="Arial"/>
          <w:sz w:val="15"/>
          <w:szCs w:val="15"/>
          <w:color w:val="auto"/>
        </w:rPr>
      </w:pPr>
    </w:p>
    <w:p>
      <w:pPr>
        <w:ind w:left="280" w:hanging="272"/>
        <w:spacing w:after="0" w:line="254" w:lineRule="auto"/>
        <w:tabs>
          <w:tab w:leader="none" w:pos="2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Recipient may receive Payroll Support in multiple payments up to the Maximum Awardable Amount, and the amounts (individually and in the aggregate) and timing of such payments will be determined by the Secretary in her sole discretion. The Secretary may, in her sole discretion, increase or reduce the Maximum Awardable Amount consistent with section 7301 of the ARP.</w:t>
      </w:r>
    </w:p>
    <w:p>
      <w:pPr>
        <w:spacing w:after="0" w:line="155" w:lineRule="exact"/>
        <w:rPr>
          <w:rFonts w:ascii="Arial" w:cs="Arial" w:eastAsia="Arial" w:hAnsi="Arial"/>
          <w:sz w:val="15"/>
          <w:szCs w:val="15"/>
          <w:color w:val="auto"/>
        </w:rPr>
      </w:pPr>
    </w:p>
    <w:p>
      <w:pPr>
        <w:jc w:val="both"/>
        <w:ind w:left="280" w:right="40" w:hanging="272"/>
        <w:spacing w:after="0" w:line="254" w:lineRule="auto"/>
        <w:tabs>
          <w:tab w:leader="none" w:pos="2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Secretary may determine in her sole discretion that any Payroll Support shall be conditioned on, and subject to, compliance by the Recipient with all applicable requirements under (a) PSP2 and (b) PSP1 if the Recipient received fmancial assistance in PSP1, and such additional terms and conditions (including the receipt of, and any terms regarding, Taxpayer Protection Instruments) to which the parties may agree in writing.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81" w:name="page282"/>
    <w:bookmarkEnd w:id="281"/>
    <w:p>
      <w:pPr>
        <w:jc w:val="center"/>
        <w:ind w:right="-59"/>
        <w:spacing w:after="0"/>
        <w:rPr>
          <w:sz w:val="20"/>
          <w:szCs w:val="20"/>
          <w:color w:val="auto"/>
        </w:rPr>
      </w:pPr>
      <w:r>
        <w:rPr>
          <w:rFonts w:ascii="Arial" w:cs="Arial" w:eastAsia="Arial" w:hAnsi="Arial"/>
          <w:sz w:val="15"/>
          <w:szCs w:val="15"/>
          <w:b w:val="1"/>
          <w:bCs w:val="1"/>
          <w:color w:val="auto"/>
        </w:rPr>
        <w:t>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Retaining and Paying Employees</w:t>
      </w:r>
    </w:p>
    <w:p>
      <w:pPr>
        <w:spacing w:after="0" w:line="179" w:lineRule="exact"/>
        <w:rPr>
          <w:sz w:val="20"/>
          <w:szCs w:val="20"/>
          <w:color w:val="auto"/>
        </w:rPr>
      </w:pPr>
    </w:p>
    <w:p>
      <w:pPr>
        <w:ind w:left="280" w:hanging="272"/>
        <w:spacing w:after="0"/>
        <w:tabs>
          <w:tab w:leader="none" w:pos="28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Recipient shall use the Payroll Support exclusively for the continuation of payment of Wages, Salaries, and Benefits to the Employees of the Recipient.</w:t>
      </w:r>
    </w:p>
    <w:p>
      <w:pPr>
        <w:spacing w:after="0" w:line="179" w:lineRule="exact"/>
        <w:rPr>
          <w:rFonts w:ascii="Arial" w:cs="Arial" w:eastAsia="Arial" w:hAnsi="Arial"/>
          <w:sz w:val="15"/>
          <w:szCs w:val="15"/>
          <w:color w:val="auto"/>
        </w:rPr>
      </w:pPr>
    </w:p>
    <w:p>
      <w:pPr>
        <w:ind w:left="800" w:right="20" w:hanging="265"/>
        <w:spacing w:after="0" w:line="264" w:lineRule="auto"/>
        <w:tabs>
          <w:tab w:leader="none" w:pos="800" w:val="left"/>
        </w:tabs>
        <w:numPr>
          <w:ilvl w:val="1"/>
          <w:numId w:val="129"/>
        </w:numPr>
        <w:rPr>
          <w:rFonts w:ascii="Arial" w:cs="Arial" w:eastAsia="Arial" w:hAnsi="Arial"/>
          <w:sz w:val="15"/>
          <w:szCs w:val="15"/>
          <w:color w:val="auto"/>
        </w:rPr>
      </w:pPr>
      <w:r>
        <w:rPr>
          <w:rFonts w:ascii="Arial" w:cs="Arial" w:eastAsia="Arial" w:hAnsi="Arial"/>
          <w:sz w:val="15"/>
          <w:szCs w:val="15"/>
          <w:i w:val="1"/>
          <w:iCs w:val="1"/>
          <w:color w:val="auto"/>
        </w:rPr>
        <w:t xml:space="preserve">Furloughs and Layoffs. </w:t>
      </w:r>
      <w:r>
        <w:rPr>
          <w:rFonts w:ascii="Arial" w:cs="Arial" w:eastAsia="Arial" w:hAnsi="Arial"/>
          <w:sz w:val="15"/>
          <w:szCs w:val="15"/>
          <w:color w:val="auto"/>
        </w:rPr>
        <w:t>The Recipient shall not conduct an Involuntary Termination or Furlough of any Employee between the date of this Agreement and September 30, 2021 or</w:t>
      </w:r>
      <w:r>
        <w:rPr>
          <w:rFonts w:ascii="Arial" w:cs="Arial" w:eastAsia="Arial" w:hAnsi="Arial"/>
          <w:sz w:val="15"/>
          <w:szCs w:val="15"/>
          <w:i w:val="1"/>
          <w:iCs w:val="1"/>
          <w:color w:val="auto"/>
        </w:rPr>
        <w:t xml:space="preserve"> </w:t>
      </w:r>
      <w:r>
        <w:rPr>
          <w:rFonts w:ascii="Arial" w:cs="Arial" w:eastAsia="Arial" w:hAnsi="Arial"/>
          <w:sz w:val="15"/>
          <w:szCs w:val="15"/>
          <w:color w:val="auto"/>
        </w:rPr>
        <w:t>the date on which the Recipient has expended all of the Payroll Support, whichever is later.</w:t>
      </w:r>
    </w:p>
    <w:p>
      <w:pPr>
        <w:spacing w:after="0" w:line="147" w:lineRule="exact"/>
        <w:rPr>
          <w:rFonts w:ascii="Arial" w:cs="Arial" w:eastAsia="Arial" w:hAnsi="Arial"/>
          <w:sz w:val="15"/>
          <w:szCs w:val="15"/>
          <w:color w:val="auto"/>
        </w:rPr>
      </w:pPr>
    </w:p>
    <w:p>
      <w:pPr>
        <w:ind w:left="800" w:hanging="265"/>
        <w:spacing w:after="0"/>
        <w:tabs>
          <w:tab w:leader="none" w:pos="800" w:val="left"/>
        </w:tabs>
        <w:numPr>
          <w:ilvl w:val="1"/>
          <w:numId w:val="129"/>
        </w:numPr>
        <w:rPr>
          <w:rFonts w:ascii="Arial" w:cs="Arial" w:eastAsia="Arial" w:hAnsi="Arial"/>
          <w:sz w:val="15"/>
          <w:szCs w:val="15"/>
          <w:color w:val="auto"/>
        </w:rPr>
      </w:pPr>
      <w:r>
        <w:rPr>
          <w:rFonts w:ascii="Arial" w:cs="Arial" w:eastAsia="Arial" w:hAnsi="Arial"/>
          <w:sz w:val="15"/>
          <w:szCs w:val="15"/>
          <w:i w:val="1"/>
          <w:iCs w:val="1"/>
          <w:color w:val="auto"/>
        </w:rPr>
        <w:t>Employee Salary, Wages, and Benefits</w:t>
      </w:r>
    </w:p>
    <w:p>
      <w:pPr>
        <w:spacing w:after="0" w:line="179" w:lineRule="exact"/>
        <w:rPr>
          <w:rFonts w:ascii="Arial" w:cs="Arial" w:eastAsia="Arial" w:hAnsi="Arial"/>
          <w:sz w:val="15"/>
          <w:szCs w:val="15"/>
          <w:color w:val="auto"/>
        </w:rPr>
      </w:pPr>
    </w:p>
    <w:p>
      <w:pPr>
        <w:ind w:left="1320" w:hanging="257"/>
        <w:spacing w:after="0" w:line="254" w:lineRule="auto"/>
        <w:tabs>
          <w:tab w:leader="none" w:pos="1320" w:val="left"/>
        </w:tabs>
        <w:numPr>
          <w:ilvl w:val="2"/>
          <w:numId w:val="129"/>
        </w:numPr>
        <w:rPr>
          <w:rFonts w:ascii="Arial" w:cs="Arial" w:eastAsia="Arial" w:hAnsi="Arial"/>
          <w:sz w:val="15"/>
          <w:szCs w:val="15"/>
          <w:color w:val="auto"/>
        </w:rPr>
      </w:pPr>
      <w:r>
        <w:rPr>
          <w:rFonts w:ascii="Arial" w:cs="Arial" w:eastAsia="Arial" w:hAnsi="Arial"/>
          <w:sz w:val="15"/>
          <w:szCs w:val="15"/>
          <w:i w:val="1"/>
          <w:iCs w:val="1"/>
          <w:color w:val="auto"/>
        </w:rPr>
        <w:t xml:space="preserve">Salary and Wages. </w:t>
      </w:r>
      <w:r>
        <w:rPr>
          <w:rFonts w:ascii="Arial" w:cs="Arial" w:eastAsia="Arial" w:hAnsi="Arial"/>
          <w:sz w:val="15"/>
          <w:szCs w:val="15"/>
          <w:color w:val="auto"/>
        </w:rPr>
        <w:t>Except in the case of a Permitted Termination or Furlough, the Recipient shall not, between the date of this Agreement and September 30, 2021 or the</w:t>
      </w:r>
      <w:r>
        <w:rPr>
          <w:rFonts w:ascii="Arial" w:cs="Arial" w:eastAsia="Arial" w:hAnsi="Arial"/>
          <w:sz w:val="15"/>
          <w:szCs w:val="15"/>
          <w:i w:val="1"/>
          <w:iCs w:val="1"/>
          <w:color w:val="auto"/>
        </w:rPr>
        <w:t xml:space="preserve"> </w:t>
      </w:r>
      <w:r>
        <w:rPr>
          <w:rFonts w:ascii="Arial" w:cs="Arial" w:eastAsia="Arial" w:hAnsi="Arial"/>
          <w:sz w:val="15"/>
          <w:szCs w:val="15"/>
          <w:color w:val="auto"/>
        </w:rPr>
        <w:t>date on which the Recipient has expended all of the Payroll Support, whichever is later, reduce, without the Employee's consent, (A) the pay rate of any Employee earning a Salary, or (B) the pay rate of any Employee earning Wages.</w:t>
      </w:r>
    </w:p>
    <w:p>
      <w:pPr>
        <w:spacing w:after="0" w:line="155" w:lineRule="exact"/>
        <w:rPr>
          <w:rFonts w:ascii="Arial" w:cs="Arial" w:eastAsia="Arial" w:hAnsi="Arial"/>
          <w:sz w:val="15"/>
          <w:szCs w:val="15"/>
          <w:color w:val="auto"/>
        </w:rPr>
      </w:pPr>
    </w:p>
    <w:p>
      <w:pPr>
        <w:ind w:left="1320" w:right="120" w:hanging="257"/>
        <w:spacing w:after="0" w:line="302" w:lineRule="auto"/>
        <w:tabs>
          <w:tab w:leader="none" w:pos="1320" w:val="left"/>
        </w:tabs>
        <w:numPr>
          <w:ilvl w:val="2"/>
          <w:numId w:val="129"/>
        </w:numPr>
        <w:rPr>
          <w:rFonts w:ascii="Arial" w:cs="Arial" w:eastAsia="Arial" w:hAnsi="Arial"/>
          <w:sz w:val="13"/>
          <w:szCs w:val="13"/>
          <w:color w:val="auto"/>
        </w:rPr>
      </w:pPr>
      <w:r>
        <w:rPr>
          <w:rFonts w:ascii="Arial" w:cs="Arial" w:eastAsia="Arial" w:hAnsi="Arial"/>
          <w:sz w:val="13"/>
          <w:szCs w:val="13"/>
          <w:i w:val="1"/>
          <w:iCs w:val="1"/>
          <w:color w:val="auto"/>
        </w:rPr>
        <w:t xml:space="preserve">Benefits. </w:t>
      </w:r>
      <w:r>
        <w:rPr>
          <w:rFonts w:ascii="Arial" w:cs="Arial" w:eastAsia="Arial" w:hAnsi="Arial"/>
          <w:sz w:val="13"/>
          <w:szCs w:val="13"/>
          <w:color w:val="auto"/>
        </w:rPr>
        <w:t>Except in the case of a Permitted Termination or Furlough, the Recipient shall not, between the date of this Agreement and September 30, 2021 or the date on</w:t>
      </w:r>
      <w:r>
        <w:rPr>
          <w:rFonts w:ascii="Arial" w:cs="Arial" w:eastAsia="Arial" w:hAnsi="Arial"/>
          <w:sz w:val="13"/>
          <w:szCs w:val="13"/>
          <w:i w:val="1"/>
          <w:iCs w:val="1"/>
          <w:color w:val="auto"/>
        </w:rPr>
        <w:t xml:space="preserve"> </w:t>
      </w:r>
      <w:r>
        <w:rPr>
          <w:rFonts w:ascii="Arial" w:cs="Arial" w:eastAsia="Arial" w:hAnsi="Arial"/>
          <w:sz w:val="13"/>
          <w:szCs w:val="13"/>
          <w:color w:val="auto"/>
        </w:rPr>
        <w:t>which the Recipient has expended all of the Payroll Support, whichever is later, reduce, without the Employee's consent, the Benefits of any Employee; provided, however, that for purposes of this paragraph, personnel expenses associated with the performance of work duties, including those described in line 10 of Financial Reporting Schedule P6, Form 41, as published by the Department of Transportation, may be reduced to the extent the associated work duties are not performed.</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Dividends and Buybacks</w:t>
      </w:r>
    </w:p>
    <w:p>
      <w:pPr>
        <w:spacing w:after="0" w:line="179" w:lineRule="exact"/>
        <w:rPr>
          <w:sz w:val="20"/>
          <w:szCs w:val="20"/>
          <w:color w:val="auto"/>
        </w:rPr>
      </w:pPr>
    </w:p>
    <w:p>
      <w:pPr>
        <w:ind w:left="280" w:right="160" w:hanging="272"/>
        <w:spacing w:after="0" w:line="264" w:lineRule="auto"/>
        <w:tabs>
          <w:tab w:leader="none" w:pos="2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Through September 30, 2022, neither the Recipient nor any Affiliate shall, in any transaction, purchase an equity security of the Recipient or of any direct or indirect parent company of the Recipient that, in either case, is listed on a national securities exchange.</w:t>
      </w:r>
    </w:p>
    <w:p>
      <w:pPr>
        <w:spacing w:after="0" w:line="147" w:lineRule="exact"/>
        <w:rPr>
          <w:rFonts w:ascii="Arial" w:cs="Arial" w:eastAsia="Arial" w:hAnsi="Arial"/>
          <w:sz w:val="15"/>
          <w:szCs w:val="15"/>
          <w:color w:val="auto"/>
        </w:rPr>
      </w:pPr>
    </w:p>
    <w:p>
      <w:pPr>
        <w:ind w:left="280" w:right="480" w:hanging="272"/>
        <w:spacing w:after="0" w:line="264" w:lineRule="auto"/>
        <w:tabs>
          <w:tab w:leader="none" w:pos="2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Through September 30, 2022, the Recipient shall not pay dividends, or make any other capital distributions, with respect to the common stock (or equivalent equity interest) of the Recipient.</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2" w:right="359" w:bottom="1440" w:gutter="0" w:footer="0" w:header="0"/>
        </w:sectPr>
      </w:pPr>
    </w:p>
    <w:bookmarkStart w:id="282" w:name="page283"/>
    <w:bookmarkEnd w:id="282"/>
    <w:p>
      <w:pPr>
        <w:spacing w:after="0"/>
        <w:rPr>
          <w:sz w:val="20"/>
          <w:szCs w:val="20"/>
          <w:color w:val="auto"/>
        </w:rPr>
      </w:pPr>
      <w:r>
        <w:rPr>
          <w:rFonts w:ascii="Arial" w:cs="Arial" w:eastAsia="Arial" w:hAnsi="Arial"/>
          <w:sz w:val="15"/>
          <w:szCs w:val="15"/>
          <w:u w:val="single" w:color="auto"/>
          <w:color w:val="auto"/>
        </w:rPr>
        <w:t>Limitations on Certain Compensation</w:t>
      </w:r>
    </w:p>
    <w:p>
      <w:pPr>
        <w:spacing w:after="0" w:line="179" w:lineRule="exact"/>
        <w:rPr>
          <w:sz w:val="20"/>
          <w:szCs w:val="20"/>
          <w:color w:val="auto"/>
        </w:rPr>
      </w:pPr>
    </w:p>
    <w:p>
      <w:pPr>
        <w:ind w:left="280" w:right="160" w:hanging="272"/>
        <w:spacing w:after="0" w:line="290" w:lineRule="auto"/>
        <w:tabs>
          <w:tab w:leader="none" w:pos="2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Beginning April 1, 2021, and ending April 1, 2023, the Recipient and its Affiliates shall not pay any of the Recipient's Corporate Officers or Employees whose Total Compensation exceeded $425,000 in calendar year 2019 (other than an Employee whose compensation is determined through an existing collective bargaining agreement entered into before March 11,</w:t>
      </w:r>
    </w:p>
    <w:p>
      <w:pPr>
        <w:ind w:left="280"/>
        <w:spacing w:after="0"/>
        <w:rPr>
          <w:rFonts w:ascii="Arial" w:cs="Arial" w:eastAsia="Arial" w:hAnsi="Arial"/>
          <w:sz w:val="13"/>
          <w:szCs w:val="13"/>
          <w:color w:val="auto"/>
        </w:rPr>
      </w:pPr>
      <w:r>
        <w:rPr>
          <w:rFonts w:ascii="Arial" w:cs="Arial" w:eastAsia="Arial" w:hAnsi="Arial"/>
          <w:sz w:val="15"/>
          <w:szCs w:val="15"/>
          <w:color w:val="auto"/>
        </w:rPr>
        <w:t>2021):</w:t>
      </w:r>
    </w:p>
    <w:p>
      <w:pPr>
        <w:spacing w:after="0" w:line="168" w:lineRule="exact"/>
        <w:rPr>
          <w:rFonts w:ascii="Arial" w:cs="Arial" w:eastAsia="Arial" w:hAnsi="Arial"/>
          <w:sz w:val="13"/>
          <w:szCs w:val="13"/>
          <w:color w:val="auto"/>
        </w:rPr>
      </w:pPr>
    </w:p>
    <w:p>
      <w:pPr>
        <w:ind w:left="800" w:right="120" w:hanging="265"/>
        <w:spacing w:after="0" w:line="264" w:lineRule="auto"/>
        <w:tabs>
          <w:tab w:leader="none" w:pos="80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Total Compensation which exceeds, during any 12 consecutive months of such two-year period, the Total Compensation the Corporate Officer or Employee received in calendar year 2019; or</w:t>
      </w:r>
    </w:p>
    <w:p>
      <w:pPr>
        <w:spacing w:after="0" w:line="147" w:lineRule="exact"/>
        <w:rPr>
          <w:rFonts w:ascii="Arial" w:cs="Arial" w:eastAsia="Arial" w:hAnsi="Arial"/>
          <w:sz w:val="15"/>
          <w:szCs w:val="15"/>
          <w:color w:val="auto"/>
        </w:rPr>
      </w:pPr>
    </w:p>
    <w:p>
      <w:pPr>
        <w:ind w:left="800" w:right="320" w:hanging="265"/>
        <w:spacing w:after="0" w:line="264" w:lineRule="auto"/>
        <w:tabs>
          <w:tab w:leader="none" w:pos="80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Severance Pay or Other Benefits in connection with a termination of employment with the Recipient which exceed twice the maximum Total Compensation received by such Corporate Officer or Employee in calendar year 2019.</w:t>
      </w:r>
    </w:p>
    <w:p>
      <w:pPr>
        <w:spacing w:after="0" w:line="147" w:lineRule="exact"/>
        <w:rPr>
          <w:rFonts w:ascii="Arial" w:cs="Arial" w:eastAsia="Arial" w:hAnsi="Arial"/>
          <w:sz w:val="15"/>
          <w:szCs w:val="15"/>
          <w:color w:val="auto"/>
        </w:rPr>
      </w:pPr>
    </w:p>
    <w:p>
      <w:pPr>
        <w:ind w:left="280" w:right="540" w:hanging="272"/>
        <w:spacing w:after="0" w:line="300" w:lineRule="auto"/>
        <w:tabs>
          <w:tab w:leader="none" w:pos="2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Beginning April 1, 2021, and ending April 1, 2023, the Recipient and its Affiliates shall not pay, during any 12 consecutive months of such two-year period, any of the Recipient's Corporate Officers or Employees whose Total Compensation exceeded $3,000,000 in calendar year 2019 Total Compensation in excess of the sum of:</w:t>
      </w:r>
    </w:p>
    <w:p>
      <w:pPr>
        <w:spacing w:after="0" w:line="124" w:lineRule="exact"/>
        <w:rPr>
          <w:rFonts w:ascii="Arial" w:cs="Arial" w:eastAsia="Arial" w:hAnsi="Arial"/>
          <w:sz w:val="14"/>
          <w:szCs w:val="14"/>
          <w:color w:val="auto"/>
        </w:rPr>
      </w:pPr>
    </w:p>
    <w:p>
      <w:pPr>
        <w:ind w:left="800" w:hanging="265"/>
        <w:spacing w:after="0"/>
        <w:tabs>
          <w:tab w:leader="none" w:pos="80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$3,000,000; and</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50 percent of the excess over $3,000,000 of the Total Compensation received by such Corporate Officer or Employee in calendar year 2019.</w:t>
      </w:r>
    </w:p>
    <w:p>
      <w:pPr>
        <w:spacing w:after="0" w:line="179" w:lineRule="exact"/>
        <w:rPr>
          <w:rFonts w:ascii="Arial" w:cs="Arial" w:eastAsia="Arial" w:hAnsi="Arial"/>
          <w:sz w:val="15"/>
          <w:szCs w:val="15"/>
          <w:color w:val="auto"/>
        </w:rPr>
      </w:pPr>
    </w:p>
    <w:p>
      <w:pPr>
        <w:ind w:left="280" w:right="160" w:hanging="272"/>
        <w:spacing w:after="0" w:line="341" w:lineRule="auto"/>
        <w:tabs>
          <w:tab w:leader="none" w:pos="2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For purposes of determining applicable amounts under paragraphs 7 and 8 with respect to any Corporate Officer or Employee who was employed by the Recipient or an Affiliate for less than all of calendar year 2019, the amount of Total Compensation in calendar year 2019 shall mean such Corporate Officer's or Employee's Total Compensation on an annualized basis.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Service and Eligibility</w:t>
      </w:r>
    </w:p>
    <w:p>
      <w:pPr>
        <w:spacing w:after="0" w:line="179" w:lineRule="exact"/>
        <w:rPr>
          <w:sz w:val="20"/>
          <w:szCs w:val="20"/>
          <w:color w:val="auto"/>
        </w:rPr>
      </w:pPr>
    </w:p>
    <w:p>
      <w:pPr>
        <w:ind w:left="300" w:right="180" w:hanging="296"/>
        <w:spacing w:after="0" w:line="264" w:lineRule="auto"/>
        <w:rPr>
          <w:sz w:val="20"/>
          <w:szCs w:val="20"/>
          <w:color w:val="auto"/>
        </w:rPr>
      </w:pPr>
      <w:r>
        <w:rPr>
          <w:rFonts w:ascii="Arial" w:cs="Arial" w:eastAsia="Arial" w:hAnsi="Arial"/>
          <w:sz w:val="15"/>
          <w:szCs w:val="15"/>
          <w:color w:val="auto"/>
        </w:rPr>
        <w:t>10.1.If the Recipient is an air carrier, until March 1, 2022, the Recipient shall comply with any applicable requirement issued by the Secretary of Transportation under section 407 of the PSP Extension Law to maintain scheduled air transportation service to any point served by the Recipient before March 1, 2020.</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10.2.The Recipient represents, warrants, and certifies that as of March 31, 2021, the Recipient:</w:t>
      </w:r>
    </w:p>
    <w:p>
      <w:pPr>
        <w:spacing w:after="0" w:line="179" w:lineRule="exact"/>
        <w:rPr>
          <w:sz w:val="20"/>
          <w:szCs w:val="20"/>
          <w:color w:val="auto"/>
        </w:rPr>
      </w:pPr>
    </w:p>
    <w:p>
      <w:pPr>
        <w:ind w:left="800" w:hanging="265"/>
        <w:spacing w:after="0"/>
        <w:tabs>
          <w:tab w:leader="none" w:pos="8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provided air transportation as an air carrier, as defined under 49 U.S.C. § 40102; or</w:t>
      </w:r>
    </w:p>
    <w:p>
      <w:pPr>
        <w:spacing w:after="0" w:line="175" w:lineRule="exact"/>
        <w:rPr>
          <w:rFonts w:ascii="Arial" w:cs="Arial" w:eastAsia="Arial" w:hAnsi="Arial"/>
          <w:sz w:val="15"/>
          <w:szCs w:val="15"/>
          <w:color w:val="auto"/>
        </w:rPr>
      </w:pPr>
    </w:p>
    <w:p>
      <w:pPr>
        <w:ind w:left="800" w:hanging="265"/>
        <w:spacing w:after="0" w:line="252" w:lineRule="auto"/>
        <w:tabs>
          <w:tab w:leader="none" w:pos="8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 xml:space="preserve">(i) performed, under contract with a passenger air carrier conducting operations under 14 CFR part 121, (A) catering functions; or </w:t>
      </w:r>
      <w:r>
        <w:rPr>
          <w:rFonts w:ascii="Arial" w:cs="Arial" w:eastAsia="Arial" w:hAnsi="Arial"/>
          <w:sz w:val="15"/>
          <w:szCs w:val="15"/>
          <w:b w:val="1"/>
          <w:bCs w:val="1"/>
          <w:color w:val="auto"/>
        </w:rPr>
        <w:t>(B)</w:t>
      </w:r>
      <w:r>
        <w:rPr>
          <w:rFonts w:ascii="Arial" w:cs="Arial" w:eastAsia="Arial" w:hAnsi="Arial"/>
          <w:sz w:val="15"/>
          <w:szCs w:val="15"/>
          <w:color w:val="auto"/>
        </w:rPr>
        <w:t xml:space="preserve"> functions on the property of an airport that were directly related to the air transportation of persons, property, or mail, including the loading and unloading of property on aircraft, assistance to passengers under 14 CFR part 382, security, airport ticketing and check-in functions, groundhandling of aircraft, or aircraft cleaning and sanitization functions and waste removal; or (ii) was a subcontractor that performed such functions.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283" w:name="page284"/>
    <w:bookmarkEnd w:id="283"/>
    <w:p>
      <w:pPr>
        <w:spacing w:after="0"/>
        <w:rPr>
          <w:sz w:val="20"/>
          <w:szCs w:val="20"/>
          <w:color w:val="auto"/>
        </w:rPr>
      </w:pPr>
      <w:r>
        <w:rPr>
          <w:rFonts w:ascii="Arial" w:cs="Arial" w:eastAsia="Arial" w:hAnsi="Arial"/>
          <w:sz w:val="15"/>
          <w:szCs w:val="15"/>
          <w:color w:val="auto"/>
        </w:rPr>
        <w:t>10.3.The Recipient represents, warrants, and certifies that between March 31, 2021, and the effective date of this Agreement, it has not:</w:t>
      </w:r>
    </w:p>
    <w:p>
      <w:pPr>
        <w:spacing w:after="0" w:line="179" w:lineRule="exact"/>
        <w:rPr>
          <w:sz w:val="20"/>
          <w:szCs w:val="20"/>
          <w:color w:val="auto"/>
        </w:rPr>
      </w:pPr>
    </w:p>
    <w:p>
      <w:pPr>
        <w:ind w:left="800" w:hanging="265"/>
        <w:spacing w:after="0"/>
        <w:tabs>
          <w:tab w:leader="none" w:pos="8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conducted an Involuntary Termination or Furlough;</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reduced, without the Employee's consent, (i) the pay rate of any Employee earning a Salary, or (ii) the pay rate of any Employee earning Wages; or</w:t>
      </w:r>
    </w:p>
    <w:p>
      <w:pPr>
        <w:spacing w:after="0" w:line="179" w:lineRule="exact"/>
        <w:rPr>
          <w:rFonts w:ascii="Arial" w:cs="Arial" w:eastAsia="Arial" w:hAnsi="Arial"/>
          <w:sz w:val="15"/>
          <w:szCs w:val="15"/>
          <w:color w:val="auto"/>
        </w:rPr>
      </w:pPr>
    </w:p>
    <w:p>
      <w:pPr>
        <w:ind w:left="800" w:hanging="265"/>
        <w:spacing w:after="0" w:line="281" w:lineRule="auto"/>
        <w:tabs>
          <w:tab w:leader="none" w:pos="8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except in the case of a Permitted Termination or Furlough, reduced, without the Employee's consent, the Benefits of any Employee (provided, however, that for purposes of this subparagraph, personnel expenses associated with the performance of work duties, including those described in line 10 of Financial Reporting Schedule P6, Form 41, as published by the Department of Transportation, may be reduced to the extent the associated work duties are not performed).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Effective Date</w:t>
      </w:r>
    </w:p>
    <w:p>
      <w:pPr>
        <w:spacing w:after="0" w:line="179" w:lineRule="exact"/>
        <w:rPr>
          <w:sz w:val="20"/>
          <w:szCs w:val="20"/>
          <w:color w:val="auto"/>
        </w:rPr>
      </w:pPr>
    </w:p>
    <w:p>
      <w:pPr>
        <w:ind w:right="6320" w:firstLine="8"/>
        <w:spacing w:after="0" w:line="489" w:lineRule="auto"/>
        <w:tabs>
          <w:tab w:leader="none" w:pos="264"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This Agreement shall be effective as of the date of its execution by both parties. </w:t>
      </w:r>
      <w:r>
        <w:rPr>
          <w:rFonts w:ascii="Arial" w:cs="Arial" w:eastAsia="Arial" w:hAnsi="Arial"/>
          <w:sz w:val="15"/>
          <w:szCs w:val="15"/>
          <w:u w:val="single" w:color="auto"/>
          <w:color w:val="auto"/>
        </w:rPr>
        <w:t>Reporting and Auditing</w:t>
      </w:r>
    </w:p>
    <w:p>
      <w:pPr>
        <w:ind w:left="280" w:right="20" w:hanging="272"/>
        <w:spacing w:after="0" w:line="281" w:lineRule="auto"/>
        <w:tabs>
          <w:tab w:leader="none" w:pos="2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Until the calendar quarter that begins after the later of January 1, 2023, and the date on which no Taxpayer Protection Instrument is outstanding, not later than 45 days after the end of each of the first three calendar quarters of each calendar year and 90 days after the end of each calendar year, the Signatory Entity, on behalf of itself and each other Recipient, shall certify to Treasury that it is in compliance with the terms and conditions of this Agreement and provide a report containing the following:</w:t>
      </w:r>
    </w:p>
    <w:p>
      <w:pPr>
        <w:spacing w:after="0" w:line="137" w:lineRule="exact"/>
        <w:rPr>
          <w:rFonts w:ascii="Arial" w:cs="Arial" w:eastAsia="Arial" w:hAnsi="Arial"/>
          <w:sz w:val="14"/>
          <w:szCs w:val="14"/>
          <w:color w:val="auto"/>
        </w:rPr>
      </w:pPr>
    </w:p>
    <w:p>
      <w:pPr>
        <w:ind w:left="800" w:hanging="265"/>
        <w:spacing w:after="0"/>
        <w:tabs>
          <w:tab w:leader="none" w:pos="80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the amount of Payroll Support funds expended during such quarter;</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the Recipient's financial statements (audited by an independent certified public accountant, in the case of annual fmancial statements);</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a copy of the Recipient's IRS Form 941 filed with respect to such quarter; and</w:t>
      </w:r>
    </w:p>
    <w:p>
      <w:pPr>
        <w:spacing w:after="0" w:line="179" w:lineRule="exact"/>
        <w:rPr>
          <w:rFonts w:ascii="Arial" w:cs="Arial" w:eastAsia="Arial" w:hAnsi="Arial"/>
          <w:sz w:val="15"/>
          <w:szCs w:val="15"/>
          <w:color w:val="auto"/>
        </w:rPr>
      </w:pPr>
    </w:p>
    <w:p>
      <w:pPr>
        <w:ind w:left="800" w:right="100" w:hanging="265"/>
        <w:spacing w:after="0" w:line="251" w:lineRule="auto"/>
        <w:tabs>
          <w:tab w:leader="none" w:pos="80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a detailed summary describing, with respect to the Recipient, (a) any changes in Employee headcount during such quarter and the reasons therefor, including any Involuntary Termination or Furlough, (b) any changes in the amounts spent by the Recipient on Employee Wages, Salary, and Benefits during such quarter, and (c) any changes in Total Compensation for, and any Severance Pay or Other Benefits in connection with the termination of, Corporate Officers and Employees subject to limitation under this Agreement during such quarter; and the reasons for any such changes.</w:t>
      </w:r>
    </w:p>
    <w:p>
      <w:pPr>
        <w:spacing w:after="0" w:line="157" w:lineRule="exact"/>
        <w:rPr>
          <w:rFonts w:ascii="Arial" w:cs="Arial" w:eastAsia="Arial" w:hAnsi="Arial"/>
          <w:sz w:val="15"/>
          <w:szCs w:val="15"/>
          <w:color w:val="auto"/>
        </w:rPr>
      </w:pPr>
    </w:p>
    <w:p>
      <w:pPr>
        <w:ind w:left="280" w:right="140" w:hanging="272"/>
        <w:spacing w:after="0" w:line="254" w:lineRule="auto"/>
        <w:tabs>
          <w:tab w:leader="none" w:pos="2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If the Recipient or any Affiliate, or any Corporate Officer of the Recipient or any Affiliate, becomes aware of facts, events, or circumstances that may materially affect the Recipient's compliance with the terms and conditions of this Agreement, the Recipient or Affiliate shall promptly provide Treasury with a written description of the events or circumstances and any action taken, or contemplated, to address the issue.</w:t>
      </w:r>
    </w:p>
    <w:p>
      <w:pPr>
        <w:spacing w:after="0" w:line="155" w:lineRule="exact"/>
        <w:rPr>
          <w:rFonts w:ascii="Arial" w:cs="Arial" w:eastAsia="Arial" w:hAnsi="Arial"/>
          <w:sz w:val="15"/>
          <w:szCs w:val="15"/>
          <w:color w:val="auto"/>
        </w:rPr>
      </w:pPr>
    </w:p>
    <w:p>
      <w:pPr>
        <w:ind w:left="280" w:hanging="272"/>
        <w:spacing w:after="0"/>
        <w:tabs>
          <w:tab w:leader="none" w:pos="2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In the event the Recipient contemplates any action to commence a bankruptcy or insolvency proceeding in any jurisdiction, the Recipient shall promptly notify Treasury.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6" w:right="339" w:bottom="1440" w:gutter="0" w:footer="0" w:header="0"/>
        </w:sectPr>
      </w:pPr>
    </w:p>
    <w:bookmarkStart w:id="284" w:name="page285"/>
    <w:bookmarkEnd w:id="284"/>
    <w:p>
      <w:pPr>
        <w:ind w:left="280" w:hanging="272"/>
        <w:spacing w:after="0"/>
        <w:tabs>
          <w:tab w:leader="none" w:pos="2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Recipient shall:</w:t>
      </w:r>
    </w:p>
    <w:p>
      <w:pPr>
        <w:spacing w:after="0" w:line="179" w:lineRule="exact"/>
        <w:rPr>
          <w:rFonts w:ascii="Arial" w:cs="Arial" w:eastAsia="Arial" w:hAnsi="Arial"/>
          <w:sz w:val="15"/>
          <w:szCs w:val="15"/>
          <w:color w:val="auto"/>
        </w:rPr>
      </w:pPr>
    </w:p>
    <w:p>
      <w:pPr>
        <w:ind w:left="800" w:right="480" w:hanging="265"/>
        <w:spacing w:after="0" w:line="264" w:lineRule="auto"/>
        <w:tabs>
          <w:tab w:leader="none" w:pos="80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Promptly provide to Treasury and the Treasury Inspector General a copy of any Department of Transportation Inspector General report, audit report, or report of any other oversight body, that is received by the Recipient relating to this Agreement.</w:t>
      </w:r>
    </w:p>
    <w:p>
      <w:pPr>
        <w:spacing w:after="0" w:line="147" w:lineRule="exact"/>
        <w:rPr>
          <w:rFonts w:ascii="Arial" w:cs="Arial" w:eastAsia="Arial" w:hAnsi="Arial"/>
          <w:sz w:val="15"/>
          <w:szCs w:val="15"/>
          <w:color w:val="auto"/>
        </w:rPr>
      </w:pPr>
    </w:p>
    <w:p>
      <w:pPr>
        <w:ind w:left="800" w:hanging="265"/>
        <w:spacing w:after="0"/>
        <w:tabs>
          <w:tab w:leader="none" w:pos="80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Immediately notify Treasury and the Treasury Inspector General of any indication of fraud, waste, abuse, or potentially criminal activity pertaining to the Payroll Support.</w:t>
      </w:r>
    </w:p>
    <w:p>
      <w:pPr>
        <w:spacing w:after="0" w:line="190" w:lineRule="exact"/>
        <w:rPr>
          <w:rFonts w:ascii="Arial" w:cs="Arial" w:eastAsia="Arial" w:hAnsi="Arial"/>
          <w:sz w:val="14"/>
          <w:szCs w:val="14"/>
          <w:color w:val="auto"/>
        </w:rPr>
      </w:pPr>
    </w:p>
    <w:p>
      <w:pPr>
        <w:ind w:left="800" w:hanging="265"/>
        <w:spacing w:after="0"/>
        <w:tabs>
          <w:tab w:leader="none" w:pos="80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Promptly provide Treasury with any information Treasury may request relating to compliance by the Recipient and its Affiliates with this Agreement.</w:t>
      </w:r>
    </w:p>
    <w:p>
      <w:pPr>
        <w:spacing w:after="0" w:line="179" w:lineRule="exact"/>
        <w:rPr>
          <w:rFonts w:ascii="Arial" w:cs="Arial" w:eastAsia="Arial" w:hAnsi="Arial"/>
          <w:sz w:val="15"/>
          <w:szCs w:val="15"/>
          <w:color w:val="auto"/>
        </w:rPr>
      </w:pPr>
    </w:p>
    <w:p>
      <w:pPr>
        <w:ind w:left="280" w:hanging="272"/>
        <w:spacing w:after="0" w:line="248" w:lineRule="auto"/>
        <w:tabs>
          <w:tab w:leader="none" w:pos="2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Recipient and Affiliates will provide Treasury, the Treasury Inspector General, and such other entities as authorized by Treasury timely and unrestricted access to all documents, papers, or other records, including electronic records, of the Recipient related to the Payroll Support, to enable Treasury and the Treasury Inspector General to make audits, examinations, and otherwise evaluate the Recipient's compliance with the terms of this Agreement. This right also includes timely and reasonable access to the Recipient's and its Affiliates' personnel for the purpose of interview and discussion related to such documents. This right of access shall continue as long as records are required to be retained. In addition, the Recipient will provide timely reports as reasonably required by Treasury, the Treasury Inspector General, and such other entities as authorized by Treasury to comply with applicable law and to assess program effectiveness.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Recordkeeping and Internal Controls</w:t>
      </w:r>
    </w:p>
    <w:p>
      <w:pPr>
        <w:spacing w:after="0" w:line="179" w:lineRule="exact"/>
        <w:rPr>
          <w:sz w:val="20"/>
          <w:szCs w:val="20"/>
          <w:color w:val="auto"/>
        </w:rPr>
      </w:pPr>
    </w:p>
    <w:p>
      <w:pPr>
        <w:ind w:left="280" w:right="280" w:hanging="272"/>
        <w:spacing w:after="0" w:line="264" w:lineRule="auto"/>
        <w:tabs>
          <w:tab w:leader="none" w:pos="2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If the Recipient is a debtor as defined under 11 U.S.C. § 101(13), the Payroll Support funds, any claim or account receivable arising under this Agreement, and any segregated account holding funds received under this Agreement shall not constitute or become property of the estate under 11 U.S.C. § 541.</w:t>
      </w:r>
    </w:p>
    <w:p>
      <w:pPr>
        <w:spacing w:after="0" w:line="147" w:lineRule="exact"/>
        <w:rPr>
          <w:rFonts w:ascii="Arial" w:cs="Arial" w:eastAsia="Arial" w:hAnsi="Arial"/>
          <w:sz w:val="15"/>
          <w:szCs w:val="15"/>
          <w:color w:val="auto"/>
        </w:rPr>
      </w:pPr>
    </w:p>
    <w:p>
      <w:pPr>
        <w:ind w:left="280" w:hanging="272"/>
        <w:spacing w:after="0"/>
        <w:tabs>
          <w:tab w:leader="none" w:pos="2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Recipient shall expend and account for Payroll Support funds in a manner sufficient to:</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36"/>
        </w:numPr>
        <w:rPr>
          <w:rFonts w:ascii="Arial" w:cs="Arial" w:eastAsia="Arial" w:hAnsi="Arial"/>
          <w:sz w:val="15"/>
          <w:szCs w:val="15"/>
          <w:color w:val="auto"/>
        </w:rPr>
      </w:pPr>
      <w:r>
        <w:rPr>
          <w:rFonts w:ascii="Arial" w:cs="Arial" w:eastAsia="Arial" w:hAnsi="Arial"/>
          <w:sz w:val="15"/>
          <w:szCs w:val="15"/>
          <w:color w:val="auto"/>
        </w:rPr>
        <w:t>Permit the preparation of accurate, current, and complete quarterly reports as required under this Agreement.</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36"/>
        </w:numPr>
        <w:rPr>
          <w:rFonts w:ascii="Arial" w:cs="Arial" w:eastAsia="Arial" w:hAnsi="Arial"/>
          <w:sz w:val="15"/>
          <w:szCs w:val="15"/>
          <w:color w:val="auto"/>
        </w:rPr>
      </w:pPr>
      <w:r>
        <w:rPr>
          <w:rFonts w:ascii="Arial" w:cs="Arial" w:eastAsia="Arial" w:hAnsi="Arial"/>
          <w:sz w:val="15"/>
          <w:szCs w:val="15"/>
          <w:color w:val="auto"/>
        </w:rPr>
        <w:t>Permit the tracing of funds to a level of expenditures adequate to establish that such funds have been used as required under this Agreement.</w:t>
      </w:r>
    </w:p>
    <w:p>
      <w:pPr>
        <w:spacing w:after="0" w:line="179" w:lineRule="exact"/>
        <w:rPr>
          <w:rFonts w:ascii="Arial" w:cs="Arial" w:eastAsia="Arial" w:hAnsi="Arial"/>
          <w:sz w:val="15"/>
          <w:szCs w:val="15"/>
          <w:color w:val="auto"/>
        </w:rPr>
      </w:pPr>
    </w:p>
    <w:p>
      <w:pPr>
        <w:ind w:left="280" w:right="120" w:hanging="272"/>
        <w:spacing w:after="0" w:line="281" w:lineRule="auto"/>
        <w:tabs>
          <w:tab w:leader="none" w:pos="2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Recipient shall establish and maintain effective internal controls over the Payroll Support; comply with all requirements related to the Payroll Support established under applicable Federal statutes and regulations; monitor compliance with Federal statutes, regulations, and the terms and conditions of this Agreement; and take prompt corrective actions in accordance with audit recommendations. The Recipient shall promptly remedy any identified instances of noncompliance with this Agreement.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6" w:right="339" w:bottom="1440" w:gutter="0" w:footer="0" w:header="0"/>
        </w:sectPr>
      </w:pPr>
    </w:p>
    <w:bookmarkStart w:id="285" w:name="page286"/>
    <w:bookmarkEnd w:id="285"/>
    <w:p>
      <w:pPr>
        <w:ind w:left="280" w:right="140" w:hanging="272"/>
        <w:spacing w:after="0" w:line="248" w:lineRule="auto"/>
        <w:tabs>
          <w:tab w:leader="none" w:pos="2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Recipient and Affiliates shall retain all records pertinent to the receipt of Payroll Support and compliance with the terms and conditions of this Agreement (including by suspending any automatic deletion functions for electronic records, including e-mails) for a period of three years following the period of performance. Such records shall include all information necessary to substantiate factual representations made in the supporting documents submitted by the Recipient related to the Payroll Support, including ledgers and sub-ledgers, and the Recipient's and Affiliates' compliance with this Agreement. While electronic storage of records (backed up as appropriate) is preferable, the Recipient and Affiliates may store records in hardcopy (paper) format. The term "records" includes all relevant fmancial and accounting records and all supporting documentation for the information reported on the Recipient's quarterly reports.</w:t>
      </w:r>
    </w:p>
    <w:p>
      <w:pPr>
        <w:spacing w:after="0" w:line="161" w:lineRule="exact"/>
        <w:rPr>
          <w:rFonts w:ascii="Arial" w:cs="Arial" w:eastAsia="Arial" w:hAnsi="Arial"/>
          <w:sz w:val="15"/>
          <w:szCs w:val="15"/>
          <w:color w:val="auto"/>
        </w:rPr>
      </w:pPr>
    </w:p>
    <w:p>
      <w:pPr>
        <w:ind w:left="280" w:right="260" w:hanging="272"/>
        <w:spacing w:after="0" w:line="341" w:lineRule="auto"/>
        <w:tabs>
          <w:tab w:leader="none" w:pos="28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If any litigation, claim, investigation, or audit relating to the Payroll Support is started before the expiration of the three-year period, the Recipient and Affiliates shall retain all records described in paragraph 20 until all such litigation, claims, investigations, or audit findings have been completely resolved and final judgment entered or final action taken.</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Remedies</w:t>
      </w:r>
    </w:p>
    <w:p>
      <w:pPr>
        <w:spacing w:after="0" w:line="179" w:lineRule="exact"/>
        <w:rPr>
          <w:sz w:val="20"/>
          <w:szCs w:val="20"/>
          <w:color w:val="auto"/>
        </w:rPr>
      </w:pPr>
    </w:p>
    <w:p>
      <w:pPr>
        <w:ind w:left="280" w:hanging="272"/>
        <w:spacing w:after="0" w:line="271" w:lineRule="auto"/>
        <w:tabs>
          <w:tab w:leader="none" w:pos="2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If Treasury believes that an instance of noncompliance by the Recipient or an Affiliate with (a) this Agreement, (b) section 7301 of the ARP, or (c) the Internal Revenue Code of 1986 as it applies to the receipt of Payroll Support has occurred, Treasury may notify the Recipient in writing of its proposed determination of noncompliance, provide an explanation of the nature of the noncompliance, and specify a proposed remedy. Upon receipt of such notice, the Recipient shall, within seven days, accept Treasury's proposed remedy, propose an alternative remedy, or provide information and documentation contesting Treasury's proposed determination. Treasury shall consider any such submission by the Recipient and make a final written determination, which will state Treasury's findings regarding noncompliance and the remedy to be imposed.</w:t>
      </w:r>
    </w:p>
    <w:p>
      <w:pPr>
        <w:spacing w:after="0" w:line="145" w:lineRule="exact"/>
        <w:rPr>
          <w:rFonts w:ascii="Arial" w:cs="Arial" w:eastAsia="Arial" w:hAnsi="Arial"/>
          <w:sz w:val="14"/>
          <w:szCs w:val="14"/>
          <w:color w:val="auto"/>
        </w:rPr>
      </w:pPr>
    </w:p>
    <w:p>
      <w:pPr>
        <w:ind w:left="280" w:right="100" w:hanging="272"/>
        <w:spacing w:after="0" w:line="311" w:lineRule="auto"/>
        <w:tabs>
          <w:tab w:leader="none" w:pos="2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If Treasury makes a final determination under paragraph 22 that an instance of noncompliance has occurred, Treasury may, in its sole discretion, withhold any Additional Payroll Support Payments; require the repayment of the amount of any previously disbursed Payroll Support, with appropriate interest; require additional reporting or monitoring; initiate suspension or debarment proceedings as authorized under 2 CFR Part 180; terminate this Agreement; or take any such other action as Treasury, in its sole discretion, deems appropriate.</w:t>
      </w:r>
    </w:p>
    <w:p>
      <w:pPr>
        <w:spacing w:after="0" w:line="121" w:lineRule="exact"/>
        <w:rPr>
          <w:rFonts w:ascii="Arial" w:cs="Arial" w:eastAsia="Arial" w:hAnsi="Arial"/>
          <w:sz w:val="13"/>
          <w:szCs w:val="13"/>
          <w:color w:val="auto"/>
        </w:rPr>
      </w:pPr>
    </w:p>
    <w:p>
      <w:pPr>
        <w:ind w:left="280" w:hanging="272"/>
        <w:spacing w:after="0" w:line="251" w:lineRule="auto"/>
        <w:tabs>
          <w:tab w:leader="none" w:pos="28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Treasury may make a final determination regarding noncompliance without regard to paragraph 22 if Treasury determines, in its sole discretion, that such determination is necessary to protect a material interest of the Federal Government. In such event, Treasury shall notify the Recipient of the remedy that Treasury, in its sole discretion, shall impose, after which the Recipient may contest Treasury's final determination or propose an alternative remedy in writing to Treasury. Following the receipt of such a submission by the Recipient, Treasury may, in its sole discretion, maintain or alter its final determination.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6" w:right="339" w:bottom="1440" w:gutter="0" w:footer="0" w:header="0"/>
        </w:sectPr>
      </w:pPr>
    </w:p>
    <w:bookmarkStart w:id="286" w:name="page287"/>
    <w:bookmarkEnd w:id="286"/>
    <w:p>
      <w:pPr>
        <w:ind w:left="280" w:right="180" w:hanging="272"/>
        <w:spacing w:after="0" w:line="254" w:lineRule="auto"/>
        <w:tabs>
          <w:tab w:leader="none" w:pos="28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Any final determination of noncompliance and any final determination to take any remedial action described herein shall not be subject to further review. To the extent permitted by law, the Recipient waives any right to judicial review of any such determinations and further agrees not to assert in any court any claim arising from or relating to any such determination or remedial action.</w:t>
      </w:r>
    </w:p>
    <w:p>
      <w:pPr>
        <w:spacing w:after="0" w:line="155" w:lineRule="exact"/>
        <w:rPr>
          <w:rFonts w:ascii="Arial" w:cs="Arial" w:eastAsia="Arial" w:hAnsi="Arial"/>
          <w:sz w:val="15"/>
          <w:szCs w:val="15"/>
          <w:color w:val="auto"/>
        </w:rPr>
      </w:pPr>
    </w:p>
    <w:p>
      <w:pPr>
        <w:ind w:left="280" w:hanging="272"/>
        <w:spacing w:after="0"/>
        <w:tabs>
          <w:tab w:leader="none" w:pos="2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Instead of, or in addition to, the remedies listed above, Treasury may refer any noncompliance or any allegations of fraud, waste, or abuse to the Treasury Inspector General.</w:t>
      </w:r>
    </w:p>
    <w:p>
      <w:pPr>
        <w:spacing w:after="0" w:line="190" w:lineRule="exact"/>
        <w:rPr>
          <w:rFonts w:ascii="Arial" w:cs="Arial" w:eastAsia="Arial" w:hAnsi="Arial"/>
          <w:sz w:val="14"/>
          <w:szCs w:val="14"/>
          <w:color w:val="auto"/>
        </w:rPr>
      </w:pPr>
    </w:p>
    <w:p>
      <w:pPr>
        <w:jc w:val="both"/>
        <w:ind w:left="280" w:right="340" w:hanging="272"/>
        <w:spacing w:after="0" w:line="281" w:lineRule="auto"/>
        <w:tabs>
          <w:tab w:leader="none" w:pos="2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Treasury, in its sole discretion, may grant any request by the Recipient for termination of this Agreement, which such request shall be in writing and shall include the reasons for such termination, the proposed effective date of the termination, and the amount of any unused Payroll Support funds the Recipient requests to return to Treasury. Treasury may, in its sole discretion, determine the extent to which the requirements under this Agreement may cease to apply following any such termination.</w:t>
      </w:r>
    </w:p>
    <w:p>
      <w:pPr>
        <w:spacing w:after="0" w:line="137" w:lineRule="exact"/>
        <w:rPr>
          <w:rFonts w:ascii="Arial" w:cs="Arial" w:eastAsia="Arial" w:hAnsi="Arial"/>
          <w:sz w:val="14"/>
          <w:szCs w:val="14"/>
          <w:color w:val="auto"/>
        </w:rPr>
      </w:pPr>
    </w:p>
    <w:p>
      <w:pPr>
        <w:ind w:left="280" w:right="180" w:hanging="272"/>
        <w:spacing w:after="0" w:line="264" w:lineRule="auto"/>
        <w:tabs>
          <w:tab w:leader="none" w:pos="28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If Treasury determines that any remaining portion of the Payroll Support will not accomplish the purpose of this Agreement, Treasury may terminate this Agreement in its entirety to the extent permitted by law.</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Debts</w:t>
      </w:r>
    </w:p>
    <w:p>
      <w:pPr>
        <w:spacing w:after="0" w:line="179" w:lineRule="exact"/>
        <w:rPr>
          <w:sz w:val="20"/>
          <w:szCs w:val="20"/>
          <w:color w:val="auto"/>
        </w:rPr>
      </w:pPr>
    </w:p>
    <w:p>
      <w:pPr>
        <w:ind w:left="280" w:hanging="272"/>
        <w:spacing w:after="0" w:line="264" w:lineRule="auto"/>
        <w:tabs>
          <w:tab w:leader="none" w:pos="2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Any Payroll Support in excess of the amount which Treasury determines, at any time, the Recipient is authorized to receive or retain under the terms of this Agreement constitutes a debt to the Federal Government.</w:t>
      </w:r>
    </w:p>
    <w:p>
      <w:pPr>
        <w:spacing w:after="0" w:line="147" w:lineRule="exact"/>
        <w:rPr>
          <w:rFonts w:ascii="Arial" w:cs="Arial" w:eastAsia="Arial" w:hAnsi="Arial"/>
          <w:sz w:val="15"/>
          <w:szCs w:val="15"/>
          <w:color w:val="auto"/>
        </w:rPr>
      </w:pPr>
    </w:p>
    <w:p>
      <w:pPr>
        <w:ind w:left="280" w:right="120" w:hanging="272"/>
        <w:spacing w:after="0" w:line="251" w:lineRule="auto"/>
        <w:tabs>
          <w:tab w:leader="none" w:pos="2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Any debts determined to be owed by the Recipient to the Federal Government shall be paid promptly by the Recipient. A debt is delinquent if it has not been paid by the date specified in Treasury's initial written demand for payment, unless other satisfactory arrangements have been made. Interest, penalties, and administrative charges shall be charged on delinquent debts in accordance with 31 U.S.C. § 3717, 31 CFR 901.9, and paragraphs 31 and 32. Treasury will refer any debt that is more than 180 days delinquent to Treasury's Bureau of the Fiscal Service for debt collection services.</w:t>
      </w:r>
    </w:p>
    <w:p>
      <w:pPr>
        <w:spacing w:after="0" w:line="157" w:lineRule="exact"/>
        <w:rPr>
          <w:rFonts w:ascii="Arial" w:cs="Arial" w:eastAsia="Arial" w:hAnsi="Arial"/>
          <w:sz w:val="15"/>
          <w:szCs w:val="15"/>
          <w:color w:val="auto"/>
        </w:rPr>
      </w:pPr>
    </w:p>
    <w:p>
      <w:pPr>
        <w:ind w:left="280" w:hanging="272"/>
        <w:spacing w:after="0"/>
        <w:tabs>
          <w:tab w:leader="none" w:pos="2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Penalties on any debts shall accrue at a rate of not more than 6 percent per year or such other higher rate as authorized by law.</w:t>
      </w:r>
    </w:p>
    <w:p>
      <w:pPr>
        <w:spacing w:after="0" w:line="179" w:lineRule="exact"/>
        <w:rPr>
          <w:rFonts w:ascii="Arial" w:cs="Arial" w:eastAsia="Arial" w:hAnsi="Arial"/>
          <w:sz w:val="15"/>
          <w:szCs w:val="15"/>
          <w:color w:val="auto"/>
        </w:rPr>
      </w:pPr>
    </w:p>
    <w:p>
      <w:pPr>
        <w:ind w:left="280" w:hanging="272"/>
        <w:spacing w:after="0"/>
        <w:tabs>
          <w:tab w:leader="none" w:pos="2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Administrative charges relating to the costs of processing and handling a delinquent debt shall be determined by Treasury.</w:t>
      </w:r>
    </w:p>
    <w:p>
      <w:pPr>
        <w:spacing w:after="0" w:line="179" w:lineRule="exact"/>
        <w:rPr>
          <w:rFonts w:ascii="Arial" w:cs="Arial" w:eastAsia="Arial" w:hAnsi="Arial"/>
          <w:sz w:val="15"/>
          <w:szCs w:val="15"/>
          <w:color w:val="auto"/>
        </w:rPr>
      </w:pPr>
    </w:p>
    <w:p>
      <w:pPr>
        <w:ind w:left="280" w:hanging="272"/>
        <w:spacing w:after="0"/>
        <w:tabs>
          <w:tab w:leader="none" w:pos="2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Recipient shall not use funds from other federally sponsored programs to pay a debt to the government arising under this Agreement.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287" w:name="page288"/>
    <w:bookmarkEnd w:id="287"/>
    <w:p>
      <w:pPr>
        <w:spacing w:after="0"/>
        <w:rPr>
          <w:sz w:val="20"/>
          <w:szCs w:val="20"/>
          <w:color w:val="auto"/>
        </w:rPr>
      </w:pPr>
      <w:r>
        <w:rPr>
          <w:rFonts w:ascii="Arial" w:cs="Arial" w:eastAsia="Arial" w:hAnsi="Arial"/>
          <w:sz w:val="15"/>
          <w:szCs w:val="15"/>
          <w:u w:val="single" w:color="auto"/>
          <w:color w:val="auto"/>
        </w:rPr>
        <w:t>Protections for Whistleblowers</w:t>
      </w:r>
    </w:p>
    <w:p>
      <w:pPr>
        <w:spacing w:after="0" w:line="179" w:lineRule="exact"/>
        <w:rPr>
          <w:sz w:val="20"/>
          <w:szCs w:val="20"/>
          <w:color w:val="auto"/>
        </w:rPr>
      </w:pPr>
    </w:p>
    <w:p>
      <w:pPr>
        <w:ind w:left="280" w:right="40" w:hanging="272"/>
        <w:spacing w:after="0" w:line="251" w:lineRule="auto"/>
        <w:tabs>
          <w:tab w:leader="none" w:pos="2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In addition to other applicable whistleblower protections, in accordance with 41 U.S.C. § 4712, the Recipient shall not discharge, demote, or otherwise discriminate against an Employee as a reprisal for disclosing information to a Person listed below that the Employee reasonably believes is evidence of gross mismanagement of a Federal contract or grant, a gross waste of Federal funds, an abuse of authority relating to a Federal contract or grant, a substantial and specific danger to public health or safety, or a violation of law, rule, or regulation related to a Federal contract (including the competition for or negotiation of a contract) or grant:</w:t>
      </w:r>
    </w:p>
    <w:p>
      <w:pPr>
        <w:spacing w:after="0" w:line="157" w:lineRule="exact"/>
        <w:rPr>
          <w:rFonts w:ascii="Arial" w:cs="Arial" w:eastAsia="Arial" w:hAnsi="Arial"/>
          <w:sz w:val="15"/>
          <w:szCs w:val="15"/>
          <w:color w:val="auto"/>
        </w:rPr>
      </w:pPr>
    </w:p>
    <w:p>
      <w:pPr>
        <w:ind w:left="800" w:hanging="265"/>
        <w:spacing w:after="0"/>
        <w:tabs>
          <w:tab w:leader="none" w:pos="80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 Member of Congress or a representative of a committee of Congress;</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An Inspector General;</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The Government Accountability Office;</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 Treasury employee responsible for contract or grant oversight or management;</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An authorized official of the Department of Justice or other law enforcement agency;</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 court or grand jury; or</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A management official or other Employee of the Recipient who has the responsibility to investigate, discover, or address misconduct.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Lobbying</w:t>
      </w:r>
    </w:p>
    <w:p>
      <w:pPr>
        <w:spacing w:after="0" w:line="179" w:lineRule="exact"/>
        <w:rPr>
          <w:sz w:val="20"/>
          <w:szCs w:val="20"/>
          <w:color w:val="auto"/>
        </w:rPr>
      </w:pPr>
    </w:p>
    <w:p>
      <w:pPr>
        <w:ind w:right="3600" w:firstLine="8"/>
        <w:spacing w:after="0" w:line="489" w:lineRule="auto"/>
        <w:tabs>
          <w:tab w:leader="none" w:pos="264" w:val="left"/>
        </w:tabs>
        <w:numPr>
          <w:ilvl w:val="0"/>
          <w:numId w:val="142"/>
        </w:numPr>
        <w:rPr>
          <w:rFonts w:ascii="Arial" w:cs="Arial" w:eastAsia="Arial" w:hAnsi="Arial"/>
          <w:sz w:val="15"/>
          <w:szCs w:val="15"/>
          <w:color w:val="auto"/>
        </w:rPr>
      </w:pPr>
      <w:r>
        <w:rPr>
          <w:rFonts w:ascii="Arial" w:cs="Arial" w:eastAsia="Arial" w:hAnsi="Arial"/>
          <w:sz w:val="15"/>
          <w:szCs w:val="15"/>
          <w:color w:val="auto"/>
        </w:rPr>
        <w:t xml:space="preserve">The Recipient shall comply with the provisions of 31 U.S.C. § 1352, as amended, and with the regulations at 31 CFR Part 21. </w:t>
      </w:r>
      <w:r>
        <w:rPr>
          <w:rFonts w:ascii="Arial" w:cs="Arial" w:eastAsia="Arial" w:hAnsi="Arial"/>
          <w:sz w:val="15"/>
          <w:szCs w:val="15"/>
          <w:u w:val="single" w:color="auto"/>
          <w:color w:val="auto"/>
        </w:rPr>
        <w:t>Non-Discrimination</w:t>
      </w:r>
    </w:p>
    <w:p>
      <w:pPr>
        <w:ind w:left="280" w:hanging="272"/>
        <w:spacing w:after="0"/>
        <w:tabs>
          <w:tab w:leader="none" w:pos="28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Recipient shall comply with, and hereby assures that it will comply with, all applicable Federal statutes and regulations relating to nondiscrimination including:</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 xml:space="preserve">Title VI of the Civil Rights Act of 1964 (42 U.S.C. § 2000d </w:t>
      </w:r>
      <w:r>
        <w:rPr>
          <w:rFonts w:ascii="Arial" w:cs="Arial" w:eastAsia="Arial" w:hAnsi="Arial"/>
          <w:sz w:val="15"/>
          <w:szCs w:val="15"/>
          <w:i w:val="1"/>
          <w:iCs w:val="1"/>
          <w:color w:val="auto"/>
        </w:rPr>
        <w:t>et seq.),</w:t>
      </w:r>
      <w:r>
        <w:rPr>
          <w:rFonts w:ascii="Arial" w:cs="Arial" w:eastAsia="Arial" w:hAnsi="Arial"/>
          <w:sz w:val="15"/>
          <w:szCs w:val="15"/>
          <w:color w:val="auto"/>
        </w:rPr>
        <w:t xml:space="preserve"> including Treasury's implementing regulations at 31 CFR Part 22;</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Section 504 of the Rehabilitation Act of 1973, as amended (29 U.S.C. § 794);</w:t>
      </w:r>
    </w:p>
    <w:p>
      <w:pPr>
        <w:spacing w:after="0" w:line="179" w:lineRule="exact"/>
        <w:rPr>
          <w:rFonts w:ascii="Arial" w:cs="Arial" w:eastAsia="Arial" w:hAnsi="Arial"/>
          <w:sz w:val="15"/>
          <w:szCs w:val="15"/>
          <w:color w:val="auto"/>
        </w:rPr>
      </w:pPr>
    </w:p>
    <w:p>
      <w:pPr>
        <w:ind w:left="800" w:hanging="265"/>
        <w:spacing w:after="0" w:line="264" w:lineRule="auto"/>
        <w:tabs>
          <w:tab w:leader="none" w:pos="80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The Age Discrimination Act of 1975, as amended (42 U.S.C. §§ 6101-6107), including Treasury's implementing regulations at 31 CFR Part 23 and the general age discrimination regulations at 45 CFR Part 90; and</w:t>
      </w:r>
    </w:p>
    <w:p>
      <w:pPr>
        <w:spacing w:after="0" w:line="147" w:lineRule="exact"/>
        <w:rPr>
          <w:rFonts w:ascii="Arial" w:cs="Arial" w:eastAsia="Arial" w:hAnsi="Arial"/>
          <w:sz w:val="15"/>
          <w:szCs w:val="15"/>
          <w:color w:val="auto"/>
        </w:rPr>
      </w:pPr>
    </w:p>
    <w:p>
      <w:pPr>
        <w:ind w:left="800" w:hanging="265"/>
        <w:spacing w:after="0"/>
        <w:tabs>
          <w:tab w:leader="none" w:pos="80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The Air Carrier Access Act of 1986 (49 U.S.C. § 41705).</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40"/>
          </w:cols>
          <w:pgMar w:left="300" w:top="767" w:right="359" w:bottom="1440" w:gutter="0" w:footer="0" w:header="0"/>
        </w:sectPr>
      </w:pPr>
    </w:p>
    <w:bookmarkStart w:id="288" w:name="page289"/>
    <w:bookmarkEnd w:id="288"/>
    <w:p>
      <w:pPr>
        <w:spacing w:after="0"/>
        <w:rPr>
          <w:sz w:val="20"/>
          <w:szCs w:val="20"/>
          <w:color w:val="auto"/>
        </w:rPr>
      </w:pPr>
      <w:r>
        <w:rPr>
          <w:rFonts w:ascii="Arial" w:cs="Arial" w:eastAsia="Arial" w:hAnsi="Arial"/>
          <w:sz w:val="15"/>
          <w:szCs w:val="15"/>
          <w:u w:val="single" w:color="auto"/>
          <w:color w:val="auto"/>
        </w:rPr>
        <w:t>Additional Reporting</w:t>
      </w:r>
    </w:p>
    <w:p>
      <w:pPr>
        <w:spacing w:after="0" w:line="179" w:lineRule="exact"/>
        <w:rPr>
          <w:sz w:val="20"/>
          <w:szCs w:val="20"/>
          <w:color w:val="auto"/>
        </w:rPr>
      </w:pPr>
    </w:p>
    <w:p>
      <w:pPr>
        <w:ind w:left="280" w:hanging="272"/>
        <w:spacing w:after="0" w:line="251" w:lineRule="auto"/>
        <w:tabs>
          <w:tab w:leader="none" w:pos="28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Within seven days after the date of this Agreement, the Recipient shall register in SAM.gov, and thereafter maintain the currency of the information in SAM.gov until at least January 1, 2023. The Recipient shall review and update such information at least annually after the initial registration, and more frequently if required by changes in the Recipient's information. The Recipient agrees that this Agreement and information related thereto, including the Maximum Awardable Amount and any executive total compensation reported pursuant to paragraph 38, may be made available to the public through a U.S. Government website, including SAM.gov.</w:t>
      </w:r>
    </w:p>
    <w:p>
      <w:pPr>
        <w:spacing w:after="0" w:line="157" w:lineRule="exact"/>
        <w:rPr>
          <w:rFonts w:ascii="Arial" w:cs="Arial" w:eastAsia="Arial" w:hAnsi="Arial"/>
          <w:sz w:val="15"/>
          <w:szCs w:val="15"/>
          <w:color w:val="auto"/>
        </w:rPr>
      </w:pPr>
    </w:p>
    <w:p>
      <w:pPr>
        <w:ind w:left="280" w:right="120" w:hanging="272"/>
        <w:spacing w:after="0" w:line="264" w:lineRule="auto"/>
        <w:tabs>
          <w:tab w:leader="none" w:pos="28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For purposes of paragraph 37, the Recipient shall report total compensation as defined in paragraph e.6 of the award term in 2 CFR part 170, App. A for each of the Recipient's five most highly compensated executives for the preceding completed fiscal year, if:</w:t>
      </w:r>
    </w:p>
    <w:p>
      <w:pPr>
        <w:spacing w:after="0" w:line="147" w:lineRule="exact"/>
        <w:rPr>
          <w:rFonts w:ascii="Arial" w:cs="Arial" w:eastAsia="Arial" w:hAnsi="Arial"/>
          <w:sz w:val="15"/>
          <w:szCs w:val="15"/>
          <w:color w:val="auto"/>
        </w:rPr>
      </w:pPr>
    </w:p>
    <w:p>
      <w:pPr>
        <w:ind w:left="800" w:hanging="265"/>
        <w:spacing w:after="0"/>
        <w:tabs>
          <w:tab w:leader="none" w:pos="800" w:val="left"/>
        </w:tabs>
        <w:numPr>
          <w:ilvl w:val="1"/>
          <w:numId w:val="143"/>
        </w:numPr>
        <w:rPr>
          <w:rFonts w:ascii="Arial" w:cs="Arial" w:eastAsia="Arial" w:hAnsi="Arial"/>
          <w:sz w:val="15"/>
          <w:szCs w:val="15"/>
          <w:color w:val="auto"/>
        </w:rPr>
      </w:pPr>
      <w:r>
        <w:rPr>
          <w:rFonts w:ascii="Arial" w:cs="Arial" w:eastAsia="Arial" w:hAnsi="Arial"/>
          <w:sz w:val="15"/>
          <w:szCs w:val="15"/>
          <w:color w:val="auto"/>
        </w:rPr>
        <w:t>the total Payroll Support is $25,000 or more;</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3"/>
        </w:numPr>
        <w:rPr>
          <w:rFonts w:ascii="Arial" w:cs="Arial" w:eastAsia="Arial" w:hAnsi="Arial"/>
          <w:sz w:val="15"/>
          <w:szCs w:val="15"/>
          <w:color w:val="auto"/>
        </w:rPr>
      </w:pPr>
      <w:r>
        <w:rPr>
          <w:rFonts w:ascii="Arial" w:cs="Arial" w:eastAsia="Arial" w:hAnsi="Arial"/>
          <w:sz w:val="15"/>
          <w:szCs w:val="15"/>
          <w:color w:val="auto"/>
        </w:rPr>
        <w:t>in the preceding fiscal year, the Recipient received:</w:t>
      </w:r>
    </w:p>
    <w:p>
      <w:pPr>
        <w:spacing w:after="0" w:line="179" w:lineRule="exact"/>
        <w:rPr>
          <w:rFonts w:ascii="Arial" w:cs="Arial" w:eastAsia="Arial" w:hAnsi="Arial"/>
          <w:sz w:val="15"/>
          <w:szCs w:val="15"/>
          <w:color w:val="auto"/>
        </w:rPr>
      </w:pPr>
    </w:p>
    <w:p>
      <w:pPr>
        <w:ind w:left="1320" w:right="260" w:hanging="257"/>
        <w:spacing w:after="0" w:line="264" w:lineRule="auto"/>
        <w:tabs>
          <w:tab w:leader="none" w:pos="1320" w:val="left"/>
        </w:tabs>
        <w:numPr>
          <w:ilvl w:val="2"/>
          <w:numId w:val="143"/>
        </w:numPr>
        <w:rPr>
          <w:rFonts w:ascii="Arial" w:cs="Arial" w:eastAsia="Arial" w:hAnsi="Arial"/>
          <w:sz w:val="15"/>
          <w:szCs w:val="15"/>
          <w:color w:val="auto"/>
        </w:rPr>
      </w:pPr>
      <w:r>
        <w:rPr>
          <w:rFonts w:ascii="Arial" w:cs="Arial" w:eastAsia="Arial" w:hAnsi="Arial"/>
          <w:sz w:val="15"/>
          <w:szCs w:val="15"/>
          <w:color w:val="auto"/>
        </w:rPr>
        <w:t>80 percent or more of its annual gross revenues from Federal procurement contracts (and subcontracts) and Federal financial assistance, as defined at 2 CFR 170.320 (and subawards); and</w:t>
      </w:r>
    </w:p>
    <w:p>
      <w:pPr>
        <w:spacing w:after="0" w:line="147" w:lineRule="exact"/>
        <w:rPr>
          <w:rFonts w:ascii="Arial" w:cs="Arial" w:eastAsia="Arial" w:hAnsi="Arial"/>
          <w:sz w:val="15"/>
          <w:szCs w:val="15"/>
          <w:color w:val="auto"/>
        </w:rPr>
      </w:pPr>
    </w:p>
    <w:p>
      <w:pPr>
        <w:ind w:left="1320" w:right="40" w:hanging="257"/>
        <w:spacing w:after="0" w:line="264" w:lineRule="auto"/>
        <w:tabs>
          <w:tab w:leader="none" w:pos="1320" w:val="left"/>
        </w:tabs>
        <w:numPr>
          <w:ilvl w:val="2"/>
          <w:numId w:val="143"/>
        </w:numPr>
        <w:rPr>
          <w:rFonts w:ascii="Arial" w:cs="Arial" w:eastAsia="Arial" w:hAnsi="Arial"/>
          <w:sz w:val="15"/>
          <w:szCs w:val="15"/>
          <w:color w:val="auto"/>
        </w:rPr>
      </w:pPr>
      <w:r>
        <w:rPr>
          <w:rFonts w:ascii="Arial" w:cs="Arial" w:eastAsia="Arial" w:hAnsi="Arial"/>
          <w:sz w:val="15"/>
          <w:szCs w:val="15"/>
          <w:color w:val="auto"/>
        </w:rPr>
        <w:t>$25,000,000 or more in annual gross revenues from Federal procurement contracts (and subcontracts) and Federal financial assistance, as defined at 2 CFR 170.320 (and subawards); and</w:t>
      </w:r>
    </w:p>
    <w:p>
      <w:pPr>
        <w:spacing w:after="0" w:line="147" w:lineRule="exact"/>
        <w:rPr>
          <w:rFonts w:ascii="Arial" w:cs="Arial" w:eastAsia="Arial" w:hAnsi="Arial"/>
          <w:sz w:val="15"/>
          <w:szCs w:val="15"/>
          <w:color w:val="auto"/>
        </w:rPr>
      </w:pPr>
    </w:p>
    <w:p>
      <w:pPr>
        <w:ind w:left="800" w:right="260" w:hanging="265"/>
        <w:spacing w:after="0" w:line="281" w:lineRule="auto"/>
        <w:tabs>
          <w:tab w:leader="none" w:pos="80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the public does not have access to information about the compensation of the executives through periodic reports filed under section 13(a) or 15(d) of the Securities Exchange Act of 1934 (15 U.S.C. 78m(a), 78o(d)) or section 6104 of the Internal Revenue Code of 1986. To determine if the public has access to the compensation information, the Recipient shall refer to U.S. Securities and Exchange Commission total compensation filings at http://www.sec.gov/answers/execomp.htm.</w:t>
      </w:r>
    </w:p>
    <w:p>
      <w:pPr>
        <w:spacing w:after="0" w:line="137" w:lineRule="exact"/>
        <w:rPr>
          <w:rFonts w:ascii="Arial" w:cs="Arial" w:eastAsia="Arial" w:hAnsi="Arial"/>
          <w:sz w:val="14"/>
          <w:szCs w:val="14"/>
          <w:color w:val="auto"/>
        </w:rPr>
      </w:pPr>
    </w:p>
    <w:p>
      <w:pPr>
        <w:ind w:left="280" w:hanging="272"/>
        <w:spacing w:after="0"/>
        <w:tabs>
          <w:tab w:leader="none" w:pos="28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Recipient shall report executive total compensation described in paragraph 38:</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3"/>
        </w:numPr>
        <w:rPr>
          <w:rFonts w:ascii="Arial" w:cs="Arial" w:eastAsia="Arial" w:hAnsi="Arial"/>
          <w:sz w:val="15"/>
          <w:szCs w:val="15"/>
          <w:color w:val="auto"/>
        </w:rPr>
      </w:pPr>
      <w:r>
        <w:rPr>
          <w:rFonts w:ascii="Arial" w:cs="Arial" w:eastAsia="Arial" w:hAnsi="Arial"/>
          <w:sz w:val="15"/>
          <w:szCs w:val="15"/>
          <w:color w:val="auto"/>
        </w:rPr>
        <w:t>as part of its registration profile at https://www.sam.gov; and</w:t>
      </w:r>
    </w:p>
    <w:p>
      <w:pPr>
        <w:spacing w:after="0" w:line="179" w:lineRule="exact"/>
        <w:rPr>
          <w:rFonts w:ascii="Arial" w:cs="Arial" w:eastAsia="Arial" w:hAnsi="Arial"/>
          <w:sz w:val="15"/>
          <w:szCs w:val="15"/>
          <w:color w:val="auto"/>
        </w:rPr>
      </w:pPr>
    </w:p>
    <w:p>
      <w:pPr>
        <w:ind w:left="800" w:hanging="265"/>
        <w:spacing w:after="0"/>
        <w:tabs>
          <w:tab w:leader="none" w:pos="800" w:val="left"/>
        </w:tabs>
        <w:numPr>
          <w:ilvl w:val="1"/>
          <w:numId w:val="143"/>
        </w:numPr>
        <w:rPr>
          <w:rFonts w:ascii="Arial" w:cs="Arial" w:eastAsia="Arial" w:hAnsi="Arial"/>
          <w:sz w:val="15"/>
          <w:szCs w:val="15"/>
          <w:color w:val="auto"/>
        </w:rPr>
      </w:pPr>
      <w:r>
        <w:rPr>
          <w:rFonts w:ascii="Arial" w:cs="Arial" w:eastAsia="Arial" w:hAnsi="Arial"/>
          <w:sz w:val="15"/>
          <w:szCs w:val="15"/>
          <w:color w:val="auto"/>
        </w:rPr>
        <w:t>within five business days after the end of each month following the month in which this Agreement becomes effective, and annually thereafter.</w:t>
      </w:r>
    </w:p>
    <w:p>
      <w:pPr>
        <w:spacing w:after="0" w:line="179" w:lineRule="exact"/>
        <w:rPr>
          <w:rFonts w:ascii="Arial" w:cs="Arial" w:eastAsia="Arial" w:hAnsi="Arial"/>
          <w:sz w:val="15"/>
          <w:szCs w:val="15"/>
          <w:color w:val="auto"/>
        </w:rPr>
      </w:pPr>
    </w:p>
    <w:p>
      <w:pPr>
        <w:ind w:left="280" w:right="100" w:hanging="272"/>
        <w:spacing w:after="0" w:line="297" w:lineRule="auto"/>
        <w:tabs>
          <w:tab w:leader="none" w:pos="2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Recipient agrees that, from time to time, it will, at its own expense, promptly upon reasonable request by Treasury, execute and deliver, or cause to be executed and delivered, or use its commercially reasonable efforts to procure, all instruments, documents and information, all in form and substance reasonably satisfactory to Treasury, to enable Treasury to ensure compliance with, or effect the purposes of, this Agreement, which may include, among other documents or information, (a) certain audited financial statements of the Recipient, (b) documentation regarding the Recipient's revenues derived from its business as a passenger air carrier or regarding the passenger air carriers for which the Recipient provides services as a contractor (as the case may be), and (c) the Recipient's most recent quarterly Federal tax returns. The Recipient agrees to provide Treasury with such documents or information promptly.</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6" w:right="339" w:bottom="1440" w:gutter="0" w:footer="0" w:header="0"/>
        </w:sectPr>
      </w:pPr>
    </w:p>
    <w:bookmarkStart w:id="289" w:name="page290"/>
    <w:bookmarkEnd w:id="289"/>
    <w:p>
      <w:pPr>
        <w:ind w:left="280" w:right="260" w:hanging="272"/>
        <w:spacing w:after="0" w:line="264" w:lineRule="auto"/>
        <w:tabs>
          <w:tab w:leader="none" w:pos="28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If the total value of the Recipient's currently active grants, cooperative agreements, and procurement contracts from all Federal awarding agencies exceeds $10,000,000 for any period before termination of this Agreement, then the Recipient shall make such reports as required by 2 CFR part 200, Appendix XII.</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Other</w:t>
      </w:r>
    </w:p>
    <w:p>
      <w:pPr>
        <w:spacing w:after="0" w:line="179" w:lineRule="exact"/>
        <w:rPr>
          <w:sz w:val="20"/>
          <w:szCs w:val="20"/>
          <w:color w:val="auto"/>
        </w:rPr>
      </w:pPr>
    </w:p>
    <w:p>
      <w:pPr>
        <w:ind w:left="280" w:hanging="272"/>
        <w:spacing w:after="0"/>
        <w:tabs>
          <w:tab w:leader="none" w:pos="2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[Reserved]</w:t>
      </w:r>
    </w:p>
    <w:p>
      <w:pPr>
        <w:spacing w:after="0" w:line="179" w:lineRule="exact"/>
        <w:rPr>
          <w:rFonts w:ascii="Arial" w:cs="Arial" w:eastAsia="Arial" w:hAnsi="Arial"/>
          <w:sz w:val="15"/>
          <w:szCs w:val="15"/>
          <w:color w:val="auto"/>
        </w:rPr>
      </w:pPr>
    </w:p>
    <w:p>
      <w:pPr>
        <w:ind w:left="280" w:right="240" w:hanging="272"/>
        <w:spacing w:after="0" w:line="254" w:lineRule="auto"/>
        <w:tabs>
          <w:tab w:leader="none" w:pos="2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the Recipient has no right to, and shall not, transfer, pledge, mortgage, encumber, or otherwise assign this Agreement or any Payroll Support provided under this Agreement, or any interest therein, or any claim, account receivable, or funds arising thereunder or accounts holding Payroll Support, to any party, bank, trust company, or other Person without the express written approval of Treasury.</w:t>
      </w:r>
    </w:p>
    <w:p>
      <w:pPr>
        <w:spacing w:after="0" w:line="155" w:lineRule="exact"/>
        <w:rPr>
          <w:rFonts w:ascii="Arial" w:cs="Arial" w:eastAsia="Arial" w:hAnsi="Arial"/>
          <w:sz w:val="15"/>
          <w:szCs w:val="15"/>
          <w:color w:val="auto"/>
        </w:rPr>
      </w:pPr>
    </w:p>
    <w:p>
      <w:pPr>
        <w:ind w:left="280" w:hanging="272"/>
        <w:spacing w:after="0"/>
        <w:tabs>
          <w:tab w:leader="none" w:pos="2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Signatory Entity will cause its Affiliates to comply with all of their obligations under or relating to this Agreement.</w:t>
      </w:r>
    </w:p>
    <w:p>
      <w:pPr>
        <w:spacing w:after="0" w:line="179" w:lineRule="exact"/>
        <w:rPr>
          <w:rFonts w:ascii="Arial" w:cs="Arial" w:eastAsia="Arial" w:hAnsi="Arial"/>
          <w:sz w:val="15"/>
          <w:szCs w:val="15"/>
          <w:color w:val="auto"/>
        </w:rPr>
      </w:pPr>
    </w:p>
    <w:p>
      <w:pPr>
        <w:ind w:left="280" w:right="160" w:hanging="272"/>
        <w:spacing w:after="0" w:line="254" w:lineRule="auto"/>
        <w:tabs>
          <w:tab w:leader="none" w:pos="2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Unless otherwise provided in guidance issued by Treasury or the Internal Revenue Service, the form of any Taxpayer Protection Instrument held by Treasury and any subsequent holder will be treated as such form for purposes of the Internal Revenue Code of 1986 (for example, a Taxpayer Protection Instrument in the form of a note will be treated as indebtedness for purposes of the Internal Revenue Code of 1986).</w:t>
      </w:r>
    </w:p>
    <w:p>
      <w:pPr>
        <w:spacing w:after="0" w:line="155" w:lineRule="exact"/>
        <w:rPr>
          <w:rFonts w:ascii="Arial" w:cs="Arial" w:eastAsia="Arial" w:hAnsi="Arial"/>
          <w:sz w:val="15"/>
          <w:szCs w:val="15"/>
          <w:color w:val="auto"/>
        </w:rPr>
      </w:pPr>
    </w:p>
    <w:p>
      <w:pPr>
        <w:ind w:left="280" w:right="40" w:hanging="272"/>
        <w:spacing w:after="0" w:line="264" w:lineRule="auto"/>
        <w:tabs>
          <w:tab w:leader="none" w:pos="2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This Agreement may not be amended or modified except pursuant to an agreement in writing entered into by the Recipient and Treasury, except that Treasury may unilaterally amend this Agreement if required in order to comply with applicable Federal law or regulation.</w:t>
      </w:r>
    </w:p>
    <w:p>
      <w:pPr>
        <w:spacing w:after="0" w:line="147" w:lineRule="exact"/>
        <w:rPr>
          <w:rFonts w:ascii="Arial" w:cs="Arial" w:eastAsia="Arial" w:hAnsi="Arial"/>
          <w:sz w:val="15"/>
          <w:szCs w:val="15"/>
          <w:color w:val="auto"/>
        </w:rPr>
      </w:pPr>
    </w:p>
    <w:p>
      <w:pPr>
        <w:ind w:left="280" w:hanging="272"/>
        <w:spacing w:after="0"/>
        <w:tabs>
          <w:tab w:leader="none" w:pos="2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Subject to applicable law, Treasury may, in its sole discretion, waive any term or condition under this Agreement imposing a requirement on the Recipient or any Affiliate.</w:t>
      </w:r>
    </w:p>
    <w:p>
      <w:pPr>
        <w:spacing w:after="0" w:line="190" w:lineRule="exact"/>
        <w:rPr>
          <w:rFonts w:ascii="Arial" w:cs="Arial" w:eastAsia="Arial" w:hAnsi="Arial"/>
          <w:sz w:val="14"/>
          <w:szCs w:val="14"/>
          <w:color w:val="auto"/>
        </w:rPr>
      </w:pPr>
    </w:p>
    <w:p>
      <w:pPr>
        <w:ind w:left="280" w:hanging="272"/>
        <w:spacing w:after="0"/>
        <w:tabs>
          <w:tab w:leader="none" w:pos="28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This Agreement shall bind and inure to the benefit of the parties and their respective heirs, executors, administrators, successors, and assigns.</w:t>
      </w:r>
    </w:p>
    <w:p>
      <w:pPr>
        <w:spacing w:after="0" w:line="179" w:lineRule="exact"/>
        <w:rPr>
          <w:rFonts w:ascii="Arial" w:cs="Arial" w:eastAsia="Arial" w:hAnsi="Arial"/>
          <w:sz w:val="15"/>
          <w:szCs w:val="15"/>
          <w:color w:val="auto"/>
        </w:rPr>
      </w:pPr>
    </w:p>
    <w:p>
      <w:pPr>
        <w:ind w:left="280" w:hanging="272"/>
        <w:spacing w:after="0" w:line="311" w:lineRule="auto"/>
        <w:tabs>
          <w:tab w:leader="none" w:pos="2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Recipient represents and warrants to Treasury that this Agreement, and the issuance and delivery to Treasury of the Taxpayer Protection Instruments, if applicable, have been duly authorized by all requisite corporate and, if required, stockholder action, and will not result in the violation by the Recipient of any provision of law, statute, or regulation, or of the articles of incorporation or other constitutive documents or bylaws of the Recipient, or breach or constitute an event of default under any material contract to which the Recipient is a party.</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20"/>
          </w:cols>
          <w:pgMar w:left="300" w:top="766" w:right="379" w:bottom="1440" w:gutter="0" w:footer="0" w:header="0"/>
        </w:sectPr>
      </w:pPr>
    </w:p>
    <w:bookmarkStart w:id="290" w:name="page291"/>
    <w:bookmarkEnd w:id="290"/>
    <w:p>
      <w:pPr>
        <w:ind w:left="272" w:right="140" w:hanging="272"/>
        <w:spacing w:after="0" w:line="264" w:lineRule="auto"/>
        <w:tabs>
          <w:tab w:leader="none" w:pos="27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Recipient represents and warrants to Treasury that this Agreement has been duly executed and delivered by the Recipient and constitutes a legal, valid, and binding obligation of the Recipient enforceable against the Recipient in accordance with its terms.</w:t>
      </w:r>
    </w:p>
    <w:p>
      <w:pPr>
        <w:spacing w:after="0" w:line="147" w:lineRule="exact"/>
        <w:rPr>
          <w:rFonts w:ascii="Arial" w:cs="Arial" w:eastAsia="Arial" w:hAnsi="Arial"/>
          <w:sz w:val="15"/>
          <w:szCs w:val="15"/>
          <w:color w:val="auto"/>
        </w:rPr>
      </w:pPr>
    </w:p>
    <w:p>
      <w:pPr>
        <w:ind w:left="272" w:hanging="272"/>
        <w:spacing w:after="0"/>
        <w:tabs>
          <w:tab w:leader="none" w:pos="27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This Agreement may be executed in counterparts, each of which shall constitute an original, but all of which together shall constitute a single contract.</w:t>
      </w:r>
    </w:p>
    <w:p>
      <w:pPr>
        <w:spacing w:after="0" w:line="179" w:lineRule="exact"/>
        <w:rPr>
          <w:rFonts w:ascii="Arial" w:cs="Arial" w:eastAsia="Arial" w:hAnsi="Arial"/>
          <w:sz w:val="15"/>
          <w:szCs w:val="15"/>
          <w:color w:val="auto"/>
        </w:rPr>
      </w:pPr>
    </w:p>
    <w:p>
      <w:pPr>
        <w:ind w:left="272" w:right="140" w:hanging="272"/>
        <w:spacing w:after="0" w:line="269" w:lineRule="auto"/>
        <w:tabs>
          <w:tab w:leader="none" w:pos="27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words "execution," "signed," "signature," and words of like import in any assignment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anything herein to the contrary, delivery of an executed counterpart of a signature page of this Agreement by electronic means, or confirmation of the execution of this Agreement on behalf of a party by an email from an authorized signatory of such party, shall be effective as delivery of a manually executed counterpart of this Agreement.</w:t>
      </w:r>
    </w:p>
    <w:p>
      <w:pPr>
        <w:spacing w:after="0" w:line="147" w:lineRule="exact"/>
        <w:rPr>
          <w:rFonts w:ascii="Arial" w:cs="Arial" w:eastAsia="Arial" w:hAnsi="Arial"/>
          <w:sz w:val="14"/>
          <w:szCs w:val="14"/>
          <w:color w:val="auto"/>
        </w:rPr>
      </w:pPr>
    </w:p>
    <w:p>
      <w:pPr>
        <w:ind w:left="272" w:hanging="272"/>
        <w:spacing w:after="0"/>
        <w:tabs>
          <w:tab w:leader="none" w:pos="272"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captions and paragraph headings appearing herein are included solely for convenience of reference and are not intended to affect the interpretation of any provision of this Agreement.</w:t>
      </w:r>
    </w:p>
    <w:p>
      <w:pPr>
        <w:spacing w:after="0" w:line="202" w:lineRule="exact"/>
        <w:rPr>
          <w:rFonts w:ascii="Arial" w:cs="Arial" w:eastAsia="Arial" w:hAnsi="Arial"/>
          <w:sz w:val="13"/>
          <w:szCs w:val="13"/>
          <w:color w:val="auto"/>
        </w:rPr>
      </w:pPr>
    </w:p>
    <w:p>
      <w:pPr>
        <w:ind w:left="272" w:right="40" w:hanging="272"/>
        <w:spacing w:after="0" w:line="254" w:lineRule="auto"/>
        <w:tabs>
          <w:tab w:leader="none" w:pos="27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This Agreement is governed by and shall be construed in accordance with Federal law. Insofar as there may be no applicable Federal law, this Agreement shall be construed in accordance with the laws of the State of New York, without regard to any rule of conflicts of law (other than section 5-1401 of the New York General Obligations Law) that would result in the application of the substantive law of any jurisdiction other than the State of New York.</w:t>
      </w:r>
    </w:p>
    <w:p>
      <w:pPr>
        <w:spacing w:after="0" w:line="155" w:lineRule="exact"/>
        <w:rPr>
          <w:rFonts w:ascii="Arial" w:cs="Arial" w:eastAsia="Arial" w:hAnsi="Arial"/>
          <w:sz w:val="15"/>
          <w:szCs w:val="15"/>
          <w:color w:val="auto"/>
        </w:rPr>
      </w:pPr>
    </w:p>
    <w:p>
      <w:pPr>
        <w:ind w:left="272" w:hanging="272"/>
        <w:spacing w:after="0"/>
        <w:tabs>
          <w:tab w:leader="none" w:pos="27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Nothing in this Agreement shall require any unlawful action or inaction by either party.</w:t>
      </w:r>
    </w:p>
    <w:p>
      <w:pPr>
        <w:spacing w:after="0" w:line="179" w:lineRule="exact"/>
        <w:rPr>
          <w:rFonts w:ascii="Arial" w:cs="Arial" w:eastAsia="Arial" w:hAnsi="Arial"/>
          <w:sz w:val="15"/>
          <w:szCs w:val="15"/>
          <w:color w:val="auto"/>
        </w:rPr>
      </w:pPr>
    </w:p>
    <w:p>
      <w:pPr>
        <w:ind w:left="272" w:hanging="272"/>
        <w:spacing w:after="0"/>
        <w:tabs>
          <w:tab w:leader="none" w:pos="27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requirement pertaining to trafficking in persons at 2 CFR 175.15(b) is incorporated herein and made applicable to the Recipient.</w:t>
      </w:r>
    </w:p>
    <w:p>
      <w:pPr>
        <w:spacing w:after="0" w:line="179" w:lineRule="exact"/>
        <w:rPr>
          <w:rFonts w:ascii="Arial" w:cs="Arial" w:eastAsia="Arial" w:hAnsi="Arial"/>
          <w:sz w:val="15"/>
          <w:szCs w:val="15"/>
          <w:color w:val="auto"/>
        </w:rPr>
      </w:pPr>
    </w:p>
    <w:p>
      <w:pPr>
        <w:ind w:left="272" w:right="20" w:hanging="272"/>
        <w:spacing w:after="0" w:line="311" w:lineRule="auto"/>
        <w:tabs>
          <w:tab w:leader="none" w:pos="272"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This Agreement, together with the attachments hereto, including the Payroll Support Program 3 Certification and any attached terms regarding Taxpayer Protection Instruments, constitute the entire agreement of the parties relating to the subject matter hereof and supersede any previous agreements and understandings, oral or written, relating to the subject matter hereof. There may exist other agreements between the parties as to other matters, which are not affected by this Agreement and are not included within this integration clause.</w:t>
      </w:r>
    </w:p>
    <w:p>
      <w:pPr>
        <w:spacing w:after="0" w:line="121" w:lineRule="exact"/>
        <w:rPr>
          <w:rFonts w:ascii="Arial" w:cs="Arial" w:eastAsia="Arial" w:hAnsi="Arial"/>
          <w:sz w:val="13"/>
          <w:szCs w:val="13"/>
          <w:color w:val="auto"/>
        </w:rPr>
      </w:pPr>
    </w:p>
    <w:p>
      <w:pPr>
        <w:ind w:left="272" w:right="40" w:hanging="272"/>
        <w:spacing w:after="0" w:line="341" w:lineRule="auto"/>
        <w:tabs>
          <w:tab w:leader="none" w:pos="272" w:val="left"/>
        </w:tabs>
        <w:numPr>
          <w:ilvl w:val="0"/>
          <w:numId w:val="146"/>
        </w:numPr>
        <w:rPr>
          <w:rFonts w:ascii="Arial" w:cs="Arial" w:eastAsia="Arial" w:hAnsi="Arial"/>
          <w:sz w:val="13"/>
          <w:szCs w:val="13"/>
          <w:color w:val="auto"/>
        </w:rPr>
      </w:pPr>
      <w:r>
        <w:rPr>
          <w:rFonts w:ascii="Arial" w:cs="Arial" w:eastAsia="Arial" w:hAnsi="Arial"/>
          <w:sz w:val="13"/>
          <w:szCs w:val="13"/>
          <w:color w:val="auto"/>
        </w:rPr>
        <w:t>No failure by either party to insist upon the strict performance of any provision of this Agreement or to exercise any right or remedy hereunder, and no acceptance of full or partial Payroll Support (if applicable) or other performance by either party during the continuance of any such breach, shall constitute a waiver of any such breach of such provision.</w:t>
      </w:r>
    </w:p>
    <w:p>
      <w:pPr>
        <w:spacing w:after="0" w:line="278" w:lineRule="exact"/>
        <w:rPr>
          <w:sz w:val="20"/>
          <w:szCs w:val="20"/>
          <w:color w:val="auto"/>
        </w:rPr>
      </w:pPr>
    </w:p>
    <w:p>
      <w:pPr>
        <w:jc w:val="center"/>
        <w:ind w:right="-31"/>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57720" cy="69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32"/>
          </w:cols>
          <w:pgMar w:left="308" w:top="766" w:right="359" w:bottom="1440" w:gutter="0" w:footer="0" w:header="0"/>
        </w:sectPr>
      </w:pPr>
    </w:p>
    <w:bookmarkStart w:id="291" w:name="page292"/>
    <w:bookmarkEnd w:id="291"/>
    <w:p>
      <w:pPr>
        <w:jc w:val="right"/>
        <w:ind w:right="3999"/>
        <w:spacing w:after="0"/>
        <w:rPr>
          <w:sz w:val="20"/>
          <w:szCs w:val="20"/>
          <w:color w:val="auto"/>
        </w:rPr>
      </w:pPr>
      <w:r>
        <w:rPr>
          <w:rFonts w:ascii="Arial" w:cs="Arial" w:eastAsia="Arial" w:hAnsi="Arial"/>
          <w:sz w:val="15"/>
          <w:szCs w:val="15"/>
          <w:b w:val="1"/>
          <w:bCs w:val="1"/>
          <w:color w:val="auto"/>
        </w:rPr>
        <w:t>ATTACHMENT</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Payroll Support Program 3 Certification of Corporate Officer of Recipient</w:t>
      </w:r>
    </w:p>
    <w:p>
      <w:pPr>
        <w:spacing w:after="0" w:line="35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7720" cy="69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159"/>
          </w:cols>
          <w:pgMar w:left="300" w:top="762" w:right="1440"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5"/>
          <w:szCs w:val="15"/>
          <w:b w:val="1"/>
          <w:bCs w:val="1"/>
          <w:color w:val="auto"/>
        </w:rPr>
        <w:t>PAYROLL SUPPORT PROGRAM 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CERTIFICATION OF CORPORATE OFFICER OF RECIPIENT</w:t>
      </w:r>
    </w:p>
    <w:p>
      <w:pPr>
        <w:spacing w:after="0" w:line="183"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In connection with the Payroll Support Program 3 Agreement (Agreement) between Sun Country, Inc. dba Sun Country Airlines and the Department of the Treasury (Treasury) relating to Payroll Support being provided by Treasury to the Recipient under section 7301 of the American Rescue Plan Act of 2021, I hereby certify under penalty of perjury to the Treasury that all of the following are true and correct. Capitalized terms used but not defined herein have the meanings set forth in the Agreement.</w:t>
      </w:r>
    </w:p>
    <w:p>
      <w:pPr>
        <w:spacing w:after="0" w:line="138" w:lineRule="exact"/>
        <w:rPr>
          <w:sz w:val="20"/>
          <w:szCs w:val="20"/>
          <w:color w:val="auto"/>
        </w:rPr>
      </w:pPr>
    </w:p>
    <w:p>
      <w:pPr>
        <w:ind w:left="280" w:right="320" w:firstLine="255"/>
        <w:spacing w:after="0" w:line="264" w:lineRule="auto"/>
        <w:tabs>
          <w:tab w:leader="none" w:pos="824"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 have the authority to make the following representations on behalf of myself and the Recipient. I understand that these representations will be relied upon as material in the decision by Treasury to provide Payroll Support to the Recipient.</w:t>
      </w:r>
    </w:p>
    <w:p>
      <w:pPr>
        <w:spacing w:after="0" w:line="147" w:lineRule="exact"/>
        <w:rPr>
          <w:rFonts w:ascii="Arial" w:cs="Arial" w:eastAsia="Arial" w:hAnsi="Arial"/>
          <w:sz w:val="15"/>
          <w:szCs w:val="15"/>
          <w:color w:val="auto"/>
        </w:rPr>
      </w:pPr>
    </w:p>
    <w:p>
      <w:pPr>
        <w:ind w:left="280" w:right="220" w:firstLine="255"/>
        <w:spacing w:after="0" w:line="264" w:lineRule="auto"/>
        <w:tabs>
          <w:tab w:leader="none" w:pos="82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information, certifications, attachments, and other information provided by the Recipient to Treasury related to the Payroll Support are true and correct and do not contain any materially false, fictitious, or fraudulent statement, nor any concealment or omission of any material fact.</w:t>
      </w:r>
    </w:p>
    <w:p>
      <w:pPr>
        <w:spacing w:after="0" w:line="147" w:lineRule="exact"/>
        <w:rPr>
          <w:rFonts w:ascii="Arial" w:cs="Arial" w:eastAsia="Arial" w:hAnsi="Arial"/>
          <w:sz w:val="15"/>
          <w:szCs w:val="15"/>
          <w:color w:val="auto"/>
        </w:rPr>
      </w:pPr>
    </w:p>
    <w:p>
      <w:pPr>
        <w:ind w:left="280" w:right="160" w:firstLine="255"/>
        <w:spacing w:after="0" w:line="264" w:lineRule="auto"/>
        <w:tabs>
          <w:tab w:leader="none" w:pos="82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Recipient has the legal authority to apply for the Payroll Support, and it has the institutional, managerial, and financial capability to comply with all obligations, terms, and conditions set forth in the Agreement and any attachment thereto.</w:t>
      </w:r>
    </w:p>
    <w:p>
      <w:pPr>
        <w:spacing w:after="0" w:line="147" w:lineRule="exact"/>
        <w:rPr>
          <w:rFonts w:ascii="Arial" w:cs="Arial" w:eastAsia="Arial" w:hAnsi="Arial"/>
          <w:sz w:val="15"/>
          <w:szCs w:val="15"/>
          <w:color w:val="auto"/>
        </w:rPr>
      </w:pPr>
    </w:p>
    <w:p>
      <w:pPr>
        <w:ind w:left="280" w:right="240" w:firstLine="255"/>
        <w:spacing w:after="0" w:line="254" w:lineRule="auto"/>
        <w:tabs>
          <w:tab w:leader="none" w:pos="82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Recipient and any Affiliate will give Treasury, Treasury's designee or the Treasury Office of Inspector General (as applicable) access to, and opportunity to examine, all documents, papers, or other records of the Recipient or Affiliate pertinent to the provision of Payroll Support made by Treasury to the Recipient, in order to make audits, examinations, excerpts, and transcripts.</w:t>
      </w:r>
    </w:p>
    <w:p>
      <w:pPr>
        <w:spacing w:after="0" w:line="155" w:lineRule="exact"/>
        <w:rPr>
          <w:rFonts w:ascii="Arial" w:cs="Arial" w:eastAsia="Arial" w:hAnsi="Arial"/>
          <w:sz w:val="15"/>
          <w:szCs w:val="15"/>
          <w:color w:val="auto"/>
        </w:rPr>
      </w:pPr>
    </w:p>
    <w:p>
      <w:pPr>
        <w:ind w:left="280" w:right="160" w:firstLine="255"/>
        <w:spacing w:after="0" w:line="251" w:lineRule="auto"/>
        <w:tabs>
          <w:tab w:leader="none" w:pos="824" w:val="left"/>
        </w:tabs>
        <w:numPr>
          <w:ilvl w:val="0"/>
          <w:numId w:val="147"/>
        </w:numPr>
        <w:rPr>
          <w:rFonts w:ascii="Arial" w:cs="Arial" w:eastAsia="Arial" w:hAnsi="Arial"/>
          <w:sz w:val="15"/>
          <w:szCs w:val="15"/>
          <w:color w:val="auto"/>
        </w:rPr>
      </w:pPr>
      <w:r>
        <w:rPr>
          <w:rFonts w:ascii="Arial" w:cs="Arial" w:eastAsia="Arial" w:hAnsi="Arial"/>
          <w:sz w:val="15"/>
          <w:szCs w:val="15"/>
          <w:color w:val="auto"/>
        </w:rPr>
        <w:t>No Federal appropriated funds, including Payroll Support, have been paid or will be paid, by or on behalf of the Recipient,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pPr>
        <w:spacing w:after="0" w:line="157" w:lineRule="exact"/>
        <w:rPr>
          <w:rFonts w:ascii="Arial" w:cs="Arial" w:eastAsia="Arial" w:hAnsi="Arial"/>
          <w:sz w:val="15"/>
          <w:szCs w:val="15"/>
          <w:color w:val="auto"/>
        </w:rPr>
      </w:pPr>
    </w:p>
    <w:p>
      <w:pPr>
        <w:ind w:left="280" w:firstLine="255"/>
        <w:spacing w:after="0" w:line="254" w:lineRule="auto"/>
        <w:tabs>
          <w:tab w:leader="none" w:pos="824"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If the Payroll Support exceeds $100,000, the Recipient shall comply with the disclosure requirements in 31 CFR Part 21 regarding any amounts paid for influencing or attempting to influence an officer or employee of any agency, a Member of Congress, an officer or employee of Congress, or an employee of a Member of Congress in connection with the Payroll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57720" cy="69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60"/>
          </w:cols>
          <w:pgMar w:left="300" w:top="763" w:right="339" w:bottom="1440" w:gutter="0" w:footer="0" w:header="0"/>
        </w:sectPr>
      </w:pPr>
    </w:p>
    <w:bookmarkStart w:id="293" w:name="page294"/>
    <w:bookmarkEnd w:id="293"/>
    <w:p>
      <w:pPr>
        <w:ind w:right="700"/>
        <w:spacing w:after="0" w:line="306" w:lineRule="auto"/>
        <w:rPr>
          <w:sz w:val="20"/>
          <w:szCs w:val="20"/>
          <w:color w:val="auto"/>
        </w:rPr>
      </w:pPr>
      <w:r>
        <w:rPr>
          <w:rFonts w:ascii="Arial" w:cs="Arial" w:eastAsia="Arial" w:hAnsi="Arial"/>
          <w:sz w:val="14"/>
          <w:szCs w:val="14"/>
          <w:b w:val="1"/>
          <w:bCs w:val="1"/>
          <w:color w:val="auto"/>
        </w:rPr>
        <w:t>I acknowledge that a materially false, fictitious, or fraudulent statement (or concealment or omission of a material fact) in this certification may be the subject of criminal prosecution and also may subject me and the Recipient to civil penalties and/or administrative remedies for false claims or otherwise.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gridSpan w:val="4"/>
          </w:tcPr>
          <w:p>
            <w:pPr>
              <w:spacing w:after="0"/>
              <w:rPr>
                <w:sz w:val="20"/>
                <w:szCs w:val="20"/>
                <w:color w:val="auto"/>
              </w:rPr>
            </w:pPr>
            <w:r>
              <w:rPr>
                <w:rFonts w:ascii="Arial" w:cs="Arial" w:eastAsia="Arial" w:hAnsi="Arial"/>
                <w:sz w:val="15"/>
                <w:szCs w:val="15"/>
                <w:color w:val="auto"/>
              </w:rPr>
              <w:t>/s/ David M Davis</w:t>
            </w:r>
          </w:p>
        </w:tc>
        <w:tc>
          <w:tcPr>
            <w:tcW w:w="5520" w:type="dxa"/>
            <w:vAlign w:val="bottom"/>
            <w:gridSpan w:val="2"/>
          </w:tcPr>
          <w:p>
            <w:pPr>
              <w:spacing w:after="0"/>
              <w:rPr>
                <w:sz w:val="20"/>
                <w:szCs w:val="20"/>
                <w:color w:val="auto"/>
              </w:rPr>
            </w:pPr>
            <w:r>
              <w:rPr>
                <w:rFonts w:ascii="Arial" w:cs="Arial" w:eastAsia="Arial" w:hAnsi="Arial"/>
                <w:sz w:val="15"/>
                <w:szCs w:val="15"/>
                <w:color w:val="auto"/>
              </w:rPr>
              <w:t>/s/ Eric M. Levenhagen</w:t>
            </w:r>
          </w:p>
        </w:tc>
      </w:tr>
      <w:tr>
        <w:trPr>
          <w:trHeight w:val="156"/>
        </w:trPr>
        <w:tc>
          <w:tcPr>
            <w:tcW w:w="20" w:type="dxa"/>
            <w:vAlign w:val="bottom"/>
          </w:tcPr>
          <w:p>
            <w:pPr>
              <w:spacing w:after="0"/>
              <w:rPr>
                <w:sz w:val="13"/>
                <w:szCs w:val="13"/>
                <w:color w:val="auto"/>
              </w:rPr>
            </w:pPr>
          </w:p>
        </w:tc>
        <w:tc>
          <w:tcPr>
            <w:tcW w:w="552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5"/>
                <w:szCs w:val="15"/>
                <w:color w:val="auto"/>
              </w:rPr>
              <w:t>First Authorized Representative</w:t>
            </w:r>
          </w:p>
        </w:tc>
        <w:tc>
          <w:tcPr>
            <w:tcW w:w="220" w:type="dxa"/>
            <w:vAlign w:val="bottom"/>
          </w:tcPr>
          <w:p>
            <w:pPr>
              <w:spacing w:after="0"/>
              <w:rPr>
                <w:sz w:val="13"/>
                <w:szCs w:val="13"/>
                <w:color w:val="auto"/>
              </w:rPr>
            </w:pPr>
          </w:p>
        </w:tc>
        <w:tc>
          <w:tcPr>
            <w:tcW w:w="552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5"/>
                <w:szCs w:val="15"/>
                <w:color w:val="auto"/>
              </w:rPr>
              <w:t>Second Authorized Representative</w:t>
            </w:r>
          </w:p>
        </w:tc>
      </w:tr>
      <w:tr>
        <w:trPr>
          <w:trHeight w:val="176"/>
        </w:trPr>
        <w:tc>
          <w:tcPr>
            <w:tcW w:w="480" w:type="dxa"/>
            <w:vAlign w:val="bottom"/>
            <w:gridSpan w:val="2"/>
          </w:tcPr>
          <w:p>
            <w:pPr>
              <w:spacing w:after="0"/>
              <w:rPr>
                <w:sz w:val="20"/>
                <w:szCs w:val="20"/>
                <w:color w:val="auto"/>
              </w:rPr>
            </w:pPr>
            <w:r>
              <w:rPr>
                <w:rFonts w:ascii="Arial" w:cs="Arial" w:eastAsia="Arial" w:hAnsi="Arial"/>
                <w:sz w:val="15"/>
                <w:szCs w:val="15"/>
                <w:color w:val="auto"/>
              </w:rPr>
              <w:t>Name:</w:t>
            </w:r>
          </w:p>
        </w:tc>
        <w:tc>
          <w:tcPr>
            <w:tcW w:w="5280" w:type="dxa"/>
            <w:vAlign w:val="bottom"/>
            <w:gridSpan w:val="2"/>
          </w:tcPr>
          <w:p>
            <w:pPr>
              <w:ind w:left="100"/>
              <w:spacing w:after="0"/>
              <w:rPr>
                <w:sz w:val="20"/>
                <w:szCs w:val="20"/>
                <w:color w:val="auto"/>
              </w:rPr>
            </w:pPr>
            <w:r>
              <w:rPr>
                <w:rFonts w:ascii="Arial" w:cs="Arial" w:eastAsia="Arial" w:hAnsi="Arial"/>
                <w:sz w:val="15"/>
                <w:szCs w:val="15"/>
                <w:color w:val="auto"/>
              </w:rPr>
              <w:t>David M Davis</w:t>
            </w:r>
          </w:p>
        </w:tc>
        <w:tc>
          <w:tcPr>
            <w:tcW w:w="480" w:type="dxa"/>
            <w:vAlign w:val="bottom"/>
          </w:tcPr>
          <w:p>
            <w:pPr>
              <w:spacing w:after="0"/>
              <w:rPr>
                <w:sz w:val="20"/>
                <w:szCs w:val="20"/>
                <w:color w:val="auto"/>
              </w:rPr>
            </w:pPr>
            <w:r>
              <w:rPr>
                <w:rFonts w:ascii="Arial" w:cs="Arial" w:eastAsia="Arial" w:hAnsi="Arial"/>
                <w:sz w:val="15"/>
                <w:szCs w:val="15"/>
                <w:color w:val="auto"/>
              </w:rPr>
              <w:t>Name:</w:t>
            </w:r>
          </w:p>
        </w:tc>
        <w:tc>
          <w:tcPr>
            <w:tcW w:w="5040" w:type="dxa"/>
            <w:vAlign w:val="bottom"/>
          </w:tcPr>
          <w:p>
            <w:pPr>
              <w:ind w:left="80"/>
              <w:spacing w:after="0"/>
              <w:rPr>
                <w:sz w:val="20"/>
                <w:szCs w:val="20"/>
                <w:color w:val="auto"/>
              </w:rPr>
            </w:pPr>
            <w:r>
              <w:rPr>
                <w:rFonts w:ascii="Arial" w:cs="Arial" w:eastAsia="Arial" w:hAnsi="Arial"/>
                <w:sz w:val="15"/>
                <w:szCs w:val="15"/>
                <w:color w:val="auto"/>
              </w:rPr>
              <w:t>Eric M. Levenhagen</w:t>
            </w:r>
          </w:p>
        </w:tc>
      </w:tr>
      <w:tr>
        <w:trPr>
          <w:trHeight w:val="176"/>
        </w:trPr>
        <w:tc>
          <w:tcPr>
            <w:tcW w:w="480" w:type="dxa"/>
            <w:vAlign w:val="bottom"/>
            <w:gridSpan w:val="2"/>
          </w:tcPr>
          <w:p>
            <w:pPr>
              <w:spacing w:after="0"/>
              <w:rPr>
                <w:sz w:val="20"/>
                <w:szCs w:val="20"/>
                <w:color w:val="auto"/>
              </w:rPr>
            </w:pPr>
            <w:r>
              <w:rPr>
                <w:rFonts w:ascii="Arial" w:cs="Arial" w:eastAsia="Arial" w:hAnsi="Arial"/>
                <w:sz w:val="15"/>
                <w:szCs w:val="15"/>
                <w:color w:val="auto"/>
              </w:rPr>
              <w:t>Title:</w:t>
            </w:r>
          </w:p>
        </w:tc>
        <w:tc>
          <w:tcPr>
            <w:tcW w:w="5280" w:type="dxa"/>
            <w:vAlign w:val="bottom"/>
            <w:gridSpan w:val="2"/>
          </w:tcPr>
          <w:p>
            <w:pPr>
              <w:ind w:left="100"/>
              <w:spacing w:after="0"/>
              <w:rPr>
                <w:sz w:val="20"/>
                <w:szCs w:val="20"/>
                <w:color w:val="auto"/>
              </w:rPr>
            </w:pPr>
            <w:r>
              <w:rPr>
                <w:rFonts w:ascii="Arial" w:cs="Arial" w:eastAsia="Arial" w:hAnsi="Arial"/>
                <w:sz w:val="15"/>
                <w:szCs w:val="15"/>
                <w:color w:val="auto"/>
              </w:rPr>
              <w:t>President &amp; CFO</w:t>
            </w:r>
          </w:p>
        </w:tc>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5040" w:type="dxa"/>
            <w:vAlign w:val="bottom"/>
          </w:tcPr>
          <w:p>
            <w:pPr>
              <w:ind w:left="80"/>
              <w:spacing w:after="0"/>
              <w:rPr>
                <w:sz w:val="20"/>
                <w:szCs w:val="20"/>
                <w:color w:val="auto"/>
              </w:rPr>
            </w:pPr>
            <w:r>
              <w:rPr>
                <w:rFonts w:ascii="Arial" w:cs="Arial" w:eastAsia="Arial" w:hAnsi="Arial"/>
                <w:sz w:val="15"/>
                <w:szCs w:val="15"/>
                <w:color w:val="auto"/>
              </w:rPr>
              <w:t>General Counsel &amp; Chief Admin Officer</w:t>
            </w:r>
          </w:p>
        </w:tc>
      </w:tr>
      <w:tr>
        <w:trPr>
          <w:trHeight w:val="186"/>
        </w:trPr>
        <w:tc>
          <w:tcPr>
            <w:tcW w:w="480" w:type="dxa"/>
            <w:vAlign w:val="bottom"/>
            <w:gridSpan w:val="2"/>
          </w:tcPr>
          <w:p>
            <w:pPr>
              <w:spacing w:after="0"/>
              <w:rPr>
                <w:sz w:val="20"/>
                <w:szCs w:val="20"/>
                <w:color w:val="auto"/>
              </w:rPr>
            </w:pPr>
            <w:r>
              <w:rPr>
                <w:rFonts w:ascii="Arial" w:cs="Arial" w:eastAsia="Arial" w:hAnsi="Arial"/>
                <w:sz w:val="15"/>
                <w:szCs w:val="15"/>
                <w:color w:val="auto"/>
              </w:rPr>
              <w:t>Date:</w:t>
            </w:r>
          </w:p>
        </w:tc>
        <w:tc>
          <w:tcPr>
            <w:tcW w:w="5060" w:type="dxa"/>
            <w:vAlign w:val="bottom"/>
          </w:tcPr>
          <w:p>
            <w:pPr>
              <w:ind w:left="100"/>
              <w:spacing w:after="0"/>
              <w:rPr>
                <w:sz w:val="20"/>
                <w:szCs w:val="20"/>
                <w:color w:val="auto"/>
              </w:rPr>
            </w:pPr>
            <w:r>
              <w:rPr>
                <w:rFonts w:ascii="Arial" w:cs="Arial" w:eastAsia="Arial" w:hAnsi="Arial"/>
                <w:sz w:val="15"/>
                <w:szCs w:val="15"/>
                <w:color w:val="auto"/>
              </w:rPr>
              <w:t>4/23/2021</w:t>
            </w:r>
          </w:p>
        </w:tc>
        <w:tc>
          <w:tcPr>
            <w:tcW w:w="2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Date:</w:t>
            </w:r>
          </w:p>
        </w:tc>
        <w:tc>
          <w:tcPr>
            <w:tcW w:w="5040" w:type="dxa"/>
            <w:vAlign w:val="bottom"/>
          </w:tcPr>
          <w:p>
            <w:pPr>
              <w:ind w:left="80"/>
              <w:spacing w:after="0"/>
              <w:rPr>
                <w:sz w:val="20"/>
                <w:szCs w:val="20"/>
                <w:color w:val="auto"/>
              </w:rPr>
            </w:pPr>
            <w:r>
              <w:rPr>
                <w:rFonts w:ascii="Arial" w:cs="Arial" w:eastAsia="Arial" w:hAnsi="Arial"/>
                <w:sz w:val="15"/>
                <w:szCs w:val="15"/>
                <w:color w:val="auto"/>
              </w:rPr>
              <w:t>4/23/2021</w:t>
            </w:r>
          </w:p>
        </w:tc>
      </w:tr>
      <w:tr>
        <w:trPr>
          <w:trHeight w:val="549"/>
        </w:trPr>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80"/>
      </w:cols>
      <w:pgMar w:left="300" w:top="76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2"/>
    </w:lvl>
  </w:abstractNum>
  <w:abstractNum w:abstractNumId="1">
    <w:nsid w:val="540A471C"/>
    <w:multiLevelType w:val="hybridMultilevel"/>
    <w:lvl w:ilvl="0">
      <w:lvlJc w:val="left"/>
      <w:lvlText w:val="(%1)"/>
      <w:numFmt w:val="decimal"/>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1)"/>
      <w:numFmt w:val="decimal"/>
      <w:start w:val="3"/>
    </w:lvl>
  </w:abstractNum>
  <w:abstractNum w:abstractNumId="11">
    <w:nsid w:val="3B0FD379"/>
    <w:multiLevelType w:val="hybridMultilevel"/>
    <w:lvl w:ilvl="0">
      <w:lvlJc w:val="left"/>
      <w:lvlText w:val="(%1)"/>
      <w:numFmt w:val="decimal"/>
      <w:start w:val="1"/>
    </w:lvl>
  </w:abstractNum>
  <w:abstractNum w:abstractNumId="12">
    <w:nsid w:val="68EB2F63"/>
    <w:multiLevelType w:val="hybridMultilevel"/>
    <w:lvl w:ilvl="0">
      <w:lvlJc w:val="left"/>
      <w:lvlText w:val="(%1)"/>
      <w:numFmt w:val="decimal"/>
      <w:start w:val="1"/>
    </w:lvl>
  </w:abstractNum>
  <w:abstractNum w:abstractNumId="13">
    <w:nsid w:val="4962813B"/>
    <w:multiLevelType w:val="hybridMultilevel"/>
    <w:lvl w:ilvl="0">
      <w:lvlJc w:val="left"/>
      <w:lvlText w:val="(%1)"/>
      <w:numFmt w:val="lowerLetter"/>
      <w:start w:val="1"/>
    </w:lvl>
  </w:abstractNum>
  <w:abstractNum w:abstractNumId="14">
    <w:nsid w:val="60B6DF70"/>
    <w:multiLevelType w:val="hybridMultilevel"/>
    <w:lvl w:ilvl="0">
      <w:lvlJc w:val="left"/>
      <w:lvlText w:val="(%1)"/>
      <w:numFmt w:val="lowerLetter"/>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1)"/>
      <w:numFmt w:val="decimal"/>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A"/>
      <w:numFmt w:val="bullet"/>
      <w:start w:val="1"/>
    </w:lvl>
  </w:abstractNum>
  <w:abstractNum w:abstractNumId="19">
    <w:nsid w:val="71EA1109"/>
    <w:multiLevelType w:val="hybridMultilevel"/>
    <w:lvl w:ilvl="0">
      <w:lvlJc w:val="left"/>
      <w:lvlText w:val="A"/>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1)"/>
      <w:numFmt w:val="lowerRoman"/>
      <w:start w:val="6"/>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1)"/>
      <w:numFmt w:val="lowerRoman"/>
      <w:start w:val="3"/>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1)"/>
      <w:numFmt w:val="decimal"/>
      <w:start w:val="3"/>
    </w:lvl>
  </w:abstractNum>
  <w:abstractNum w:abstractNumId="34">
    <w:nsid w:val="46B7D447"/>
    <w:multiLevelType w:val="hybridMultilevel"/>
    <w:lvl w:ilvl="0">
      <w:lvlJc w:val="left"/>
      <w:lvlText w:val="(%1)"/>
      <w:numFmt w:val="decimal"/>
      <w:start w:val="1"/>
    </w:lvl>
  </w:abstractNum>
  <w:abstractNum w:abstractNumId="35">
    <w:nsid w:val="4A2AC315"/>
    <w:multiLevelType w:val="hybridMultilevel"/>
    <w:lvl w:ilvl="0">
      <w:lvlJc w:val="left"/>
      <w:lvlText w:val="(%1)"/>
      <w:numFmt w:val="decimal"/>
      <w:start w:val="1"/>
    </w:lvl>
  </w:abstractNum>
  <w:abstractNum w:abstractNumId="36">
    <w:nsid w:val="39EE015C"/>
    <w:multiLevelType w:val="hybridMultilevel"/>
    <w:lvl w:ilvl="0">
      <w:lvlJc w:val="left"/>
      <w:lvlText w:val="(%1)"/>
      <w:numFmt w:val="decimal"/>
      <w:start w:val="2"/>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1)"/>
      <w:numFmt w:val="decimal"/>
      <w:start w:val="1"/>
    </w:lvl>
  </w:abstractNum>
  <w:abstractNum w:abstractNumId="40">
    <w:nsid w:val="60EF0119"/>
    <w:multiLevelType w:val="hybridMultilevel"/>
    <w:lvl w:ilvl="0">
      <w:lvlJc w:val="left"/>
      <w:lvlText w:val="(%1)"/>
      <w:numFmt w:val="decimal"/>
      <w:start w:val="1"/>
    </w:lvl>
  </w:abstractNum>
  <w:abstractNum w:abstractNumId="41">
    <w:nsid w:val="26F324BA"/>
    <w:multiLevelType w:val="hybridMultilevel"/>
    <w:lvl w:ilvl="0">
      <w:lvlJc w:val="left"/>
      <w:lvlText w:val="(%1)"/>
      <w:numFmt w:val="decimal"/>
      <w:start w:val="4"/>
    </w:lvl>
  </w:abstractNum>
  <w:abstractNum w:abstractNumId="42">
    <w:nsid w:val="7F01579B"/>
    <w:multiLevelType w:val="hybridMultilevel"/>
    <w:lvl w:ilvl="0">
      <w:lvlJc w:val="left"/>
      <w:lvlText w:val="(%1)"/>
      <w:numFmt w:val="decimal"/>
      <w:start w:val="1"/>
    </w:lvl>
  </w:abstractNum>
  <w:abstractNum w:abstractNumId="43">
    <w:nsid w:val="49DA307D"/>
    <w:multiLevelType w:val="hybridMultilevel"/>
    <w:lvl w:ilvl="0">
      <w:lvlJc w:val="left"/>
      <w:lvlText w:val="(%1)"/>
      <w:numFmt w:val="lowerLetter"/>
      <w:start w:val="1"/>
    </w:lvl>
  </w:abstractNum>
  <w:abstractNum w:abstractNumId="44">
    <w:nsid w:val="7055A5F5"/>
    <w:multiLevelType w:val="hybridMultilevel"/>
    <w:lvl w:ilvl="0">
      <w:lvlJc w:val="left"/>
      <w:lvlText w:val="(%1)"/>
      <w:numFmt w:val="lowerLetter"/>
      <w:start w:val="1"/>
    </w:lvl>
  </w:abstractNum>
  <w:abstractNum w:abstractNumId="45">
    <w:nsid w:val="5FB8370B"/>
    <w:multiLevelType w:val="hybridMultilevel"/>
    <w:lvl w:ilvl="0">
      <w:lvlJc w:val="left"/>
      <w:lvlText w:val="(%1)"/>
      <w:numFmt w:val="lowerLetter"/>
      <w:start w:val="1"/>
    </w:lvl>
  </w:abstractNum>
  <w:abstractNum w:abstractNumId="46">
    <w:nsid w:val="50801EE1"/>
    <w:multiLevelType w:val="hybridMultilevel"/>
    <w:lvl w:ilvl="0">
      <w:lvlJc w:val="left"/>
      <w:lvlText w:val="(%1)"/>
      <w:numFmt w:val="lowerLetter"/>
      <w:start w:val="25"/>
    </w:lvl>
  </w:abstractNum>
  <w:abstractNum w:abstractNumId="47">
    <w:nsid w:val="488AC1A"/>
    <w:multiLevelType w:val="hybridMultilevel"/>
    <w:lvl w:ilvl="0">
      <w:lvlJc w:val="left"/>
      <w:lvlText w:val="(%1)"/>
      <w:numFmt w:val="decimal"/>
      <w:start w:val="1"/>
    </w:lvl>
  </w:abstractNum>
  <w:abstractNum w:abstractNumId="48">
    <w:nsid w:val="5FB8011C"/>
    <w:multiLevelType w:val="hybridMultilevel"/>
    <w:lvl w:ilvl="0">
      <w:lvlJc w:val="left"/>
      <w:lvlText w:val="(%1)"/>
      <w:numFmt w:val="decimal"/>
      <w:start w:val="1"/>
    </w:lvl>
  </w:abstractNum>
  <w:abstractNum w:abstractNumId="49">
    <w:nsid w:val="6AA78F7F"/>
    <w:multiLevelType w:val="hybridMultilevel"/>
    <w:lvl w:ilvl="0">
      <w:lvlJc w:val="left"/>
      <w:lvlText w:val="(%1)"/>
      <w:numFmt w:val="decimal"/>
      <w:start w:val="1"/>
    </w:lvl>
  </w:abstractNum>
  <w:abstractNum w:abstractNumId="50">
    <w:nsid w:val="7672BD23"/>
    <w:multiLevelType w:val="hybridMultilevel"/>
    <w:lvl w:ilvl="0">
      <w:lvlJc w:val="left"/>
      <w:lvlText w:val="(%1)"/>
      <w:numFmt w:val="decimal"/>
      <w:start w:val="3"/>
    </w:lvl>
  </w:abstractNum>
  <w:abstractNum w:abstractNumId="51">
    <w:nsid w:val="6FC75AF8"/>
    <w:multiLevelType w:val="hybridMultilevel"/>
    <w:lvl w:ilvl="0">
      <w:lvlJc w:val="left"/>
      <w:lvlText w:val="(%1)"/>
      <w:numFmt w:val="decimal"/>
      <w:start w:val="7"/>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1)"/>
      <w:numFmt w:val="lowerRoman"/>
      <w:start w:val="4"/>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1)"/>
      <w:numFmt w:val="lowerRoman"/>
      <w:start w:val="4"/>
    </w:lvl>
  </w:abstractNum>
  <w:abstractNum w:abstractNumId="66">
    <w:nsid w:val="1D545C4D"/>
    <w:multiLevelType w:val="hybridMultilevel"/>
    <w:lvl w:ilvl="0">
      <w:lvlJc w:val="left"/>
      <w:lvlText w:val="(%1)"/>
      <w:numFmt w:val="decimal"/>
      <w:start w:val="1"/>
    </w:lvl>
  </w:abstractNum>
  <w:abstractNum w:abstractNumId="67">
    <w:nsid w:val="59ADEA3D"/>
    <w:multiLevelType w:val="hybridMultilevel"/>
    <w:lvl w:ilvl="0">
      <w:lvlJc w:val="left"/>
      <w:lvlText w:val="%1"/>
      <w:numFmt w:val="decimal"/>
      <w:start w:val="18"/>
    </w:lvl>
  </w:abstractNum>
  <w:abstractNum w:abstractNumId="68">
    <w:nsid w:val="288F1A34"/>
    <w:multiLevelType w:val="hybridMultilevel"/>
    <w:lvl w:ilvl="0">
      <w:lvlJc w:val="left"/>
      <w:lvlText w:val="%1"/>
      <w:numFmt w:val="decimal"/>
      <w:start w:val="12"/>
    </w:lvl>
  </w:abstractNum>
  <w:abstractNum w:abstractNumId="69">
    <w:nsid w:val="2A155DBC"/>
    <w:multiLevelType w:val="hybridMultilevel"/>
    <w:lvl w:ilvl="0">
      <w:lvlJc w:val="left"/>
      <w:lvlText w:val="(%1)"/>
      <w:numFmt w:val="decimal"/>
      <w:start w:val="1"/>
    </w:lvl>
  </w:abstractNum>
  <w:abstractNum w:abstractNumId="70">
    <w:nsid w:val="1D9F6E5F"/>
    <w:multiLevelType w:val="hybridMultilevel"/>
    <w:lvl w:ilvl="0">
      <w:lvlJc w:val="left"/>
      <w:lvlText w:val="(%1)"/>
      <w:numFmt w:val="lowerRoman"/>
      <w:start w:val="4"/>
    </w:lvl>
  </w:abstractNum>
  <w:abstractNum w:abstractNumId="71">
    <w:nsid w:val="97E1B4E"/>
    <w:multiLevelType w:val="hybridMultilevel"/>
    <w:lvl w:ilvl="0">
      <w:lvlJc w:val="left"/>
      <w:lvlText w:val="(%1)"/>
      <w:numFmt w:val="lowerRoman"/>
      <w:start w:val="1"/>
    </w:lvl>
  </w:abstractNum>
  <w:abstractNum w:abstractNumId="72">
    <w:nsid w:val="51088277"/>
    <w:multiLevelType w:val="hybridMultilevel"/>
    <w:lvl w:ilvl="0">
      <w:lvlJc w:val="left"/>
      <w:lvlText w:val="(%1)"/>
      <w:numFmt w:val="decimal"/>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1)"/>
      <w:numFmt w:val="decimal"/>
      <w:start w:val="1"/>
    </w:lvl>
  </w:abstractNum>
  <w:abstractNum w:abstractNumId="79">
    <w:nsid w:val="5C10FE21"/>
    <w:multiLevelType w:val="hybridMultilevel"/>
    <w:lvl w:ilvl="0">
      <w:lvlJc w:val="left"/>
      <w:lvlText w:val="(%1)"/>
      <w:numFmt w:val="decimal"/>
      <w:start w:val="3"/>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
      <w:numFmt w:val="bullet"/>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
      <w:numFmt w:val="bullet"/>
      <w:start w:val="1"/>
    </w:lvl>
  </w:abstractNum>
  <w:abstractNum w:abstractNumId="89">
    <w:nsid w:val="2C27173B"/>
    <w:multiLevelType w:val="hybridMultilevel"/>
    <w:lvl w:ilvl="0">
      <w:lvlJc w:val="left"/>
      <w:lvlText w:val="•"/>
      <w:numFmt w:val="bullet"/>
      <w:start w:val="1"/>
    </w:lvl>
  </w:abstractNum>
  <w:abstractNum w:abstractNumId="90">
    <w:nsid w:val="4C9B0904"/>
    <w:multiLevelType w:val="hybridMultilevel"/>
    <w:lvl w:ilvl="0">
      <w:lvlJc w:val="left"/>
      <w:lvlText w:val="(%1)"/>
      <w:numFmt w:val="lowerRoman"/>
      <w:start w:val="1"/>
    </w:lvl>
  </w:abstractNum>
  <w:abstractNum w:abstractNumId="91">
    <w:nsid w:val="6AA7B75C"/>
    <w:multiLevelType w:val="hybridMultilevel"/>
    <w:lvl w:ilvl="0">
      <w:lvlJc w:val="left"/>
      <w:lvlText w:val="(%1)"/>
      <w:numFmt w:val="lowerRoman"/>
      <w:start w:val="3"/>
    </w:lvl>
  </w:abstractNum>
  <w:abstractNum w:abstractNumId="92">
    <w:nsid w:val="1DF029D3"/>
    <w:multiLevelType w:val="hybridMultilevel"/>
    <w:lvl w:ilvl="0">
      <w:lvlJc w:val="left"/>
      <w:lvlText w:val="(%1)"/>
      <w:numFmt w:val="lowerRoman"/>
      <w:start w:val="1"/>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Roman"/>
      <w:start w:val="3"/>
    </w:lvl>
  </w:abstractNum>
  <w:abstractNum w:abstractNumId="95">
    <w:nsid w:val="3DB012B3"/>
    <w:multiLevelType w:val="hybridMultilevel"/>
    <w:lvl w:ilvl="0">
      <w:lvlJc w:val="left"/>
      <w:lvlText w:val="(%1)"/>
      <w:numFmt w:val="lowerLetter"/>
      <w:start w:val="1"/>
    </w:lvl>
  </w:abstractNum>
  <w:abstractNum w:abstractNumId="96">
    <w:nsid w:val="2708C9AF"/>
    <w:multiLevelType w:val="hybridMultilevel"/>
    <w:lvl w:ilvl="0">
      <w:lvlJc w:val="left"/>
      <w:lvlText w:val="(%1)"/>
      <w:numFmt w:val="lowerRoman"/>
      <w:start w:val="1"/>
    </w:lvl>
  </w:abstractNum>
  <w:abstractNum w:abstractNumId="97">
    <w:nsid w:val="5B25ACE2"/>
    <w:multiLevelType w:val="hybridMultilevel"/>
    <w:lvl w:ilvl="0">
      <w:lvlJc w:val="left"/>
      <w:lvlText w:val="(%1)"/>
      <w:numFmt w:val="lowerLetter"/>
      <w:start w:val="1"/>
    </w:lvl>
  </w:abstractNum>
  <w:abstractNum w:abstractNumId="98">
    <w:nsid w:val="175DFCF0"/>
    <w:multiLevelType w:val="hybridMultilevel"/>
    <w:lvl w:ilvl="0">
      <w:lvlJc w:val="left"/>
      <w:lvlText w:val="(%1)"/>
      <w:numFmt w:val="decimal"/>
      <w:start w:val="1"/>
    </w:lvl>
  </w:abstractNum>
  <w:abstractNum w:abstractNumId="99">
    <w:nsid w:val="4F97E3E4"/>
    <w:multiLevelType w:val="hybridMultilevel"/>
    <w:lvl w:ilvl="0">
      <w:lvlJc w:val="left"/>
      <w:lvlText w:val="%1."/>
      <w:numFmt w:val="decimal"/>
      <w:start w:val="2"/>
    </w:lvl>
  </w:abstractNum>
  <w:abstractNum w:abstractNumId="100">
    <w:nsid w:val="53B0A9E"/>
    <w:multiLevelType w:val="hybridMultilevel"/>
    <w:lvl w:ilvl="0">
      <w:lvlJc w:val="left"/>
      <w:lvlText w:val="%1."/>
      <w:numFmt w:val="decimal"/>
      <w:start w:val="2"/>
    </w:lvl>
  </w:abstractNum>
  <w:abstractNum w:abstractNumId="101">
    <w:nsid w:val="34FD6B4F"/>
    <w:multiLevelType w:val="hybridMultilevel"/>
    <w:lvl w:ilvl="0">
      <w:lvlJc w:val="left"/>
      <w:lvlText w:val="%1."/>
      <w:numFmt w:val="decimal"/>
      <w:start w:val="2"/>
    </w:lvl>
  </w:abstractNum>
  <w:abstractNum w:abstractNumId="102">
    <w:nsid w:val="5915FF32"/>
    <w:multiLevelType w:val="hybridMultilevel"/>
    <w:lvl w:ilvl="0">
      <w:lvlJc w:val="left"/>
      <w:lvlText w:val="%1."/>
      <w:numFmt w:val="decimal"/>
      <w:start w:val="2"/>
    </w:lvl>
  </w:abstractNum>
  <w:abstractNum w:abstractNumId="103">
    <w:nsid w:val="56438D15"/>
    <w:multiLevelType w:val="hybridMultilevel"/>
    <w:lvl w:ilvl="0">
      <w:lvlJc w:val="left"/>
      <w:lvlText w:val="%1."/>
      <w:numFmt w:val="decimal"/>
      <w:start w:val="2"/>
    </w:lvl>
  </w:abstractNum>
  <w:abstractNum w:abstractNumId="104">
    <w:nsid w:val="519E3149"/>
    <w:multiLevelType w:val="hybridMultilevel"/>
    <w:lvl w:ilvl="0">
      <w:lvlJc w:val="left"/>
      <w:lvlText w:val="%1."/>
      <w:numFmt w:val="decimal"/>
      <w:start w:val="2"/>
    </w:lvl>
  </w:abstractNum>
  <w:abstractNum w:abstractNumId="105">
    <w:nsid w:val="2C6E4AFD"/>
    <w:multiLevelType w:val="hybridMultilevel"/>
    <w:lvl w:ilvl="0">
      <w:lvlJc w:val="left"/>
      <w:lvlText w:val="%1."/>
      <w:numFmt w:val="decimal"/>
      <w:start w:val="2"/>
    </w:lvl>
  </w:abstractNum>
  <w:abstractNum w:abstractNumId="106">
    <w:nsid w:val="17A1B582"/>
    <w:multiLevelType w:val="hybridMultilevel"/>
    <w:lvl w:ilvl="0">
      <w:lvlJc w:val="left"/>
      <w:lvlText w:val="(%1)"/>
      <w:numFmt w:val="decimal"/>
      <w:start w:val="1"/>
    </w:lvl>
  </w:abstractNum>
  <w:abstractNum w:abstractNumId="107">
    <w:nsid w:val="4DF72E4E"/>
    <w:multiLevelType w:val="hybridMultilevel"/>
    <w:lvl w:ilvl="0">
      <w:lvlJc w:val="left"/>
      <w:lvlText w:val="(%1)"/>
      <w:numFmt w:val="decimal"/>
      <w:start w:val="1"/>
    </w:lvl>
  </w:abstractNum>
  <w:abstractNum w:abstractNumId="108">
    <w:nsid w:val="5046B5A9"/>
    <w:multiLevelType w:val="hybridMultilevel"/>
    <w:lvl w:ilvl="0">
      <w:lvlJc w:val="left"/>
      <w:lvlText w:val="(%1)"/>
      <w:numFmt w:val="decimal"/>
      <w:start w:val="1"/>
    </w:lvl>
  </w:abstractNum>
  <w:abstractNum w:abstractNumId="109">
    <w:nsid w:val="5D888A08"/>
    <w:multiLevelType w:val="hybridMultilevel"/>
    <w:lvl w:ilvl="0">
      <w:lvlJc w:val="left"/>
      <w:lvlText w:val="(%1)"/>
      <w:numFmt w:val="decimal"/>
      <w:start w:val="1"/>
    </w:lvl>
  </w:abstractNum>
  <w:abstractNum w:abstractNumId="110">
    <w:nsid w:val="2A082C70"/>
    <w:multiLevelType w:val="hybridMultilevel"/>
    <w:lvl w:ilvl="0">
      <w:lvlJc w:val="left"/>
      <w:lvlText w:val="(%1)"/>
      <w:numFmt w:val="decimal"/>
      <w:start w:val="4"/>
    </w:lvl>
  </w:abstractNum>
  <w:abstractNum w:abstractNumId="111">
    <w:nsid w:val="5EC6AFD4"/>
    <w:multiLevelType w:val="hybridMultilevel"/>
    <w:lvl w:ilvl="0">
      <w:lvlJc w:val="left"/>
      <w:lvlText w:val="%1."/>
      <w:numFmt w:val="decimal"/>
      <w:start w:val="19"/>
    </w:lvl>
  </w:abstractNum>
  <w:abstractNum w:abstractNumId="112">
    <w:nsid w:val="19E21BB2"/>
    <w:multiLevelType w:val="hybridMultilevel"/>
    <w:lvl w:ilvl="0">
      <w:lvlJc w:val="left"/>
      <w:lvlText w:val="%1."/>
      <w:numFmt w:val="decimal"/>
      <w:start w:val="19"/>
    </w:lvl>
  </w:abstractNum>
  <w:abstractNum w:abstractNumId="113">
    <w:nsid w:val="75E0858A"/>
    <w:multiLevelType w:val="hybridMultilevel"/>
    <w:lvl w:ilvl="0">
      <w:lvlJc w:val="left"/>
      <w:lvlText w:val="(%1)"/>
      <w:numFmt w:val="decimal"/>
      <w:start w:val="1"/>
    </w:lvl>
  </w:abstractNum>
  <w:abstractNum w:abstractNumId="114">
    <w:nsid w:val="57A61A29"/>
    <w:multiLevelType w:val="hybridMultilevel"/>
    <w:lvl w:ilvl="0">
      <w:lvlJc w:val="left"/>
      <w:lvlText w:val="(%1)"/>
      <w:numFmt w:val="decimal"/>
      <w:start w:val="1"/>
    </w:lvl>
  </w:abstractNum>
  <w:abstractNum w:abstractNumId="115">
    <w:nsid w:val="5399C654"/>
    <w:multiLevelType w:val="hybridMultilevel"/>
    <w:lvl w:ilvl="0">
      <w:lvlJc w:val="left"/>
      <w:lvlText w:val="%1."/>
      <w:numFmt w:val="decimal"/>
      <w:start w:val="8"/>
    </w:lvl>
  </w:abstractNum>
  <w:abstractNum w:abstractNumId="116">
    <w:nsid w:val="20EE1348"/>
    <w:multiLevelType w:val="hybridMultilevel"/>
    <w:lvl w:ilvl="0">
      <w:lvlJc w:val="left"/>
      <w:lvlText w:val="(%1)"/>
      <w:numFmt w:val="decimal"/>
      <w:start w:val="334"/>
    </w:lvl>
  </w:abstractNum>
  <w:abstractNum w:abstractNumId="117">
    <w:nsid w:val="4427069A"/>
    <w:multiLevelType w:val="hybridMultilevel"/>
    <w:lvl w:ilvl="0">
      <w:lvlJc w:val="left"/>
      <w:lvlText w:val="7"/>
      <w:numFmt w:val="bullet"/>
      <w:start w:val="1"/>
    </w:lvl>
  </w:abstractNum>
  <w:abstractNum w:abstractNumId="118">
    <w:nsid w:val="B37E80A"/>
    <w:multiLevelType w:val="hybridMultilevel"/>
    <w:lvl w:ilvl="0">
      <w:lvlJc w:val="left"/>
      <w:lvlText w:val="(%1)"/>
      <w:numFmt w:val="decimal"/>
      <w:start w:val="1"/>
    </w:lvl>
  </w:abstractNum>
  <w:abstractNum w:abstractNumId="119">
    <w:nsid w:val="2157F6BC"/>
    <w:multiLevelType w:val="hybridMultilevel"/>
    <w:lvl w:ilvl="0">
      <w:lvlJc w:val="left"/>
      <w:lvlText w:val="*"/>
      <w:numFmt w:val="bullet"/>
      <w:start w:val="1"/>
    </w:lvl>
  </w:abstractNum>
  <w:abstractNum w:abstractNumId="120">
    <w:nsid w:val="704E1DD5"/>
    <w:multiLevelType w:val="hybridMultilevel"/>
    <w:lvl w:ilvl="0">
      <w:lvlJc w:val="left"/>
      <w:lvlText w:val="†"/>
      <w:numFmt w:val="bullet"/>
      <w:start w:val="1"/>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1)"/>
      <w:numFmt w:val="decimal"/>
      <w:start w:val="1"/>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1)"/>
      <w:numFmt w:val="lowerRoman"/>
      <w:start w:val="2"/>
    </w:lvl>
  </w:abstractNum>
  <w:abstractNum w:abstractNumId="127">
    <w:nsid w:val="5551B9F3"/>
    <w:multiLevelType w:val="hybridMultilevel"/>
    <w:lvl w:ilvl="0">
      <w:lvlJc w:val="left"/>
      <w:lvlText w:val="%1."/>
      <w:numFmt w:val="decimal"/>
      <w:start w:val="1"/>
    </w:lvl>
  </w:abstractNum>
  <w:abstractNum w:abstractNumId="128">
    <w:nsid w:val="24F6AB8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9">
    <w:nsid w:val="634C574C"/>
    <w:multiLevelType w:val="hybridMultilevel"/>
    <w:lvl w:ilvl="0">
      <w:lvlJc w:val="left"/>
      <w:lvlText w:val="%1."/>
      <w:numFmt w:val="decimal"/>
      <w:start w:val="5"/>
    </w:lvl>
  </w:abstractNum>
  <w:abstractNum w:abstractNumId="130">
    <w:nsid w:val="24E99DD7"/>
    <w:multiLevelType w:val="hybridMultilevel"/>
    <w:lvl w:ilvl="0">
      <w:lvlJc w:val="left"/>
      <w:lvlText w:val="%1."/>
      <w:numFmt w:val="decimal"/>
      <w:start w:val="7"/>
    </w:lvl>
    <w:lvl w:ilvl="1">
      <w:lvlJc w:val="left"/>
      <w:lvlText w:val="%2."/>
      <w:numFmt w:val="lowerLetter"/>
      <w:start w:val="1"/>
    </w:lvl>
  </w:abstractNum>
  <w:abstractNum w:abstractNumId="131">
    <w:nsid w:val="2A31B62D"/>
    <w:multiLevelType w:val="hybridMultilevel"/>
    <w:lvl w:ilvl="0">
      <w:lvlJc w:val="left"/>
      <w:lvlText w:val="%1."/>
      <w:numFmt w:val="lowerLetter"/>
      <w:start w:val="1"/>
    </w:lvl>
  </w:abstractNum>
  <w:abstractNum w:abstractNumId="132">
    <w:nsid w:val="1849C29B"/>
    <w:multiLevelType w:val="hybridMultilevel"/>
    <w:lvl w:ilvl="0">
      <w:lvlJc w:val="left"/>
      <w:lvlText w:val="%1."/>
      <w:numFmt w:val="lowerLetter"/>
      <w:start w:val="1"/>
    </w:lvl>
  </w:abstractNum>
  <w:abstractNum w:abstractNumId="133">
    <w:nsid w:val="7DFF9D09"/>
    <w:multiLevelType w:val="hybridMultilevel"/>
    <w:lvl w:ilvl="0">
      <w:lvlJc w:val="left"/>
      <w:lvlText w:val="%1."/>
      <w:numFmt w:val="decimal"/>
      <w:start w:val="11"/>
    </w:lvl>
    <w:lvl w:ilvl="1">
      <w:lvlJc w:val="left"/>
      <w:lvlText w:val="%2."/>
      <w:numFmt w:val="lowerLetter"/>
      <w:start w:val="1"/>
    </w:lvl>
  </w:abstractNum>
  <w:abstractNum w:abstractNumId="134">
    <w:nsid w:val="754342"/>
    <w:multiLevelType w:val="hybridMultilevel"/>
    <w:lvl w:ilvl="0">
      <w:lvlJc w:val="left"/>
      <w:lvlText w:val="%1."/>
      <w:numFmt w:val="decimal"/>
      <w:start w:val="15"/>
    </w:lvl>
    <w:lvl w:ilvl="1">
      <w:lvlJc w:val="left"/>
      <w:lvlText w:val="%2."/>
      <w:numFmt w:val="lowerLetter"/>
      <w:start w:val="1"/>
    </w:lvl>
  </w:abstractNum>
  <w:abstractNum w:abstractNumId="135">
    <w:nsid w:val="69E7F3E5"/>
    <w:multiLevelType w:val="hybridMultilevel"/>
    <w:lvl w:ilvl="0">
      <w:lvlJc w:val="left"/>
      <w:lvlText w:val="%1."/>
      <w:numFmt w:val="decimal"/>
      <w:start w:val="17"/>
    </w:lvl>
    <w:lvl w:ilvl="1">
      <w:lvlJc w:val="left"/>
      <w:lvlText w:val="%2."/>
      <w:numFmt w:val="lowerLetter"/>
      <w:start w:val="1"/>
    </w:lvl>
  </w:abstractNum>
  <w:abstractNum w:abstractNumId="136">
    <w:nsid w:val="2A6DE806"/>
    <w:multiLevelType w:val="hybridMultilevel"/>
    <w:lvl w:ilvl="0">
      <w:lvlJc w:val="left"/>
      <w:lvlText w:val="%1."/>
      <w:numFmt w:val="decimal"/>
      <w:start w:val="20"/>
    </w:lvl>
  </w:abstractNum>
  <w:abstractNum w:abstractNumId="137">
    <w:nsid w:val="1816F8C4"/>
    <w:multiLevelType w:val="hybridMultilevel"/>
    <w:lvl w:ilvl="0">
      <w:lvlJc w:val="left"/>
      <w:lvlText w:val="%1."/>
      <w:numFmt w:val="decimal"/>
      <w:start w:val="22"/>
    </w:lvl>
  </w:abstractNum>
  <w:abstractNum w:abstractNumId="138">
    <w:nsid w:val="37DF2233"/>
    <w:multiLevelType w:val="hybridMultilevel"/>
    <w:lvl w:ilvl="0">
      <w:lvlJc w:val="left"/>
      <w:lvlText w:val="%1."/>
      <w:numFmt w:val="decimal"/>
      <w:start w:val="25"/>
    </w:lvl>
  </w:abstractNum>
  <w:abstractNum w:abstractNumId="139">
    <w:nsid w:val="7AB49DAF"/>
    <w:multiLevelType w:val="hybridMultilevel"/>
    <w:lvl w:ilvl="0">
      <w:lvlJc w:val="left"/>
      <w:lvlText w:val="%1."/>
      <w:numFmt w:val="decimal"/>
      <w:start w:val="29"/>
    </w:lvl>
  </w:abstractNum>
  <w:abstractNum w:abstractNumId="140">
    <w:nsid w:val="759F82CD"/>
    <w:multiLevelType w:val="hybridMultilevel"/>
    <w:lvl w:ilvl="0">
      <w:lvlJc w:val="left"/>
      <w:lvlText w:val="%1."/>
      <w:numFmt w:val="decimal"/>
      <w:start w:val="34"/>
    </w:lvl>
    <w:lvl w:ilvl="1">
      <w:lvlJc w:val="left"/>
      <w:lvlText w:val="%2."/>
      <w:numFmt w:val="lowerLetter"/>
      <w:start w:val="1"/>
    </w:lvl>
  </w:abstractNum>
  <w:abstractNum w:abstractNumId="141">
    <w:nsid w:val="61E74EA3"/>
    <w:multiLevelType w:val="hybridMultilevel"/>
    <w:lvl w:ilvl="0">
      <w:lvlJc w:val="left"/>
      <w:lvlText w:val="%1."/>
      <w:numFmt w:val="decimal"/>
      <w:start w:val="35"/>
    </w:lvl>
    <w:lvl w:ilvl="1">
      <w:lvlJc w:val="left"/>
      <w:lvlText w:val="%2."/>
      <w:numFmt w:val="lowerLetter"/>
      <w:start w:val="1"/>
    </w:lvl>
  </w:abstractNum>
  <w:abstractNum w:abstractNumId="142">
    <w:nsid w:val="597B4D84"/>
    <w:multiLevelType w:val="hybridMultilevel"/>
    <w:lvl w:ilvl="0">
      <w:lvlJc w:val="left"/>
      <w:lvlText w:val="%1."/>
      <w:numFmt w:val="decimal"/>
      <w:start w:val="37"/>
    </w:lvl>
    <w:lvl w:ilvl="1">
      <w:lvlJc w:val="left"/>
      <w:lvlText w:val="%2."/>
      <w:numFmt w:val="lowerLetter"/>
      <w:start w:val="1"/>
    </w:lvl>
    <w:lvl w:ilvl="2">
      <w:lvlJc w:val="left"/>
      <w:lvlText w:val="%3."/>
      <w:numFmt w:val="lowerRoman"/>
      <w:start w:val="1"/>
    </w:lvl>
  </w:abstractNum>
  <w:abstractNum w:abstractNumId="143">
    <w:nsid w:val="F819E7F"/>
    <w:multiLevelType w:val="hybridMultilevel"/>
    <w:lvl w:ilvl="0">
      <w:lvlJc w:val="left"/>
      <w:lvlText w:val="%1"/>
      <w:numFmt w:val="decimal"/>
      <w:start w:val="41"/>
    </w:lvl>
  </w:abstractNum>
  <w:abstractNum w:abstractNumId="144">
    <w:nsid w:val="57C7D42D"/>
    <w:multiLevelType w:val="hybridMultilevel"/>
    <w:lvl w:ilvl="0">
      <w:lvlJc w:val="left"/>
      <w:lvlText w:val="%1."/>
      <w:numFmt w:val="decimal"/>
      <w:start w:val="42"/>
    </w:lvl>
  </w:abstractNum>
  <w:abstractNum w:abstractNumId="145">
    <w:nsid w:val="312167AD"/>
    <w:multiLevelType w:val="hybridMultilevel"/>
    <w:lvl w:ilvl="0">
      <w:lvlJc w:val="left"/>
      <w:lvlText w:val="%1."/>
      <w:numFmt w:val="decimal"/>
      <w:start w:val="50"/>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jpe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2021-10-13T01:18:48Z</dcterms:created>
  <dcterms:modified xsi:type="dcterms:W3CDTF">2021-10-13T01:18:48Z</dcterms:modified>
</cp:coreProperties>
</file>