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866683105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November 14, 2023</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399473107</w:t>
      </w:r>
    </w:p>
    <w:p>
      <w:pPr>
        <w:spacing w:after="0" w:line="144" w:lineRule="exact"/>
        <w:rPr>
          <w:sz w:val="20"/>
          <w:szCs w:val="20"/>
          <w:color w:val="auto"/>
        </w:rPr>
      </w:pPr>
    </w:p>
    <w:p>
      <w:pPr>
        <w:ind w:left="700" w:hanging="457"/>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858000" cy="5340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0" cy="5340350"/>
                    </a:xfrm>
                    <a:prstGeom prst="rect">
                      <a:avLst/>
                    </a:prstGeom>
                    <a:noFill/>
                  </pic:spPr>
                </pic:pic>
              </a:graphicData>
            </a:graphic>
          </wp:anchor>
        </w:drawing>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PAR Investment Partners, L.P.</w:t>
      </w:r>
    </w:p>
    <w:p>
      <w:pPr>
        <w:spacing w:after="0" w:line="29" w:lineRule="exact"/>
        <w:rPr>
          <w:sz w:val="20"/>
          <w:szCs w:val="20"/>
          <w:color w:val="auto"/>
        </w:rPr>
      </w:pPr>
    </w:p>
    <w:p>
      <w:pPr>
        <w:ind w:left="700" w:hanging="457"/>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 w:lineRule="exact"/>
        <w:rPr>
          <w:sz w:val="20"/>
          <w:szCs w:val="20"/>
          <w:color w:val="auto"/>
        </w:rPr>
      </w:pPr>
    </w:p>
    <w:p>
      <w:pPr>
        <w:ind w:left="700"/>
        <w:spacing w:after="0" w:line="207" w:lineRule="exact"/>
        <w:tabs>
          <w:tab w:leader="none" w:pos="14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00" w:hanging="457"/>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700" w:hanging="457"/>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of Delaware</w:t>
      </w:r>
    </w:p>
    <w:p>
      <w:pPr>
        <w:spacing w:after="0" w:line="32" w:lineRule="exact"/>
        <w:rPr>
          <w:rFonts w:ascii="Times New Roman" w:cs="Times New Roman" w:eastAsia="Times New Roman" w:hAnsi="Times New Roman"/>
          <w:sz w:val="18"/>
          <w:szCs w:val="18"/>
          <w:b w:val="1"/>
          <w:bCs w:val="1"/>
          <w:color w:val="auto"/>
        </w:rPr>
      </w:pPr>
    </w:p>
    <w:p>
      <w:pPr>
        <w:ind w:left="1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SOLE VOTING POWER</w:t>
      </w: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2,767,000</w:t>
            </w: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vMerge w:val="continue"/>
          </w:tcPr>
          <w:p>
            <w:pPr>
              <w:spacing w:after="0"/>
              <w:rPr>
                <w:sz w:val="15"/>
                <w:szCs w:val="15"/>
                <w:color w:val="auto"/>
              </w:rPr>
            </w:pPr>
          </w:p>
        </w:tc>
        <w:tc>
          <w:tcPr>
            <w:tcW w:w="9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234"/>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00" w:type="dxa"/>
            <w:vAlign w:val="bottom"/>
            <w:tcBorders>
              <w:top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Pr>
          <w:p>
            <w:pPr>
              <w:spacing w:after="0"/>
              <w:rPr>
                <w:sz w:val="21"/>
                <w:szCs w:val="21"/>
                <w:color w:val="auto"/>
              </w:rPr>
            </w:pPr>
          </w:p>
        </w:tc>
        <w:tc>
          <w:tcPr>
            <w:tcW w:w="9100" w:type="dxa"/>
            <w:vAlign w:val="bottom"/>
          </w:tcPr>
          <w:p>
            <w:pPr>
              <w:ind w:left="100"/>
              <w:spacing w:after="0" w:line="248" w:lineRule="exact"/>
              <w:rPr>
                <w:sz w:val="20"/>
                <w:szCs w:val="20"/>
                <w:color w:val="auto"/>
              </w:rPr>
            </w:pPr>
            <w:r>
              <w:rPr>
                <w:rFonts w:ascii="Times New Roman" w:cs="Times New Roman" w:eastAsia="Times New Roman" w:hAnsi="Times New Roman"/>
                <w:sz w:val="22"/>
                <w:szCs w:val="22"/>
                <w:color w:val="auto"/>
              </w:rPr>
              <w:t>2,767,000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None</w:t>
      </w:r>
    </w:p>
    <w:p>
      <w:pPr>
        <w:spacing w:after="0" w:line="29" w:lineRule="exact"/>
        <w:rPr>
          <w:sz w:val="20"/>
          <w:szCs w:val="20"/>
          <w:color w:val="auto"/>
        </w:rPr>
      </w:pPr>
    </w:p>
    <w:p>
      <w:pPr>
        <w:ind w:left="700" w:hanging="457"/>
        <w:spacing w:after="0"/>
        <w:tabs>
          <w:tab w:leader="none" w:pos="7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2,767,000</w:t>
      </w:r>
    </w:p>
    <w:p>
      <w:pPr>
        <w:spacing w:after="0" w:line="29" w:lineRule="exact"/>
        <w:rPr>
          <w:sz w:val="20"/>
          <w:szCs w:val="20"/>
          <w:color w:val="auto"/>
        </w:rPr>
      </w:pPr>
    </w:p>
    <w:p>
      <w:pPr>
        <w:ind w:left="700" w:right="3560" w:hanging="547"/>
        <w:spacing w:after="0" w:line="238" w:lineRule="exact"/>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left="700" w:hanging="547"/>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5.1%*</w:t>
      </w:r>
    </w:p>
    <w:p>
      <w:pPr>
        <w:spacing w:after="0" w:line="29" w:lineRule="exact"/>
        <w:rPr>
          <w:sz w:val="20"/>
          <w:szCs w:val="20"/>
          <w:color w:val="auto"/>
        </w:rPr>
      </w:pPr>
    </w:p>
    <w:p>
      <w:pPr>
        <w:ind w:left="700" w:right="5860" w:hanging="547"/>
        <w:spacing w:after="0" w:line="545" w:lineRule="auto"/>
        <w:tabs>
          <w:tab w:leader="none" w:pos="70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1" w:lineRule="exact"/>
        <w:rPr>
          <w:rFonts w:ascii="Times New Roman" w:cs="Times New Roman" w:eastAsia="Times New Roman" w:hAnsi="Times New Roman"/>
          <w:sz w:val="18"/>
          <w:szCs w:val="18"/>
          <w:b w:val="1"/>
          <w:bCs w:val="1"/>
          <w:color w:val="auto"/>
        </w:rPr>
      </w:pPr>
    </w:p>
    <w:p>
      <w:pPr>
        <w:ind w:left="220" w:hanging="216"/>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Based on 54,133,851 shares of Common Stock outstanding as of September 30, 2023, as reported in the Issuer’s Report on Form 10-Q filed with the SEC on November 7, 2023.</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399473107</w:t>
      </w:r>
    </w:p>
    <w:p>
      <w:pPr>
        <w:spacing w:after="0" w:line="144" w:lineRule="exact"/>
        <w:rPr>
          <w:sz w:val="20"/>
          <w:szCs w:val="20"/>
          <w:color w:val="auto"/>
        </w:rPr>
      </w:pPr>
    </w:p>
    <w:p>
      <w:pPr>
        <w:ind w:left="700" w:hanging="457"/>
        <w:spacing w:after="0"/>
        <w:tabs>
          <w:tab w:leader="none" w:pos="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858000" cy="5374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5374640"/>
                    </a:xfrm>
                    <a:prstGeom prst="rect">
                      <a:avLst/>
                    </a:prstGeom>
                    <a:noFill/>
                  </pic:spPr>
                </pic:pic>
              </a:graphicData>
            </a:graphic>
          </wp:anchor>
        </w:drawing>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PAR Group II, L.P.</w:t>
      </w:r>
    </w:p>
    <w:p>
      <w:pPr>
        <w:spacing w:after="0" w:line="29" w:lineRule="exact"/>
        <w:rPr>
          <w:sz w:val="20"/>
          <w:szCs w:val="20"/>
          <w:color w:val="auto"/>
        </w:rPr>
      </w:pPr>
    </w:p>
    <w:p>
      <w:pPr>
        <w:ind w:left="700" w:hanging="457"/>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 w:lineRule="exact"/>
        <w:rPr>
          <w:sz w:val="20"/>
          <w:szCs w:val="20"/>
          <w:color w:val="auto"/>
        </w:rPr>
      </w:pPr>
    </w:p>
    <w:p>
      <w:pPr>
        <w:ind w:left="700"/>
        <w:spacing w:after="0" w:line="207" w:lineRule="exact"/>
        <w:tabs>
          <w:tab w:leader="none" w:pos="14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00" w:hanging="457"/>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700" w:hanging="457"/>
        <w:spacing w:after="0"/>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State of Delaware</w:t>
      </w:r>
    </w:p>
    <w:p>
      <w:pPr>
        <w:spacing w:after="0" w:line="29" w:lineRule="exact"/>
        <w:rPr>
          <w:sz w:val="20"/>
          <w:szCs w:val="20"/>
          <w:color w:val="auto"/>
        </w:rPr>
      </w:pPr>
    </w:p>
    <w:p>
      <w:pPr>
        <w:ind w:left="1800" w:hanging="265"/>
        <w:spacing w:after="0"/>
        <w:tabs>
          <w:tab w:leader="none" w:pos="18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2,767,000</w:t>
            </w: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vMerge w:val="continue"/>
          </w:tcPr>
          <w:p>
            <w:pPr>
              <w:spacing w:after="0"/>
              <w:rPr>
                <w:sz w:val="15"/>
                <w:szCs w:val="15"/>
                <w:color w:val="auto"/>
              </w:rPr>
            </w:pPr>
          </w:p>
        </w:tc>
        <w:tc>
          <w:tcPr>
            <w:tcW w:w="9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234"/>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00" w:type="dxa"/>
            <w:vAlign w:val="bottom"/>
            <w:tcBorders>
              <w:top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Pr>
          <w:p>
            <w:pPr>
              <w:spacing w:after="0"/>
              <w:rPr>
                <w:sz w:val="21"/>
                <w:szCs w:val="21"/>
                <w:color w:val="auto"/>
              </w:rPr>
            </w:pPr>
          </w:p>
        </w:tc>
        <w:tc>
          <w:tcPr>
            <w:tcW w:w="9100" w:type="dxa"/>
            <w:vAlign w:val="bottom"/>
          </w:tcPr>
          <w:p>
            <w:pPr>
              <w:ind w:left="100"/>
              <w:spacing w:after="0" w:line="248" w:lineRule="exact"/>
              <w:rPr>
                <w:sz w:val="20"/>
                <w:szCs w:val="20"/>
                <w:color w:val="auto"/>
              </w:rPr>
            </w:pPr>
            <w:r>
              <w:rPr>
                <w:rFonts w:ascii="Times New Roman" w:cs="Times New Roman" w:eastAsia="Times New Roman" w:hAnsi="Times New Roman"/>
                <w:sz w:val="22"/>
                <w:szCs w:val="22"/>
                <w:color w:val="auto"/>
              </w:rPr>
              <w:t>2,767,000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None</w:t>
      </w:r>
    </w:p>
    <w:p>
      <w:pPr>
        <w:spacing w:after="0" w:line="29" w:lineRule="exact"/>
        <w:rPr>
          <w:sz w:val="20"/>
          <w:szCs w:val="20"/>
          <w:color w:val="auto"/>
        </w:rPr>
      </w:pPr>
    </w:p>
    <w:p>
      <w:pPr>
        <w:ind w:left="700" w:hanging="457"/>
        <w:spacing w:after="0"/>
        <w:tabs>
          <w:tab w:leader="none" w:pos="7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2,767,000</w:t>
      </w:r>
    </w:p>
    <w:p>
      <w:pPr>
        <w:spacing w:after="0" w:line="29" w:lineRule="exact"/>
        <w:rPr>
          <w:sz w:val="20"/>
          <w:szCs w:val="20"/>
          <w:color w:val="auto"/>
        </w:rPr>
      </w:pPr>
    </w:p>
    <w:p>
      <w:pPr>
        <w:ind w:left="700" w:right="3460" w:hanging="547"/>
        <w:spacing w:after="0" w:line="238" w:lineRule="exact"/>
        <w:tabs>
          <w:tab w:leader="none" w:pos="7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left="700" w:hanging="547"/>
        <w:spacing w:after="0"/>
        <w:tabs>
          <w:tab w:leader="none" w:pos="7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5.1%</w:t>
      </w:r>
    </w:p>
    <w:p>
      <w:pPr>
        <w:spacing w:after="0" w:line="29" w:lineRule="exact"/>
        <w:rPr>
          <w:sz w:val="20"/>
          <w:szCs w:val="20"/>
          <w:color w:val="auto"/>
        </w:rPr>
      </w:pPr>
    </w:p>
    <w:p>
      <w:pPr>
        <w:ind w:left="700" w:hanging="547"/>
        <w:spacing w:after="0"/>
        <w:tabs>
          <w:tab w:leader="none" w:pos="7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0800"/>
          </w:cols>
          <w:pgMar w:left="440" w:top="27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399473107</w:t>
      </w:r>
    </w:p>
    <w:p>
      <w:pPr>
        <w:spacing w:after="0" w:line="144" w:lineRule="exact"/>
        <w:rPr>
          <w:sz w:val="20"/>
          <w:szCs w:val="20"/>
          <w:color w:val="auto"/>
        </w:rPr>
      </w:pPr>
    </w:p>
    <w:p>
      <w:pPr>
        <w:ind w:left="700" w:hanging="457"/>
        <w:spacing w:after="0"/>
        <w:tabs>
          <w:tab w:leader="none" w:pos="7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858000" cy="5374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00" cy="5374640"/>
                    </a:xfrm>
                    <a:prstGeom prst="rect">
                      <a:avLst/>
                    </a:prstGeom>
                    <a:noFill/>
                  </pic:spPr>
                </pic:pic>
              </a:graphicData>
            </a:graphic>
          </wp:anchor>
        </w:drawing>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PAR Capital Management, Inc.</w:t>
      </w:r>
    </w:p>
    <w:p>
      <w:pPr>
        <w:spacing w:after="0" w:line="29" w:lineRule="exact"/>
        <w:rPr>
          <w:sz w:val="20"/>
          <w:szCs w:val="20"/>
          <w:color w:val="auto"/>
        </w:rPr>
      </w:pPr>
    </w:p>
    <w:p>
      <w:pPr>
        <w:ind w:left="700" w:hanging="457"/>
        <w:spacing w:after="0"/>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 w:lineRule="exact"/>
        <w:rPr>
          <w:sz w:val="20"/>
          <w:szCs w:val="20"/>
          <w:color w:val="auto"/>
        </w:rPr>
      </w:pPr>
    </w:p>
    <w:p>
      <w:pPr>
        <w:ind w:left="700"/>
        <w:spacing w:after="0" w:line="207" w:lineRule="exact"/>
        <w:tabs>
          <w:tab w:leader="none" w:pos="14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00" w:hanging="457"/>
        <w:spacing w:after="0"/>
        <w:tabs>
          <w:tab w:leader="none" w:pos="7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700" w:hanging="457"/>
        <w:spacing w:after="0"/>
        <w:tabs>
          <w:tab w:leader="none" w:pos="7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State of Delaware</w:t>
      </w:r>
    </w:p>
    <w:p>
      <w:pPr>
        <w:spacing w:after="0" w:line="29" w:lineRule="exact"/>
        <w:rPr>
          <w:sz w:val="20"/>
          <w:szCs w:val="20"/>
          <w:color w:val="auto"/>
        </w:rPr>
      </w:pPr>
    </w:p>
    <w:p>
      <w:pPr>
        <w:ind w:left="1800" w:hanging="265"/>
        <w:spacing w:after="0"/>
        <w:tabs>
          <w:tab w:leader="none" w:pos="18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VOTING POWER</w:t>
      </w:r>
    </w:p>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2,767,000</w:t>
            </w:r>
          </w:p>
        </w:tc>
        <w:tc>
          <w:tcPr>
            <w:tcW w:w="0" w:type="dxa"/>
            <w:vAlign w:val="bottom"/>
          </w:tcPr>
          <w:p>
            <w:pPr>
              <w:spacing w:after="0"/>
              <w:rPr>
                <w:sz w:val="1"/>
                <w:szCs w:val="1"/>
                <w:color w:val="auto"/>
              </w:rPr>
            </w:pPr>
          </w:p>
        </w:tc>
      </w:tr>
      <w:tr>
        <w:trPr>
          <w:trHeight w:val="43"/>
        </w:trPr>
        <w:tc>
          <w:tcPr>
            <w:tcW w:w="12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vMerge w:val="continue"/>
          </w:tcPr>
          <w:p>
            <w:pPr>
              <w:spacing w:after="0"/>
              <w:rPr>
                <w:sz w:val="15"/>
                <w:szCs w:val="15"/>
                <w:color w:val="auto"/>
              </w:rPr>
            </w:pPr>
          </w:p>
        </w:tc>
        <w:tc>
          <w:tcPr>
            <w:tcW w:w="9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BENEFICIALLY</w:t>
            </w:r>
          </w:p>
        </w:tc>
        <w:tc>
          <w:tcPr>
            <w:tcW w:w="220" w:type="dxa"/>
            <w:vAlign w:val="bottom"/>
          </w:tcPr>
          <w:p>
            <w:pPr>
              <w:spacing w:after="0"/>
              <w:rPr>
                <w:sz w:val="18"/>
                <w:szCs w:val="18"/>
                <w:color w:val="auto"/>
              </w:rPr>
            </w:pP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234"/>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00" w:type="dxa"/>
            <w:vAlign w:val="bottom"/>
            <w:tcBorders>
              <w:top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Pr>
          <w:p>
            <w:pPr>
              <w:spacing w:after="0"/>
              <w:rPr>
                <w:sz w:val="21"/>
                <w:szCs w:val="21"/>
                <w:color w:val="auto"/>
              </w:rPr>
            </w:pPr>
          </w:p>
        </w:tc>
        <w:tc>
          <w:tcPr>
            <w:tcW w:w="9100" w:type="dxa"/>
            <w:vAlign w:val="bottom"/>
          </w:tcPr>
          <w:p>
            <w:pPr>
              <w:ind w:left="100"/>
              <w:spacing w:after="0" w:line="248" w:lineRule="exact"/>
              <w:rPr>
                <w:sz w:val="20"/>
                <w:szCs w:val="20"/>
                <w:color w:val="auto"/>
              </w:rPr>
            </w:pPr>
            <w:r>
              <w:rPr>
                <w:rFonts w:ascii="Times New Roman" w:cs="Times New Roman" w:eastAsia="Times New Roman" w:hAnsi="Times New Roman"/>
                <w:sz w:val="22"/>
                <w:szCs w:val="22"/>
                <w:color w:val="auto"/>
              </w:rPr>
              <w:t>2,767,000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9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None</w:t>
      </w:r>
    </w:p>
    <w:p>
      <w:pPr>
        <w:spacing w:after="0" w:line="29" w:lineRule="exact"/>
        <w:rPr>
          <w:sz w:val="20"/>
          <w:szCs w:val="20"/>
          <w:color w:val="auto"/>
        </w:rPr>
      </w:pPr>
    </w:p>
    <w:p>
      <w:pPr>
        <w:ind w:left="700" w:hanging="457"/>
        <w:spacing w:after="0"/>
        <w:tabs>
          <w:tab w:leader="none" w:pos="7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2,767,000</w:t>
      </w:r>
    </w:p>
    <w:p>
      <w:pPr>
        <w:spacing w:after="0" w:line="29" w:lineRule="exact"/>
        <w:rPr>
          <w:sz w:val="20"/>
          <w:szCs w:val="20"/>
          <w:color w:val="auto"/>
        </w:rPr>
      </w:pPr>
    </w:p>
    <w:p>
      <w:pPr>
        <w:ind w:left="700" w:right="3460" w:hanging="547"/>
        <w:spacing w:after="0" w:line="238" w:lineRule="exact"/>
        <w:tabs>
          <w:tab w:leader="none" w:pos="7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24" w:lineRule="exact"/>
        <w:rPr>
          <w:rFonts w:ascii="Times New Roman" w:cs="Times New Roman" w:eastAsia="Times New Roman" w:hAnsi="Times New Roman"/>
          <w:sz w:val="18"/>
          <w:szCs w:val="18"/>
          <w:b w:val="1"/>
          <w:bCs w:val="1"/>
          <w:color w:val="auto"/>
        </w:rPr>
      </w:pPr>
    </w:p>
    <w:p>
      <w:pPr>
        <w:ind w:left="700" w:hanging="547"/>
        <w:spacing w:after="0"/>
        <w:tabs>
          <w:tab w:leader="none" w:pos="7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5.1%</w:t>
      </w:r>
    </w:p>
    <w:p>
      <w:pPr>
        <w:spacing w:after="0" w:line="29" w:lineRule="exact"/>
        <w:rPr>
          <w:sz w:val="20"/>
          <w:szCs w:val="20"/>
          <w:color w:val="auto"/>
        </w:rPr>
      </w:pPr>
    </w:p>
    <w:p>
      <w:pPr>
        <w:ind w:left="700" w:hanging="547"/>
        <w:spacing w:after="0"/>
        <w:tabs>
          <w:tab w:leader="none" w:pos="7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0800"/>
          </w:cols>
          <w:pgMar w:left="440" w:top="270" w:right="6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 Name of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2005 Cargo Road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Minneapolis, MN 55450</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 Investment Partners, 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 Group II,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 Capital Management, Inc.</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2(b) Address or principal business office or, if none, residence.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 Capital Management,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 Clarendon Street, FL 48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02116</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State of Delaware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par value $0.01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2(e) CUSIP No.</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866683105</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jc w:val="both"/>
        <w:ind w:left="4" w:right="7700" w:hanging="4"/>
        <w:spacing w:after="0" w:line="530" w:lineRule="auto"/>
        <w:tabs>
          <w:tab w:leader="none" w:pos="24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Each reporting person: 2,767,000</w:t>
      </w:r>
    </w:p>
    <w:p>
      <w:pPr>
        <w:ind w:left="264" w:hanging="264"/>
        <w:spacing w:after="0"/>
        <w:tabs>
          <w:tab w:leader="none" w:pos="2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reporting person: 5.1%</w:t>
      </w:r>
    </w:p>
    <w:p>
      <w:pPr>
        <w:sectPr>
          <w:pgSz w:w="11900" w:h="16838" w:orient="portrait"/>
          <w:cols w:equalWidth="0" w:num="1">
            <w:col w:w="10104"/>
          </w:cols>
          <w:pgMar w:left="436" w:top="266" w:right="1359" w:bottom="1440" w:gutter="0" w:footer="0" w:header="0"/>
        </w:sectPr>
      </w:pPr>
    </w:p>
    <w:bookmarkStart w:id="5" w:name="page6"/>
    <w:bookmarkEnd w:id="5"/>
    <w:p>
      <w:pPr>
        <w:ind w:left="244" w:hanging="244"/>
        <w:spacing w:after="0"/>
        <w:tabs>
          <w:tab w:leader="none" w:pos="2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Number of shares as to which each reporting person has:</w:t>
      </w: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2,767,000</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4" w:right="6160" w:hanging="4"/>
        <w:spacing w:after="0" w:line="578" w:lineRule="auto"/>
        <w:tabs>
          <w:tab w:leader="none" w:pos="31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2,767,000 (iv) shared power to dispose or to direct the disposition of 0</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121"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5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sole general partner of PAR Investment Partners, L.P. is PAR Group II, L.P. The sole general partner of PAR Group II, L.P., is PAR Capital Management, Inc. Each of PAR Group II, L.P. and PAR Capital Management, Inc. may be deemed to be the beneficial owner of all shares held directly by PAR Investment Partners, L.P.</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Exhibit 99.1: Joint filing agreement dated November 24, 2023.</w:t>
      </w:r>
    </w:p>
    <w:p>
      <w:pPr>
        <w:sectPr>
          <w:pgSz w:w="11900" w:h="16838" w:orient="portrait"/>
          <w:cols w:equalWidth="0" w:num="1">
            <w:col w:w="10924"/>
          </w:cols>
          <w:pgMar w:left="436" w:top="270"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 Certification.</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20"/>
          </w:cols>
          <w:pgMar w:left="440" w:top="266" w:right="539" w:bottom="1440" w:gutter="0" w:footer="0" w:header="0"/>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2023</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 INVESTMENT PARTNERS, L.P.</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PAR Group II,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PAR Capital Management, Inc.</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Steven M. Smith, Chief Operating Officer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 GROUP II, L.P.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PAR Capital Management,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Steven M. Smith, Chief Operating Officer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 CAPITAL MANAGEMENT,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Steven M. Smith, Chief Operating Officer</w:t>
      </w:r>
    </w:p>
    <w:p>
      <w:pPr>
        <w:sectPr>
          <w:pgSz w:w="11900" w:h="16838" w:orient="portrait"/>
          <w:cols w:equalWidth="0" w:num="1">
            <w:col w:w="10900"/>
          </w:cols>
          <w:pgMar w:left="440" w:top="266" w:right="5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 13d-1(k) of the Securities Exchange Act of 1934, as amended, the undersigned agree to the joint filing on behalf of each of them of a Statement on Schedule 13G (including any and all amendments thereto) with respect to the common stock, par value $0.01 per share, of Sun Country Airlines Holdings, Inc. and further agree that this Joint Filing Agreement shall be included as an Exhibit to such joint filing. In evidence thereof, the undersigned, being duly authorized, hereby execute this Joint Filing Agreement as of November 24, 2023.</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 INVESTMENT PARTNERS,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PAR Group II, L.P.,</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PAR Capital Management, Inc.,</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Steven M. Smith, Chief Operating Officer</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 GROUP II,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PAR Capital Management, Inc.,</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Steven M. Smith, Chief Operating Officer</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 CAPITAL MANAGEMENT,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Steven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Steven M. Smith, Chief Operating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
      <w:numFmt w:val="bullet"/>
      <w:start w:val="1"/>
    </w:lvl>
  </w:abstractNum>
  <w:abstractNum w:abstractNumId="3">
    <w:nsid w:val="519B500D"/>
    <w:multiLevelType w:val="hybridMultilevel"/>
    <w:lvl w:ilvl="0">
      <w:lvlJc w:val="left"/>
      <w:lvlText w:val="1"/>
      <w:numFmt w:val="bullet"/>
      <w:start w:val="1"/>
    </w:lvl>
  </w:abstractNum>
  <w:abstractNum w:abstractNumId="4">
    <w:nsid w:val="431BD7B7"/>
    <w:multiLevelType w:val="hybridMultilevel"/>
    <w:lvl w:ilvl="0">
      <w:lvlJc w:val="left"/>
      <w:lvlText w:val="2"/>
      <w:numFmt w:val="bullet"/>
      <w:start w:val="1"/>
    </w:lvl>
  </w:abstractNum>
  <w:abstractNum w:abstractNumId="5">
    <w:nsid w:val="3F2DBA31"/>
    <w:multiLevelType w:val="hybridMultilevel"/>
    <w:lvl w:ilvl="0">
      <w:lvlJc w:val="left"/>
      <w:lvlText w:val="3"/>
      <w:numFmt w:val="bullet"/>
      <w:start w:val="1"/>
    </w:lvl>
  </w:abstractNum>
  <w:abstractNum w:abstractNumId="6">
    <w:nsid w:val="7C83E458"/>
    <w:multiLevelType w:val="hybridMultilevel"/>
    <w:lvl w:ilvl="0">
      <w:lvlJc w:val="left"/>
      <w:lvlText w:val="4"/>
      <w:numFmt w:val="bullet"/>
      <w:start w:val="1"/>
    </w:lvl>
  </w:abstractNum>
  <w:abstractNum w:abstractNumId="7">
    <w:nsid w:val="257130A3"/>
    <w:multiLevelType w:val="hybridMultilevel"/>
    <w:lvl w:ilvl="0">
      <w:lvlJc w:val="left"/>
      <w:lvlText w:val="9"/>
      <w:numFmt w:val="bullet"/>
      <w:start w:val="1"/>
    </w:lvl>
  </w:abstractNum>
  <w:abstractNum w:abstractNumId="8">
    <w:nsid w:val="62BBD95A"/>
    <w:multiLevelType w:val="hybridMultilevel"/>
    <w:lvl w:ilvl="0">
      <w:lvlJc w:val="left"/>
      <w:lvlText w:val="%1"/>
      <w:numFmt w:val="decimal"/>
      <w:start w:val="10"/>
    </w:lvl>
  </w:abstractNum>
  <w:abstractNum w:abstractNumId="9">
    <w:nsid w:val="436C6125"/>
    <w:multiLevelType w:val="hybridMultilevel"/>
    <w:lvl w:ilvl="0">
      <w:lvlJc w:val="left"/>
      <w:lvlText w:val="*"/>
      <w:numFmt w:val="bullet"/>
      <w:start w:val="1"/>
    </w:lvl>
    <w:lvl w:ilvl="1">
      <w:lvlJc w:val="left"/>
      <w:lvlText w:val="%2"/>
      <w:numFmt w:val="decimal"/>
      <w:start w:val="12"/>
    </w:lvl>
  </w:abstractNum>
  <w:abstractNum w:abstractNumId="10">
    <w:nsid w:val="628C895D"/>
    <w:multiLevelType w:val="hybridMultilevel"/>
    <w:lvl w:ilvl="0">
      <w:lvlJc w:val="left"/>
      <w:lvlText w:val="1"/>
      <w:numFmt w:val="bullet"/>
      <w:start w:val="1"/>
    </w:lvl>
  </w:abstractNum>
  <w:abstractNum w:abstractNumId="11">
    <w:nsid w:val="333AB105"/>
    <w:multiLevelType w:val="hybridMultilevel"/>
    <w:lvl w:ilvl="0">
      <w:lvlJc w:val="left"/>
      <w:lvlText w:val="2"/>
      <w:numFmt w:val="bullet"/>
      <w:start w:val="1"/>
    </w:lvl>
  </w:abstractNum>
  <w:abstractNum w:abstractNumId="12">
    <w:nsid w:val="721DA317"/>
    <w:multiLevelType w:val="hybridMultilevel"/>
    <w:lvl w:ilvl="0">
      <w:lvlJc w:val="left"/>
      <w:lvlText w:val="3"/>
      <w:numFmt w:val="bullet"/>
      <w:start w:val="1"/>
    </w:lvl>
  </w:abstractNum>
  <w:abstractNum w:abstractNumId="13">
    <w:nsid w:val="2443A858"/>
    <w:multiLevelType w:val="hybridMultilevel"/>
    <w:lvl w:ilvl="0">
      <w:lvlJc w:val="left"/>
      <w:lvlText w:val="4"/>
      <w:numFmt w:val="bullet"/>
      <w:start w:val="1"/>
    </w:lvl>
  </w:abstractNum>
  <w:abstractNum w:abstractNumId="14">
    <w:nsid w:val="2D1D5AE9"/>
    <w:multiLevelType w:val="hybridMultilevel"/>
    <w:lvl w:ilvl="0">
      <w:lvlJc w:val="left"/>
      <w:lvlText w:val="5"/>
      <w:numFmt w:val="bullet"/>
      <w:start w:val="1"/>
    </w:lvl>
  </w:abstractNum>
  <w:abstractNum w:abstractNumId="15">
    <w:nsid w:val="6763845E"/>
    <w:multiLevelType w:val="hybridMultilevel"/>
    <w:lvl w:ilvl="0">
      <w:lvlJc w:val="left"/>
      <w:lvlText w:val="9"/>
      <w:numFmt w:val="bullet"/>
      <w:start w:val="1"/>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decimal"/>
      <w:start w:val="12"/>
    </w:lvl>
  </w:abstractNum>
  <w:abstractNum w:abstractNumId="18">
    <w:nsid w:val="79838CB2"/>
    <w:multiLevelType w:val="hybridMultilevel"/>
    <w:lvl w:ilvl="0">
      <w:lvlJc w:val="left"/>
      <w:lvlText w:val="1"/>
      <w:numFmt w:val="bullet"/>
      <w:start w:val="1"/>
    </w:lvl>
  </w:abstractNum>
  <w:abstractNum w:abstractNumId="19">
    <w:nsid w:val="4353D0CD"/>
    <w:multiLevelType w:val="hybridMultilevel"/>
    <w:lvl w:ilvl="0">
      <w:lvlJc w:val="left"/>
      <w:lvlText w:val="2"/>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9"/>
      <w:numFmt w:val="bullet"/>
      <w:start w:val="1"/>
    </w:lvl>
  </w:abstractNum>
  <w:abstractNum w:abstractNumId="24">
    <w:nsid w:val="2CA88611"/>
    <w:multiLevelType w:val="hybridMultilevel"/>
    <w:lvl w:ilvl="0">
      <w:lvlJc w:val="left"/>
      <w:lvlText w:val="%1"/>
      <w:numFmt w:val="decimal"/>
      <w:start w:val="10"/>
    </w:lvl>
  </w:abstractNum>
  <w:abstractNum w:abstractNumId="25">
    <w:nsid w:val="836C40E"/>
    <w:multiLevelType w:val="hybridMultilevel"/>
    <w:lvl w:ilvl="0">
      <w:lvlJc w:val="left"/>
      <w:lvlText w:val="%1"/>
      <w:numFmt w:val="decimal"/>
      <w:start w:val="12"/>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3"/>
    </w:lvl>
  </w:abstractNum>
  <w:abstractNum w:abstractNumId="28">
    <w:nsid w:val="8138641"/>
    <w:multiLevelType w:val="hybridMultilevel"/>
    <w:lvl w:ilvl="0">
      <w:lvlJc w:val="left"/>
      <w:lvlText w:val="(%1)"/>
      <w:numFmt w:val="lowerLetter"/>
      <w:start w:val="9"/>
    </w:lvl>
  </w:abstractNum>
  <w:abstractNum w:abstractNumId="29">
    <w:nsid w:val="1E7FF521"/>
    <w:multiLevelType w:val="hybridMultilevel"/>
    <w:lvl w:ilvl="0">
      <w:lvlJc w:val="left"/>
      <w:lvlText w:val="(%1)"/>
      <w:numFmt w:val="lowerLetter"/>
      <w:start w:val="35"/>
    </w:lvl>
  </w:abstractNum>
  <w:abstractNum w:abstractNumId="30">
    <w:nsid w:val="7C3DBD3D"/>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2023-11-24T15:11:37Z</dcterms:created>
  <dcterms:modified xsi:type="dcterms:W3CDTF">2023-11-24T15:11:37Z</dcterms:modified>
</cp:coreProperties>
</file>