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Revenue Officer &amp; EVP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12/27/2021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12/27/2021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9"/>
              <w:spacing w:after="0"/>
              <w:rPr>
                <w:sz w:val="20"/>
                <w:szCs w:val="20"/>
                <w:color w:val="auto"/>
              </w:rPr>
            </w:pPr>
            <w:r>
              <w:rPr>
                <w:rFonts w:ascii="Arial" w:cs="Arial" w:eastAsia="Arial" w:hAnsi="Arial"/>
                <w:sz w:val="17"/>
                <w:szCs w:val="17"/>
                <w:color w:val="0000FF"/>
              </w:rPr>
              <w:t>7,073</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8,410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12/27/2021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4,106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27.247</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4,304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12/27/2021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2,967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28.282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7,073</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12/27/2021</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7,073</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07/31/2029</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80,508</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$27.00 to $27.97,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$28.00 to 28.53,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May 20, 2020.</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12/28/2021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2021-12-29T16:21:16Z</dcterms:created>
  <dcterms:modified xsi:type="dcterms:W3CDTF">2021-12-29T16:21:16Z</dcterms:modified>
</cp:coreProperties>
</file>