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31, 2024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Sun Country Airlines Holdings,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57" w:lineRule="exact"/>
        <w:rPr>
          <w:sz w:val="24"/>
          <w:szCs w:val="24"/>
          <w:color w:val="auto"/>
        </w:rPr>
      </w:pPr>
    </w:p>
    <w:tbl>
      <w:tblPr>
        <w:tblLayout w:type="fixed"/>
        <w:tblInd w:w="1360" w:type="dxa"/>
        <w:tblCellMar>
          <w:top w:w="0" w:type="dxa"/>
          <w:left w:w="0" w:type="dxa"/>
          <w:bottom w:w="0" w:type="dxa"/>
          <w:right w:w="0" w:type="dxa"/>
        </w:tblCellMar>
      </w:tblPr>
      <w:tr>
        <w:trPr>
          <w:trHeight w:val="238"/>
        </w:trPr>
        <w:tc>
          <w:tcPr>
            <w:tcW w:w="3320" w:type="dxa"/>
            <w:vAlign w:val="bottom"/>
          </w:tcPr>
          <w:p>
            <w:pPr>
              <w:jc w:val="center"/>
              <w:ind w:right="22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38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001-40217</w:t>
            </w:r>
          </w:p>
        </w:tc>
        <w:tc>
          <w:tcPr>
            <w:tcW w:w="298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rPr>
              <w:t>82-4092570</w:t>
            </w:r>
          </w:p>
        </w:tc>
      </w:tr>
      <w:tr>
        <w:trPr>
          <w:trHeight w:val="252"/>
        </w:trPr>
        <w:tc>
          <w:tcPr>
            <w:tcW w:w="3320" w:type="dxa"/>
            <w:vAlign w:val="bottom"/>
          </w:tcPr>
          <w:p>
            <w:pPr>
              <w:jc w:val="center"/>
              <w:ind w:right="2210"/>
              <w:spacing w:after="0"/>
              <w:rPr>
                <w:sz w:val="20"/>
                <w:szCs w:val="20"/>
                <w:color w:val="auto"/>
              </w:rPr>
            </w:pPr>
            <w:r>
              <w:rPr>
                <w:rFonts w:ascii="Times New Roman" w:cs="Times New Roman" w:eastAsia="Times New Roman" w:hAnsi="Times New Roman"/>
                <w:sz w:val="18"/>
                <w:szCs w:val="18"/>
                <w:color w:val="auto"/>
              </w:rPr>
              <w:t>(State of</w:t>
            </w:r>
          </w:p>
        </w:tc>
        <w:tc>
          <w:tcPr>
            <w:tcW w:w="23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(Commission</w:t>
            </w:r>
          </w:p>
        </w:tc>
        <w:tc>
          <w:tcPr>
            <w:tcW w:w="298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320" w:type="dxa"/>
            <w:vAlign w:val="bottom"/>
          </w:tcPr>
          <w:p>
            <w:pPr>
              <w:jc w:val="center"/>
              <w:ind w:right="2190"/>
              <w:spacing w:after="0"/>
              <w:rPr>
                <w:sz w:val="20"/>
                <w:szCs w:val="20"/>
                <w:color w:val="auto"/>
              </w:rPr>
            </w:pPr>
            <w:r>
              <w:rPr>
                <w:rFonts w:ascii="Times New Roman" w:cs="Times New Roman" w:eastAsia="Times New Roman" w:hAnsi="Times New Roman"/>
                <w:sz w:val="18"/>
                <w:szCs w:val="18"/>
                <w:color w:val="auto"/>
                <w:w w:val="99"/>
              </w:rPr>
              <w:t>Incorporation)</w:t>
            </w:r>
          </w:p>
        </w:tc>
        <w:tc>
          <w:tcPr>
            <w:tcW w:w="23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File Number)</w:t>
            </w:r>
          </w:p>
        </w:tc>
        <w:tc>
          <w:tcPr>
            <w:tcW w:w="2980" w:type="dxa"/>
            <w:vAlign w:val="bottom"/>
          </w:tcPr>
          <w:p>
            <w:pPr>
              <w:jc w:val="center"/>
              <w:ind w:left="15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80"/>
        </w:trPr>
        <w:tc>
          <w:tcPr>
            <w:tcW w:w="33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2005 Cargo Road</w:t>
            </w:r>
          </w:p>
        </w:tc>
        <w:tc>
          <w:tcPr>
            <w:tcW w:w="238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473"/>
        </w:trPr>
        <w:tc>
          <w:tcPr>
            <w:tcW w:w="332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Minneapolis, Minnesota</w:t>
            </w:r>
          </w:p>
        </w:tc>
        <w:tc>
          <w:tcPr>
            <w:tcW w:w="2380" w:type="dxa"/>
            <w:vAlign w:val="bottom"/>
          </w:tcPr>
          <w:p>
            <w:pPr>
              <w:spacing w:after="0"/>
              <w:rPr>
                <w:sz w:val="24"/>
                <w:szCs w:val="24"/>
                <w:color w:val="auto"/>
              </w:rPr>
            </w:pPr>
          </w:p>
        </w:tc>
        <w:tc>
          <w:tcPr>
            <w:tcW w:w="2980" w:type="dxa"/>
            <w:vAlign w:val="bottom"/>
          </w:tcPr>
          <w:p>
            <w:pPr>
              <w:jc w:val="right"/>
              <w:ind w:right="1290"/>
              <w:spacing w:after="0"/>
              <w:rPr>
                <w:sz w:val="20"/>
                <w:szCs w:val="20"/>
                <w:color w:val="auto"/>
              </w:rPr>
            </w:pPr>
            <w:r>
              <w:rPr>
                <w:rFonts w:ascii="Times New Roman" w:cs="Times New Roman" w:eastAsia="Times New Roman" w:hAnsi="Times New Roman"/>
                <w:sz w:val="18"/>
                <w:szCs w:val="18"/>
                <w:b w:val="1"/>
                <w:bCs w:val="1"/>
                <w:color w:val="auto"/>
              </w:rPr>
              <w:t>55450</w:t>
            </w:r>
          </w:p>
        </w:tc>
      </w:tr>
      <w:tr>
        <w:trPr>
          <w:trHeight w:val="243"/>
        </w:trPr>
        <w:tc>
          <w:tcPr>
            <w:tcW w:w="33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380" w:type="dxa"/>
            <w:vAlign w:val="bottom"/>
          </w:tcPr>
          <w:p>
            <w:pPr>
              <w:spacing w:after="0"/>
              <w:rPr>
                <w:sz w:val="21"/>
                <w:szCs w:val="21"/>
                <w:color w:val="auto"/>
              </w:rPr>
            </w:pPr>
          </w:p>
        </w:tc>
        <w:tc>
          <w:tcPr>
            <w:tcW w:w="29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3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651 681-3900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16"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464"/>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4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38"/>
        </w:trPr>
        <w:tc>
          <w:tcPr>
            <w:tcW w:w="46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84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7"/>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37"/>
        </w:trPr>
        <w:tc>
          <w:tcPr>
            <w:tcW w:w="46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84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color w:val="auto"/>
                <w:w w:val="99"/>
              </w:rPr>
              <w:t>SNCY</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06"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749935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On January 31, 2024, Sun Country Airlines Holdings, Inc. issued a press release announcing its financial results for the year and fiscal quarter ended December 31, 2023. A copy of the press release is attached hereto as Exhibit 99.1 and incorporated by reference herein.</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2.02,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of 1934, as amended, regardless of any general incorporation language in such filings, unless expressly incorporated by specific reference in such filing.</w:t>
      </w:r>
    </w:p>
    <w:p>
      <w:pPr>
        <w:spacing w:after="0" w:line="28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p>
        </w:tc>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686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3"/>
                <w:szCs w:val="23"/>
                <w:color w:val="auto"/>
              </w:rPr>
            </w:pP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6860" w:type="dxa"/>
            <w:vAlign w:val="bottom"/>
            <w:tcBorders>
              <w:bottom w:val="single" w:sz="8" w:color="auto"/>
            </w:tcBorders>
          </w:tcPr>
          <w:p>
            <w:pPr>
              <w:spacing w:after="0"/>
              <w:rPr>
                <w:sz w:val="2"/>
                <w:szCs w:val="2"/>
                <w:color w:val="auto"/>
              </w:rPr>
            </w:pPr>
          </w:p>
        </w:tc>
      </w:tr>
      <w:tr>
        <w:trPr>
          <w:trHeight w:val="196"/>
        </w:trPr>
        <w:tc>
          <w:tcPr>
            <w:tcW w:w="15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Press release, dated January 31, 2024</w:t>
            </w:r>
          </w:p>
        </w:tc>
      </w:tr>
      <w:tr>
        <w:trPr>
          <w:trHeight w:val="20"/>
        </w:trPr>
        <w:tc>
          <w:tcPr>
            <w:tcW w:w="3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r>
      <w:tr>
        <w:trPr>
          <w:trHeight w:val="291"/>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46"/>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6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31, 2024</w:t>
            </w:r>
          </w:p>
        </w:tc>
        <w:tc>
          <w:tcPr>
            <w:tcW w:w="7900" w:type="dxa"/>
            <w:vAlign w:val="bottom"/>
            <w:gridSpan w:val="3"/>
          </w:tcPr>
          <w:p>
            <w:pPr>
              <w:ind w:left="1660"/>
              <w:spacing w:after="0"/>
              <w:rPr>
                <w:sz w:val="20"/>
                <w:szCs w:val="20"/>
                <w:color w:val="auto"/>
              </w:rPr>
            </w:pPr>
            <w:r>
              <w:rPr>
                <w:rFonts w:ascii="Times New Roman" w:cs="Times New Roman" w:eastAsia="Times New Roman" w:hAnsi="Times New Roman"/>
                <w:sz w:val="18"/>
                <w:szCs w:val="18"/>
                <w:b w:val="1"/>
                <w:bCs w:val="1"/>
                <w:color w:val="auto"/>
              </w:rPr>
              <w:t>Sun Country Airlines Holdings, Inc.</w:t>
            </w:r>
          </w:p>
        </w:tc>
      </w:tr>
      <w:tr>
        <w:trPr>
          <w:trHeight w:val="513"/>
        </w:trPr>
        <w:tc>
          <w:tcPr>
            <w:tcW w:w="3320" w:type="dxa"/>
            <w:vAlign w:val="bottom"/>
          </w:tcPr>
          <w:p>
            <w:pPr>
              <w:spacing w:after="0"/>
              <w:rPr>
                <w:sz w:val="24"/>
                <w:szCs w:val="24"/>
                <w:color w:val="auto"/>
              </w:rPr>
            </w:pPr>
          </w:p>
        </w:tc>
        <w:tc>
          <w:tcPr>
            <w:tcW w:w="790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By:  /s/ Erin Rose Neale</w:t>
            </w:r>
          </w:p>
        </w:tc>
      </w:tr>
      <w:tr>
        <w:trPr>
          <w:trHeight w:val="218"/>
        </w:trPr>
        <w:tc>
          <w:tcPr>
            <w:tcW w:w="3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1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Erin Rose Neale</w:t>
            </w:r>
          </w:p>
        </w:tc>
      </w:tr>
      <w:tr>
        <w:trPr>
          <w:trHeight w:val="234"/>
        </w:trPr>
        <w:tc>
          <w:tcPr>
            <w:tcW w:w="33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bl>
    <w:p>
      <w:pPr>
        <w:sectPr>
          <w:pgSz w:w="11900" w:h="16838" w:orient="portrait"/>
          <w:cols w:equalWidth="0" w:num="1">
            <w:col w:w="11240"/>
          </w:cols>
          <w:pgMar w:left="320" w:top="1143" w:right="339" w:bottom="1440" w:gutter="0" w:footer="0" w:header="0"/>
        </w:sectPr>
      </w:pPr>
    </w:p>
    <w:bookmarkStart w:id="3" w:name="page4"/>
    <w:bookmarkEnd w:id="3"/>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243205</wp:posOffset>
            </wp:positionV>
            <wp:extent cx="2571750" cy="514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571750" cy="51435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7" w:lineRule="exact"/>
        <w:rPr>
          <w:sz w:val="20"/>
          <w:szCs w:val="20"/>
          <w:color w:val="auto"/>
        </w:rPr>
      </w:pPr>
    </w:p>
    <w:p>
      <w:pPr>
        <w:jc w:val="center"/>
        <w:ind w:left="340" w:right="820"/>
        <w:spacing w:after="0"/>
        <w:rPr>
          <w:sz w:val="20"/>
          <w:szCs w:val="20"/>
          <w:color w:val="auto"/>
        </w:rPr>
      </w:pPr>
      <w:r>
        <w:rPr>
          <w:rFonts w:ascii="Arial" w:cs="Arial" w:eastAsia="Arial" w:hAnsi="Arial"/>
          <w:sz w:val="18"/>
          <w:szCs w:val="18"/>
          <w:b w:val="1"/>
          <w:bCs w:val="1"/>
          <w:color w:val="auto"/>
        </w:rPr>
        <w:t xml:space="preserve">Sun Country Airlines Reports Fourth Quarter and Full Year 2023 Results </w:t>
      </w:r>
      <w:r>
        <w:rPr>
          <w:rFonts w:ascii="Arial" w:cs="Arial" w:eastAsia="Arial" w:hAnsi="Arial"/>
          <w:sz w:val="18"/>
          <w:szCs w:val="18"/>
          <w:color w:val="auto"/>
        </w:rPr>
        <w:t>Q4 2023 total revenue of $245.5 million, highest fourth quarter on record</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Q4 2023 GAAP diluted EPS of $0.10 and operating income margin of 7.0% Q4 2023 Adjusted diluted EPS of $0.12</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and adjusted operating income margin of 7.4%</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FY 2023 total revenue of $1.05 billion, highest full year on record</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FY 2023 GAAP diluted EPS of $1.23 and operating income margin of 12.1% FY 2023 Adjusted diluted EPS of $1.37</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and adjusted operating income margin of 13.0%</w:t>
      </w:r>
      <w:r>
        <w:rPr>
          <w:rFonts w:ascii="Arial" w:cs="Arial" w:eastAsia="Arial" w:hAnsi="Arial"/>
          <w:sz w:val="23"/>
          <w:szCs w:val="23"/>
          <w:color w:val="auto"/>
          <w:vertAlign w:val="superscript"/>
        </w:rPr>
        <w:t>(2)</w:t>
      </w:r>
      <w:r>
        <w:rPr>
          <w:rFonts w:ascii="Arial" w:cs="Arial" w:eastAsia="Arial" w:hAnsi="Arial"/>
          <w:sz w:val="18"/>
          <w:szCs w:val="18"/>
          <w:color w:val="auto"/>
        </w:rPr>
        <w:t>, highest full year on record</w:t>
      </w:r>
      <w:r>
        <w:rPr>
          <w:rFonts w:ascii="Arial" w:cs="Arial" w:eastAsia="Arial" w:hAnsi="Arial"/>
          <w:sz w:val="23"/>
          <w:szCs w:val="23"/>
          <w:color w:val="auto"/>
          <w:vertAlign w:val="superscript"/>
        </w:rPr>
        <w:t>(1)</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MINNEAPOLIS. January 31, 2024. Sun Country Airlines Holdings, Inc. (“Sun Country Airlines,” “Sun Country,” the “Company”) (</w:t>
      </w:r>
      <w:r>
        <w:rPr>
          <w:rFonts w:ascii="Arial" w:cs="Arial" w:eastAsia="Arial" w:hAnsi="Arial"/>
          <w:sz w:val="18"/>
          <w:szCs w:val="18"/>
          <w:color w:val="0563C1"/>
        </w:rPr>
        <w:t>NASDAQ:</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0563C1"/>
        </w:rPr>
        <w:t>SNCY</w:t>
      </w:r>
      <w:r>
        <w:rPr>
          <w:rFonts w:ascii="Arial" w:cs="Arial" w:eastAsia="Arial" w:hAnsi="Arial"/>
          <w:sz w:val="18"/>
          <w:szCs w:val="18"/>
          <w:color w:val="000000"/>
        </w:rPr>
        <w:t>) today reported financial results for its fourth quarter and full year ended December 31, 2023.</w:t>
      </w:r>
    </w:p>
    <w:p>
      <w:pPr>
        <w:spacing w:after="0" w:line="234"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0A0A0A"/>
        </w:rPr>
        <w:t>“We are excited that Sun Country’s uniquely diversified business model, and the efforts of our outstanding employees, produced another strong quarter, with record revenue</w:t>
      </w:r>
      <w:r>
        <w:rPr>
          <w:rFonts w:ascii="Arial" w:cs="Arial" w:eastAsia="Arial" w:hAnsi="Arial"/>
          <w:sz w:val="23"/>
          <w:szCs w:val="23"/>
          <w:color w:val="0A0A0A"/>
          <w:vertAlign w:val="superscript"/>
        </w:rPr>
        <w:t>(1)</w:t>
      </w:r>
      <w:r>
        <w:rPr>
          <w:rFonts w:ascii="Arial" w:cs="Arial" w:eastAsia="Arial" w:hAnsi="Arial"/>
          <w:sz w:val="18"/>
          <w:szCs w:val="18"/>
          <w:color w:val="0A0A0A"/>
        </w:rPr>
        <w:t>, a 7.0% GAAP operating income margin and a 7.4% adjusted operating income margin</w:t>
      </w:r>
      <w:r>
        <w:rPr>
          <w:rFonts w:ascii="Arial" w:cs="Arial" w:eastAsia="Arial" w:hAnsi="Arial"/>
          <w:sz w:val="23"/>
          <w:szCs w:val="23"/>
          <w:color w:val="0A0A0A"/>
          <w:vertAlign w:val="superscript"/>
        </w:rPr>
        <w:t>(2)</w:t>
      </w:r>
      <w:r>
        <w:rPr>
          <w:rFonts w:ascii="Arial" w:cs="Arial" w:eastAsia="Arial" w:hAnsi="Arial"/>
          <w:sz w:val="18"/>
          <w:szCs w:val="18"/>
          <w:color w:val="0A0A0A"/>
        </w:rPr>
        <w:t>,” said Jude Bricker, Chief Executive Officer of Sun Country. “Additionally, we continue to maintain solid cost control with fourth quarter adjusted CASM</w:t>
      </w:r>
      <w:r>
        <w:rPr>
          <w:rFonts w:ascii="Arial" w:cs="Arial" w:eastAsia="Arial" w:hAnsi="Arial"/>
          <w:sz w:val="23"/>
          <w:szCs w:val="23"/>
          <w:color w:val="0A0A0A"/>
          <w:vertAlign w:val="superscript"/>
        </w:rPr>
        <w:t>(3)</w:t>
      </w:r>
      <w:r>
        <w:rPr>
          <w:rFonts w:ascii="Arial" w:cs="Arial" w:eastAsia="Arial" w:hAnsi="Arial"/>
          <w:sz w:val="18"/>
          <w:szCs w:val="18"/>
          <w:color w:val="0A0A0A"/>
        </w:rPr>
        <w:t xml:space="preserve"> falling by 2.2% versus fourth quarter 2022. Results for the full year were equally impressive. Full year 2023 revenue exceeded $ 1 billion for the first time, our GAAP operating income margin was 12.1%, and our adjusted operating income margin of 13.0%</w:t>
      </w:r>
      <w:r>
        <w:rPr>
          <w:rFonts w:ascii="Arial" w:cs="Arial" w:eastAsia="Arial" w:hAnsi="Arial"/>
          <w:sz w:val="23"/>
          <w:szCs w:val="23"/>
          <w:color w:val="0A0A0A"/>
          <w:vertAlign w:val="superscript"/>
        </w:rPr>
        <w:t>(2)</w:t>
      </w:r>
      <w:r>
        <w:rPr>
          <w:rFonts w:ascii="Arial" w:cs="Arial" w:eastAsia="Arial" w:hAnsi="Arial"/>
          <w:sz w:val="18"/>
          <w:szCs w:val="18"/>
          <w:color w:val="0A0A0A"/>
        </w:rPr>
        <w:t xml:space="preserve"> was our highest on record</w:t>
      </w:r>
      <w:r>
        <w:rPr>
          <w:rFonts w:ascii="Arial" w:cs="Arial" w:eastAsia="Arial" w:hAnsi="Arial"/>
          <w:sz w:val="23"/>
          <w:szCs w:val="23"/>
          <w:color w:val="0A0A0A"/>
          <w:vertAlign w:val="superscript"/>
        </w:rPr>
        <w:t>(1)</w:t>
      </w:r>
      <w:r>
        <w:rPr>
          <w:rFonts w:ascii="Arial" w:cs="Arial" w:eastAsia="Arial" w:hAnsi="Arial"/>
          <w:sz w:val="18"/>
          <w:szCs w:val="18"/>
          <w:color w:val="0A0A0A"/>
        </w:rPr>
        <w:t>. GAAP net income for the year was $72.2 million and we grew total year over year block hours by 9.8% and total revenue by 17.3%. We believe our unique business model produces superior results across operating environments and 2023 again proved that out. We could not have achieved these record results without the hard work of our dedicated employees. We are looking forward to another successful year in 2024.”</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Fourth Quarter and Full Year</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380" w:type="dxa"/>
            <w:vAlign w:val="bottom"/>
            <w:gridSpan w:val="3"/>
          </w:tcPr>
          <w:p>
            <w:pPr>
              <w:jc w:val="right"/>
              <w:ind w:right="675"/>
              <w:spacing w:after="0"/>
              <w:rPr>
                <w:sz w:val="20"/>
                <w:szCs w:val="20"/>
                <w:color w:val="auto"/>
              </w:rPr>
            </w:pPr>
            <w:r>
              <w:rPr>
                <w:rFonts w:ascii="Arial" w:cs="Arial" w:eastAsia="Arial" w:hAnsi="Arial"/>
                <w:sz w:val="14"/>
                <w:szCs w:val="14"/>
                <w:b w:val="1"/>
                <w:bCs w:val="1"/>
                <w:color w:val="auto"/>
              </w:rPr>
              <w:t>Three Months Ended December 31,</w:t>
            </w:r>
          </w:p>
        </w:tc>
        <w:tc>
          <w:tcPr>
            <w:tcW w:w="1500" w:type="dxa"/>
            <w:vAlign w:val="bottom"/>
          </w:tcPr>
          <w:p>
            <w:pPr>
              <w:spacing w:after="0"/>
              <w:rPr>
                <w:sz w:val="17"/>
                <w:szCs w:val="17"/>
                <w:color w:val="auto"/>
              </w:rPr>
            </w:pPr>
          </w:p>
        </w:tc>
      </w:tr>
      <w:tr>
        <w:trPr>
          <w:trHeight w:val="203"/>
        </w:trPr>
        <w:tc>
          <w:tcPr>
            <w:tcW w:w="48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A0A0A"/>
              </w:rPr>
              <w:t>(unaudited) (in millions, except per share amounts)</w:t>
            </w:r>
          </w:p>
        </w:tc>
        <w:tc>
          <w:tcPr>
            <w:tcW w:w="15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18"/>
              <w:spacing w:after="0"/>
              <w:rPr>
                <w:sz w:val="20"/>
                <w:szCs w:val="20"/>
                <w:color w:val="auto"/>
              </w:rPr>
            </w:pPr>
            <w:r>
              <w:rPr>
                <w:rFonts w:ascii="Arial" w:cs="Arial" w:eastAsia="Arial" w:hAnsi="Arial"/>
                <w:sz w:val="14"/>
                <w:szCs w:val="14"/>
                <w:b w:val="1"/>
                <w:bCs w:val="1"/>
                <w:color w:val="0A0A0A"/>
              </w:rPr>
              <w:t>2023</w:t>
            </w:r>
          </w:p>
        </w:tc>
        <w:tc>
          <w:tcPr>
            <w:tcW w:w="4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0A0A0A"/>
              </w:rPr>
              <w:t>2022</w:t>
            </w:r>
          </w:p>
        </w:tc>
        <w:tc>
          <w:tcPr>
            <w:tcW w:w="15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0A0A0A"/>
              </w:rPr>
              <w:t>% Change</w:t>
            </w:r>
          </w:p>
        </w:tc>
      </w:tr>
      <w:tr>
        <w:trPr>
          <w:trHeight w:val="224"/>
        </w:trPr>
        <w:tc>
          <w:tcPr>
            <w:tcW w:w="480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Total Operating Revenue</w:t>
            </w:r>
          </w:p>
        </w:tc>
        <w:tc>
          <w:tcPr>
            <w:tcW w:w="1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0A0A0A"/>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245.5</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0A0A0A"/>
              </w:rPr>
              <w:t>$</w:t>
            </w:r>
          </w:p>
        </w:tc>
        <w:tc>
          <w:tcPr>
            <w:tcW w:w="154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0A0A0A"/>
              </w:rPr>
              <w:t>227.2</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8.1</w:t>
            </w:r>
          </w:p>
        </w:tc>
      </w:tr>
      <w:tr>
        <w:trPr>
          <w:trHeight w:val="230"/>
        </w:trPr>
        <w:tc>
          <w:tcPr>
            <w:tcW w:w="4800" w:type="dxa"/>
            <w:vAlign w:val="bottom"/>
          </w:tcPr>
          <w:p>
            <w:pPr>
              <w:ind w:left="80"/>
              <w:spacing w:after="0"/>
              <w:rPr>
                <w:sz w:val="20"/>
                <w:szCs w:val="20"/>
                <w:color w:val="auto"/>
              </w:rPr>
            </w:pPr>
            <w:r>
              <w:rPr>
                <w:rFonts w:ascii="Arial" w:cs="Arial" w:eastAsia="Arial" w:hAnsi="Arial"/>
                <w:sz w:val="18"/>
                <w:szCs w:val="18"/>
                <w:color w:val="0A0A0A"/>
              </w:rPr>
              <w:t>Operating Income</w:t>
            </w:r>
          </w:p>
        </w:tc>
        <w:tc>
          <w:tcPr>
            <w:tcW w:w="15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0A0A0A"/>
              </w:rPr>
              <w:t>17.1</w:t>
            </w:r>
          </w:p>
        </w:tc>
        <w:tc>
          <w:tcPr>
            <w:tcW w:w="440" w:type="dxa"/>
            <w:vAlign w:val="bottom"/>
          </w:tcPr>
          <w:p>
            <w:pPr>
              <w:spacing w:after="0"/>
              <w:rPr>
                <w:sz w:val="19"/>
                <w:szCs w:val="19"/>
                <w:color w:val="auto"/>
              </w:rPr>
            </w:pPr>
          </w:p>
        </w:tc>
        <w:tc>
          <w:tcPr>
            <w:tcW w:w="1540" w:type="dxa"/>
            <w:vAlign w:val="bottom"/>
          </w:tcPr>
          <w:p>
            <w:pPr>
              <w:jc w:val="right"/>
              <w:ind w:right="215"/>
              <w:spacing w:after="0"/>
              <w:rPr>
                <w:sz w:val="20"/>
                <w:szCs w:val="20"/>
                <w:color w:val="auto"/>
              </w:rPr>
            </w:pPr>
            <w:r>
              <w:rPr>
                <w:rFonts w:ascii="Arial" w:cs="Arial" w:eastAsia="Arial" w:hAnsi="Arial"/>
                <w:sz w:val="18"/>
                <w:szCs w:val="18"/>
                <w:color w:val="0A0A0A"/>
              </w:rPr>
              <w:t>15.1</w:t>
            </w:r>
          </w:p>
        </w:tc>
        <w:tc>
          <w:tcPr>
            <w:tcW w:w="1500" w:type="dxa"/>
            <w:vAlign w:val="bottom"/>
          </w:tcPr>
          <w:p>
            <w:pPr>
              <w:jc w:val="right"/>
              <w:spacing w:after="0"/>
              <w:rPr>
                <w:sz w:val="20"/>
                <w:szCs w:val="20"/>
                <w:color w:val="auto"/>
              </w:rPr>
            </w:pPr>
            <w:r>
              <w:rPr>
                <w:rFonts w:ascii="Arial" w:cs="Arial" w:eastAsia="Arial" w:hAnsi="Arial"/>
                <w:sz w:val="18"/>
                <w:szCs w:val="18"/>
                <w:color w:val="0A0A0A"/>
              </w:rPr>
              <w:t>13.3</w:t>
            </w:r>
          </w:p>
        </w:tc>
      </w:tr>
      <w:tr>
        <w:trPr>
          <w:trHeight w:val="230"/>
        </w:trPr>
        <w:tc>
          <w:tcPr>
            <w:tcW w:w="480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Income Before Income Tax</w:t>
            </w:r>
          </w:p>
        </w:tc>
        <w:tc>
          <w:tcPr>
            <w:tcW w:w="15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7.7</w:t>
            </w: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0A0A0A"/>
              </w:rPr>
              <w:t>9.5</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(19.2)</w:t>
            </w:r>
          </w:p>
        </w:tc>
      </w:tr>
      <w:tr>
        <w:trPr>
          <w:trHeight w:val="230"/>
        </w:trPr>
        <w:tc>
          <w:tcPr>
            <w:tcW w:w="4800" w:type="dxa"/>
            <w:vAlign w:val="bottom"/>
          </w:tcPr>
          <w:p>
            <w:pPr>
              <w:ind w:left="80"/>
              <w:spacing w:after="0"/>
              <w:rPr>
                <w:sz w:val="20"/>
                <w:szCs w:val="20"/>
                <w:color w:val="auto"/>
              </w:rPr>
            </w:pPr>
            <w:r>
              <w:rPr>
                <w:rFonts w:ascii="Arial" w:cs="Arial" w:eastAsia="Arial" w:hAnsi="Arial"/>
                <w:sz w:val="18"/>
                <w:szCs w:val="18"/>
                <w:color w:val="0A0A0A"/>
              </w:rPr>
              <w:t>Net Income</w:t>
            </w:r>
          </w:p>
        </w:tc>
        <w:tc>
          <w:tcPr>
            <w:tcW w:w="15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0A0A0A"/>
              </w:rPr>
              <w:t>5.6</w:t>
            </w:r>
          </w:p>
        </w:tc>
        <w:tc>
          <w:tcPr>
            <w:tcW w:w="440" w:type="dxa"/>
            <w:vAlign w:val="bottom"/>
          </w:tcPr>
          <w:p>
            <w:pPr>
              <w:spacing w:after="0"/>
              <w:rPr>
                <w:sz w:val="19"/>
                <w:szCs w:val="19"/>
                <w:color w:val="auto"/>
              </w:rPr>
            </w:pPr>
          </w:p>
        </w:tc>
        <w:tc>
          <w:tcPr>
            <w:tcW w:w="1540" w:type="dxa"/>
            <w:vAlign w:val="bottom"/>
          </w:tcPr>
          <w:p>
            <w:pPr>
              <w:jc w:val="right"/>
              <w:ind w:right="215"/>
              <w:spacing w:after="0"/>
              <w:rPr>
                <w:sz w:val="20"/>
                <w:szCs w:val="20"/>
                <w:color w:val="auto"/>
              </w:rPr>
            </w:pPr>
            <w:r>
              <w:rPr>
                <w:rFonts w:ascii="Arial" w:cs="Arial" w:eastAsia="Arial" w:hAnsi="Arial"/>
                <w:sz w:val="18"/>
                <w:szCs w:val="18"/>
                <w:color w:val="0A0A0A"/>
              </w:rPr>
              <w:t>7.3</w:t>
            </w:r>
          </w:p>
        </w:tc>
        <w:tc>
          <w:tcPr>
            <w:tcW w:w="1500" w:type="dxa"/>
            <w:vAlign w:val="bottom"/>
          </w:tcPr>
          <w:p>
            <w:pPr>
              <w:jc w:val="right"/>
              <w:spacing w:after="0"/>
              <w:rPr>
                <w:sz w:val="20"/>
                <w:szCs w:val="20"/>
                <w:color w:val="auto"/>
              </w:rPr>
            </w:pPr>
            <w:r>
              <w:rPr>
                <w:rFonts w:ascii="Arial" w:cs="Arial" w:eastAsia="Arial" w:hAnsi="Arial"/>
                <w:sz w:val="18"/>
                <w:szCs w:val="18"/>
                <w:color w:val="0A0A0A"/>
              </w:rPr>
              <w:t>(22.5)</w:t>
            </w:r>
          </w:p>
        </w:tc>
      </w:tr>
      <w:tr>
        <w:trPr>
          <w:trHeight w:val="229"/>
        </w:trPr>
        <w:tc>
          <w:tcPr>
            <w:tcW w:w="480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Diluted earnings per share</w:t>
            </w:r>
          </w:p>
        </w:tc>
        <w:tc>
          <w:tcPr>
            <w:tcW w:w="1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0A0A0A"/>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0.10</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0A0A0A"/>
              </w:rPr>
              <w:t>$</w:t>
            </w:r>
          </w:p>
        </w:tc>
        <w:tc>
          <w:tcPr>
            <w:tcW w:w="154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0A0A0A"/>
              </w:rPr>
              <w:t>0.12</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(17.3)</w:t>
            </w:r>
          </w:p>
        </w:tc>
      </w:tr>
      <w:tr>
        <w:trPr>
          <w:trHeight w:val="376"/>
        </w:trPr>
        <w:tc>
          <w:tcPr>
            <w:tcW w:w="4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380" w:type="dxa"/>
            <w:vAlign w:val="bottom"/>
            <w:gridSpan w:val="3"/>
          </w:tcPr>
          <w:p>
            <w:pPr>
              <w:jc w:val="right"/>
              <w:ind w:right="675"/>
              <w:spacing w:after="0"/>
              <w:rPr>
                <w:sz w:val="20"/>
                <w:szCs w:val="20"/>
                <w:color w:val="auto"/>
              </w:rPr>
            </w:pPr>
            <w:r>
              <w:rPr>
                <w:rFonts w:ascii="Arial" w:cs="Arial" w:eastAsia="Arial" w:hAnsi="Arial"/>
                <w:sz w:val="14"/>
                <w:szCs w:val="14"/>
                <w:b w:val="1"/>
                <w:bCs w:val="1"/>
                <w:color w:val="auto"/>
              </w:rPr>
              <w:t>Three Months Ended December 31,</w:t>
            </w:r>
          </w:p>
        </w:tc>
        <w:tc>
          <w:tcPr>
            <w:tcW w:w="1500" w:type="dxa"/>
            <w:vAlign w:val="bottom"/>
          </w:tcPr>
          <w:p>
            <w:pPr>
              <w:spacing w:after="0"/>
              <w:rPr>
                <w:sz w:val="24"/>
                <w:szCs w:val="24"/>
                <w:color w:val="auto"/>
              </w:rPr>
            </w:pPr>
          </w:p>
        </w:tc>
      </w:tr>
      <w:tr>
        <w:trPr>
          <w:trHeight w:val="203"/>
        </w:trPr>
        <w:tc>
          <w:tcPr>
            <w:tcW w:w="4800" w:type="dxa"/>
            <w:vAlign w:val="bottom"/>
          </w:tcPr>
          <w:p>
            <w:pPr>
              <w:ind w:left="80"/>
              <w:spacing w:after="0"/>
              <w:rPr>
                <w:sz w:val="20"/>
                <w:szCs w:val="20"/>
                <w:color w:val="auto"/>
              </w:rPr>
            </w:pPr>
            <w:r>
              <w:rPr>
                <w:rFonts w:ascii="Arial" w:cs="Arial" w:eastAsia="Arial" w:hAnsi="Arial"/>
                <w:sz w:val="14"/>
                <w:szCs w:val="14"/>
                <w:b w:val="1"/>
                <w:bCs w:val="1"/>
                <w:color w:val="0A0A0A"/>
              </w:rPr>
              <w:t>(unaudited) (in millions, except per share amounts)</w:t>
            </w:r>
          </w:p>
        </w:tc>
        <w:tc>
          <w:tcPr>
            <w:tcW w:w="1540" w:type="dxa"/>
            <w:vAlign w:val="bottom"/>
          </w:tcPr>
          <w:p>
            <w:pPr>
              <w:spacing w:after="0"/>
              <w:rPr>
                <w:sz w:val="17"/>
                <w:szCs w:val="17"/>
                <w:color w:val="auto"/>
              </w:rPr>
            </w:pPr>
          </w:p>
        </w:tc>
        <w:tc>
          <w:tcPr>
            <w:tcW w:w="1400" w:type="dxa"/>
            <w:vAlign w:val="bottom"/>
          </w:tcPr>
          <w:p>
            <w:pPr>
              <w:jc w:val="right"/>
              <w:ind w:right="618"/>
              <w:spacing w:after="0"/>
              <w:rPr>
                <w:sz w:val="20"/>
                <w:szCs w:val="20"/>
                <w:color w:val="auto"/>
              </w:rPr>
            </w:pPr>
            <w:r>
              <w:rPr>
                <w:rFonts w:ascii="Arial" w:cs="Arial" w:eastAsia="Arial" w:hAnsi="Arial"/>
                <w:sz w:val="14"/>
                <w:szCs w:val="14"/>
                <w:b w:val="1"/>
                <w:bCs w:val="1"/>
                <w:color w:val="0A0A0A"/>
              </w:rPr>
              <w:t>2023</w:t>
            </w:r>
          </w:p>
        </w:tc>
        <w:tc>
          <w:tcPr>
            <w:tcW w:w="440" w:type="dxa"/>
            <w:vAlign w:val="bottom"/>
          </w:tcPr>
          <w:p>
            <w:pPr>
              <w:spacing w:after="0"/>
              <w:rPr>
                <w:sz w:val="17"/>
                <w:szCs w:val="17"/>
                <w:color w:val="auto"/>
              </w:rPr>
            </w:pPr>
          </w:p>
        </w:tc>
        <w:tc>
          <w:tcPr>
            <w:tcW w:w="1540" w:type="dxa"/>
            <w:vAlign w:val="bottom"/>
          </w:tcPr>
          <w:p>
            <w:pPr>
              <w:jc w:val="right"/>
              <w:ind w:right="855"/>
              <w:spacing w:after="0"/>
              <w:rPr>
                <w:sz w:val="20"/>
                <w:szCs w:val="20"/>
                <w:color w:val="auto"/>
              </w:rPr>
            </w:pPr>
            <w:r>
              <w:rPr>
                <w:rFonts w:ascii="Arial" w:cs="Arial" w:eastAsia="Arial" w:hAnsi="Arial"/>
                <w:sz w:val="14"/>
                <w:szCs w:val="14"/>
                <w:b w:val="1"/>
                <w:bCs w:val="1"/>
                <w:color w:val="0A0A0A"/>
              </w:rPr>
              <w:t>2022</w:t>
            </w:r>
          </w:p>
        </w:tc>
        <w:tc>
          <w:tcPr>
            <w:tcW w:w="1500" w:type="dxa"/>
            <w:vAlign w:val="bottom"/>
          </w:tcPr>
          <w:p>
            <w:pPr>
              <w:jc w:val="right"/>
              <w:ind w:right="415"/>
              <w:spacing w:after="0"/>
              <w:rPr>
                <w:sz w:val="20"/>
                <w:szCs w:val="20"/>
                <w:color w:val="auto"/>
              </w:rPr>
            </w:pPr>
            <w:r>
              <w:rPr>
                <w:rFonts w:ascii="Arial" w:cs="Arial" w:eastAsia="Arial" w:hAnsi="Arial"/>
                <w:sz w:val="14"/>
                <w:szCs w:val="14"/>
                <w:b w:val="1"/>
                <w:bCs w:val="1"/>
                <w:color w:val="0A0A0A"/>
              </w:rPr>
              <w:t>% 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2343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3430" cy="1803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1" w:lineRule="exact"/>
        <w:rPr>
          <w:sz w:val="20"/>
          <w:szCs w:val="20"/>
          <w:color w:val="auto"/>
        </w:rPr>
      </w:pPr>
    </w:p>
    <w:p>
      <w:pPr>
        <w:ind w:left="80"/>
        <w:spacing w:after="0"/>
        <w:rPr>
          <w:sz w:val="20"/>
          <w:szCs w:val="20"/>
          <w:color w:val="auto"/>
        </w:rPr>
      </w:pPr>
      <w:r>
        <w:rPr>
          <w:rFonts w:ascii="Arial" w:cs="Arial" w:eastAsia="Arial" w:hAnsi="Arial"/>
          <w:sz w:val="18"/>
          <w:szCs w:val="18"/>
          <w:color w:val="0A0A0A"/>
        </w:rPr>
        <w:t xml:space="preserve">Adjusted Operating Income </w:t>
      </w:r>
      <w:r>
        <w:rPr>
          <w:rFonts w:ascii="Arial" w:cs="Arial" w:eastAsia="Arial" w:hAnsi="Arial"/>
          <w:sz w:val="23"/>
          <w:szCs w:val="23"/>
          <w:color w:val="0A0A0A"/>
          <w:vertAlign w:val="superscript"/>
        </w:rPr>
        <w:t>(2)</w:t>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0A0A0A"/>
        </w:rPr>
        <w:t xml:space="preserve">Adjusted Income Before Income Tax </w:t>
      </w:r>
      <w:r>
        <w:rPr>
          <w:rFonts w:ascii="Arial" w:cs="Arial" w:eastAsia="Arial" w:hAnsi="Arial"/>
          <w:sz w:val="23"/>
          <w:szCs w:val="23"/>
          <w:color w:val="0A0A0A"/>
          <w:vertAlign w:val="superscript"/>
        </w:rPr>
        <w:t>(2)</w:t>
      </w:r>
    </w:p>
    <w:p>
      <w:pPr>
        <w:spacing w:after="0" w:line="6" w:lineRule="exact"/>
        <w:rPr>
          <w:sz w:val="20"/>
          <w:szCs w:val="20"/>
          <w:color w:val="auto"/>
        </w:rPr>
      </w:pPr>
    </w:p>
    <w:p>
      <w:pPr>
        <w:ind w:left="80"/>
        <w:spacing w:after="0"/>
        <w:rPr>
          <w:sz w:val="20"/>
          <w:szCs w:val="20"/>
          <w:color w:val="auto"/>
        </w:rPr>
      </w:pPr>
      <w:r>
        <w:rPr>
          <w:rFonts w:ascii="Arial" w:cs="Arial" w:eastAsia="Arial" w:hAnsi="Arial"/>
          <w:sz w:val="18"/>
          <w:szCs w:val="18"/>
          <w:color w:val="0A0A0A"/>
        </w:rPr>
        <w:t xml:space="preserve">Adjusted Net Income </w:t>
      </w:r>
      <w:r>
        <w:rPr>
          <w:rFonts w:ascii="Arial" w:cs="Arial" w:eastAsia="Arial" w:hAnsi="Arial"/>
          <w:sz w:val="23"/>
          <w:szCs w:val="23"/>
          <w:color w:val="0A0A0A"/>
          <w:vertAlign w:val="superscript"/>
        </w:rPr>
        <w:t>(2)</w:t>
      </w:r>
    </w:p>
    <w:p>
      <w:pPr>
        <w:spacing w:after="0" w:line="6" w:lineRule="exact"/>
        <w:rPr>
          <w:sz w:val="20"/>
          <w:szCs w:val="20"/>
          <w:color w:val="auto"/>
        </w:rPr>
      </w:pPr>
    </w:p>
    <w:p>
      <w:pPr>
        <w:ind w:left="80"/>
        <w:spacing w:after="0"/>
        <w:rPr>
          <w:sz w:val="20"/>
          <w:szCs w:val="20"/>
          <w:color w:val="auto"/>
        </w:rPr>
      </w:pPr>
      <w:r>
        <w:rPr>
          <w:rFonts w:ascii="Arial" w:cs="Arial" w:eastAsia="Arial" w:hAnsi="Arial"/>
          <w:sz w:val="18"/>
          <w:szCs w:val="18"/>
          <w:color w:val="0A0A0A"/>
        </w:rPr>
        <w:t xml:space="preserve">Adjusted diluted earnings per share </w:t>
      </w:r>
      <w:r>
        <w:rPr>
          <w:rFonts w:ascii="Arial" w:cs="Arial" w:eastAsia="Arial" w:hAnsi="Arial"/>
          <w:sz w:val="23"/>
          <w:szCs w:val="23"/>
          <w:color w:val="0A0A0A"/>
          <w:vertAlign w:val="superscript"/>
        </w:rPr>
        <w:t>(2)</w:t>
      </w:r>
    </w:p>
    <w:p>
      <w:pPr>
        <w:spacing w:after="0" w:line="372"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0A0A0A"/>
        </w:rPr>
        <w:t>(unaudited) (in millions, except per share amounts)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380" w:type="dxa"/>
            <w:vAlign w:val="bottom"/>
          </w:tcPr>
          <w:p>
            <w:pPr>
              <w:jc w:val="right"/>
              <w:ind w:right="190"/>
              <w:spacing w:after="0"/>
              <w:rPr>
                <w:sz w:val="20"/>
                <w:szCs w:val="20"/>
                <w:color w:val="auto"/>
              </w:rPr>
            </w:pPr>
            <w:r>
              <w:rPr>
                <w:rFonts w:ascii="Arial" w:cs="Arial" w:eastAsia="Arial" w:hAnsi="Arial"/>
                <w:sz w:val="18"/>
                <w:szCs w:val="18"/>
                <w:color w:val="0A0A0A"/>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0A0A0A"/>
              </w:rPr>
              <w:t>18.3</w:t>
            </w:r>
          </w:p>
        </w:tc>
        <w:tc>
          <w:tcPr>
            <w:tcW w:w="440" w:type="dxa"/>
            <w:vAlign w:val="bottom"/>
          </w:tcPr>
          <w:p>
            <w:pPr>
              <w:jc w:val="right"/>
              <w:ind w:right="210"/>
              <w:spacing w:after="0"/>
              <w:rPr>
                <w:sz w:val="20"/>
                <w:szCs w:val="20"/>
                <w:color w:val="auto"/>
              </w:rPr>
            </w:pPr>
            <w:r>
              <w:rPr>
                <w:rFonts w:ascii="Arial" w:cs="Arial" w:eastAsia="Arial" w:hAnsi="Arial"/>
                <w:sz w:val="18"/>
                <w:szCs w:val="18"/>
                <w:color w:val="0A0A0A"/>
              </w:rPr>
              <w:t>$</w:t>
            </w:r>
          </w:p>
        </w:tc>
        <w:tc>
          <w:tcPr>
            <w:tcW w:w="1540" w:type="dxa"/>
            <w:vAlign w:val="bottom"/>
          </w:tcPr>
          <w:p>
            <w:pPr>
              <w:jc w:val="right"/>
              <w:ind w:right="214"/>
              <w:spacing w:after="0"/>
              <w:rPr>
                <w:sz w:val="20"/>
                <w:szCs w:val="20"/>
                <w:color w:val="auto"/>
              </w:rPr>
            </w:pPr>
            <w:r>
              <w:rPr>
                <w:rFonts w:ascii="Arial" w:cs="Arial" w:eastAsia="Arial" w:hAnsi="Arial"/>
                <w:sz w:val="18"/>
                <w:szCs w:val="18"/>
                <w:color w:val="0A0A0A"/>
              </w:rPr>
              <w:t>15.9</w:t>
            </w:r>
          </w:p>
        </w:tc>
        <w:tc>
          <w:tcPr>
            <w:tcW w:w="1440" w:type="dxa"/>
            <w:vAlign w:val="bottom"/>
          </w:tcPr>
          <w:p>
            <w:pPr>
              <w:jc w:val="right"/>
              <w:spacing w:after="0"/>
              <w:rPr>
                <w:sz w:val="20"/>
                <w:szCs w:val="20"/>
                <w:color w:val="auto"/>
              </w:rPr>
            </w:pPr>
            <w:r>
              <w:rPr>
                <w:rFonts w:ascii="Arial" w:cs="Arial" w:eastAsia="Arial" w:hAnsi="Arial"/>
                <w:sz w:val="18"/>
                <w:szCs w:val="18"/>
                <w:color w:val="0A0A0A"/>
              </w:rPr>
              <w:t>14.8</w:t>
            </w:r>
          </w:p>
        </w:tc>
      </w:tr>
      <w:tr>
        <w:trPr>
          <w:trHeight w:val="270"/>
        </w:trPr>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0A0A0A"/>
              </w:rPr>
              <w:t>9.3</w:t>
            </w:r>
          </w:p>
        </w:tc>
        <w:tc>
          <w:tcPr>
            <w:tcW w:w="440" w:type="dxa"/>
            <w:vAlign w:val="bottom"/>
          </w:tcPr>
          <w:p>
            <w:pPr>
              <w:spacing w:after="0"/>
              <w:rPr>
                <w:sz w:val="23"/>
                <w:szCs w:val="23"/>
                <w:color w:val="auto"/>
              </w:rPr>
            </w:pPr>
          </w:p>
        </w:tc>
        <w:tc>
          <w:tcPr>
            <w:tcW w:w="1540" w:type="dxa"/>
            <w:vAlign w:val="bottom"/>
          </w:tcPr>
          <w:p>
            <w:pPr>
              <w:jc w:val="right"/>
              <w:ind w:right="214"/>
              <w:spacing w:after="0"/>
              <w:rPr>
                <w:sz w:val="20"/>
                <w:szCs w:val="20"/>
                <w:color w:val="auto"/>
              </w:rPr>
            </w:pPr>
            <w:r>
              <w:rPr>
                <w:rFonts w:ascii="Arial" w:cs="Arial" w:eastAsia="Arial" w:hAnsi="Arial"/>
                <w:sz w:val="18"/>
                <w:szCs w:val="18"/>
                <w:color w:val="0A0A0A"/>
              </w:rPr>
              <w:t>10.3</w:t>
            </w:r>
          </w:p>
        </w:tc>
        <w:tc>
          <w:tcPr>
            <w:tcW w:w="1440" w:type="dxa"/>
            <w:vAlign w:val="bottom"/>
          </w:tcPr>
          <w:p>
            <w:pPr>
              <w:jc w:val="right"/>
              <w:spacing w:after="0"/>
              <w:rPr>
                <w:sz w:val="20"/>
                <w:szCs w:val="20"/>
                <w:color w:val="auto"/>
              </w:rPr>
            </w:pPr>
            <w:r>
              <w:rPr>
                <w:rFonts w:ascii="Arial" w:cs="Arial" w:eastAsia="Arial" w:hAnsi="Arial"/>
                <w:sz w:val="18"/>
                <w:szCs w:val="18"/>
                <w:color w:val="0A0A0A"/>
              </w:rPr>
              <w:t>(9.6)</w:t>
            </w:r>
          </w:p>
        </w:tc>
      </w:tr>
      <w:tr>
        <w:trPr>
          <w:trHeight w:val="270"/>
        </w:trPr>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0A0A0A"/>
              </w:rPr>
              <w:t>6.9</w:t>
            </w:r>
          </w:p>
        </w:tc>
        <w:tc>
          <w:tcPr>
            <w:tcW w:w="440" w:type="dxa"/>
            <w:vAlign w:val="bottom"/>
          </w:tcPr>
          <w:p>
            <w:pPr>
              <w:spacing w:after="0"/>
              <w:rPr>
                <w:sz w:val="23"/>
                <w:szCs w:val="23"/>
                <w:color w:val="auto"/>
              </w:rPr>
            </w:pPr>
          </w:p>
        </w:tc>
        <w:tc>
          <w:tcPr>
            <w:tcW w:w="1540" w:type="dxa"/>
            <w:vAlign w:val="bottom"/>
          </w:tcPr>
          <w:p>
            <w:pPr>
              <w:jc w:val="right"/>
              <w:ind w:right="214"/>
              <w:spacing w:after="0"/>
              <w:rPr>
                <w:sz w:val="20"/>
                <w:szCs w:val="20"/>
                <w:color w:val="auto"/>
              </w:rPr>
            </w:pPr>
            <w:r>
              <w:rPr>
                <w:rFonts w:ascii="Arial" w:cs="Arial" w:eastAsia="Arial" w:hAnsi="Arial"/>
                <w:sz w:val="18"/>
                <w:szCs w:val="18"/>
                <w:color w:val="0A0A0A"/>
              </w:rPr>
              <w:t>7.9</w:t>
            </w:r>
          </w:p>
        </w:tc>
        <w:tc>
          <w:tcPr>
            <w:tcW w:w="1440" w:type="dxa"/>
            <w:vAlign w:val="bottom"/>
          </w:tcPr>
          <w:p>
            <w:pPr>
              <w:jc w:val="right"/>
              <w:spacing w:after="0"/>
              <w:rPr>
                <w:sz w:val="20"/>
                <w:szCs w:val="20"/>
                <w:color w:val="auto"/>
              </w:rPr>
            </w:pPr>
            <w:r>
              <w:rPr>
                <w:rFonts w:ascii="Arial" w:cs="Arial" w:eastAsia="Arial" w:hAnsi="Arial"/>
                <w:sz w:val="18"/>
                <w:szCs w:val="18"/>
                <w:color w:val="0A0A0A"/>
              </w:rPr>
              <w:t>(12.3)</w:t>
            </w:r>
          </w:p>
        </w:tc>
      </w:tr>
      <w:tr>
        <w:trPr>
          <w:trHeight w:val="270"/>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0.12</w:t>
            </w:r>
          </w:p>
        </w:tc>
        <w:tc>
          <w:tcPr>
            <w:tcW w:w="440" w:type="dxa"/>
            <w:vAlign w:val="bottom"/>
          </w:tcPr>
          <w:p>
            <w:pPr>
              <w:jc w:val="right"/>
              <w:ind w:right="210"/>
              <w:spacing w:after="0"/>
              <w:rPr>
                <w:sz w:val="20"/>
                <w:szCs w:val="20"/>
                <w:color w:val="auto"/>
              </w:rPr>
            </w:pPr>
            <w:r>
              <w:rPr>
                <w:rFonts w:ascii="Arial" w:cs="Arial" w:eastAsia="Arial" w:hAnsi="Arial"/>
                <w:sz w:val="18"/>
                <w:szCs w:val="18"/>
                <w:color w:val="0A0A0A"/>
              </w:rPr>
              <w:t>$</w:t>
            </w:r>
          </w:p>
        </w:tc>
        <w:tc>
          <w:tcPr>
            <w:tcW w:w="1540" w:type="dxa"/>
            <w:vAlign w:val="bottom"/>
          </w:tcPr>
          <w:p>
            <w:pPr>
              <w:jc w:val="right"/>
              <w:ind w:right="214"/>
              <w:spacing w:after="0"/>
              <w:rPr>
                <w:sz w:val="20"/>
                <w:szCs w:val="20"/>
                <w:color w:val="auto"/>
              </w:rPr>
            </w:pPr>
            <w:r>
              <w:rPr>
                <w:rFonts w:ascii="Arial" w:cs="Arial" w:eastAsia="Arial" w:hAnsi="Arial"/>
                <w:sz w:val="18"/>
                <w:szCs w:val="18"/>
                <w:color w:val="0A0A0A"/>
              </w:rPr>
              <w:t>0.13</w:t>
            </w:r>
          </w:p>
        </w:tc>
        <w:tc>
          <w:tcPr>
            <w:tcW w:w="1440" w:type="dxa"/>
            <w:vAlign w:val="bottom"/>
          </w:tcPr>
          <w:p>
            <w:pPr>
              <w:jc w:val="right"/>
              <w:spacing w:after="0"/>
              <w:rPr>
                <w:sz w:val="20"/>
                <w:szCs w:val="20"/>
                <w:color w:val="auto"/>
              </w:rPr>
            </w:pPr>
            <w:r>
              <w:rPr>
                <w:rFonts w:ascii="Arial" w:cs="Arial" w:eastAsia="Arial" w:hAnsi="Arial"/>
                <w:sz w:val="18"/>
                <w:szCs w:val="18"/>
                <w:color w:val="0A0A0A"/>
              </w:rPr>
              <w:t>(7.7)</w:t>
            </w:r>
          </w:p>
        </w:tc>
      </w:tr>
      <w:tr>
        <w:trPr>
          <w:trHeight w:val="413"/>
        </w:trPr>
        <w:tc>
          <w:tcPr>
            <w:tcW w:w="380" w:type="dxa"/>
            <w:vAlign w:val="bottom"/>
          </w:tcPr>
          <w:p>
            <w:pPr>
              <w:spacing w:after="0"/>
              <w:rPr>
                <w:sz w:val="24"/>
                <w:szCs w:val="24"/>
                <w:color w:val="auto"/>
              </w:rPr>
            </w:pPr>
          </w:p>
        </w:tc>
        <w:tc>
          <w:tcPr>
            <w:tcW w:w="3300" w:type="dxa"/>
            <w:vAlign w:val="bottom"/>
            <w:gridSpan w:val="3"/>
          </w:tcPr>
          <w:p>
            <w:pPr>
              <w:jc w:val="right"/>
              <w:ind w:right="994"/>
              <w:spacing w:after="0"/>
              <w:rPr>
                <w:sz w:val="20"/>
                <w:szCs w:val="20"/>
                <w:color w:val="auto"/>
              </w:rPr>
            </w:pPr>
            <w:r>
              <w:rPr>
                <w:rFonts w:ascii="Arial" w:cs="Arial" w:eastAsia="Arial" w:hAnsi="Arial"/>
                <w:sz w:val="14"/>
                <w:szCs w:val="14"/>
                <w:b w:val="1"/>
                <w:bCs w:val="1"/>
                <w:color w:val="0A0A0A"/>
              </w:rPr>
              <w:t>Year Ended December 31,</w:t>
            </w:r>
          </w:p>
        </w:tc>
        <w:tc>
          <w:tcPr>
            <w:tcW w:w="144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1320" w:type="dxa"/>
            <w:vAlign w:val="bottom"/>
          </w:tcPr>
          <w:p>
            <w:pPr>
              <w:jc w:val="right"/>
              <w:ind w:right="616"/>
              <w:spacing w:after="0"/>
              <w:rPr>
                <w:sz w:val="20"/>
                <w:szCs w:val="20"/>
                <w:color w:val="auto"/>
              </w:rPr>
            </w:pPr>
            <w:r>
              <w:rPr>
                <w:rFonts w:ascii="Arial" w:cs="Arial" w:eastAsia="Arial" w:hAnsi="Arial"/>
                <w:sz w:val="14"/>
                <w:szCs w:val="14"/>
                <w:b w:val="1"/>
                <w:bCs w:val="1"/>
                <w:color w:val="0A0A0A"/>
              </w:rPr>
              <w:t>2023</w:t>
            </w:r>
          </w:p>
        </w:tc>
        <w:tc>
          <w:tcPr>
            <w:tcW w:w="440" w:type="dxa"/>
            <w:vAlign w:val="bottom"/>
          </w:tcPr>
          <w:p>
            <w:pPr>
              <w:spacing w:after="0"/>
              <w:rPr>
                <w:sz w:val="17"/>
                <w:szCs w:val="17"/>
                <w:color w:val="auto"/>
              </w:rPr>
            </w:pPr>
          </w:p>
        </w:tc>
        <w:tc>
          <w:tcPr>
            <w:tcW w:w="1540" w:type="dxa"/>
            <w:vAlign w:val="bottom"/>
          </w:tcPr>
          <w:p>
            <w:pPr>
              <w:jc w:val="right"/>
              <w:ind w:right="854"/>
              <w:spacing w:after="0"/>
              <w:rPr>
                <w:sz w:val="20"/>
                <w:szCs w:val="20"/>
                <w:color w:val="auto"/>
              </w:rPr>
            </w:pPr>
            <w:r>
              <w:rPr>
                <w:rFonts w:ascii="Arial" w:cs="Arial" w:eastAsia="Arial" w:hAnsi="Arial"/>
                <w:sz w:val="14"/>
                <w:szCs w:val="14"/>
                <w:b w:val="1"/>
                <w:bCs w:val="1"/>
                <w:color w:val="0A0A0A"/>
              </w:rPr>
              <w:t>2022</w:t>
            </w:r>
          </w:p>
        </w:tc>
        <w:tc>
          <w:tcPr>
            <w:tcW w:w="1440" w:type="dxa"/>
            <w:vAlign w:val="bottom"/>
          </w:tcPr>
          <w:p>
            <w:pPr>
              <w:jc w:val="right"/>
              <w:ind w:right="354"/>
              <w:spacing w:after="0"/>
              <w:rPr>
                <w:sz w:val="20"/>
                <w:szCs w:val="20"/>
                <w:color w:val="auto"/>
              </w:rPr>
            </w:pPr>
            <w:r>
              <w:rPr>
                <w:rFonts w:ascii="Arial" w:cs="Arial" w:eastAsia="Arial" w:hAnsi="Arial"/>
                <w:sz w:val="14"/>
                <w:szCs w:val="14"/>
                <w:b w:val="1"/>
                <w:bCs w:val="1"/>
                <w:color w:val="0A0A0A"/>
              </w:rPr>
              <w:t>% 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-709295</wp:posOffset>
            </wp:positionV>
            <wp:extent cx="712343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320" w:space="720"/>
            <w:col w:w="520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41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0A0A0A"/>
              </w:rPr>
              <w:t>Total Operating Revenue</w:t>
            </w:r>
          </w:p>
        </w:tc>
        <w:tc>
          <w:tcPr>
            <w:tcW w:w="248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0A0A0A"/>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1,049.6</w:t>
            </w:r>
          </w:p>
        </w:tc>
        <w:tc>
          <w:tcPr>
            <w:tcW w:w="70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0A0A0A"/>
              </w:rPr>
              <w:t>$</w:t>
            </w:r>
          </w:p>
        </w:tc>
        <w:tc>
          <w:tcPr>
            <w:tcW w:w="1640" w:type="dxa"/>
            <w:vAlign w:val="bottom"/>
            <w:tcBorders>
              <w:top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0A0A0A"/>
              </w:rPr>
              <w:t>894.4</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17.3</w:t>
            </w:r>
          </w:p>
        </w:tc>
      </w:tr>
      <w:tr>
        <w:trPr>
          <w:trHeight w:val="230"/>
        </w:trPr>
        <w:tc>
          <w:tcPr>
            <w:tcW w:w="4120" w:type="dxa"/>
            <w:vAlign w:val="bottom"/>
          </w:tcPr>
          <w:p>
            <w:pPr>
              <w:ind w:left="80"/>
              <w:spacing w:after="0"/>
              <w:rPr>
                <w:sz w:val="20"/>
                <w:szCs w:val="20"/>
                <w:color w:val="auto"/>
              </w:rPr>
            </w:pPr>
            <w:r>
              <w:rPr>
                <w:rFonts w:ascii="Arial" w:cs="Arial" w:eastAsia="Arial" w:hAnsi="Arial"/>
                <w:sz w:val="18"/>
                <w:szCs w:val="18"/>
                <w:color w:val="0A0A0A"/>
              </w:rPr>
              <w:t>Operating Income</w:t>
            </w:r>
          </w:p>
        </w:tc>
        <w:tc>
          <w:tcPr>
            <w:tcW w:w="2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0A0A0A"/>
              </w:rPr>
              <w:t>127.5</w:t>
            </w:r>
          </w:p>
        </w:tc>
        <w:tc>
          <w:tcPr>
            <w:tcW w:w="700" w:type="dxa"/>
            <w:vAlign w:val="bottom"/>
          </w:tcPr>
          <w:p>
            <w:pPr>
              <w:spacing w:after="0"/>
              <w:rPr>
                <w:sz w:val="19"/>
                <w:szCs w:val="19"/>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color w:val="0A0A0A"/>
              </w:rPr>
              <w:t>55.7</w:t>
            </w:r>
          </w:p>
        </w:tc>
        <w:tc>
          <w:tcPr>
            <w:tcW w:w="1160" w:type="dxa"/>
            <w:vAlign w:val="bottom"/>
          </w:tcPr>
          <w:p>
            <w:pPr>
              <w:jc w:val="right"/>
              <w:spacing w:after="0"/>
              <w:rPr>
                <w:sz w:val="20"/>
                <w:szCs w:val="20"/>
                <w:color w:val="auto"/>
              </w:rPr>
            </w:pPr>
            <w:r>
              <w:rPr>
                <w:rFonts w:ascii="Arial" w:cs="Arial" w:eastAsia="Arial" w:hAnsi="Arial"/>
                <w:sz w:val="18"/>
                <w:szCs w:val="18"/>
                <w:color w:val="0A0A0A"/>
              </w:rPr>
              <w:t>128.9</w:t>
            </w:r>
          </w:p>
        </w:tc>
      </w:tr>
      <w:tr>
        <w:trPr>
          <w:trHeight w:val="229"/>
        </w:trPr>
        <w:tc>
          <w:tcPr>
            <w:tcW w:w="412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Income Before Income Tax</w:t>
            </w:r>
          </w:p>
        </w:tc>
        <w:tc>
          <w:tcPr>
            <w:tcW w:w="2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94.2</w:t>
            </w:r>
          </w:p>
        </w:tc>
        <w:tc>
          <w:tcPr>
            <w:tcW w:w="7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24.0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292.6</w:t>
            </w:r>
          </w:p>
        </w:tc>
      </w:tr>
      <w:tr>
        <w:trPr>
          <w:trHeight w:val="230"/>
        </w:trPr>
        <w:tc>
          <w:tcPr>
            <w:tcW w:w="4120" w:type="dxa"/>
            <w:vAlign w:val="bottom"/>
          </w:tcPr>
          <w:p>
            <w:pPr>
              <w:ind w:left="80"/>
              <w:spacing w:after="0"/>
              <w:rPr>
                <w:sz w:val="20"/>
                <w:szCs w:val="20"/>
                <w:color w:val="auto"/>
              </w:rPr>
            </w:pPr>
            <w:r>
              <w:rPr>
                <w:rFonts w:ascii="Arial" w:cs="Arial" w:eastAsia="Arial" w:hAnsi="Arial"/>
                <w:sz w:val="18"/>
                <w:szCs w:val="18"/>
                <w:color w:val="0A0A0A"/>
              </w:rPr>
              <w:t>Net Income</w:t>
            </w:r>
          </w:p>
        </w:tc>
        <w:tc>
          <w:tcPr>
            <w:tcW w:w="2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0A0A0A"/>
              </w:rPr>
              <w:t>72.2</w:t>
            </w:r>
          </w:p>
        </w:tc>
        <w:tc>
          <w:tcPr>
            <w:tcW w:w="700" w:type="dxa"/>
            <w:vAlign w:val="bottom"/>
          </w:tcPr>
          <w:p>
            <w:pPr>
              <w:spacing w:after="0"/>
              <w:rPr>
                <w:sz w:val="19"/>
                <w:szCs w:val="19"/>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color w:val="auto"/>
              </w:rPr>
              <w:t>17.7</w:t>
            </w:r>
          </w:p>
        </w:tc>
        <w:tc>
          <w:tcPr>
            <w:tcW w:w="1160" w:type="dxa"/>
            <w:vAlign w:val="bottom"/>
          </w:tcPr>
          <w:p>
            <w:pPr>
              <w:jc w:val="right"/>
              <w:spacing w:after="0"/>
              <w:rPr>
                <w:sz w:val="20"/>
                <w:szCs w:val="20"/>
                <w:color w:val="auto"/>
              </w:rPr>
            </w:pPr>
            <w:r>
              <w:rPr>
                <w:rFonts w:ascii="Arial" w:cs="Arial" w:eastAsia="Arial" w:hAnsi="Arial"/>
                <w:sz w:val="18"/>
                <w:szCs w:val="18"/>
                <w:color w:val="0A0A0A"/>
              </w:rPr>
              <w:t>308.4</w:t>
            </w:r>
          </w:p>
        </w:tc>
      </w:tr>
      <w:tr>
        <w:trPr>
          <w:trHeight w:val="230"/>
        </w:trPr>
        <w:tc>
          <w:tcPr>
            <w:tcW w:w="412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Diluted earnings per share</w:t>
            </w:r>
          </w:p>
        </w:tc>
        <w:tc>
          <w:tcPr>
            <w:tcW w:w="24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0A0A0A"/>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1.23</w:t>
            </w:r>
          </w:p>
        </w:tc>
        <w:tc>
          <w:tcPr>
            <w:tcW w:w="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0A0A0A"/>
              </w:rPr>
              <w:t>$</w:t>
            </w:r>
          </w:p>
        </w:tc>
        <w:tc>
          <w:tcPr>
            <w:tcW w:w="16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0A0A0A"/>
              </w:rPr>
              <w:t>0.29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324.1</w:t>
            </w: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w:t>
      </w:r>
    </w:p>
    <w:p>
      <w:pPr>
        <w:sectPr>
          <w:pgSz w:w="11900" w:h="16838" w:orient="portrait"/>
          <w:cols w:equalWidth="0" w:num="1">
            <w:col w:w="11240"/>
          </w:cols>
          <w:pgMar w:left="320" w:top="1440"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96"/>
        </w:trPr>
        <w:tc>
          <w:tcPr>
            <w:tcW w:w="48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300" w:type="dxa"/>
            <w:vAlign w:val="bottom"/>
            <w:gridSpan w:val="3"/>
          </w:tcPr>
          <w:p>
            <w:pPr>
              <w:jc w:val="right"/>
              <w:ind w:right="994"/>
              <w:spacing w:after="0"/>
              <w:rPr>
                <w:sz w:val="20"/>
                <w:szCs w:val="20"/>
                <w:color w:val="auto"/>
              </w:rPr>
            </w:pPr>
            <w:r>
              <w:rPr>
                <w:rFonts w:ascii="Arial" w:cs="Arial" w:eastAsia="Arial" w:hAnsi="Arial"/>
                <w:sz w:val="14"/>
                <w:szCs w:val="14"/>
                <w:b w:val="1"/>
                <w:bCs w:val="1"/>
                <w:color w:val="0A0A0A"/>
              </w:rPr>
              <w:t>Year Ended December 31,</w:t>
            </w:r>
          </w:p>
        </w:tc>
        <w:tc>
          <w:tcPr>
            <w:tcW w:w="1500" w:type="dxa"/>
            <w:vAlign w:val="bottom"/>
          </w:tcPr>
          <w:p>
            <w:pPr>
              <w:spacing w:after="0"/>
              <w:rPr>
                <w:sz w:val="17"/>
                <w:szCs w:val="17"/>
                <w:color w:val="auto"/>
              </w:rPr>
            </w:pPr>
          </w:p>
        </w:tc>
      </w:tr>
      <w:tr>
        <w:trPr>
          <w:trHeight w:val="203"/>
        </w:trPr>
        <w:tc>
          <w:tcPr>
            <w:tcW w:w="48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A0A0A"/>
              </w:rPr>
              <w:t>(unaudited) (in millions, except per share amounts)</w:t>
            </w:r>
          </w:p>
        </w:tc>
        <w:tc>
          <w:tcPr>
            <w:tcW w:w="16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0A0A0A"/>
              </w:rPr>
              <w:t>2023</w:t>
            </w:r>
          </w:p>
        </w:tc>
        <w:tc>
          <w:tcPr>
            <w:tcW w:w="4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854"/>
              <w:spacing w:after="0"/>
              <w:rPr>
                <w:sz w:val="20"/>
                <w:szCs w:val="20"/>
                <w:color w:val="auto"/>
              </w:rPr>
            </w:pPr>
            <w:r>
              <w:rPr>
                <w:rFonts w:ascii="Arial" w:cs="Arial" w:eastAsia="Arial" w:hAnsi="Arial"/>
                <w:sz w:val="14"/>
                <w:szCs w:val="14"/>
                <w:b w:val="1"/>
                <w:bCs w:val="1"/>
                <w:color w:val="0A0A0A"/>
              </w:rPr>
              <w:t>2022</w:t>
            </w:r>
          </w:p>
        </w:tc>
        <w:tc>
          <w:tcPr>
            <w:tcW w:w="15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0A0A0A"/>
              </w:rPr>
              <w:t>% Change</w:t>
            </w:r>
          </w:p>
        </w:tc>
      </w:tr>
      <w:tr>
        <w:trPr>
          <w:trHeight w:val="265"/>
        </w:trPr>
        <w:tc>
          <w:tcPr>
            <w:tcW w:w="480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 xml:space="preserve">Adjusted Operating Income </w:t>
            </w:r>
            <w:r>
              <w:rPr>
                <w:rFonts w:ascii="Arial" w:cs="Arial" w:eastAsia="Arial" w:hAnsi="Arial"/>
                <w:sz w:val="23"/>
                <w:szCs w:val="23"/>
                <w:color w:val="0A0A0A"/>
                <w:vertAlign w:val="superscript"/>
              </w:rPr>
              <w:t>(2)</w:t>
            </w:r>
          </w:p>
        </w:tc>
        <w:tc>
          <w:tcPr>
            <w:tcW w:w="16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0A0A0A"/>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136.8</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0A0A0A"/>
              </w:rPr>
              <w:t>$</w:t>
            </w:r>
          </w:p>
        </w:tc>
        <w:tc>
          <w:tcPr>
            <w:tcW w:w="15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0A0A0A"/>
              </w:rPr>
              <w:t>58.5</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133.9</w:t>
            </w:r>
          </w:p>
        </w:tc>
      </w:tr>
      <w:tr>
        <w:trPr>
          <w:trHeight w:val="270"/>
        </w:trPr>
        <w:tc>
          <w:tcPr>
            <w:tcW w:w="4800" w:type="dxa"/>
            <w:vAlign w:val="bottom"/>
          </w:tcPr>
          <w:p>
            <w:pPr>
              <w:ind w:left="80"/>
              <w:spacing w:after="0"/>
              <w:rPr>
                <w:sz w:val="20"/>
                <w:szCs w:val="20"/>
                <w:color w:val="auto"/>
              </w:rPr>
            </w:pPr>
            <w:r>
              <w:rPr>
                <w:rFonts w:ascii="Arial" w:cs="Arial" w:eastAsia="Arial" w:hAnsi="Arial"/>
                <w:sz w:val="18"/>
                <w:szCs w:val="18"/>
                <w:color w:val="0A0A0A"/>
              </w:rPr>
              <w:t xml:space="preserve">Adjusted Income Before Income Tax </w:t>
            </w:r>
            <w:r>
              <w:rPr>
                <w:rFonts w:ascii="Arial" w:cs="Arial" w:eastAsia="Arial" w:hAnsi="Arial"/>
                <w:sz w:val="23"/>
                <w:szCs w:val="23"/>
                <w:color w:val="0A0A0A"/>
                <w:vertAlign w:val="superscript"/>
              </w:rPr>
              <w:t>(2)</w:t>
            </w:r>
          </w:p>
        </w:tc>
        <w:tc>
          <w:tcPr>
            <w:tcW w:w="16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0A0A0A"/>
              </w:rPr>
              <w:t>104.2</w:t>
            </w:r>
          </w:p>
        </w:tc>
        <w:tc>
          <w:tcPr>
            <w:tcW w:w="460" w:type="dxa"/>
            <w:vAlign w:val="bottom"/>
          </w:tcPr>
          <w:p>
            <w:pPr>
              <w:spacing w:after="0"/>
              <w:rPr>
                <w:sz w:val="23"/>
                <w:szCs w:val="23"/>
                <w:color w:val="auto"/>
              </w:rPr>
            </w:pPr>
          </w:p>
        </w:tc>
        <w:tc>
          <w:tcPr>
            <w:tcW w:w="1540" w:type="dxa"/>
            <w:vAlign w:val="bottom"/>
          </w:tcPr>
          <w:p>
            <w:pPr>
              <w:jc w:val="right"/>
              <w:ind w:right="214"/>
              <w:spacing w:after="0"/>
              <w:rPr>
                <w:sz w:val="20"/>
                <w:szCs w:val="20"/>
                <w:color w:val="auto"/>
              </w:rPr>
            </w:pPr>
            <w:r>
              <w:rPr>
                <w:rFonts w:ascii="Arial" w:cs="Arial" w:eastAsia="Arial" w:hAnsi="Arial"/>
                <w:sz w:val="18"/>
                <w:szCs w:val="18"/>
                <w:color w:val="0A0A0A"/>
              </w:rPr>
              <w:t>33.0</w:t>
            </w:r>
          </w:p>
        </w:tc>
        <w:tc>
          <w:tcPr>
            <w:tcW w:w="1500" w:type="dxa"/>
            <w:vAlign w:val="bottom"/>
          </w:tcPr>
          <w:p>
            <w:pPr>
              <w:jc w:val="right"/>
              <w:spacing w:after="0"/>
              <w:rPr>
                <w:sz w:val="20"/>
                <w:szCs w:val="20"/>
                <w:color w:val="auto"/>
              </w:rPr>
            </w:pPr>
            <w:r>
              <w:rPr>
                <w:rFonts w:ascii="Arial" w:cs="Arial" w:eastAsia="Arial" w:hAnsi="Arial"/>
                <w:sz w:val="18"/>
                <w:szCs w:val="18"/>
                <w:color w:val="0A0A0A"/>
              </w:rPr>
              <w:t>215.9</w:t>
            </w:r>
          </w:p>
        </w:tc>
      </w:tr>
      <w:tr>
        <w:trPr>
          <w:trHeight w:val="270"/>
        </w:trPr>
        <w:tc>
          <w:tcPr>
            <w:tcW w:w="480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 xml:space="preserve">Adjusted Net Income </w:t>
            </w:r>
            <w:r>
              <w:rPr>
                <w:rFonts w:ascii="Arial" w:cs="Arial" w:eastAsia="Arial" w:hAnsi="Arial"/>
                <w:sz w:val="23"/>
                <w:szCs w:val="23"/>
                <w:color w:val="0A0A0A"/>
                <w:vertAlign w:val="superscript"/>
              </w:rPr>
              <w:t>(2)</w:t>
            </w:r>
          </w:p>
        </w:tc>
        <w:tc>
          <w:tcPr>
            <w:tcW w:w="16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79.9</w:t>
            </w:r>
          </w:p>
        </w:tc>
        <w:tc>
          <w:tcPr>
            <w:tcW w:w="46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0A0A0A"/>
              </w:rPr>
              <w:t>25.8</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209.9</w:t>
            </w:r>
          </w:p>
        </w:tc>
      </w:tr>
      <w:tr>
        <w:trPr>
          <w:trHeight w:val="330"/>
        </w:trPr>
        <w:tc>
          <w:tcPr>
            <w:tcW w:w="4800" w:type="dxa"/>
            <w:vAlign w:val="bottom"/>
          </w:tcPr>
          <w:p>
            <w:pPr>
              <w:ind w:left="80"/>
              <w:spacing w:after="0"/>
              <w:rPr>
                <w:sz w:val="20"/>
                <w:szCs w:val="20"/>
                <w:color w:val="auto"/>
              </w:rPr>
            </w:pPr>
            <w:r>
              <w:rPr>
                <w:rFonts w:ascii="Arial" w:cs="Arial" w:eastAsia="Arial" w:hAnsi="Arial"/>
                <w:sz w:val="18"/>
                <w:szCs w:val="18"/>
                <w:color w:val="0A0A0A"/>
              </w:rPr>
              <w:t xml:space="preserve">Adjusted diluted earnings per share </w:t>
            </w:r>
            <w:r>
              <w:rPr>
                <w:rFonts w:ascii="Arial" w:cs="Arial" w:eastAsia="Arial" w:hAnsi="Arial"/>
                <w:sz w:val="23"/>
                <w:szCs w:val="23"/>
                <w:color w:val="0A0A0A"/>
                <w:vertAlign w:val="superscript"/>
              </w:rPr>
              <w:t>(2)</w:t>
            </w:r>
          </w:p>
        </w:tc>
        <w:tc>
          <w:tcPr>
            <w:tcW w:w="1620" w:type="dxa"/>
            <w:vAlign w:val="bottom"/>
          </w:tcPr>
          <w:p>
            <w:pPr>
              <w:jc w:val="right"/>
              <w:ind w:right="190"/>
              <w:spacing w:after="0"/>
              <w:rPr>
                <w:sz w:val="20"/>
                <w:szCs w:val="20"/>
                <w:color w:val="auto"/>
              </w:rPr>
            </w:pPr>
            <w:r>
              <w:rPr>
                <w:rFonts w:ascii="Arial" w:cs="Arial" w:eastAsia="Arial" w:hAnsi="Arial"/>
                <w:sz w:val="18"/>
                <w:szCs w:val="18"/>
                <w:color w:val="0A0A0A"/>
              </w:rPr>
              <w:t>$</w:t>
            </w:r>
          </w:p>
        </w:tc>
        <w:tc>
          <w:tcPr>
            <w:tcW w:w="1300" w:type="dxa"/>
            <w:vAlign w:val="bottom"/>
          </w:tcPr>
          <w:p>
            <w:pPr>
              <w:jc w:val="right"/>
              <w:spacing w:after="0"/>
              <w:rPr>
                <w:sz w:val="20"/>
                <w:szCs w:val="20"/>
                <w:color w:val="auto"/>
              </w:rPr>
            </w:pPr>
            <w:r>
              <w:rPr>
                <w:rFonts w:ascii="Arial" w:cs="Arial" w:eastAsia="Arial" w:hAnsi="Arial"/>
                <w:sz w:val="18"/>
                <w:szCs w:val="18"/>
                <w:color w:val="0A0A0A"/>
              </w:rPr>
              <w:t>1.37</w:t>
            </w:r>
          </w:p>
        </w:tc>
        <w:tc>
          <w:tcPr>
            <w:tcW w:w="460" w:type="dxa"/>
            <w:vAlign w:val="bottom"/>
          </w:tcPr>
          <w:p>
            <w:pPr>
              <w:jc w:val="right"/>
              <w:ind w:right="210"/>
              <w:spacing w:after="0"/>
              <w:rPr>
                <w:sz w:val="20"/>
                <w:szCs w:val="20"/>
                <w:color w:val="auto"/>
              </w:rPr>
            </w:pPr>
            <w:r>
              <w:rPr>
                <w:rFonts w:ascii="Arial" w:cs="Arial" w:eastAsia="Arial" w:hAnsi="Arial"/>
                <w:sz w:val="18"/>
                <w:szCs w:val="18"/>
                <w:color w:val="0A0A0A"/>
              </w:rPr>
              <w:t>$</w:t>
            </w:r>
          </w:p>
        </w:tc>
        <w:tc>
          <w:tcPr>
            <w:tcW w:w="1540" w:type="dxa"/>
            <w:vAlign w:val="bottom"/>
          </w:tcPr>
          <w:p>
            <w:pPr>
              <w:jc w:val="right"/>
              <w:ind w:right="214"/>
              <w:spacing w:after="0"/>
              <w:rPr>
                <w:sz w:val="20"/>
                <w:szCs w:val="20"/>
                <w:color w:val="auto"/>
              </w:rPr>
            </w:pPr>
            <w:r>
              <w:rPr>
                <w:rFonts w:ascii="Arial" w:cs="Arial" w:eastAsia="Arial" w:hAnsi="Arial"/>
                <w:sz w:val="18"/>
                <w:szCs w:val="18"/>
                <w:color w:val="0A0A0A"/>
              </w:rPr>
              <w:t>0.42</w:t>
            </w:r>
          </w:p>
        </w:tc>
        <w:tc>
          <w:tcPr>
            <w:tcW w:w="1500" w:type="dxa"/>
            <w:vAlign w:val="bottom"/>
          </w:tcPr>
          <w:p>
            <w:pPr>
              <w:jc w:val="right"/>
              <w:spacing w:after="0"/>
              <w:rPr>
                <w:sz w:val="20"/>
                <w:szCs w:val="20"/>
                <w:color w:val="auto"/>
              </w:rPr>
            </w:pPr>
            <w:r>
              <w:rPr>
                <w:rFonts w:ascii="Arial" w:cs="Arial" w:eastAsia="Arial" w:hAnsi="Arial"/>
                <w:sz w:val="18"/>
                <w:szCs w:val="18"/>
                <w:color w:val="0A0A0A"/>
              </w:rPr>
              <w:t>226.2</w:t>
            </w:r>
          </w:p>
        </w:tc>
      </w:tr>
    </w:tbl>
    <w:p>
      <w:pPr>
        <w:spacing w:after="0" w:line="23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0A0A0A"/>
        </w:rPr>
        <w:t>For the quarter ended December 31, 2023, Sun Country reported Income Before Income Tax of $7.7 million and Net Income of $ 5.6 million, on $245.5 million of revenue. Adjusted Income Before Income Tax for the quarter was $ 9.3 million</w:t>
      </w:r>
      <w:r>
        <w:rPr>
          <w:rFonts w:ascii="Arial" w:cs="Arial" w:eastAsia="Arial" w:hAnsi="Arial"/>
          <w:sz w:val="23"/>
          <w:szCs w:val="23"/>
          <w:color w:val="0A0A0A"/>
          <w:vertAlign w:val="superscript"/>
        </w:rPr>
        <w:t>(2)</w:t>
      </w:r>
      <w:r>
        <w:rPr>
          <w:rFonts w:ascii="Arial" w:cs="Arial" w:eastAsia="Arial" w:hAnsi="Arial"/>
          <w:sz w:val="18"/>
          <w:szCs w:val="18"/>
          <w:color w:val="0A0A0A"/>
        </w:rPr>
        <w:t>. GAAP Operating Income during the quarter was $17.1 million, producing an Operating Income Margin of 7.0%, while Adjusted Operating Income was $18.3 million</w:t>
      </w:r>
      <w:r>
        <w:rPr>
          <w:rFonts w:ascii="Arial" w:cs="Arial" w:eastAsia="Arial" w:hAnsi="Arial"/>
          <w:sz w:val="23"/>
          <w:szCs w:val="23"/>
          <w:color w:val="0A0A0A"/>
          <w:vertAlign w:val="superscript"/>
        </w:rPr>
        <w:t>(2)</w:t>
      </w:r>
      <w:r>
        <w:rPr>
          <w:rFonts w:ascii="Arial" w:cs="Arial" w:eastAsia="Arial" w:hAnsi="Arial"/>
          <w:sz w:val="18"/>
          <w:szCs w:val="18"/>
          <w:color w:val="0A0A0A"/>
        </w:rPr>
        <w:t>, resulting in an Adjusted Operating Income Margin of 7.4%</w:t>
      </w:r>
      <w:r>
        <w:rPr>
          <w:rFonts w:ascii="Arial" w:cs="Arial" w:eastAsia="Arial" w:hAnsi="Arial"/>
          <w:sz w:val="23"/>
          <w:szCs w:val="23"/>
          <w:color w:val="0A0A0A"/>
          <w:vertAlign w:val="superscript"/>
        </w:rPr>
        <w:t>(2)</w:t>
      </w:r>
      <w:r>
        <w:rPr>
          <w:rFonts w:ascii="Arial" w:cs="Arial" w:eastAsia="Arial" w:hAnsi="Arial"/>
          <w:sz w:val="18"/>
          <w:szCs w:val="18"/>
          <w:color w:val="0A0A0A"/>
        </w:rPr>
        <w:t>.</w:t>
      </w:r>
    </w:p>
    <w:p>
      <w:pPr>
        <w:spacing w:after="0" w:line="139" w:lineRule="exact"/>
        <w:rPr>
          <w:sz w:val="20"/>
          <w:szCs w:val="20"/>
          <w:color w:val="auto"/>
        </w:rPr>
      </w:pPr>
    </w:p>
    <w:p>
      <w:pPr>
        <w:ind w:right="100"/>
        <w:spacing w:after="0" w:line="218" w:lineRule="auto"/>
        <w:rPr>
          <w:sz w:val="20"/>
          <w:szCs w:val="20"/>
          <w:color w:val="auto"/>
        </w:rPr>
      </w:pPr>
      <w:r>
        <w:rPr>
          <w:rFonts w:ascii="Arial" w:cs="Arial" w:eastAsia="Arial" w:hAnsi="Arial"/>
          <w:sz w:val="17"/>
          <w:szCs w:val="17"/>
          <w:color w:val="0A0A0A"/>
        </w:rPr>
        <w:t>“We had a very successful 2023,” said Dave Davis, President and Chief Financial Officer. “Our full year GAAP pre-tax margin was 9.0% and we produced an adjusted pre-tax margin of 9.9%</w:t>
      </w:r>
      <w:r>
        <w:rPr>
          <w:rFonts w:ascii="Arial" w:cs="Arial" w:eastAsia="Arial" w:hAnsi="Arial"/>
          <w:sz w:val="22"/>
          <w:szCs w:val="22"/>
          <w:color w:val="0A0A0A"/>
          <w:vertAlign w:val="superscript"/>
        </w:rPr>
        <w:t>(2)</w:t>
      </w:r>
      <w:r>
        <w:rPr>
          <w:rFonts w:ascii="Arial" w:cs="Arial" w:eastAsia="Arial" w:hAnsi="Arial"/>
          <w:sz w:val="17"/>
          <w:szCs w:val="17"/>
          <w:color w:val="0A0A0A"/>
        </w:rPr>
        <w:t>, which we expect to be the best, or among the best in the industry. Our cost performance improved throughout the year as our fourth quarter adjusted CASM</w:t>
      </w:r>
      <w:r>
        <w:rPr>
          <w:rFonts w:ascii="Arial" w:cs="Arial" w:eastAsia="Arial" w:hAnsi="Arial"/>
          <w:sz w:val="22"/>
          <w:szCs w:val="22"/>
          <w:color w:val="0A0A0A"/>
          <w:vertAlign w:val="superscript"/>
        </w:rPr>
        <w:t>(3)</w:t>
      </w:r>
      <w:r>
        <w:rPr>
          <w:rFonts w:ascii="Arial" w:cs="Arial" w:eastAsia="Arial" w:hAnsi="Arial"/>
          <w:sz w:val="17"/>
          <w:szCs w:val="17"/>
          <w:color w:val="0A0A0A"/>
        </w:rPr>
        <w:t xml:space="preserve"> of 7.3 cents was 2.2% lower than a year ago. Additionally, our 2023 GAAP diluted EPS was $1.23, our adjusted diluted EPS was $1.37</w:t>
      </w:r>
      <w:r>
        <w:rPr>
          <w:rFonts w:ascii="Arial" w:cs="Arial" w:eastAsia="Arial" w:hAnsi="Arial"/>
          <w:sz w:val="22"/>
          <w:szCs w:val="22"/>
          <w:color w:val="0A0A0A"/>
          <w:vertAlign w:val="superscript"/>
        </w:rPr>
        <w:t>(2)</w:t>
      </w:r>
      <w:r>
        <w:rPr>
          <w:rFonts w:ascii="Arial" w:cs="Arial" w:eastAsia="Arial" w:hAnsi="Arial"/>
          <w:sz w:val="17"/>
          <w:szCs w:val="17"/>
          <w:color w:val="0A0A0A"/>
        </w:rPr>
        <w:t xml:space="preserve"> and we generated a record</w:t>
      </w:r>
      <w:r>
        <w:rPr>
          <w:rFonts w:ascii="Arial" w:cs="Arial" w:eastAsia="Arial" w:hAnsi="Arial"/>
          <w:sz w:val="22"/>
          <w:szCs w:val="22"/>
          <w:color w:val="0A0A0A"/>
          <w:vertAlign w:val="superscript"/>
        </w:rPr>
        <w:t>(1)</w:t>
      </w:r>
      <w:r>
        <w:rPr>
          <w:rFonts w:ascii="Arial" w:cs="Arial" w:eastAsia="Arial" w:hAnsi="Arial"/>
          <w:sz w:val="17"/>
          <w:szCs w:val="17"/>
          <w:color w:val="0A0A0A"/>
        </w:rPr>
        <w:t xml:space="preserve"> 21.4% adjusted EBITDA margin</w:t>
      </w:r>
      <w:r>
        <w:rPr>
          <w:rFonts w:ascii="Arial" w:cs="Arial" w:eastAsia="Arial" w:hAnsi="Arial"/>
          <w:sz w:val="22"/>
          <w:szCs w:val="22"/>
          <w:color w:val="0A0A0A"/>
          <w:vertAlign w:val="superscript"/>
        </w:rPr>
        <w:t>(2)</w:t>
      </w:r>
      <w:r>
        <w:rPr>
          <w:rFonts w:ascii="Arial" w:cs="Arial" w:eastAsia="Arial" w:hAnsi="Arial"/>
          <w:sz w:val="17"/>
          <w:szCs w:val="17"/>
          <w:color w:val="0A0A0A"/>
        </w:rPr>
        <w:t xml:space="preserve"> for the full year. These positive results allowed us to return cash to shareholders through share repurchases, which in 2023 totaled 4.2 million</w:t>
      </w:r>
    </w:p>
    <w:p>
      <w:pPr>
        <w:spacing w:after="0" w:line="9" w:lineRule="exact"/>
        <w:rPr>
          <w:sz w:val="20"/>
          <w:szCs w:val="20"/>
          <w:color w:val="auto"/>
        </w:rPr>
      </w:pPr>
    </w:p>
    <w:p>
      <w:pPr>
        <w:spacing w:after="0" w:line="271" w:lineRule="auto"/>
        <w:rPr>
          <w:sz w:val="20"/>
          <w:szCs w:val="20"/>
          <w:color w:val="auto"/>
        </w:rPr>
      </w:pPr>
      <w:r>
        <w:rPr>
          <w:rFonts w:ascii="Arial" w:cs="Arial" w:eastAsia="Arial" w:hAnsi="Arial"/>
          <w:sz w:val="18"/>
          <w:szCs w:val="18"/>
          <w:color w:val="0A0A0A"/>
        </w:rPr>
        <w:t>shares for $68.6 million. Total Capex spending in 2023 was $218.2 million, of which approximately $200 million was for additional aircraft. We expect these aircraft to provide almost all of the passenger lift we need through 2025, resulting in much lower capex levels in 2024.”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Notable Highlights</w:t>
      </w:r>
    </w:p>
    <w:p>
      <w:pPr>
        <w:spacing w:after="0" w:line="252"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i w:val="1"/>
          <w:iCs w:val="1"/>
          <w:color w:val="0A0A0A"/>
        </w:rPr>
      </w:pPr>
      <w:r>
        <w:rPr>
          <w:rFonts w:ascii="Arial" w:cs="Arial" w:eastAsia="Arial" w:hAnsi="Arial"/>
          <w:sz w:val="18"/>
          <w:szCs w:val="18"/>
          <w:color w:val="0A0A0A"/>
        </w:rPr>
        <w:t>Strengthened ties with our Minnesota community by becoming the Official Airline of the University of Minnesota Gopher Athletics</w:t>
      </w:r>
    </w:p>
    <w:p>
      <w:pPr>
        <w:spacing w:after="0" w:line="27" w:lineRule="exact"/>
        <w:rPr>
          <w:rFonts w:ascii="Arial" w:cs="Arial" w:eastAsia="Arial" w:hAnsi="Arial"/>
          <w:sz w:val="18"/>
          <w:szCs w:val="18"/>
          <w:i w:val="1"/>
          <w:iCs w:val="1"/>
          <w:color w:val="0A0A0A"/>
        </w:rPr>
      </w:pPr>
    </w:p>
    <w:p>
      <w:pPr>
        <w:ind w:left="660" w:right="100" w:hanging="328"/>
        <w:spacing w:after="0" w:line="250" w:lineRule="auto"/>
        <w:tabs>
          <w:tab w:leader="none" w:pos="655" w:val="left"/>
        </w:tabs>
        <w:numPr>
          <w:ilvl w:val="0"/>
          <w:numId w:val="2"/>
        </w:numPr>
        <w:rPr>
          <w:rFonts w:ascii="Arial" w:cs="Arial" w:eastAsia="Arial" w:hAnsi="Arial"/>
          <w:sz w:val="18"/>
          <w:szCs w:val="18"/>
          <w:color w:val="0A0A0A"/>
        </w:rPr>
      </w:pPr>
      <w:r>
        <w:rPr>
          <w:rFonts w:ascii="Arial" w:cs="Arial" w:eastAsia="Arial" w:hAnsi="Arial"/>
          <w:sz w:val="18"/>
          <w:szCs w:val="18"/>
          <w:color w:val="0A0A0A"/>
        </w:rPr>
        <w:t>Acquired one 737-800 which will remain on lease to Fly Dubai until the fourth quarter 2024. Expected to acquire another 737-800 by the end of February 2024 which will also remain on lease to Fly Dubai.</w:t>
      </w:r>
    </w:p>
    <w:p>
      <w:pPr>
        <w:ind w:left="660" w:right="240" w:hanging="328"/>
        <w:spacing w:after="0" w:line="266"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0A0A0A"/>
        </w:rPr>
        <w:t xml:space="preserve">The Company repurchased 0.9 million shares at an average price of $14.93 </w:t>
      </w:r>
      <w:r>
        <w:rPr>
          <w:rFonts w:ascii="Arial" w:cs="Arial" w:eastAsia="Arial" w:hAnsi="Arial"/>
          <w:sz w:val="18"/>
          <w:szCs w:val="18"/>
          <w:color w:val="000000"/>
        </w:rPr>
        <w:t>during the fourth quarter</w:t>
      </w:r>
      <w:r>
        <w:rPr>
          <w:rFonts w:ascii="Arial" w:cs="Arial" w:eastAsia="Arial" w:hAnsi="Arial"/>
          <w:sz w:val="18"/>
          <w:szCs w:val="18"/>
          <w:color w:val="0A0A0A"/>
        </w:rPr>
        <w:t>. At the end of the year, $11.5 million remained under the current repurchase authorization.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Capacity</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0A0A0A"/>
        </w:rPr>
        <w:t xml:space="preserve">System block hours flown during the fourth quarter of </w:t>
      </w:r>
      <w:r>
        <w:rPr>
          <w:rFonts w:ascii="Arial" w:cs="Arial" w:eastAsia="Arial" w:hAnsi="Arial"/>
          <w:sz w:val="18"/>
          <w:szCs w:val="18"/>
          <w:color w:val="000000"/>
        </w:rPr>
        <w:t>2023</w:t>
      </w:r>
      <w:r>
        <w:rPr>
          <w:rFonts w:ascii="Arial" w:cs="Arial" w:eastAsia="Arial" w:hAnsi="Arial"/>
          <w:sz w:val="18"/>
          <w:szCs w:val="18"/>
          <w:color w:val="0A0A0A"/>
        </w:rPr>
        <w:t xml:space="preserve"> grew by 10.4% year over year, while scheduled service ASMs increased 14.9%. Cargo block hours also grew 1.8% year over year during this time. For full year 2023, system block hours grew 9.8% driven by an increase in scheduled service block hours of 8.6%, an increase in cargo block hours of 5.8% and an increase of charter block hours of 18.9%.</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0A0A0A"/>
        </w:rPr>
        <w:t xml:space="preserve">Fourth quarter charter block hours grew 7.8% year over year driven by the continued growth in flying under long-term contracts, which comprised 70% of total charter flying versus 61% in the fourth quarter of 2022. Full year </w:t>
      </w:r>
      <w:r>
        <w:rPr>
          <w:rFonts w:ascii="Arial" w:cs="Arial" w:eastAsia="Arial" w:hAnsi="Arial"/>
          <w:sz w:val="18"/>
          <w:szCs w:val="18"/>
          <w:color w:val="000000"/>
        </w:rPr>
        <w:t>2023</w:t>
      </w:r>
      <w:r>
        <w:rPr>
          <w:rFonts w:ascii="Arial" w:cs="Arial" w:eastAsia="Arial" w:hAnsi="Arial"/>
          <w:sz w:val="18"/>
          <w:szCs w:val="18"/>
          <w:color w:val="0A0A0A"/>
        </w:rPr>
        <w:t xml:space="preserve"> charter block hours under long-term contracts were 80% of total charter block hours versus 76% last year. This was mostly due to 25.7% growth in charter flying under long-term contracts versus the full year 2022.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Revenue</w:t>
      </w:r>
    </w:p>
    <w:p>
      <w:pPr>
        <w:spacing w:after="0" w:line="225"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0A0A0A"/>
        </w:rPr>
        <w:t xml:space="preserve">For the fourth quarter of </w:t>
      </w:r>
      <w:r>
        <w:rPr>
          <w:rFonts w:ascii="Arial" w:cs="Arial" w:eastAsia="Arial" w:hAnsi="Arial"/>
          <w:sz w:val="18"/>
          <w:szCs w:val="18"/>
          <w:color w:val="000000"/>
        </w:rPr>
        <w:t>2023</w:t>
      </w:r>
      <w:r>
        <w:rPr>
          <w:rFonts w:ascii="Arial" w:cs="Arial" w:eastAsia="Arial" w:hAnsi="Arial"/>
          <w:sz w:val="18"/>
          <w:szCs w:val="18"/>
          <w:color w:val="0A0A0A"/>
        </w:rPr>
        <w:t xml:space="preserve">, the Company reported total revenue of $245.5 million, which was 8.1% more than the fourth quarter of 2022. </w:t>
      </w:r>
      <w:r>
        <w:rPr>
          <w:rFonts w:ascii="Arial" w:cs="Arial" w:eastAsia="Arial" w:hAnsi="Arial"/>
          <w:sz w:val="18"/>
          <w:szCs w:val="18"/>
          <w:color w:val="000000"/>
        </w:rPr>
        <w:t>The Company’s scheduled service TRASM</w:t>
      </w:r>
      <w:r>
        <w:rPr>
          <w:rFonts w:ascii="Arial" w:cs="Arial" w:eastAsia="Arial" w:hAnsi="Arial"/>
          <w:sz w:val="23"/>
          <w:szCs w:val="23"/>
          <w:color w:val="000000"/>
          <w:vertAlign w:val="superscript"/>
        </w:rPr>
        <w:t>(4)</w:t>
      </w:r>
      <w:r>
        <w:rPr>
          <w:rFonts w:ascii="Arial" w:cs="Arial" w:eastAsia="Arial" w:hAnsi="Arial"/>
          <w:sz w:val="18"/>
          <w:szCs w:val="18"/>
          <w:color w:val="000000"/>
        </w:rPr>
        <w:t xml:space="preserve"> of 10.7 cents in the </w:t>
      </w:r>
      <w:r>
        <w:rPr>
          <w:rFonts w:ascii="Arial" w:cs="Arial" w:eastAsia="Arial" w:hAnsi="Arial"/>
          <w:sz w:val="18"/>
          <w:szCs w:val="18"/>
          <w:color w:val="0A0A0A"/>
        </w:rPr>
        <w:t>fourth</w:t>
      </w:r>
      <w:r>
        <w:rPr>
          <w:rFonts w:ascii="Arial" w:cs="Arial" w:eastAsia="Arial" w:hAnsi="Arial"/>
          <w:sz w:val="18"/>
          <w:szCs w:val="18"/>
          <w:color w:val="000000"/>
        </w:rPr>
        <w:t xml:space="preserve"> quarter of 2023 decreased 9.1% year over year as scheduled service ASMs increased 14.9%. The fourth quarter 2023 total fare per passenger of $ 156.39 was less than </w:t>
      </w:r>
      <w:r>
        <w:rPr>
          <w:rFonts w:ascii="Arial" w:cs="Arial" w:eastAsia="Arial" w:hAnsi="Arial"/>
          <w:sz w:val="18"/>
          <w:szCs w:val="18"/>
          <w:color w:val="0A0A0A"/>
        </w:rPr>
        <w:t>fourth</w:t>
      </w:r>
      <w:r>
        <w:rPr>
          <w:rFonts w:ascii="Arial" w:cs="Arial" w:eastAsia="Arial" w:hAnsi="Arial"/>
          <w:sz w:val="18"/>
          <w:szCs w:val="18"/>
          <w:color w:val="000000"/>
        </w:rPr>
        <w:t xml:space="preserve"> quarter 2022 by 11.8% while scheduled load factor of 84.7% was little changed versus last year. Full year 2023 scheduled service TRASM</w:t>
      </w:r>
      <w:r>
        <w:rPr>
          <w:rFonts w:ascii="Arial" w:cs="Arial" w:eastAsia="Arial" w:hAnsi="Arial"/>
          <w:sz w:val="23"/>
          <w:szCs w:val="23"/>
          <w:color w:val="000000"/>
          <w:vertAlign w:val="superscript"/>
        </w:rPr>
        <w:t>(4)</w:t>
      </w:r>
      <w:r>
        <w:rPr>
          <w:rFonts w:ascii="Arial" w:cs="Arial" w:eastAsia="Arial" w:hAnsi="Arial"/>
          <w:sz w:val="18"/>
          <w:szCs w:val="18"/>
          <w:color w:val="000000"/>
        </w:rPr>
        <w:t xml:space="preserve"> increased 7.6% while scheduled service ASMs increased 7.2% for the same time period. Full year total fare per passenger of $176.30 grew by 0.6% on a 2.8 percentage point increase in scheduled service load factor.</w:t>
      </w:r>
    </w:p>
    <w:p>
      <w:pPr>
        <w:spacing w:after="0" w:line="19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Charter service revenue is primarily generated through service provided to collegiate and professional sports teams, the U.S. Department of Defense, and casinos. In the fourth quarter of 2023, the Company’s charter</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2</w:t>
      </w:r>
    </w:p>
    <w:p>
      <w:pPr>
        <w:sectPr>
          <w:pgSz w:w="11900" w:h="16838" w:orient="portrait"/>
          <w:cols w:equalWidth="0" w:num="1">
            <w:col w:w="11240"/>
          </w:cols>
          <w:pgMar w:left="320" w:top="1170" w:right="339" w:bottom="1440" w:gutter="0" w:footer="0" w:header="0"/>
        </w:sectPr>
      </w:pPr>
    </w:p>
    <w:bookmarkStart w:id="5" w:name="page6"/>
    <w:bookmarkEnd w:id="5"/>
    <w:p>
      <w:pPr>
        <w:jc w:val="both"/>
        <w:spacing w:after="0" w:line="287" w:lineRule="auto"/>
        <w:rPr>
          <w:sz w:val="20"/>
          <w:szCs w:val="20"/>
          <w:color w:val="auto"/>
        </w:rPr>
      </w:pPr>
      <w:r>
        <w:rPr>
          <w:rFonts w:ascii="Arial" w:cs="Arial" w:eastAsia="Arial" w:hAnsi="Arial"/>
          <w:sz w:val="18"/>
          <w:szCs w:val="18"/>
          <w:color w:val="auto"/>
        </w:rPr>
        <w:t>service revenue was $46.9 million, an increase of 8.8% year over year. For the full year, charter service revenue was $190.1 million, an increase of 17.6% versus last year.</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Cargo revenue consists of revenue earned from flying cargo aircraft under the Air Transportation Services Agreement (“ATSA”) with Amazon. In the fourth quarter of 2023, cargo revenue was $25.3 million, a 3.6% increase versus the fourth quarter of </w:t>
      </w:r>
      <w:r>
        <w:rPr>
          <w:rFonts w:ascii="Arial" w:cs="Arial" w:eastAsia="Arial" w:hAnsi="Arial"/>
          <w:sz w:val="18"/>
          <w:szCs w:val="18"/>
          <w:color w:val="0A0A0A"/>
        </w:rPr>
        <w:t>2022</w:t>
      </w:r>
      <w:r>
        <w:rPr>
          <w:rFonts w:ascii="Arial" w:cs="Arial" w:eastAsia="Arial" w:hAnsi="Arial"/>
          <w:sz w:val="18"/>
          <w:szCs w:val="18"/>
          <w:color w:val="auto"/>
        </w:rPr>
        <w:t>. For the full year, charter service revenue was $99.7 million, an increase of 10.4% versus last year.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Cost</w:t>
      </w:r>
    </w:p>
    <w:p>
      <w:pPr>
        <w:spacing w:after="0" w:line="22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0A0A0A"/>
        </w:rPr>
        <w:t>For the fourth quarter of 2023, total GAAP operating expenses increased 7.7% year-over-year versus a 10.4% increase in total block hours, primarily due to a 6.6% increase in salaries, wages, and benefits, a 5.0% increase in sales and marketing expense and a 2.6% increase in ground handling expense. This combination drove adjusted CASM</w:t>
      </w:r>
      <w:r>
        <w:rPr>
          <w:rFonts w:ascii="Arial" w:cs="Arial" w:eastAsia="Arial" w:hAnsi="Arial"/>
          <w:sz w:val="23"/>
          <w:szCs w:val="23"/>
          <w:color w:val="0A0A0A"/>
          <w:vertAlign w:val="superscript"/>
        </w:rPr>
        <w:t>(3)</w:t>
      </w:r>
      <w:r>
        <w:rPr>
          <w:rFonts w:ascii="Arial" w:cs="Arial" w:eastAsia="Arial" w:hAnsi="Arial"/>
          <w:sz w:val="18"/>
          <w:szCs w:val="18"/>
          <w:color w:val="0A0A0A"/>
        </w:rPr>
        <w:t xml:space="preserve"> in the fourth quarter lower by 2.2% versus the fourth quarter 2022. For the full year 2023, total GAAP operating expenses increased 9.9% while total system block hours grew 9.8% versus 2022. Salaries, wages and benefits grew 20.2%, while maintenance expense increased 30.0% in full year 2023, which were the primary drivers of the 6.4% year over year increase in adjusted CASM</w:t>
      </w:r>
      <w:r>
        <w:rPr>
          <w:rFonts w:ascii="Arial" w:cs="Arial" w:eastAsia="Arial" w:hAnsi="Arial"/>
          <w:sz w:val="23"/>
          <w:szCs w:val="23"/>
          <w:color w:val="0A0A0A"/>
          <w:vertAlign w:val="superscript"/>
        </w:rPr>
        <w:t>(3)</w:t>
      </w:r>
      <w:r>
        <w:rPr>
          <w:rFonts w:ascii="Arial" w:cs="Arial" w:eastAsia="Arial" w:hAnsi="Arial"/>
          <w:sz w:val="18"/>
          <w:szCs w:val="18"/>
          <w:color w:val="0A0A0A"/>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Balance Sheet and Liquidity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0A0A0A"/>
        </w:rPr>
        <w:t>Total liquidity</w:t>
      </w:r>
      <w:r>
        <w:rPr>
          <w:rFonts w:ascii="Arial" w:cs="Arial" w:eastAsia="Arial" w:hAnsi="Arial"/>
          <w:sz w:val="23"/>
          <w:szCs w:val="23"/>
          <w:color w:val="0A0A0A"/>
          <w:vertAlign w:val="superscript"/>
        </w:rPr>
        <w:t>(5)</w:t>
      </w:r>
      <w:r>
        <w:rPr>
          <w:rFonts w:ascii="Arial" w:cs="Arial" w:eastAsia="Arial" w:hAnsi="Arial"/>
          <w:sz w:val="18"/>
          <w:szCs w:val="18"/>
          <w:color w:val="0A0A0A"/>
        </w:rPr>
        <w:t xml:space="preserve"> was $205.2 million on December 31, 2023, while the Company’s net debt</w:t>
      </w:r>
      <w:r>
        <w:rPr>
          <w:rFonts w:ascii="Arial" w:cs="Arial" w:eastAsia="Arial" w:hAnsi="Arial"/>
          <w:sz w:val="23"/>
          <w:szCs w:val="23"/>
          <w:color w:val="0A0A0A"/>
          <w:vertAlign w:val="superscript"/>
        </w:rPr>
        <w:t>(6)</w:t>
      </w:r>
      <w:r>
        <w:rPr>
          <w:rFonts w:ascii="Arial" w:cs="Arial" w:eastAsia="Arial" w:hAnsi="Arial"/>
          <w:sz w:val="18"/>
          <w:szCs w:val="18"/>
          <w:color w:val="0A0A0A"/>
        </w:rPr>
        <w:t xml:space="preserve"> was $517.2 million.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December 31, 2023</w:t>
            </w:r>
          </w:p>
        </w:tc>
        <w:tc>
          <w:tcPr>
            <w:tcW w:w="3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December 31, 2022</w:t>
            </w:r>
          </w:p>
        </w:tc>
      </w:tr>
      <w:tr>
        <w:trPr>
          <w:trHeight w:val="222"/>
        </w:trPr>
        <w:tc>
          <w:tcPr>
            <w:tcW w:w="6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58"/>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w:t>
            </w:r>
          </w:p>
        </w:tc>
      </w:tr>
      <w:tr>
        <w:trPr>
          <w:trHeight w:val="247"/>
        </w:trPr>
        <w:tc>
          <w:tcPr>
            <w:tcW w:w="662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3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172.6</w:t>
            </w:r>
          </w:p>
        </w:tc>
      </w:tr>
      <w:tr>
        <w:trPr>
          <w:trHeight w:val="23"/>
        </w:trPr>
        <w:tc>
          <w:tcPr>
            <w:tcW w:w="6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 Available Under Revolving Credit Facility</w:t>
            </w:r>
          </w:p>
        </w:tc>
        <w:tc>
          <w:tcPr>
            <w:tcW w:w="3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64"/>
        </w:trPr>
        <w:tc>
          <w:tcPr>
            <w:tcW w:w="6620" w:type="dxa"/>
            <w:vAlign w:val="bottom"/>
          </w:tcPr>
          <w:p>
            <w:pPr>
              <w:ind w:left="240"/>
              <w:spacing w:after="0"/>
              <w:rPr>
                <w:sz w:val="20"/>
                <w:szCs w:val="20"/>
                <w:color w:val="auto"/>
              </w:rPr>
            </w:pPr>
            <w:r>
              <w:rPr>
                <w:rFonts w:ascii="Arial" w:cs="Arial" w:eastAsia="Arial" w:hAnsi="Arial"/>
                <w:sz w:val="18"/>
                <w:szCs w:val="18"/>
                <w:color w:val="auto"/>
              </w:rPr>
              <w:t>Total Liquidity</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289.4</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183"/>
        </w:trPr>
        <w:tc>
          <w:tcPr>
            <w:tcW w:w="6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r>
      <w:tr>
        <w:trPr>
          <w:trHeight w:val="223"/>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December 31, 2023</w:t>
            </w:r>
          </w:p>
        </w:tc>
        <w:tc>
          <w:tcPr>
            <w:tcW w:w="3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December 31, 2022</w:t>
            </w:r>
          </w:p>
        </w:tc>
      </w:tr>
      <w:tr>
        <w:trPr>
          <w:trHeight w:val="222"/>
        </w:trPr>
        <w:tc>
          <w:tcPr>
            <w:tcW w:w="6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58"/>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 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352.2</w:t>
            </w:r>
          </w:p>
        </w:tc>
      </w:tr>
      <w:tr>
        <w:trPr>
          <w:trHeight w:val="247"/>
        </w:trPr>
        <w:tc>
          <w:tcPr>
            <w:tcW w:w="662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3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277.3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251.3</w:t>
            </w:r>
          </w:p>
        </w:tc>
      </w:tr>
      <w:tr>
        <w:trPr>
          <w:trHeight w:val="23"/>
        </w:trPr>
        <w:tc>
          <w:tcPr>
            <w:tcW w:w="6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3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40"/>
        </w:trPr>
        <w:tc>
          <w:tcPr>
            <w:tcW w:w="6620" w:type="dxa"/>
            <w:vAlign w:val="bottom"/>
          </w:tcPr>
          <w:p>
            <w:pPr>
              <w:ind w:left="180"/>
              <w:spacing w:after="0"/>
              <w:rPr>
                <w:sz w:val="20"/>
                <w:szCs w:val="20"/>
                <w:color w:val="auto"/>
              </w:rPr>
            </w:pPr>
            <w:r>
              <w:rPr>
                <w:rFonts w:ascii="Arial" w:cs="Arial" w:eastAsia="Arial" w:hAnsi="Arial"/>
                <w:sz w:val="18"/>
                <w:szCs w:val="18"/>
                <w:color w:val="auto"/>
              </w:rPr>
              <w:t>Total Debt and Lease Obligations</w:t>
            </w:r>
          </w:p>
        </w:tc>
        <w:tc>
          <w:tcPr>
            <w:tcW w:w="30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629.6</w:t>
            </w:r>
          </w:p>
        </w:tc>
      </w:tr>
      <w:tr>
        <w:trPr>
          <w:trHeight w:val="23"/>
        </w:trPr>
        <w:tc>
          <w:tcPr>
            <w:tcW w:w="6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w:t>
            </w:r>
          </w:p>
        </w:tc>
      </w:tr>
      <w:tr>
        <w:trPr>
          <w:trHeight w:val="247"/>
        </w:trPr>
        <w:tc>
          <w:tcPr>
            <w:tcW w:w="662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3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172.6</w:t>
            </w:r>
          </w:p>
        </w:tc>
      </w:tr>
      <w:tr>
        <w:trPr>
          <w:trHeight w:val="23"/>
        </w:trPr>
        <w:tc>
          <w:tcPr>
            <w:tcW w:w="6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88"/>
        </w:trPr>
        <w:tc>
          <w:tcPr>
            <w:tcW w:w="6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Debt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364.8</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Fleet</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As of December 31, 2023, the Company had 42 aircraft in its passenger service fleet, operated 12 freighter aircraft in its cargo operation and had six aircraft that are currently on lease to unaffiliated airlines.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Guidance for First Quarter 2024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8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tcPr>
          <w:p>
            <w:pPr>
              <w:jc w:val="center"/>
              <w:ind w:left="1333"/>
              <w:spacing w:after="0"/>
              <w:rPr>
                <w:sz w:val="20"/>
                <w:szCs w:val="20"/>
                <w:color w:val="auto"/>
              </w:rPr>
            </w:pPr>
            <w:r>
              <w:rPr>
                <w:rFonts w:ascii="Arial" w:cs="Arial" w:eastAsia="Arial" w:hAnsi="Arial"/>
                <w:sz w:val="14"/>
                <w:szCs w:val="14"/>
                <w:b w:val="1"/>
                <w:bCs w:val="1"/>
                <w:color w:val="0A0A0A"/>
              </w:rPr>
              <w:t>Q1 2024</w:t>
            </w: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A0A0A"/>
              </w:rPr>
              <w:t>H/(L) vs Q1 2023</w:t>
            </w:r>
          </w:p>
        </w:tc>
      </w:tr>
      <w:tr>
        <w:trPr>
          <w:trHeight w:val="224"/>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Total revenue - millions</w:t>
            </w:r>
          </w:p>
        </w:tc>
        <w:tc>
          <w:tcPr>
            <w:tcW w:w="3700" w:type="dxa"/>
            <w:vAlign w:val="bottom"/>
            <w:shd w:val="clear" w:color="auto" w:fill="CCEEFF"/>
          </w:tcPr>
          <w:p>
            <w:pPr>
              <w:jc w:val="center"/>
              <w:ind w:left="1333"/>
              <w:spacing w:after="0"/>
              <w:rPr>
                <w:sz w:val="20"/>
                <w:szCs w:val="20"/>
                <w:color w:val="auto"/>
              </w:rPr>
            </w:pPr>
            <w:r>
              <w:rPr>
                <w:rFonts w:ascii="Arial" w:cs="Arial" w:eastAsia="Arial" w:hAnsi="Arial"/>
                <w:sz w:val="18"/>
                <w:szCs w:val="18"/>
                <w:color w:val="0A0A0A"/>
                <w:w w:val="98"/>
              </w:rPr>
              <w:t>$310 to $320</w:t>
            </w:r>
          </w:p>
        </w:tc>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0A0A0A"/>
              </w:rPr>
              <w:t>5% to 9%</w:t>
            </w:r>
          </w:p>
        </w:tc>
      </w:tr>
      <w:tr>
        <w:trPr>
          <w:trHeight w:val="229"/>
        </w:trPr>
        <w:tc>
          <w:tcPr>
            <w:tcW w:w="5180" w:type="dxa"/>
            <w:vAlign w:val="bottom"/>
          </w:tcPr>
          <w:p>
            <w:pPr>
              <w:ind w:left="80"/>
              <w:spacing w:after="0"/>
              <w:rPr>
                <w:sz w:val="20"/>
                <w:szCs w:val="20"/>
                <w:color w:val="auto"/>
              </w:rPr>
            </w:pPr>
            <w:r>
              <w:rPr>
                <w:rFonts w:ascii="Arial" w:cs="Arial" w:eastAsia="Arial" w:hAnsi="Arial"/>
                <w:sz w:val="18"/>
                <w:szCs w:val="18"/>
                <w:color w:val="0A0A0A"/>
              </w:rPr>
              <w:t>Economic fuel cost per gallon</w:t>
            </w:r>
          </w:p>
        </w:tc>
        <w:tc>
          <w:tcPr>
            <w:tcW w:w="3700" w:type="dxa"/>
            <w:vAlign w:val="bottom"/>
          </w:tcPr>
          <w:p>
            <w:pPr>
              <w:jc w:val="center"/>
              <w:ind w:left="1333"/>
              <w:spacing w:after="0"/>
              <w:rPr>
                <w:sz w:val="20"/>
                <w:szCs w:val="20"/>
                <w:color w:val="auto"/>
              </w:rPr>
            </w:pPr>
            <w:r>
              <w:rPr>
                <w:rFonts w:ascii="Arial" w:cs="Arial" w:eastAsia="Arial" w:hAnsi="Arial"/>
                <w:sz w:val="18"/>
                <w:szCs w:val="18"/>
                <w:color w:val="0A0A0A"/>
                <w:w w:val="97"/>
              </w:rPr>
              <w:t>$3.00</w:t>
            </w:r>
          </w:p>
        </w:tc>
        <w:tc>
          <w:tcPr>
            <w:tcW w:w="2340" w:type="dxa"/>
            <w:vAlign w:val="bottom"/>
          </w:tcPr>
          <w:p>
            <w:pPr>
              <w:jc w:val="center"/>
              <w:spacing w:after="0"/>
              <w:rPr>
                <w:sz w:val="20"/>
                <w:szCs w:val="20"/>
                <w:color w:val="auto"/>
              </w:rPr>
            </w:pPr>
            <w:r>
              <w:rPr>
                <w:rFonts w:ascii="Arial" w:cs="Arial" w:eastAsia="Arial" w:hAnsi="Arial"/>
                <w:sz w:val="18"/>
                <w:szCs w:val="18"/>
                <w:color w:val="0A0A0A"/>
                <w:w w:val="99"/>
              </w:rPr>
              <w:t>(13%)</w:t>
            </w:r>
          </w:p>
        </w:tc>
      </w:tr>
      <w:tr>
        <w:trPr>
          <w:trHeight w:val="230"/>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Operating income margin - percentage</w:t>
            </w:r>
          </w:p>
        </w:tc>
        <w:tc>
          <w:tcPr>
            <w:tcW w:w="3700" w:type="dxa"/>
            <w:vAlign w:val="bottom"/>
            <w:shd w:val="clear" w:color="auto" w:fill="CCEEFF"/>
          </w:tcPr>
          <w:p>
            <w:pPr>
              <w:jc w:val="center"/>
              <w:ind w:left="1333"/>
              <w:spacing w:after="0"/>
              <w:rPr>
                <w:sz w:val="20"/>
                <w:szCs w:val="20"/>
                <w:color w:val="auto"/>
              </w:rPr>
            </w:pPr>
            <w:r>
              <w:rPr>
                <w:rFonts w:ascii="Arial" w:cs="Arial" w:eastAsia="Arial" w:hAnsi="Arial"/>
                <w:sz w:val="18"/>
                <w:szCs w:val="18"/>
                <w:color w:val="0A0A0A"/>
                <w:w w:val="98"/>
              </w:rPr>
              <w:t>17% to 21%</w:t>
            </w:r>
          </w:p>
        </w:tc>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0A0A0A"/>
              </w:rPr>
              <w:t>(3pp) to 1pp</w:t>
            </w:r>
          </w:p>
        </w:tc>
      </w:tr>
      <w:tr>
        <w:trPr>
          <w:trHeight w:val="229"/>
        </w:trPr>
        <w:tc>
          <w:tcPr>
            <w:tcW w:w="5180" w:type="dxa"/>
            <w:vAlign w:val="bottom"/>
          </w:tcPr>
          <w:p>
            <w:pPr>
              <w:ind w:left="80"/>
              <w:spacing w:after="0"/>
              <w:rPr>
                <w:sz w:val="20"/>
                <w:szCs w:val="20"/>
                <w:color w:val="auto"/>
              </w:rPr>
            </w:pPr>
            <w:r>
              <w:rPr>
                <w:rFonts w:ascii="Arial" w:cs="Arial" w:eastAsia="Arial" w:hAnsi="Arial"/>
                <w:sz w:val="18"/>
                <w:szCs w:val="18"/>
                <w:color w:val="0A0A0A"/>
              </w:rPr>
              <w:t>Effective tax rate</w:t>
            </w:r>
          </w:p>
        </w:tc>
        <w:tc>
          <w:tcPr>
            <w:tcW w:w="3700" w:type="dxa"/>
            <w:vAlign w:val="bottom"/>
          </w:tcPr>
          <w:p>
            <w:pPr>
              <w:jc w:val="center"/>
              <w:ind w:left="1333"/>
              <w:spacing w:after="0"/>
              <w:rPr>
                <w:sz w:val="20"/>
                <w:szCs w:val="20"/>
                <w:color w:val="auto"/>
              </w:rPr>
            </w:pPr>
            <w:r>
              <w:rPr>
                <w:rFonts w:ascii="Arial" w:cs="Arial" w:eastAsia="Arial" w:hAnsi="Arial"/>
                <w:sz w:val="18"/>
                <w:szCs w:val="18"/>
                <w:color w:val="0A0A0A"/>
                <w:w w:val="99"/>
              </w:rPr>
              <w:t>23%</w:t>
            </w:r>
          </w:p>
        </w:tc>
        <w:tc>
          <w:tcPr>
            <w:tcW w:w="2340" w:type="dxa"/>
            <w:vAlign w:val="bottom"/>
          </w:tcPr>
          <w:p>
            <w:pPr>
              <w:spacing w:after="0"/>
              <w:rPr>
                <w:sz w:val="19"/>
                <w:szCs w:val="19"/>
                <w:color w:val="auto"/>
              </w:rPr>
            </w:pPr>
          </w:p>
        </w:tc>
      </w:tr>
      <w:tr>
        <w:trPr>
          <w:trHeight w:val="230"/>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Total system block hours - thousands</w:t>
            </w:r>
          </w:p>
        </w:tc>
        <w:tc>
          <w:tcPr>
            <w:tcW w:w="3700" w:type="dxa"/>
            <w:vAlign w:val="bottom"/>
            <w:shd w:val="clear" w:color="auto" w:fill="CCEEFF"/>
          </w:tcPr>
          <w:p>
            <w:pPr>
              <w:jc w:val="center"/>
              <w:ind w:left="1333"/>
              <w:spacing w:after="0"/>
              <w:rPr>
                <w:sz w:val="20"/>
                <w:szCs w:val="20"/>
                <w:color w:val="auto"/>
              </w:rPr>
            </w:pPr>
            <w:r>
              <w:rPr>
                <w:rFonts w:ascii="Arial" w:cs="Arial" w:eastAsia="Arial" w:hAnsi="Arial"/>
                <w:sz w:val="18"/>
                <w:szCs w:val="18"/>
                <w:color w:val="0A0A0A"/>
                <w:w w:val="98"/>
              </w:rPr>
              <w:t>38 to 39</w:t>
            </w:r>
          </w:p>
        </w:tc>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0A0A0A"/>
                <w:w w:val="98"/>
              </w:rPr>
              <w:t>8% to 11%</w:t>
            </w:r>
          </w:p>
        </w:tc>
      </w:tr>
    </w:tbl>
    <w:p>
      <w:pPr>
        <w:spacing w:after="0" w:line="200" w:lineRule="exact"/>
        <w:rPr>
          <w:sz w:val="20"/>
          <w:szCs w:val="20"/>
          <w:color w:val="auto"/>
        </w:rPr>
      </w:pPr>
    </w:p>
    <w:p>
      <w:pPr>
        <w:sectPr>
          <w:pgSz w:w="11900" w:h="16838" w:orient="portrait"/>
          <w:cols w:equalWidth="0" w:num="1">
            <w:col w:w="11240"/>
          </w:cols>
          <w:pgMar w:left="320" w:top="1282"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3</w:t>
      </w:r>
    </w:p>
    <w:p>
      <w:pPr>
        <w:sectPr>
          <w:pgSz w:w="11900" w:h="16838" w:orient="portrait"/>
          <w:cols w:equalWidth="0" w:num="1">
            <w:col w:w="11240"/>
          </w:cols>
          <w:pgMar w:left="320" w:top="1282" w:right="339" w:bottom="144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4</w:t>
      </w:r>
    </w:p>
    <w:p>
      <w:pPr>
        <w:sectPr>
          <w:pgSz w:w="11900" w:h="16838" w:orient="portrait"/>
          <w:cols w:equalWidth="0" w:num="1">
            <w:col w:w="9019"/>
          </w:cols>
          <w:pgMar w:left="1440" w:top="1440" w:right="1440"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0A0A0A"/>
        </w:rPr>
        <w:t>Conference Call &amp; Webcast Details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0A0A0A"/>
        </w:rPr>
        <w:t xml:space="preserve">Sun Country Airlines will host a conference call to discuss its fourth quarter and full year 2023 results at 8:00 a.m. Eastern Time on Thursday, February 1, 2024. A live broadcast of the conference call will be available via the investor relations section of Sun Country Airlines’ website at </w:t>
      </w:r>
      <w:r>
        <w:rPr>
          <w:rFonts w:ascii="Arial" w:cs="Arial" w:eastAsia="Arial" w:hAnsi="Arial"/>
          <w:sz w:val="18"/>
          <w:szCs w:val="18"/>
          <w:u w:val="single" w:color="auto"/>
          <w:color w:val="026DCE"/>
        </w:rPr>
        <w:t>https://ir.suncountry.com/news-events/events-and-presentations</w:t>
      </w:r>
      <w:r>
        <w:rPr>
          <w:rFonts w:ascii="Arial" w:cs="Arial" w:eastAsia="Arial" w:hAnsi="Arial"/>
          <w:sz w:val="18"/>
          <w:szCs w:val="18"/>
          <w:color w:val="0A0A0A"/>
          <w:highlight w:val="white"/>
        </w:rPr>
        <w:t>.</w:t>
      </w:r>
      <w:r>
        <w:rPr>
          <w:rFonts w:ascii="Arial" w:cs="Arial" w:eastAsia="Arial" w:hAnsi="Arial"/>
          <w:sz w:val="18"/>
          <w:szCs w:val="18"/>
          <w:color w:val="026DCE"/>
        </w:rPr>
        <w:t xml:space="preserve"> </w:t>
      </w:r>
      <w:r>
        <w:rPr>
          <w:rFonts w:ascii="Arial" w:cs="Arial" w:eastAsia="Arial" w:hAnsi="Arial"/>
          <w:sz w:val="18"/>
          <w:szCs w:val="18"/>
          <w:color w:val="000000"/>
          <w:highlight w:val="white"/>
        </w:rPr>
        <w:t>The online replay will be available on the same website approximately one</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hour after the call. The conference call can also be listened to live by accessing https://register.vevent.com/register/BI21a7bc02112b43888ac28de97e8b6e16.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About Sun Country Airlines</w:t>
      </w:r>
    </w:p>
    <w:p>
      <w:pPr>
        <w:spacing w:after="0" w:line="14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0A0A0A"/>
        </w:rPr>
        <w:t>Sun Country Airlines is a new breed of hybrid low-cost air carrier, whose mission is to connect guests to their favorite people and places, to create lifelong memories and transformative experiences. Sun Country dynamically deploys shared resources across our synergistic scheduled service, charter and cargo businesses. Based in Minnesota, we focus on serving leisure and visiting friends and relatives ("VFR") passengers and charter customers and providing cargo CMI services, with flights throughout the United States and to destinations in Mexico, Central America, Canada, and the Caribbean.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End Notes</w:t>
      </w:r>
    </w:p>
    <w:p>
      <w:pPr>
        <w:sectPr>
          <w:pgSz w:w="11900" w:h="16838" w:orient="portrait"/>
          <w:cols w:equalWidth="0" w:num="1">
            <w:col w:w="11240"/>
          </w:cols>
          <w:pgMar w:left="320" w:top="1282" w:right="339" w:bottom="1440" w:gutter="0" w:footer="0" w:header="0"/>
        </w:sectPr>
      </w:pPr>
    </w:p>
    <w:p>
      <w:pPr>
        <w:spacing w:after="0" w:line="63" w:lineRule="exact"/>
        <w:rPr>
          <w:sz w:val="20"/>
          <w:szCs w:val="20"/>
          <w:color w:val="auto"/>
        </w:rPr>
      </w:pPr>
    </w:p>
    <w:p>
      <w:pPr>
        <w:ind w:left="180" w:hanging="154"/>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p>
    <w:p>
      <w:pPr>
        <w:spacing w:after="0" w:line="49"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2 -</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Records begin in January 2017</w:t>
      </w:r>
    </w:p>
    <w:p>
      <w:pPr>
        <w:spacing w:after="0" w:line="50"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0A0A0A"/>
        </w:rPr>
        <w:t>See additional details, including reconciliations to the most comparable GAAP measures, in the section titled “</w:t>
      </w:r>
      <w:r>
        <w:rPr>
          <w:rFonts w:ascii="Arial" w:cs="Arial" w:eastAsia="Arial" w:hAnsi="Arial"/>
          <w:sz w:val="18"/>
          <w:szCs w:val="18"/>
          <w:color w:val="000000"/>
        </w:rPr>
        <w:t>Non-GAAP financial</w:t>
      </w:r>
      <w:r>
        <w:rPr>
          <w:rFonts w:ascii="Arial" w:cs="Arial" w:eastAsia="Arial" w:hAnsi="Arial"/>
          <w:sz w:val="18"/>
          <w:szCs w:val="18"/>
          <w:color w:val="0A0A0A"/>
        </w:rPr>
        <w:t xml:space="preserve"> </w:t>
      </w:r>
      <w:r>
        <w:rPr>
          <w:rFonts w:ascii="Arial" w:cs="Arial" w:eastAsia="Arial" w:hAnsi="Arial"/>
          <w:sz w:val="18"/>
          <w:szCs w:val="18"/>
          <w:color w:val="000000"/>
        </w:rPr>
        <w:t>measures”</w:t>
      </w:r>
    </w:p>
    <w:p>
      <w:pPr>
        <w:spacing w:after="0"/>
        <w:rPr>
          <w:sz w:val="20"/>
          <w:szCs w:val="20"/>
          <w:color w:val="auto"/>
        </w:rPr>
      </w:pPr>
      <w:r>
        <w:rPr>
          <w:rFonts w:ascii="Arial" w:cs="Arial" w:eastAsia="Arial" w:hAnsi="Arial"/>
          <w:sz w:val="18"/>
          <w:szCs w:val="18"/>
          <w:color w:val="0A0A0A"/>
        </w:rPr>
        <w:t>Adjusted CASM is a non-GAAP measure derived from CASM by excluding fuel costs, non-cash management stock compensation</w:t>
      </w:r>
    </w:p>
    <w:p>
      <w:pPr>
        <w:spacing w:after="0" w:line="14"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0A0A0A"/>
        </w:rPr>
        <w:t xml:space="preserve">expense, costs arising from its cargo operations, </w:t>
      </w:r>
      <w:r>
        <w:rPr>
          <w:rFonts w:ascii="Arial" w:cs="Arial" w:eastAsia="Arial" w:hAnsi="Arial"/>
          <w:sz w:val="18"/>
          <w:szCs w:val="18"/>
          <w:color w:val="000000"/>
        </w:rPr>
        <w:t>depreciation and amortization recognized on certain assets that generate lease</w:t>
      </w:r>
      <w:r>
        <w:rPr>
          <w:rFonts w:ascii="Arial" w:cs="Arial" w:eastAsia="Arial" w:hAnsi="Arial"/>
          <w:sz w:val="18"/>
          <w:szCs w:val="18"/>
          <w:color w:val="0A0A0A"/>
        </w:rPr>
        <w:t xml:space="preserve"> </w:t>
      </w:r>
      <w:r>
        <w:rPr>
          <w:rFonts w:ascii="Arial" w:cs="Arial" w:eastAsia="Arial" w:hAnsi="Arial"/>
          <w:sz w:val="18"/>
          <w:szCs w:val="18"/>
          <w:color w:val="000000"/>
        </w:rPr>
        <w:t xml:space="preserve">income, </w:t>
      </w:r>
      <w:r>
        <w:rPr>
          <w:rFonts w:ascii="Arial" w:cs="Arial" w:eastAsia="Arial" w:hAnsi="Arial"/>
          <w:sz w:val="18"/>
          <w:szCs w:val="18"/>
          <w:color w:val="0A0A0A"/>
        </w:rPr>
        <w:t>certain commissions, and other costs of selling its vacations product from this measure. See table titled “</w:t>
      </w:r>
      <w:r>
        <w:rPr>
          <w:rFonts w:ascii="Arial" w:cs="Arial" w:eastAsia="Arial" w:hAnsi="Arial"/>
          <w:sz w:val="18"/>
          <w:szCs w:val="18"/>
          <w:color w:val="000000"/>
        </w:rPr>
        <w:t>Reconciliation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CASM to Adjusted CASM”</w:t>
      </w:r>
    </w:p>
    <w:p>
      <w:pPr>
        <w:spacing w:after="0" w:line="45" w:lineRule="exact"/>
        <w:rPr>
          <w:sz w:val="20"/>
          <w:szCs w:val="20"/>
          <w:color w:val="auto"/>
        </w:rPr>
      </w:pPr>
    </w:p>
    <w:p>
      <w:pPr>
        <w:sectPr>
          <w:pgSz w:w="11900" w:h="16838" w:orient="portrait"/>
          <w:cols w:equalWidth="0" w:num="2">
            <w:col w:w="240" w:space="240"/>
            <w:col w:w="10760"/>
          </w:cols>
          <w:pgMar w:left="320" w:top="1282" w:right="339" w:bottom="1440" w:gutter="0" w:footer="0" w:header="0"/>
          <w:type w:val="continuous"/>
        </w:sectPr>
      </w:pP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4 -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0" w:hanging="154"/>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p>
    <w:p>
      <w:pPr>
        <w:spacing w:after="0" w:line="49"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Scheduled Service TRASM includes Schedule Service revenue, Ancillary revenue, and ASM generating revenue classified within</w:t>
      </w:r>
    </w:p>
    <w:p>
      <w:pPr>
        <w:spacing w:after="0" w:line="14"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Other Revenue on the Consolidated Statement of Operations / Scheduled Service ASMs. Other Revenue includes rental revenue of approximately $5.9 million and $17.7 million associated with certain assets that generate lease income in the three months and year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ended December 31, 2023, respectively, which is not included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Total liquidity = cash and cash equivalents + available-for-sale securities + amount available under revolver</w:t>
      </w:r>
    </w:p>
    <w:p>
      <w:pPr>
        <w:spacing w:after="0" w:line="50"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Net debt = current portion of long-term debt + long-term debt + finance lease obligations + operating lease obligations – cash and cash equivalents - available-for-sale securities</w:t>
      </w:r>
    </w:p>
    <w:p>
      <w:pPr>
        <w:spacing w:after="0" w:line="200" w:lineRule="exact"/>
        <w:rPr>
          <w:sz w:val="20"/>
          <w:szCs w:val="20"/>
          <w:color w:val="auto"/>
        </w:rPr>
      </w:pPr>
    </w:p>
    <w:p>
      <w:pPr>
        <w:sectPr>
          <w:pgSz w:w="11900" w:h="16838" w:orient="portrait"/>
          <w:cols w:equalWidth="0" w:num="2">
            <w:col w:w="240" w:space="240"/>
            <w:col w:w="10760"/>
          </w:cols>
          <w:pgMar w:left="320" w:top="1282" w:right="3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Contacts</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0A0A0A"/>
        </w:rPr>
        <w:t>I</w:t>
      </w:r>
      <w:r>
        <w:rPr>
          <w:rFonts w:ascii="Arial" w:cs="Arial" w:eastAsia="Arial" w:hAnsi="Arial"/>
          <w:sz w:val="17"/>
          <w:szCs w:val="17"/>
          <w:b w:val="1"/>
          <w:bCs w:val="1"/>
          <w:color w:val="0A0A0A"/>
        </w:rPr>
        <w:t>nvestor Relations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0A0A0A"/>
        </w:rPr>
        <w:t>Chris Allen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A0A0A"/>
        </w:rPr>
        <w:t>651-681-4810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IR@suncountry.com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0A0A0A"/>
        </w:rPr>
        <w:t>Wendy Burt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A0A0A"/>
        </w:rPr>
        <w:t>651-900-8400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mediarelations@suncountry.com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5</w:t>
      </w:r>
    </w:p>
    <w:p>
      <w:pPr>
        <w:sectPr>
          <w:pgSz w:w="11900" w:h="16838" w:orient="portrait"/>
          <w:cols w:equalWidth="0" w:num="1">
            <w:col w:w="11240"/>
          </w:cols>
          <w:pgMar w:left="320" w:top="1282"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color w:val="0A0A0A"/>
        </w:rPr>
        <w:t>Forward Looking Statements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0A0A0A"/>
        </w:rPr>
        <w:t>This press release contains forward-looking statements, which involve risks and uncertainties. These forward-looking statements are generally identified by the use of forward-looking terminology, including the terms “anticipate,” “believe,” “continue,” “could,” “estimate,” “expect,” “intend,” “likely,” “may,” “plan,” “possible,” “potential,” “predict,” “project,” “should,” “target,” “will,” “would” and, in each case, their negative or other various or comparable terminology. All statements other than statements of historical facts contained in this press release, including statements regarding our strategy, future operations, future financial position, future revenue, projected costs, prospects, plans, objectives of management, and expected market growth are forward-looking statements. The forward-looking statements are relating to:</w:t>
      </w:r>
    </w:p>
    <w:p>
      <w:pPr>
        <w:spacing w:after="0" w:line="182" w:lineRule="exact"/>
        <w:rPr>
          <w:sz w:val="20"/>
          <w:szCs w:val="20"/>
          <w:color w:val="auto"/>
        </w:rPr>
      </w:pPr>
    </w:p>
    <w:p>
      <w:pPr>
        <w:ind w:left="120" w:hanging="112"/>
        <w:spacing w:after="0"/>
        <w:tabs>
          <w:tab w:leader="none" w:pos="120" w:val="left"/>
        </w:tabs>
        <w:numPr>
          <w:ilvl w:val="0"/>
          <w:numId w:val="5"/>
        </w:numPr>
        <w:rPr>
          <w:rFonts w:ascii="Arial" w:cs="Arial" w:eastAsia="Arial" w:hAnsi="Arial"/>
          <w:sz w:val="18"/>
          <w:szCs w:val="18"/>
          <w:color w:val="0A0A0A"/>
        </w:rPr>
      </w:pPr>
      <w:r>
        <w:rPr>
          <w:rFonts w:ascii="Arial" w:cs="Arial" w:eastAsia="Arial" w:hAnsi="Arial"/>
          <w:sz w:val="18"/>
          <w:szCs w:val="18"/>
          <w:color w:val="0A0A0A"/>
        </w:rPr>
        <w:t>our strategy, outlook and growth prospects;</w:t>
      </w:r>
    </w:p>
    <w:p>
      <w:pPr>
        <w:spacing w:after="0" w:line="225" w:lineRule="exact"/>
        <w:rPr>
          <w:rFonts w:ascii="Arial" w:cs="Arial" w:eastAsia="Arial" w:hAnsi="Arial"/>
          <w:sz w:val="18"/>
          <w:szCs w:val="18"/>
          <w:color w:val="0A0A0A"/>
        </w:rPr>
      </w:pPr>
    </w:p>
    <w:p>
      <w:pPr>
        <w:ind w:left="120" w:hanging="112"/>
        <w:spacing w:after="0"/>
        <w:tabs>
          <w:tab w:leader="none" w:pos="120" w:val="left"/>
        </w:tabs>
        <w:numPr>
          <w:ilvl w:val="0"/>
          <w:numId w:val="5"/>
        </w:numPr>
        <w:rPr>
          <w:rFonts w:ascii="Arial" w:cs="Arial" w:eastAsia="Arial" w:hAnsi="Arial"/>
          <w:sz w:val="18"/>
          <w:szCs w:val="18"/>
          <w:color w:val="0A0A0A"/>
        </w:rPr>
      </w:pPr>
      <w:r>
        <w:rPr>
          <w:rFonts w:ascii="Arial" w:cs="Arial" w:eastAsia="Arial" w:hAnsi="Arial"/>
          <w:sz w:val="18"/>
          <w:szCs w:val="18"/>
          <w:color w:val="0A0A0A"/>
        </w:rPr>
        <w:t>our operational and financial targets and dividend policy;</w:t>
      </w:r>
    </w:p>
    <w:p>
      <w:pPr>
        <w:spacing w:after="0" w:line="225" w:lineRule="exact"/>
        <w:rPr>
          <w:rFonts w:ascii="Arial" w:cs="Arial" w:eastAsia="Arial" w:hAnsi="Arial"/>
          <w:sz w:val="18"/>
          <w:szCs w:val="18"/>
          <w:color w:val="0A0A0A"/>
        </w:rPr>
      </w:pPr>
    </w:p>
    <w:p>
      <w:pPr>
        <w:ind w:left="120" w:hanging="112"/>
        <w:spacing w:after="0"/>
        <w:tabs>
          <w:tab w:leader="none" w:pos="120" w:val="left"/>
        </w:tabs>
        <w:numPr>
          <w:ilvl w:val="0"/>
          <w:numId w:val="5"/>
        </w:numPr>
        <w:rPr>
          <w:rFonts w:ascii="Arial" w:cs="Arial" w:eastAsia="Arial" w:hAnsi="Arial"/>
          <w:sz w:val="18"/>
          <w:szCs w:val="18"/>
          <w:color w:val="0A0A0A"/>
        </w:rPr>
      </w:pPr>
      <w:r>
        <w:rPr>
          <w:rFonts w:ascii="Arial" w:cs="Arial" w:eastAsia="Arial" w:hAnsi="Arial"/>
          <w:sz w:val="18"/>
          <w:szCs w:val="18"/>
          <w:color w:val="0A0A0A"/>
        </w:rPr>
        <w:t>general economic trends and trends in the industry and markets;</w:t>
      </w:r>
    </w:p>
    <w:p>
      <w:pPr>
        <w:spacing w:after="0" w:line="225" w:lineRule="exact"/>
        <w:rPr>
          <w:rFonts w:ascii="Arial" w:cs="Arial" w:eastAsia="Arial" w:hAnsi="Arial"/>
          <w:sz w:val="18"/>
          <w:szCs w:val="18"/>
          <w:color w:val="0A0A0A"/>
        </w:rPr>
      </w:pPr>
    </w:p>
    <w:p>
      <w:pPr>
        <w:ind w:left="120" w:hanging="112"/>
        <w:spacing w:after="0"/>
        <w:tabs>
          <w:tab w:leader="none" w:pos="120" w:val="left"/>
        </w:tabs>
        <w:numPr>
          <w:ilvl w:val="0"/>
          <w:numId w:val="5"/>
        </w:numPr>
        <w:rPr>
          <w:rFonts w:ascii="Arial" w:cs="Arial" w:eastAsia="Arial" w:hAnsi="Arial"/>
          <w:sz w:val="18"/>
          <w:szCs w:val="18"/>
          <w:color w:val="0A0A0A"/>
        </w:rPr>
      </w:pPr>
      <w:r>
        <w:rPr>
          <w:rFonts w:ascii="Arial" w:cs="Arial" w:eastAsia="Arial" w:hAnsi="Arial"/>
          <w:sz w:val="18"/>
          <w:szCs w:val="18"/>
          <w:color w:val="0A0A0A"/>
        </w:rPr>
        <w:t>potential repurchases of our common stock; and</w:t>
      </w:r>
    </w:p>
    <w:p>
      <w:pPr>
        <w:spacing w:after="0" w:line="225" w:lineRule="exact"/>
        <w:rPr>
          <w:rFonts w:ascii="Arial" w:cs="Arial" w:eastAsia="Arial" w:hAnsi="Arial"/>
          <w:sz w:val="18"/>
          <w:szCs w:val="18"/>
          <w:color w:val="0A0A0A"/>
        </w:rPr>
      </w:pPr>
    </w:p>
    <w:p>
      <w:pPr>
        <w:ind w:left="120" w:hanging="112"/>
        <w:spacing w:after="0"/>
        <w:tabs>
          <w:tab w:leader="none" w:pos="120" w:val="left"/>
        </w:tabs>
        <w:numPr>
          <w:ilvl w:val="0"/>
          <w:numId w:val="5"/>
        </w:numPr>
        <w:rPr>
          <w:rFonts w:ascii="Arial" w:cs="Arial" w:eastAsia="Arial" w:hAnsi="Arial"/>
          <w:sz w:val="18"/>
          <w:szCs w:val="18"/>
          <w:color w:val="0A0A0A"/>
        </w:rPr>
      </w:pPr>
      <w:r>
        <w:rPr>
          <w:rFonts w:ascii="Arial" w:cs="Arial" w:eastAsia="Arial" w:hAnsi="Arial"/>
          <w:sz w:val="18"/>
          <w:szCs w:val="18"/>
          <w:color w:val="0A0A0A"/>
        </w:rPr>
        <w:t>the competitive environment in which we operate.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0A0A0A"/>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0A0A0A"/>
        </w:rPr>
        <w:t>These forward-looking statements reflect our views with respect to future events as of the date of this press release and are based on assumptions and subject to risks and uncertainties. Given these uncertainties, you should not place undue reliance on these forward-looking statements. These forward-looking statements represent our estimates and assumptions only as of the date of this press release and, except as required by law, we undertake no obligation to update or review publicly any forward-looking statements, whether as a result of new information, future events or otherwise after the date of this press release. We anticipate that subsequent events and developments will cause our views to change. You should read this press release completely and with the understanding that our actual future results may be materially different from what we expect. Our forward-looking statements do not reflect the potential impact of any future acquisitions, mergers, dispositions, joint ventures, or investments we may undertake. We qualify all of our forward-looking statements by these cautionary statements. Additional information concerning certain factors is contained in the Company’s Securities and Exchange Commission filings, including but not limited to the Company’s Annual Reports on Form 10-K, Quarterly Reports on Form 10-Q, and Current Reports on Form 8-K.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Non-GAAP Financial Measures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sometimes use information that is derived from the Consolidated Financial Statements, but that is not presented in accordance with GAAP. We believe these non-GAAP measures provide a meaningful comparison of our results to others in the airline industry and our prior year results. Investors should consider these non-GAAP financial measures in addition to, and not as a substitute for, our financial performance measures prepared in accordance with GAAP. Further, our non-GAAP information may be different from the non-GAAP information provided by other companies. We believe certain charges included in our operating expenses on a GAAP basis make it difficult to compare our current period results to prior periods as well as future periods and guidance. The tables below show a reconciliation of non-GAAP financial measures used in this document to the most directly comparable 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6</w:t>
      </w:r>
    </w:p>
    <w:p>
      <w:pPr>
        <w:sectPr>
          <w:pgSz w:w="11900" w:h="16838" w:orient="portrait"/>
          <w:cols w:equalWidth="0" w:num="1">
            <w:col w:w="11240"/>
          </w:cols>
          <w:pgMar w:left="320" w:top="1309" w:right="339" w:bottom="1440" w:gutter="0" w:footer="0" w:header="0"/>
        </w:sectPr>
      </w:pPr>
    </w:p>
    <w:bookmarkStart w:id="9" w:name="page10"/>
    <w:bookmarkEnd w:id="9"/>
    <w:p>
      <w:pPr>
        <w:spacing w:after="0" w:line="35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(Dollars in thousands, except shares and per share amounts)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234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540" w:type="dxa"/>
            <w:vAlign w:val="bottom"/>
            <w:gridSpan w:val="5"/>
          </w:tcPr>
          <w:p>
            <w:pPr>
              <w:ind w:left="320"/>
              <w:spacing w:after="0"/>
              <w:rPr>
                <w:sz w:val="20"/>
                <w:szCs w:val="20"/>
                <w:color w:val="auto"/>
              </w:rPr>
            </w:pPr>
            <w:r>
              <w:rPr>
                <w:rFonts w:ascii="Arial" w:cs="Arial" w:eastAsia="Arial" w:hAnsi="Arial"/>
                <w:sz w:val="14"/>
                <w:szCs w:val="14"/>
                <w:b w:val="1"/>
                <w:bCs w:val="1"/>
                <w:color w:val="0A0A0A"/>
              </w:rPr>
              <w:t>Three Months Ended December 31,</w:t>
            </w:r>
          </w:p>
        </w:tc>
        <w:tc>
          <w:tcPr>
            <w:tcW w:w="1880" w:type="dxa"/>
            <w:vAlign w:val="bottom"/>
          </w:tcPr>
          <w:p>
            <w:pPr>
              <w:spacing w:after="0"/>
              <w:rPr>
                <w:sz w:val="17"/>
                <w:szCs w:val="17"/>
                <w:color w:val="auto"/>
              </w:rPr>
            </w:pPr>
          </w:p>
        </w:tc>
      </w:tr>
      <w:tr>
        <w:trPr>
          <w:trHeight w:val="204"/>
        </w:trPr>
        <w:tc>
          <w:tcPr>
            <w:tcW w:w="53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0A0A0A"/>
              </w:rPr>
              <w:t>2023</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0A0A0A"/>
              </w:rPr>
              <w:t>2022</w:t>
            </w:r>
          </w:p>
        </w:tc>
        <w:tc>
          <w:tcPr>
            <w:tcW w:w="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0A0A0A"/>
              </w:rPr>
              <w:t>% Change</w:t>
            </w:r>
          </w:p>
        </w:tc>
      </w:tr>
      <w:tr>
        <w:trPr>
          <w:trHeight w:val="224"/>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0A0A0A"/>
              </w:rPr>
              <w:t>Operating Revenues: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Scheduled Service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93,254</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0A0A0A"/>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0A0A0A"/>
              </w:rPr>
              <w:t>103,629</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A0A0A"/>
              </w:rPr>
              <w:t>(10.0)</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Charter</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43,092</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8.8</w:t>
            </w:r>
          </w:p>
        </w:tc>
      </w:tr>
      <w:tr>
        <w:trPr>
          <w:trHeight w:val="229"/>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0A0A0A"/>
              </w:rPr>
              <w:t>Ancillary</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70,500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52,958</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33.1</w:t>
            </w:r>
          </w:p>
        </w:tc>
      </w:tr>
      <w:tr>
        <w:trPr>
          <w:trHeight w:val="223"/>
        </w:trPr>
        <w:tc>
          <w:tcPr>
            <w:tcW w:w="5360" w:type="dxa"/>
            <w:vAlign w:val="bottom"/>
            <w:shd w:val="clear" w:color="auto" w:fill="CCEEFF"/>
          </w:tcPr>
          <w:p>
            <w:pPr>
              <w:ind w:left="300"/>
              <w:spacing w:after="0"/>
              <w:rPr>
                <w:sz w:val="20"/>
                <w:szCs w:val="20"/>
                <w:color w:val="auto"/>
              </w:rPr>
            </w:pPr>
            <w:r>
              <w:rPr>
                <w:rFonts w:ascii="Arial" w:cs="Arial" w:eastAsia="Arial" w:hAnsi="Arial"/>
                <w:sz w:val="18"/>
                <w:szCs w:val="18"/>
                <w:color w:val="0A0A0A"/>
              </w:rPr>
              <w:t>Passenger</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210,633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199,679</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5.5</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Cargo</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25,297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24,421</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A0A0A"/>
              </w:rPr>
              <w:t>3.6</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9,613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3,054</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214.8</w:t>
            </w:r>
          </w:p>
        </w:tc>
      </w:tr>
      <w:tr>
        <w:trPr>
          <w:trHeight w:val="223"/>
        </w:trPr>
        <w:tc>
          <w:tcPr>
            <w:tcW w:w="53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0A0A0A"/>
              </w:rPr>
              <w:t>Total Operating Revenue</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245,543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227,154</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8.1</w:t>
            </w:r>
          </w:p>
        </w:tc>
      </w:tr>
      <w:tr>
        <w:trPr>
          <w:trHeight w:val="250"/>
        </w:trPr>
        <w:tc>
          <w:tcPr>
            <w:tcW w:w="53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r>
      <w:tr>
        <w:trPr>
          <w:trHeight w:val="230"/>
        </w:trPr>
        <w:tc>
          <w:tcPr>
            <w:tcW w:w="5360" w:type="dxa"/>
            <w:vAlign w:val="bottom"/>
          </w:tcPr>
          <w:p>
            <w:pPr>
              <w:ind w:left="80"/>
              <w:spacing w:after="0"/>
              <w:rPr>
                <w:sz w:val="20"/>
                <w:szCs w:val="20"/>
                <w:color w:val="auto"/>
              </w:rPr>
            </w:pPr>
            <w:r>
              <w:rPr>
                <w:rFonts w:ascii="Arial" w:cs="Arial" w:eastAsia="Arial" w:hAnsi="Arial"/>
                <w:sz w:val="18"/>
                <w:szCs w:val="18"/>
                <w:b w:val="1"/>
                <w:bCs w:val="1"/>
                <w:color w:val="0A0A0A"/>
              </w:rPr>
              <w:t>Operating Expenses:</w:t>
            </w: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Aircraft Fuel</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60,840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62,029</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Salaries, Wages, and Benefits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71,750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67,278</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Aircraft Rent</w:t>
            </w:r>
          </w:p>
        </w:tc>
        <w:tc>
          <w:tcPr>
            <w:tcW w:w="4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1,421</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Maintenance</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16,278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10,810</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50.6</w:t>
            </w: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Sales and Marketing</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7,717</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Depreciation and Amortization</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23,575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18,277</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29.0</w:t>
            </w: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Ground Handling</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8,977</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Landing Fees and Airport Rent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12,768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12,950</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Other Operating, net</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25,901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22,578</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23"/>
        </w:trPr>
        <w:tc>
          <w:tcPr>
            <w:tcW w:w="53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0A0A0A"/>
              </w:rPr>
              <w:t>Total Operating Expenses</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228,419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212,037</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7.7</w:t>
            </w:r>
          </w:p>
        </w:tc>
      </w:tr>
      <w:tr>
        <w:trPr>
          <w:trHeight w:val="223"/>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Operating Income</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15,117</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13.3</w:t>
            </w:r>
          </w:p>
        </w:tc>
      </w:tr>
      <w:tr>
        <w:trPr>
          <w:trHeight w:val="196"/>
        </w:trPr>
        <w:tc>
          <w:tcPr>
            <w:tcW w:w="5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30"/>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0A0A0A"/>
              </w:rPr>
              <w:t>Non-operating Income (Expense), net: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Interest Income</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2,414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2,361</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Interest Expense</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(7,921)</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r>
      <w:tr>
        <w:trPr>
          <w:trHeight w:val="230"/>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0A0A0A"/>
              </w:rPr>
              <w:t>Other, net</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(80)</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545.0</w:t>
            </w:r>
          </w:p>
        </w:tc>
      </w:tr>
      <w:tr>
        <w:trPr>
          <w:trHeight w:val="223"/>
        </w:trPr>
        <w:tc>
          <w:tcPr>
            <w:tcW w:w="5360" w:type="dxa"/>
            <w:vAlign w:val="bottom"/>
            <w:shd w:val="clear" w:color="auto" w:fill="CCEEFF"/>
          </w:tcPr>
          <w:p>
            <w:pPr>
              <w:ind w:left="300"/>
              <w:spacing w:after="0"/>
              <w:rPr>
                <w:sz w:val="20"/>
                <w:szCs w:val="20"/>
                <w:color w:val="auto"/>
              </w:rPr>
            </w:pPr>
            <w:r>
              <w:rPr>
                <w:rFonts w:ascii="Arial" w:cs="Arial" w:eastAsia="Arial" w:hAnsi="Arial"/>
                <w:sz w:val="18"/>
                <w:szCs w:val="18"/>
                <w:color w:val="0A0A0A"/>
              </w:rPr>
              <w:t>Total Non-operating Expense, net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(5,640)</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r>
      <w:tr>
        <w:trPr>
          <w:trHeight w:val="203"/>
        </w:trPr>
        <w:tc>
          <w:tcPr>
            <w:tcW w:w="53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r>
      <w:tr>
        <w:trPr>
          <w:trHeight w:val="223"/>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Income before Income Tax</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9,477</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(19.2)</w:t>
            </w:r>
          </w:p>
        </w:tc>
      </w:tr>
      <w:tr>
        <w:trPr>
          <w:trHeight w:val="223"/>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0A0A0A"/>
              </w:rPr>
              <w:t>Income Tax Expense</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2,193</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r>
      <w:tr>
        <w:trPr>
          <w:trHeight w:val="248"/>
        </w:trPr>
        <w:tc>
          <w:tcPr>
            <w:tcW w:w="5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0A0A0A"/>
              </w:rPr>
              <w:t>Net Income</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7,284</w:t>
            </w:r>
          </w:p>
        </w:tc>
        <w:tc>
          <w:tcPr>
            <w:tcW w:w="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(22.5)</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30"/>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Net Income per share to common stockholders: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Basic</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0A0A0A"/>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0A0A0A"/>
              </w:rPr>
              <w:t>0.13</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Diluted</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0A0A0A"/>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0.12</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29"/>
        </w:trPr>
        <w:tc>
          <w:tcPr>
            <w:tcW w:w="5360" w:type="dxa"/>
            <w:vAlign w:val="bottom"/>
          </w:tcPr>
          <w:p>
            <w:pPr>
              <w:ind w:left="80"/>
              <w:spacing w:after="0"/>
              <w:rPr>
                <w:sz w:val="20"/>
                <w:szCs w:val="20"/>
                <w:color w:val="auto"/>
              </w:rPr>
            </w:pPr>
            <w:r>
              <w:rPr>
                <w:rFonts w:ascii="Arial" w:cs="Arial" w:eastAsia="Arial" w:hAnsi="Arial"/>
                <w:sz w:val="18"/>
                <w:szCs w:val="18"/>
                <w:color w:val="0A0A0A"/>
              </w:rPr>
              <w:t>Shares used for computation:</w:t>
            </w: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Basic</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53,892,797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57,693,064</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39"/>
        </w:trPr>
        <w:tc>
          <w:tcPr>
            <w:tcW w:w="5360" w:type="dxa"/>
            <w:vAlign w:val="bottom"/>
          </w:tcPr>
          <w:p>
            <w:pPr>
              <w:ind w:left="180"/>
              <w:spacing w:after="0"/>
              <w:rPr>
                <w:sz w:val="20"/>
                <w:szCs w:val="20"/>
                <w:color w:val="auto"/>
              </w:rPr>
            </w:pPr>
            <w:r>
              <w:rPr>
                <w:rFonts w:ascii="Arial" w:cs="Arial" w:eastAsia="Arial" w:hAnsi="Arial"/>
                <w:sz w:val="18"/>
                <w:szCs w:val="18"/>
                <w:color w:val="0A0A0A"/>
              </w:rPr>
              <w:t>Diluted</w:t>
            </w:r>
          </w:p>
        </w:tc>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56,270,891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60,071,021</w:t>
            </w:r>
          </w:p>
        </w:tc>
        <w:tc>
          <w:tcPr>
            <w:tcW w:w="8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7</w:t>
      </w:r>
    </w:p>
    <w:p>
      <w:pPr>
        <w:sectPr>
          <w:pgSz w:w="11900" w:h="16838" w:orient="portrait"/>
          <w:cols w:equalWidth="0" w:num="1">
            <w:col w:w="11220"/>
          </w:cols>
          <w:pgMar w:left="320" w:top="1440" w:right="359" w:bottom="1440" w:gutter="0" w:footer="0" w:header="0"/>
        </w:sectPr>
      </w:pPr>
    </w:p>
    <w:bookmarkStart w:id="10" w:name="page11"/>
    <w:bookmarkEnd w:id="10"/>
    <w:p>
      <w:pPr>
        <w:ind w:left="8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0980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520" w:type="dxa"/>
            <w:vAlign w:val="bottom"/>
            <w:gridSpan w:val="5"/>
          </w:tcPr>
          <w:p>
            <w:pPr>
              <w:ind w:left="620"/>
              <w:spacing w:after="0"/>
              <w:rPr>
                <w:sz w:val="20"/>
                <w:szCs w:val="20"/>
                <w:color w:val="auto"/>
              </w:rPr>
            </w:pPr>
            <w:r>
              <w:rPr>
                <w:rFonts w:ascii="Arial" w:cs="Arial" w:eastAsia="Arial" w:hAnsi="Arial"/>
                <w:sz w:val="14"/>
                <w:szCs w:val="14"/>
                <w:b w:val="1"/>
                <w:bCs w:val="1"/>
                <w:color w:val="0A0A0A"/>
              </w:rPr>
              <w:t>Year Ended December 31,</w:t>
            </w:r>
          </w:p>
        </w:tc>
        <w:tc>
          <w:tcPr>
            <w:tcW w:w="1880" w:type="dxa"/>
            <w:vAlign w:val="bottom"/>
          </w:tcPr>
          <w:p>
            <w:pPr>
              <w:spacing w:after="0"/>
              <w:rPr>
                <w:sz w:val="17"/>
                <w:szCs w:val="17"/>
                <w:color w:val="auto"/>
              </w:rPr>
            </w:pPr>
          </w:p>
        </w:tc>
      </w:tr>
      <w:tr>
        <w:trPr>
          <w:trHeight w:val="204"/>
        </w:trPr>
        <w:tc>
          <w:tcPr>
            <w:tcW w:w="53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0A0A0A"/>
              </w:rPr>
              <w:t>2023</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0A0A0A"/>
              </w:rPr>
              <w:t>2022</w:t>
            </w:r>
          </w:p>
        </w:tc>
        <w:tc>
          <w:tcPr>
            <w:tcW w:w="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0A0A0A"/>
              </w:rPr>
              <w:t>% Change</w:t>
            </w:r>
          </w:p>
        </w:tc>
      </w:tr>
      <w:tr>
        <w:trPr>
          <w:trHeight w:val="224"/>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0A0A0A"/>
              </w:rPr>
              <w:t>Operating Revenues:</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Scheduled Service</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453,862</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0A0A0A"/>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0A0A0A"/>
              </w:rPr>
              <w:t>438,308</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A0A0A"/>
              </w:rPr>
              <w:t>3.5</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Charter</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190,128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161,619</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17.6</w:t>
            </w:r>
          </w:p>
        </w:tc>
      </w:tr>
      <w:tr>
        <w:trPr>
          <w:trHeight w:val="229"/>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0A0A0A"/>
              </w:rPr>
              <w:t>Ancillary</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276,133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192,506</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43.4</w:t>
            </w:r>
          </w:p>
        </w:tc>
      </w:tr>
      <w:tr>
        <w:trPr>
          <w:trHeight w:val="223"/>
        </w:trPr>
        <w:tc>
          <w:tcPr>
            <w:tcW w:w="5360" w:type="dxa"/>
            <w:vAlign w:val="bottom"/>
            <w:shd w:val="clear" w:color="auto" w:fill="CCEEFF"/>
          </w:tcPr>
          <w:p>
            <w:pPr>
              <w:ind w:left="300"/>
              <w:spacing w:after="0"/>
              <w:rPr>
                <w:sz w:val="20"/>
                <w:szCs w:val="20"/>
                <w:color w:val="auto"/>
              </w:rPr>
            </w:pPr>
            <w:r>
              <w:rPr>
                <w:rFonts w:ascii="Arial" w:cs="Arial" w:eastAsia="Arial" w:hAnsi="Arial"/>
                <w:sz w:val="18"/>
                <w:szCs w:val="18"/>
                <w:color w:val="0A0A0A"/>
              </w:rPr>
              <w:t>Passenger</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920,123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792,433</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16.1</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Cargo</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0A0A0A"/>
              </w:rPr>
              <w:t>99,735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90,350</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A0A0A"/>
              </w:rPr>
              <w:t>10.4</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Other</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29,762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11,661</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155.2</w:t>
            </w:r>
          </w:p>
        </w:tc>
      </w:tr>
      <w:tr>
        <w:trPr>
          <w:trHeight w:val="223"/>
        </w:trPr>
        <w:tc>
          <w:tcPr>
            <w:tcW w:w="53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0A0A0A"/>
              </w:rPr>
              <w:t>Total Operating Revenue</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1,049,620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894,444</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17.3</w:t>
            </w:r>
          </w:p>
        </w:tc>
      </w:tr>
      <w:tr>
        <w:trPr>
          <w:trHeight w:val="250"/>
        </w:trPr>
        <w:tc>
          <w:tcPr>
            <w:tcW w:w="53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r>
      <w:tr>
        <w:trPr>
          <w:trHeight w:val="230"/>
        </w:trPr>
        <w:tc>
          <w:tcPr>
            <w:tcW w:w="5360" w:type="dxa"/>
            <w:vAlign w:val="bottom"/>
          </w:tcPr>
          <w:p>
            <w:pPr>
              <w:ind w:left="80"/>
              <w:spacing w:after="0"/>
              <w:rPr>
                <w:sz w:val="20"/>
                <w:szCs w:val="20"/>
                <w:color w:val="auto"/>
              </w:rPr>
            </w:pPr>
            <w:r>
              <w:rPr>
                <w:rFonts w:ascii="Arial" w:cs="Arial" w:eastAsia="Arial" w:hAnsi="Arial"/>
                <w:sz w:val="18"/>
                <w:szCs w:val="18"/>
                <w:b w:val="1"/>
                <w:bCs w:val="1"/>
                <w:color w:val="0A0A0A"/>
              </w:rPr>
              <w:t>Operating Expenses:</w:t>
            </w: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Aircraft Fuel</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246,669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268,363</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(8.1)</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Salaries, Wages, and Benefits</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295,640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245,855</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Aircraft Rent</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8,768</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Maintenance</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60,588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46,604</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Sales and Marketing</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31,053</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Depreciation and Amortization</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88,151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67,641</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A0A0A"/>
              </w:rPr>
              <w:t>30.3</w:t>
            </w: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Ground Handling</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33,816</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Landing Fees and Airport Rent</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49,615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45,658</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Other Operating, net</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107,565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90,978</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23"/>
        </w:trPr>
        <w:tc>
          <w:tcPr>
            <w:tcW w:w="53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0A0A0A"/>
              </w:rPr>
              <w:t>Total Operating Expenses</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922,120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838,736</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9.9</w:t>
            </w:r>
          </w:p>
        </w:tc>
      </w:tr>
      <w:tr>
        <w:trPr>
          <w:trHeight w:val="223"/>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Operating Income</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127,500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55,708</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128.9</w:t>
            </w:r>
          </w:p>
        </w:tc>
      </w:tr>
      <w:tr>
        <w:trPr>
          <w:trHeight w:val="196"/>
        </w:trPr>
        <w:tc>
          <w:tcPr>
            <w:tcW w:w="5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29"/>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0A0A0A"/>
              </w:rPr>
              <w:t>Non-operating Income (Expense), net:</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Interest Income</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10,180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4,527</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A0A0A"/>
              </w:rPr>
              <w:t>124.9</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Interest Expense</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(42,634)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(31,018)</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30"/>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0A0A0A"/>
              </w:rPr>
              <w:t>Other, net</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(5,235)</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w:t>
            </w:r>
          </w:p>
        </w:tc>
      </w:tr>
      <w:tr>
        <w:trPr>
          <w:trHeight w:val="223"/>
        </w:trPr>
        <w:tc>
          <w:tcPr>
            <w:tcW w:w="5360" w:type="dxa"/>
            <w:vAlign w:val="bottom"/>
            <w:shd w:val="clear" w:color="auto" w:fill="CCEEFF"/>
          </w:tcPr>
          <w:p>
            <w:pPr>
              <w:ind w:left="300"/>
              <w:spacing w:after="0"/>
              <w:rPr>
                <w:sz w:val="20"/>
                <w:szCs w:val="20"/>
                <w:color w:val="auto"/>
              </w:rPr>
            </w:pPr>
            <w:r>
              <w:rPr>
                <w:rFonts w:ascii="Arial" w:cs="Arial" w:eastAsia="Arial" w:hAnsi="Arial"/>
                <w:sz w:val="18"/>
                <w:szCs w:val="18"/>
                <w:color w:val="0A0A0A"/>
              </w:rPr>
              <w:t>Total Non-operating Expense, net</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(31,726)</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03"/>
        </w:trPr>
        <w:tc>
          <w:tcPr>
            <w:tcW w:w="536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r>
      <w:tr>
        <w:trPr>
          <w:trHeight w:val="223"/>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Income before Income Tax</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94,159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23,982</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292.6</w:t>
            </w:r>
          </w:p>
        </w:tc>
      </w:tr>
      <w:tr>
        <w:trPr>
          <w:trHeight w:val="223"/>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0A0A0A"/>
              </w:rPr>
              <w:t>Income Tax Expense</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21,978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6,306</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248.5</w:t>
            </w:r>
          </w:p>
        </w:tc>
      </w:tr>
      <w:tr>
        <w:trPr>
          <w:trHeight w:val="248"/>
        </w:trPr>
        <w:tc>
          <w:tcPr>
            <w:tcW w:w="5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0A0A0A"/>
              </w:rPr>
              <w:t>Net Income</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72,181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17,676</w:t>
            </w:r>
          </w:p>
        </w:tc>
        <w:tc>
          <w:tcPr>
            <w:tcW w:w="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308.4</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30"/>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Net Income per share to common stockholders:</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Basic</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0A0A0A"/>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0A0A0A"/>
              </w:rPr>
              <w:t>0.31</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319.4</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Diluted</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0A0A0A"/>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0.29</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w:t>
            </w:r>
          </w:p>
        </w:tc>
      </w:tr>
      <w:tr>
        <w:trPr>
          <w:trHeight w:val="229"/>
        </w:trPr>
        <w:tc>
          <w:tcPr>
            <w:tcW w:w="5360" w:type="dxa"/>
            <w:vAlign w:val="bottom"/>
          </w:tcPr>
          <w:p>
            <w:pPr>
              <w:ind w:left="80"/>
              <w:spacing w:after="0"/>
              <w:rPr>
                <w:sz w:val="20"/>
                <w:szCs w:val="20"/>
                <w:color w:val="auto"/>
              </w:rPr>
            </w:pPr>
            <w:r>
              <w:rPr>
                <w:rFonts w:ascii="Arial" w:cs="Arial" w:eastAsia="Arial" w:hAnsi="Arial"/>
                <w:sz w:val="18"/>
                <w:szCs w:val="18"/>
                <w:color w:val="0A0A0A"/>
              </w:rPr>
              <w:t>Shares used for computation:</w:t>
            </w: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Basic</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55,507,144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57,951,955</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9"/>
        </w:trPr>
        <w:tc>
          <w:tcPr>
            <w:tcW w:w="5360" w:type="dxa"/>
            <w:vAlign w:val="bottom"/>
          </w:tcPr>
          <w:p>
            <w:pPr>
              <w:ind w:left="180"/>
              <w:spacing w:after="0"/>
              <w:rPr>
                <w:sz w:val="20"/>
                <w:szCs w:val="20"/>
                <w:color w:val="auto"/>
              </w:rPr>
            </w:pPr>
            <w:r>
              <w:rPr>
                <w:rFonts w:ascii="Arial" w:cs="Arial" w:eastAsia="Arial" w:hAnsi="Arial"/>
                <w:sz w:val="18"/>
                <w:szCs w:val="18"/>
                <w:color w:val="0A0A0A"/>
              </w:rPr>
              <w:t>Diluted</w:t>
            </w:r>
          </w:p>
        </w:tc>
        <w:tc>
          <w:tcPr>
            <w:tcW w:w="4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58,524,652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61,046,595</w:t>
            </w:r>
          </w:p>
        </w:tc>
        <w:tc>
          <w:tcPr>
            <w:tcW w:w="8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8</w:t>
      </w:r>
    </w:p>
    <w:p>
      <w:pPr>
        <w:sectPr>
          <w:pgSz w:w="11900" w:h="16838" w:orient="portrait"/>
          <w:cols w:equalWidth="0" w:num="1">
            <w:col w:w="11220"/>
          </w:cols>
          <w:pgMar w:left="320" w:top="1336" w:right="359" w:bottom="1440" w:gutter="0" w:footer="0" w:header="0"/>
        </w:sectPr>
      </w:pPr>
    </w:p>
    <w:bookmarkStart w:id="11" w:name="page12"/>
    <w:bookmarkEnd w:id="11"/>
    <w:p>
      <w:pPr>
        <w:ind w:left="20"/>
        <w:spacing w:after="0"/>
        <w:rPr>
          <w:sz w:val="20"/>
          <w:szCs w:val="20"/>
          <w:color w:val="auto"/>
        </w:rPr>
      </w:pPr>
      <w:r>
        <w:rPr>
          <w:rFonts w:ascii="Arial" w:cs="Arial" w:eastAsia="Arial" w:hAnsi="Arial"/>
          <w:sz w:val="18"/>
          <w:szCs w:val="18"/>
          <w:b w:val="1"/>
          <w:bCs w:val="1"/>
          <w:color w:val="auto"/>
        </w:rPr>
        <w:t>KEY OPERATING STATISTICS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294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2945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key operating statistics and metrics for the three months and year ended December 31, 2023 and 2022.</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40" w:type="dxa"/>
            <w:vAlign w:val="bottom"/>
            <w:gridSpan w:val="3"/>
          </w:tcPr>
          <w:p>
            <w:pPr>
              <w:jc w:val="right"/>
              <w:ind w:right="851"/>
              <w:spacing w:after="0"/>
              <w:rPr>
                <w:sz w:val="20"/>
                <w:szCs w:val="20"/>
                <w:color w:val="auto"/>
              </w:rPr>
            </w:pPr>
            <w:r>
              <w:rPr>
                <w:rFonts w:ascii="Arial" w:cs="Arial" w:eastAsia="Arial" w:hAnsi="Arial"/>
                <w:sz w:val="14"/>
                <w:szCs w:val="14"/>
                <w:b w:val="1"/>
                <w:bCs w:val="1"/>
                <w:color w:val="0A0A0A"/>
              </w:rPr>
              <w:t>Three Months Ended December 31,</w:t>
            </w:r>
          </w:p>
        </w:tc>
        <w:tc>
          <w:tcPr>
            <w:tcW w:w="1660" w:type="dxa"/>
            <w:vAlign w:val="bottom"/>
          </w:tcPr>
          <w:p>
            <w:pPr>
              <w:spacing w:after="0"/>
              <w:rPr>
                <w:sz w:val="17"/>
                <w:szCs w:val="17"/>
                <w:color w:val="auto"/>
              </w:rPr>
            </w:pPr>
          </w:p>
        </w:tc>
      </w:tr>
      <w:tr>
        <w:trPr>
          <w:trHeight w:val="203"/>
        </w:trPr>
        <w:tc>
          <w:tcPr>
            <w:tcW w:w="46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951"/>
              <w:spacing w:after="0"/>
              <w:rPr>
                <w:sz w:val="20"/>
                <w:szCs w:val="20"/>
                <w:color w:val="auto"/>
              </w:rPr>
            </w:pPr>
            <w:r>
              <w:rPr>
                <w:rFonts w:ascii="Arial" w:cs="Arial" w:eastAsia="Arial" w:hAnsi="Arial"/>
                <w:sz w:val="14"/>
                <w:szCs w:val="14"/>
                <w:b w:val="1"/>
                <w:bCs w:val="1"/>
                <w:color w:val="auto"/>
              </w:rPr>
              <w:t>2022</w:t>
            </w:r>
          </w:p>
        </w:tc>
        <w:tc>
          <w:tcPr>
            <w:tcW w:w="16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 Change</w:t>
            </w:r>
          </w:p>
        </w:tc>
      </w:tr>
      <w:tr>
        <w:trPr>
          <w:trHeight w:val="224"/>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Scheduled Service Statistics:</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4620" w:type="dxa"/>
            <w:vAlign w:val="bottom"/>
          </w:tcPr>
          <w:p>
            <w:pPr>
              <w:ind w:left="80"/>
              <w:spacing w:after="0"/>
              <w:rPr>
                <w:sz w:val="20"/>
                <w:szCs w:val="20"/>
                <w:color w:val="auto"/>
              </w:rPr>
            </w:pPr>
            <w:r>
              <w:rPr>
                <w:rFonts w:ascii="Arial" w:cs="Arial" w:eastAsia="Arial" w:hAnsi="Arial"/>
                <w:sz w:val="18"/>
                <w:szCs w:val="18"/>
                <w:color w:val="auto"/>
              </w:rPr>
              <w:t>Revenue passenger miles (RPMs) – thousands</w:t>
            </w:r>
          </w:p>
        </w:tc>
        <w:tc>
          <w:tcPr>
            <w:tcW w:w="1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1,316,877</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1,141,495</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15.4</w:t>
            </w:r>
          </w:p>
        </w:tc>
      </w:tr>
      <w:tr>
        <w:trPr>
          <w:trHeight w:val="229"/>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Available seat miles (ASMs) – thousands</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1,554,043</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1,352,830</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14.9</w:t>
            </w:r>
          </w:p>
        </w:tc>
      </w:tr>
      <w:tr>
        <w:trPr>
          <w:trHeight w:val="229"/>
        </w:trPr>
        <w:tc>
          <w:tcPr>
            <w:tcW w:w="4620" w:type="dxa"/>
            <w:vAlign w:val="bottom"/>
          </w:tcPr>
          <w:p>
            <w:pPr>
              <w:ind w:left="80"/>
              <w:spacing w:after="0"/>
              <w:rPr>
                <w:sz w:val="20"/>
                <w:szCs w:val="20"/>
                <w:color w:val="auto"/>
              </w:rPr>
            </w:pPr>
            <w:r>
              <w:rPr>
                <w:rFonts w:ascii="Arial" w:cs="Arial" w:eastAsia="Arial" w:hAnsi="Arial"/>
                <w:sz w:val="18"/>
                <w:szCs w:val="18"/>
                <w:color w:val="auto"/>
              </w:rPr>
              <w:t>Load factor</w:t>
            </w:r>
          </w:p>
        </w:tc>
        <w:tc>
          <w:tcPr>
            <w:tcW w:w="1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84.7%</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84.4%</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0.3</w:t>
            </w:r>
          </w:p>
        </w:tc>
      </w:tr>
      <w:tr>
        <w:trPr>
          <w:trHeight w:val="230"/>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Revenue passengers carried</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1,047,127</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882,877</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18.6</w:t>
            </w:r>
          </w:p>
        </w:tc>
      </w:tr>
      <w:tr>
        <w:trPr>
          <w:trHeight w:val="229"/>
        </w:trPr>
        <w:tc>
          <w:tcPr>
            <w:tcW w:w="4620" w:type="dxa"/>
            <w:vAlign w:val="bottom"/>
          </w:tcPr>
          <w:p>
            <w:pPr>
              <w:ind w:left="80"/>
              <w:spacing w:after="0"/>
              <w:rPr>
                <w:sz w:val="20"/>
                <w:szCs w:val="20"/>
                <w:color w:val="auto"/>
              </w:rPr>
            </w:pPr>
            <w:r>
              <w:rPr>
                <w:rFonts w:ascii="Arial" w:cs="Arial" w:eastAsia="Arial" w:hAnsi="Arial"/>
                <w:sz w:val="18"/>
                <w:szCs w:val="18"/>
                <w:color w:val="auto"/>
              </w:rPr>
              <w:t>Departures</w:t>
            </w:r>
          </w:p>
        </w:tc>
        <w:tc>
          <w:tcPr>
            <w:tcW w:w="1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6,688</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5,654</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18.3</w:t>
            </w:r>
          </w:p>
        </w:tc>
      </w:tr>
      <w:tr>
        <w:trPr>
          <w:trHeight w:val="229"/>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Block hours</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21,180</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18,496</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14.5</w:t>
            </w:r>
          </w:p>
        </w:tc>
      </w:tr>
      <w:tr>
        <w:trPr>
          <w:trHeight w:val="230"/>
        </w:trPr>
        <w:tc>
          <w:tcPr>
            <w:tcW w:w="4620" w:type="dxa"/>
            <w:vAlign w:val="bottom"/>
          </w:tcPr>
          <w:p>
            <w:pPr>
              <w:ind w:left="80"/>
              <w:spacing w:after="0" w:line="230" w:lineRule="exact"/>
              <w:rPr>
                <w:sz w:val="20"/>
                <w:szCs w:val="20"/>
                <w:color w:val="auto"/>
              </w:rPr>
            </w:pPr>
            <w:r>
              <w:rPr>
                <w:rFonts w:ascii="Arial" w:cs="Arial" w:eastAsia="Arial" w:hAnsi="Arial"/>
                <w:sz w:val="18"/>
                <w:szCs w:val="18"/>
                <w:color w:val="auto"/>
              </w:rPr>
              <w:t>Scheduled service TRASM</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 cents</w:t>
            </w:r>
          </w:p>
        </w:tc>
        <w:tc>
          <w:tcPr>
            <w:tcW w:w="1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10.73</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11.80</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(9.1)</w:t>
            </w:r>
          </w:p>
        </w:tc>
      </w:tr>
      <w:tr>
        <w:trPr>
          <w:trHeight w:val="229"/>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Average base fare per passenger</w:t>
            </w:r>
          </w:p>
        </w:tc>
        <w:tc>
          <w:tcPr>
            <w:tcW w:w="11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89.06</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117.38</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(24.1)</w:t>
            </w:r>
          </w:p>
        </w:tc>
      </w:tr>
      <w:tr>
        <w:trPr>
          <w:trHeight w:val="230"/>
        </w:trPr>
        <w:tc>
          <w:tcPr>
            <w:tcW w:w="4620" w:type="dxa"/>
            <w:vAlign w:val="bottom"/>
          </w:tcPr>
          <w:p>
            <w:pPr>
              <w:ind w:left="80"/>
              <w:spacing w:after="0"/>
              <w:rPr>
                <w:sz w:val="20"/>
                <w:szCs w:val="20"/>
                <w:color w:val="auto"/>
              </w:rPr>
            </w:pPr>
            <w:r>
              <w:rPr>
                <w:rFonts w:ascii="Arial" w:cs="Arial" w:eastAsia="Arial" w:hAnsi="Arial"/>
                <w:sz w:val="18"/>
                <w:szCs w:val="18"/>
                <w:color w:val="auto"/>
              </w:rPr>
              <w:t>Ancillary revenue per passenger</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67.33</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59.98</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12.3</w:t>
            </w:r>
          </w:p>
        </w:tc>
      </w:tr>
      <w:tr>
        <w:trPr>
          <w:trHeight w:val="229"/>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fare per passenger</w:t>
            </w:r>
          </w:p>
        </w:tc>
        <w:tc>
          <w:tcPr>
            <w:tcW w:w="11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156.39</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177.36</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(11.8)</w:t>
            </w:r>
          </w:p>
        </w:tc>
      </w:tr>
      <w:tr>
        <w:trPr>
          <w:trHeight w:val="229"/>
        </w:trPr>
        <w:tc>
          <w:tcPr>
            <w:tcW w:w="4620" w:type="dxa"/>
            <w:vAlign w:val="bottom"/>
          </w:tcPr>
          <w:p>
            <w:pPr>
              <w:ind w:left="80"/>
              <w:spacing w:after="0"/>
              <w:rPr>
                <w:sz w:val="20"/>
                <w:szCs w:val="20"/>
                <w:color w:val="auto"/>
              </w:rPr>
            </w:pPr>
            <w:r>
              <w:rPr>
                <w:rFonts w:ascii="Arial" w:cs="Arial" w:eastAsia="Arial" w:hAnsi="Arial"/>
                <w:sz w:val="18"/>
                <w:szCs w:val="18"/>
                <w:color w:val="auto"/>
              </w:rPr>
              <w:t>Fuel gallons - thousands</w:t>
            </w:r>
          </w:p>
        </w:tc>
        <w:tc>
          <w:tcPr>
            <w:tcW w:w="1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16,404</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14,282</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14.9</w:t>
            </w:r>
          </w:p>
        </w:tc>
      </w:tr>
      <w:tr>
        <w:trPr>
          <w:trHeight w:val="270"/>
        </w:trPr>
        <w:tc>
          <w:tcPr>
            <w:tcW w:w="46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30"/>
        </w:trPr>
        <w:tc>
          <w:tcPr>
            <w:tcW w:w="4620" w:type="dxa"/>
            <w:vAlign w:val="bottom"/>
          </w:tcPr>
          <w:p>
            <w:pPr>
              <w:ind w:left="80"/>
              <w:spacing w:after="0"/>
              <w:rPr>
                <w:sz w:val="20"/>
                <w:szCs w:val="20"/>
                <w:color w:val="auto"/>
              </w:rPr>
            </w:pPr>
            <w:r>
              <w:rPr>
                <w:rFonts w:ascii="Arial" w:cs="Arial" w:eastAsia="Arial" w:hAnsi="Arial"/>
                <w:sz w:val="18"/>
                <w:szCs w:val="18"/>
                <w:b w:val="1"/>
                <w:bCs w:val="1"/>
                <w:color w:val="auto"/>
              </w:rPr>
              <w:t>Charter Statistics:</w:t>
            </w:r>
          </w:p>
        </w:tc>
        <w:tc>
          <w:tcPr>
            <w:tcW w:w="1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Departures</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2,402</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7.0</w:t>
            </w:r>
          </w:p>
        </w:tc>
      </w:tr>
      <w:tr>
        <w:trPr>
          <w:trHeight w:val="229"/>
        </w:trPr>
        <w:tc>
          <w:tcPr>
            <w:tcW w:w="4620" w:type="dxa"/>
            <w:vAlign w:val="bottom"/>
          </w:tcPr>
          <w:p>
            <w:pPr>
              <w:ind w:left="80"/>
              <w:spacing w:after="0"/>
              <w:rPr>
                <w:sz w:val="20"/>
                <w:szCs w:val="20"/>
                <w:color w:val="auto"/>
              </w:rPr>
            </w:pPr>
            <w:r>
              <w:rPr>
                <w:rFonts w:ascii="Arial" w:cs="Arial" w:eastAsia="Arial" w:hAnsi="Arial"/>
                <w:sz w:val="18"/>
                <w:szCs w:val="18"/>
                <w:color w:val="auto"/>
              </w:rPr>
              <w:t>Block hours</w:t>
            </w:r>
          </w:p>
        </w:tc>
        <w:tc>
          <w:tcPr>
            <w:tcW w:w="1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5,160</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4,788</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7.8</w:t>
            </w:r>
          </w:p>
        </w:tc>
      </w:tr>
      <w:tr>
        <w:trPr>
          <w:trHeight w:val="230"/>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Available seats miles (ASMs) - thousands</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324,222</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292,832</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10.7</w:t>
            </w:r>
          </w:p>
        </w:tc>
      </w:tr>
      <w:tr>
        <w:trPr>
          <w:trHeight w:val="229"/>
        </w:trPr>
        <w:tc>
          <w:tcPr>
            <w:tcW w:w="4620" w:type="dxa"/>
            <w:vAlign w:val="bottom"/>
          </w:tcPr>
          <w:p>
            <w:pPr>
              <w:ind w:left="80"/>
              <w:spacing w:after="0"/>
              <w:rPr>
                <w:sz w:val="20"/>
                <w:szCs w:val="20"/>
                <w:color w:val="auto"/>
              </w:rPr>
            </w:pPr>
            <w:r>
              <w:rPr>
                <w:rFonts w:ascii="Arial" w:cs="Arial" w:eastAsia="Arial" w:hAnsi="Arial"/>
                <w:sz w:val="18"/>
                <w:szCs w:val="18"/>
                <w:color w:val="auto"/>
              </w:rPr>
              <w:t>Fuel gallons - thousands</w:t>
            </w:r>
          </w:p>
        </w:tc>
        <w:tc>
          <w:tcPr>
            <w:tcW w:w="1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3,237</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2,970</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9.0</w:t>
            </w:r>
          </w:p>
        </w:tc>
      </w:tr>
      <w:tr>
        <w:trPr>
          <w:trHeight w:val="270"/>
        </w:trPr>
        <w:tc>
          <w:tcPr>
            <w:tcW w:w="46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30"/>
        </w:trPr>
        <w:tc>
          <w:tcPr>
            <w:tcW w:w="4620" w:type="dxa"/>
            <w:vAlign w:val="bottom"/>
          </w:tcPr>
          <w:p>
            <w:pPr>
              <w:ind w:left="80"/>
              <w:spacing w:after="0"/>
              <w:rPr>
                <w:sz w:val="20"/>
                <w:szCs w:val="20"/>
                <w:color w:val="auto"/>
              </w:rPr>
            </w:pPr>
            <w:r>
              <w:rPr>
                <w:rFonts w:ascii="Arial" w:cs="Arial" w:eastAsia="Arial" w:hAnsi="Arial"/>
                <w:sz w:val="18"/>
                <w:szCs w:val="18"/>
                <w:b w:val="1"/>
                <w:bCs w:val="1"/>
                <w:color w:val="auto"/>
              </w:rPr>
              <w:t>Cargo Statistics:</w:t>
            </w:r>
          </w:p>
        </w:tc>
        <w:tc>
          <w:tcPr>
            <w:tcW w:w="1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Departures</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3,309</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1.7</w:t>
            </w:r>
          </w:p>
        </w:tc>
      </w:tr>
      <w:tr>
        <w:trPr>
          <w:trHeight w:val="230"/>
        </w:trPr>
        <w:tc>
          <w:tcPr>
            <w:tcW w:w="4620" w:type="dxa"/>
            <w:vAlign w:val="bottom"/>
          </w:tcPr>
          <w:p>
            <w:pPr>
              <w:ind w:left="80"/>
              <w:spacing w:after="0"/>
              <w:rPr>
                <w:sz w:val="20"/>
                <w:szCs w:val="20"/>
                <w:color w:val="auto"/>
              </w:rPr>
            </w:pPr>
            <w:r>
              <w:rPr>
                <w:rFonts w:ascii="Arial" w:cs="Arial" w:eastAsia="Arial" w:hAnsi="Arial"/>
                <w:sz w:val="18"/>
                <w:szCs w:val="18"/>
                <w:color w:val="auto"/>
              </w:rPr>
              <w:t>Block hours</w:t>
            </w:r>
          </w:p>
        </w:tc>
        <w:tc>
          <w:tcPr>
            <w:tcW w:w="1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8,960</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8,800</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1.8</w:t>
            </w:r>
          </w:p>
        </w:tc>
      </w:tr>
      <w:tr>
        <w:trPr>
          <w:trHeight w:val="270"/>
        </w:trPr>
        <w:tc>
          <w:tcPr>
            <w:tcW w:w="46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29"/>
        </w:trPr>
        <w:tc>
          <w:tcPr>
            <w:tcW w:w="4620" w:type="dxa"/>
            <w:vAlign w:val="bottom"/>
          </w:tcPr>
          <w:p>
            <w:pPr>
              <w:ind w:left="80"/>
              <w:spacing w:after="0"/>
              <w:rPr>
                <w:sz w:val="20"/>
                <w:szCs w:val="20"/>
                <w:color w:val="auto"/>
              </w:rPr>
            </w:pPr>
            <w:r>
              <w:rPr>
                <w:rFonts w:ascii="Arial" w:cs="Arial" w:eastAsia="Arial" w:hAnsi="Arial"/>
                <w:sz w:val="18"/>
                <w:szCs w:val="18"/>
                <w:b w:val="1"/>
                <w:bCs w:val="1"/>
                <w:color w:val="auto"/>
              </w:rPr>
              <w:t>Total System Statistics:</w:t>
            </w:r>
          </w:p>
        </w:tc>
        <w:tc>
          <w:tcPr>
            <w:tcW w:w="1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Average passenger aircraft</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38.1</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10.0</w:t>
            </w:r>
          </w:p>
        </w:tc>
      </w:tr>
      <w:tr>
        <w:trPr>
          <w:trHeight w:val="230"/>
        </w:trPr>
        <w:tc>
          <w:tcPr>
            <w:tcW w:w="4620" w:type="dxa"/>
            <w:vAlign w:val="bottom"/>
          </w:tcPr>
          <w:p>
            <w:pPr>
              <w:ind w:left="80"/>
              <w:spacing w:after="0"/>
              <w:rPr>
                <w:sz w:val="20"/>
                <w:szCs w:val="20"/>
                <w:color w:val="auto"/>
              </w:rPr>
            </w:pPr>
            <w:r>
              <w:rPr>
                <w:rFonts w:ascii="Arial" w:cs="Arial" w:eastAsia="Arial" w:hAnsi="Arial"/>
                <w:sz w:val="18"/>
                <w:szCs w:val="18"/>
                <w:color w:val="auto"/>
              </w:rPr>
              <w:t>Passenger aircraft – end of period</w:t>
            </w:r>
          </w:p>
        </w:tc>
        <w:tc>
          <w:tcPr>
            <w:tcW w:w="1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42</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Leased Aircraft - end of period</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NM</w:t>
            </w:r>
          </w:p>
        </w:tc>
      </w:tr>
      <w:tr>
        <w:trPr>
          <w:trHeight w:val="229"/>
        </w:trPr>
        <w:tc>
          <w:tcPr>
            <w:tcW w:w="4620" w:type="dxa"/>
            <w:vAlign w:val="bottom"/>
          </w:tcPr>
          <w:p>
            <w:pPr>
              <w:ind w:left="80"/>
              <w:spacing w:after="0"/>
              <w:rPr>
                <w:sz w:val="20"/>
                <w:szCs w:val="20"/>
                <w:color w:val="auto"/>
              </w:rPr>
            </w:pPr>
            <w:r>
              <w:rPr>
                <w:rFonts w:ascii="Arial" w:cs="Arial" w:eastAsia="Arial" w:hAnsi="Arial"/>
                <w:sz w:val="18"/>
                <w:szCs w:val="18"/>
                <w:color w:val="auto"/>
              </w:rPr>
              <w:t>Cargo aircraft – end of period</w:t>
            </w:r>
          </w:p>
        </w:tc>
        <w:tc>
          <w:tcPr>
            <w:tcW w:w="1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12</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Available seat miles (ASMs) – thousands</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1,899,363</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1,657,207</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14.6</w:t>
            </w:r>
          </w:p>
        </w:tc>
      </w:tr>
      <w:tr>
        <w:trPr>
          <w:trHeight w:val="230"/>
        </w:trPr>
        <w:tc>
          <w:tcPr>
            <w:tcW w:w="4620" w:type="dxa"/>
            <w:vAlign w:val="bottom"/>
          </w:tcPr>
          <w:p>
            <w:pPr>
              <w:ind w:left="80"/>
              <w:spacing w:after="0"/>
              <w:rPr>
                <w:sz w:val="20"/>
                <w:szCs w:val="20"/>
                <w:color w:val="auto"/>
              </w:rPr>
            </w:pPr>
            <w:r>
              <w:rPr>
                <w:rFonts w:ascii="Arial" w:cs="Arial" w:eastAsia="Arial" w:hAnsi="Arial"/>
                <w:sz w:val="18"/>
                <w:szCs w:val="18"/>
                <w:color w:val="auto"/>
              </w:rPr>
              <w:t>Departures</w:t>
            </w:r>
          </w:p>
        </w:tc>
        <w:tc>
          <w:tcPr>
            <w:tcW w:w="1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12,745</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11,440</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11.4</w:t>
            </w:r>
          </w:p>
        </w:tc>
      </w:tr>
      <w:tr>
        <w:trPr>
          <w:trHeight w:val="230"/>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Block hours</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35,653</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32,309</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10.4</w:t>
            </w:r>
          </w:p>
        </w:tc>
      </w:tr>
      <w:tr>
        <w:trPr>
          <w:trHeight w:val="229"/>
        </w:trPr>
        <w:tc>
          <w:tcPr>
            <w:tcW w:w="4620" w:type="dxa"/>
            <w:vAlign w:val="bottom"/>
          </w:tcPr>
          <w:p>
            <w:pPr>
              <w:ind w:left="80"/>
              <w:spacing w:after="0"/>
              <w:rPr>
                <w:sz w:val="20"/>
                <w:szCs w:val="20"/>
                <w:color w:val="auto"/>
              </w:rPr>
            </w:pPr>
            <w:r>
              <w:rPr>
                <w:rFonts w:ascii="Arial" w:cs="Arial" w:eastAsia="Arial" w:hAnsi="Arial"/>
                <w:sz w:val="18"/>
                <w:szCs w:val="18"/>
                <w:color w:val="auto"/>
              </w:rPr>
              <w:t>Daily utilization – hours</w:t>
            </w:r>
          </w:p>
        </w:tc>
        <w:tc>
          <w:tcPr>
            <w:tcW w:w="1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6.9</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6.7</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3.0</w:t>
            </w:r>
          </w:p>
        </w:tc>
      </w:tr>
      <w:tr>
        <w:trPr>
          <w:trHeight w:val="230"/>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Average stage length – miles</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1,113</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(1.3)</w:t>
            </w:r>
          </w:p>
        </w:tc>
      </w:tr>
      <w:tr>
        <w:trPr>
          <w:trHeight w:val="247"/>
        </w:trPr>
        <w:tc>
          <w:tcPr>
            <w:tcW w:w="4620" w:type="dxa"/>
            <w:vAlign w:val="bottom"/>
          </w:tcPr>
          <w:p>
            <w:pPr>
              <w:ind w:left="80"/>
              <w:spacing w:after="0"/>
              <w:rPr>
                <w:sz w:val="20"/>
                <w:szCs w:val="20"/>
                <w:color w:val="auto"/>
              </w:rPr>
            </w:pPr>
            <w:r>
              <w:rPr>
                <w:rFonts w:ascii="Arial" w:cs="Arial" w:eastAsia="Arial" w:hAnsi="Arial"/>
                <w:sz w:val="18"/>
                <w:szCs w:val="18"/>
                <w:color w:val="auto"/>
              </w:rPr>
              <w:t>Total revenue per ASM (TRASM) - cents</w:t>
            </w:r>
          </w:p>
        </w:tc>
        <w:tc>
          <w:tcPr>
            <w:tcW w:w="1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11.25</w:t>
            </w:r>
          </w:p>
        </w:tc>
        <w:tc>
          <w:tcPr>
            <w:tcW w:w="520" w:type="dxa"/>
            <w:vAlign w:val="bottom"/>
          </w:tcPr>
          <w:p>
            <w:pPr>
              <w:spacing w:after="0"/>
              <w:rPr>
                <w:sz w:val="21"/>
                <w:szCs w:val="21"/>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12.23</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(8.0)</w:t>
            </w:r>
          </w:p>
        </w:tc>
      </w:tr>
      <w:tr>
        <w:trPr>
          <w:trHeight w:val="23"/>
        </w:trPr>
        <w:tc>
          <w:tcPr>
            <w:tcW w:w="4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0"/>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Cost per ASM (CASM) - cents</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12.79</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(5.9)</w:t>
            </w:r>
          </w:p>
        </w:tc>
      </w:tr>
      <w:tr>
        <w:trPr>
          <w:trHeight w:val="230"/>
        </w:trPr>
        <w:tc>
          <w:tcPr>
            <w:tcW w:w="4620" w:type="dxa"/>
            <w:vAlign w:val="bottom"/>
          </w:tcPr>
          <w:p>
            <w:pPr>
              <w:ind w:left="80"/>
              <w:spacing w:after="0" w:line="230" w:lineRule="exact"/>
              <w:rPr>
                <w:sz w:val="20"/>
                <w:szCs w:val="20"/>
                <w:color w:val="auto"/>
              </w:rPr>
            </w:pPr>
            <w:r>
              <w:rPr>
                <w:rFonts w:ascii="Arial" w:cs="Arial" w:eastAsia="Arial" w:hAnsi="Arial"/>
                <w:sz w:val="18"/>
                <w:szCs w:val="18"/>
                <w:color w:val="auto"/>
              </w:rPr>
              <w:t>Adjusted CASM</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 cents</w:t>
            </w:r>
          </w:p>
        </w:tc>
        <w:tc>
          <w:tcPr>
            <w:tcW w:w="1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7.28</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7.44</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(2.2)</w:t>
            </w:r>
          </w:p>
        </w:tc>
      </w:tr>
      <w:tr>
        <w:trPr>
          <w:trHeight w:val="229"/>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Fuel gallons - thousands</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19,841</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17,369</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14.2</w:t>
            </w:r>
          </w:p>
        </w:tc>
      </w:tr>
      <w:tr>
        <w:trPr>
          <w:trHeight w:val="230"/>
        </w:trPr>
        <w:tc>
          <w:tcPr>
            <w:tcW w:w="4620" w:type="dxa"/>
            <w:vAlign w:val="bottom"/>
          </w:tcPr>
          <w:p>
            <w:pPr>
              <w:ind w:left="80"/>
              <w:spacing w:after="0"/>
              <w:rPr>
                <w:sz w:val="20"/>
                <w:szCs w:val="20"/>
                <w:color w:val="auto"/>
              </w:rPr>
            </w:pPr>
            <w:r>
              <w:rPr>
                <w:rFonts w:ascii="Arial" w:cs="Arial" w:eastAsia="Arial" w:hAnsi="Arial"/>
                <w:sz w:val="18"/>
                <w:szCs w:val="18"/>
                <w:color w:val="auto"/>
              </w:rPr>
              <w:t>Fuel cost per gallon</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3.07</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3.58</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(14.2)</w:t>
            </w:r>
          </w:p>
        </w:tc>
      </w:tr>
      <w:tr>
        <w:trPr>
          <w:trHeight w:val="230"/>
        </w:trPr>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Employees at end of period</w:t>
            </w:r>
          </w:p>
        </w:tc>
        <w:tc>
          <w:tcPr>
            <w:tcW w:w="1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2,510</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10.9</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1 – See note 3 in End Notes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2 – See note 4 in End Notes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“NM” stands for not meaningful</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Page 9</w:t>
      </w:r>
    </w:p>
    <w:p>
      <w:pPr>
        <w:sectPr>
          <w:pgSz w:w="11900" w:h="16838" w:orient="portrait"/>
          <w:cols w:equalWidth="0" w:num="1">
            <w:col w:w="11100"/>
          </w:cols>
          <w:pgMar w:left="320" w:top="1106" w:right="479" w:bottom="1440" w:gutter="0" w:footer="0" w:header="0"/>
        </w:sectPr>
      </w:pPr>
    </w:p>
    <w:bookmarkStart w:id="12" w:name="page13"/>
    <w:bookmarkEnd w:id="12"/>
    <w:p>
      <w:pPr>
        <w:spacing w:after="0" w:line="1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KEY OPERATING STATISTICS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034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0" w:type="dxa"/>
            <w:vAlign w:val="bottom"/>
            <w:gridSpan w:val="3"/>
          </w:tcPr>
          <w:p>
            <w:pPr>
              <w:jc w:val="right"/>
              <w:ind w:right="1171"/>
              <w:spacing w:after="0"/>
              <w:rPr>
                <w:sz w:val="20"/>
                <w:szCs w:val="20"/>
                <w:color w:val="auto"/>
              </w:rPr>
            </w:pPr>
            <w:r>
              <w:rPr>
                <w:rFonts w:ascii="Arial" w:cs="Arial" w:eastAsia="Arial" w:hAnsi="Arial"/>
                <w:sz w:val="14"/>
                <w:szCs w:val="14"/>
                <w:b w:val="1"/>
                <w:bCs w:val="1"/>
                <w:color w:val="0A0A0A"/>
              </w:rPr>
              <w:t>Year Ended December 31,</w:t>
            </w:r>
          </w:p>
        </w:tc>
        <w:tc>
          <w:tcPr>
            <w:tcW w:w="1660" w:type="dxa"/>
            <w:vAlign w:val="bottom"/>
          </w:tcPr>
          <w:p>
            <w:pPr>
              <w:spacing w:after="0"/>
              <w:rPr>
                <w:sz w:val="17"/>
                <w:szCs w:val="17"/>
                <w:color w:val="auto"/>
              </w:rPr>
            </w:pPr>
          </w:p>
        </w:tc>
      </w:tr>
      <w:tr>
        <w:trPr>
          <w:trHeight w:val="203"/>
        </w:trPr>
        <w:tc>
          <w:tcPr>
            <w:tcW w:w="46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951"/>
              <w:spacing w:after="0"/>
              <w:rPr>
                <w:sz w:val="20"/>
                <w:szCs w:val="20"/>
                <w:color w:val="auto"/>
              </w:rPr>
            </w:pPr>
            <w:r>
              <w:rPr>
                <w:rFonts w:ascii="Arial" w:cs="Arial" w:eastAsia="Arial" w:hAnsi="Arial"/>
                <w:sz w:val="14"/>
                <w:szCs w:val="14"/>
                <w:b w:val="1"/>
                <w:bCs w:val="1"/>
                <w:color w:val="auto"/>
              </w:rPr>
              <w:t>2022</w:t>
            </w:r>
          </w:p>
        </w:tc>
        <w:tc>
          <w:tcPr>
            <w:tcW w:w="16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 Change</w:t>
            </w:r>
          </w:p>
        </w:tc>
      </w:tr>
      <w:tr>
        <w:trPr>
          <w:trHeight w:val="224"/>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Scheduled Service Statistics:</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4660" w:type="dxa"/>
            <w:vAlign w:val="bottom"/>
          </w:tcPr>
          <w:p>
            <w:pPr>
              <w:ind w:left="140"/>
              <w:spacing w:after="0"/>
              <w:rPr>
                <w:sz w:val="20"/>
                <w:szCs w:val="20"/>
                <w:color w:val="auto"/>
              </w:rPr>
            </w:pPr>
            <w:r>
              <w:rPr>
                <w:rFonts w:ascii="Arial" w:cs="Arial" w:eastAsia="Arial" w:hAnsi="Arial"/>
                <w:sz w:val="18"/>
                <w:szCs w:val="18"/>
                <w:color w:val="auto"/>
              </w:rPr>
              <w:t>Revenue passenger miles (RPMs) – thousands</w:t>
            </w:r>
          </w:p>
        </w:tc>
        <w:tc>
          <w:tcPr>
            <w:tcW w:w="1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5,217,852</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4,706,996</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10.9</w:t>
            </w:r>
          </w:p>
        </w:tc>
      </w:tr>
      <w:tr>
        <w:trPr>
          <w:trHeight w:val="230"/>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Available seat miles (ASMs) – thousands</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6,044,011</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5,637,233</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7.2</w:t>
            </w:r>
          </w:p>
        </w:tc>
      </w:tr>
      <w:tr>
        <w:trPr>
          <w:trHeight w:val="229"/>
        </w:trPr>
        <w:tc>
          <w:tcPr>
            <w:tcW w:w="4660" w:type="dxa"/>
            <w:vAlign w:val="bottom"/>
          </w:tcPr>
          <w:p>
            <w:pPr>
              <w:ind w:left="140"/>
              <w:spacing w:after="0"/>
              <w:rPr>
                <w:sz w:val="20"/>
                <w:szCs w:val="20"/>
                <w:color w:val="auto"/>
              </w:rPr>
            </w:pPr>
            <w:r>
              <w:rPr>
                <w:rFonts w:ascii="Arial" w:cs="Arial" w:eastAsia="Arial" w:hAnsi="Arial"/>
                <w:sz w:val="18"/>
                <w:szCs w:val="18"/>
                <w:color w:val="auto"/>
              </w:rPr>
              <w:t>Load factor</w:t>
            </w:r>
          </w:p>
        </w:tc>
        <w:tc>
          <w:tcPr>
            <w:tcW w:w="1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86.3%</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83.5%</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2.8</w:t>
            </w:r>
          </w:p>
        </w:tc>
      </w:tr>
      <w:tr>
        <w:trPr>
          <w:trHeight w:val="229"/>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 passengers carried</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4,140,663</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3,598,584</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15.1</w:t>
            </w: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Departures</w:t>
            </w:r>
          </w:p>
        </w:tc>
        <w:tc>
          <w:tcPr>
            <w:tcW w:w="1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26,144</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23,166</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12.9</w:t>
            </w:r>
          </w:p>
        </w:tc>
      </w:tr>
      <w:tr>
        <w:trPr>
          <w:trHeight w:val="229"/>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Block hours</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82,618</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76,081</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8.6</w:t>
            </w:r>
          </w:p>
        </w:tc>
      </w:tr>
      <w:tr>
        <w:trPr>
          <w:trHeight w:val="229"/>
        </w:trPr>
        <w:tc>
          <w:tcPr>
            <w:tcW w:w="4660" w:type="dxa"/>
            <w:vAlign w:val="bottom"/>
          </w:tcPr>
          <w:p>
            <w:pPr>
              <w:ind w:left="140"/>
              <w:spacing w:after="0" w:line="230" w:lineRule="exact"/>
              <w:rPr>
                <w:sz w:val="20"/>
                <w:szCs w:val="20"/>
                <w:color w:val="auto"/>
              </w:rPr>
            </w:pPr>
            <w:r>
              <w:rPr>
                <w:rFonts w:ascii="Arial" w:cs="Arial" w:eastAsia="Arial" w:hAnsi="Arial"/>
                <w:sz w:val="18"/>
                <w:szCs w:val="18"/>
                <w:color w:val="auto"/>
              </w:rPr>
              <w:t>Scheduled service TRASM</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 cents</w:t>
            </w:r>
          </w:p>
        </w:tc>
        <w:tc>
          <w:tcPr>
            <w:tcW w:w="1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12.27</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11.40</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7.6</w:t>
            </w:r>
          </w:p>
        </w:tc>
      </w:tr>
      <w:tr>
        <w:trPr>
          <w:trHeight w:val="230"/>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Average base fare per passenger</w:t>
            </w:r>
          </w:p>
        </w:tc>
        <w:tc>
          <w:tcPr>
            <w:tcW w:w="11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109.61</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121.80</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(10.0)</w:t>
            </w:r>
          </w:p>
        </w:tc>
      </w:tr>
      <w:tr>
        <w:trPr>
          <w:trHeight w:val="229"/>
        </w:trPr>
        <w:tc>
          <w:tcPr>
            <w:tcW w:w="4660" w:type="dxa"/>
            <w:vAlign w:val="bottom"/>
          </w:tcPr>
          <w:p>
            <w:pPr>
              <w:ind w:left="140"/>
              <w:spacing w:after="0"/>
              <w:rPr>
                <w:sz w:val="20"/>
                <w:szCs w:val="20"/>
                <w:color w:val="auto"/>
              </w:rPr>
            </w:pPr>
            <w:r>
              <w:rPr>
                <w:rFonts w:ascii="Arial" w:cs="Arial" w:eastAsia="Arial" w:hAnsi="Arial"/>
                <w:sz w:val="18"/>
                <w:szCs w:val="18"/>
                <w:color w:val="auto"/>
              </w:rPr>
              <w:t>Ancillary revenue per passenger</w:t>
            </w: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66.69</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53.49</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24.7</w:t>
            </w:r>
          </w:p>
        </w:tc>
      </w:tr>
      <w:tr>
        <w:trPr>
          <w:trHeight w:val="230"/>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fare per passenger</w:t>
            </w:r>
          </w:p>
        </w:tc>
        <w:tc>
          <w:tcPr>
            <w:tcW w:w="11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176.30</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175.29</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0.6</w:t>
            </w:r>
          </w:p>
        </w:tc>
      </w:tr>
      <w:tr>
        <w:trPr>
          <w:trHeight w:val="229"/>
        </w:trPr>
        <w:tc>
          <w:tcPr>
            <w:tcW w:w="4660" w:type="dxa"/>
            <w:vAlign w:val="bottom"/>
          </w:tcPr>
          <w:p>
            <w:pPr>
              <w:ind w:left="140"/>
              <w:spacing w:after="0"/>
              <w:rPr>
                <w:sz w:val="20"/>
                <w:szCs w:val="20"/>
                <w:color w:val="auto"/>
              </w:rPr>
            </w:pPr>
            <w:r>
              <w:rPr>
                <w:rFonts w:ascii="Arial" w:cs="Arial" w:eastAsia="Arial" w:hAnsi="Arial"/>
                <w:sz w:val="18"/>
                <w:szCs w:val="18"/>
                <w:color w:val="auto"/>
              </w:rPr>
              <w:t>Fuel gallons - thousands</w:t>
            </w:r>
          </w:p>
        </w:tc>
        <w:tc>
          <w:tcPr>
            <w:tcW w:w="1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64,450</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59,222</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8.8</w:t>
            </w:r>
          </w:p>
        </w:tc>
      </w:tr>
      <w:tr>
        <w:trPr>
          <w:trHeight w:val="270"/>
        </w:trPr>
        <w:tc>
          <w:tcPr>
            <w:tcW w:w="46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29"/>
        </w:trPr>
        <w:tc>
          <w:tcPr>
            <w:tcW w:w="4660" w:type="dxa"/>
            <w:vAlign w:val="bottom"/>
          </w:tcPr>
          <w:p>
            <w:pPr>
              <w:ind w:left="80"/>
              <w:spacing w:after="0"/>
              <w:rPr>
                <w:sz w:val="20"/>
                <w:szCs w:val="20"/>
                <w:color w:val="auto"/>
              </w:rPr>
            </w:pPr>
            <w:r>
              <w:rPr>
                <w:rFonts w:ascii="Arial" w:cs="Arial" w:eastAsia="Arial" w:hAnsi="Arial"/>
                <w:sz w:val="18"/>
                <w:szCs w:val="18"/>
                <w:b w:val="1"/>
                <w:bCs w:val="1"/>
                <w:color w:val="auto"/>
              </w:rPr>
              <w:t>Charter Statistics:</w:t>
            </w:r>
          </w:p>
        </w:tc>
        <w:tc>
          <w:tcPr>
            <w:tcW w:w="1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Departures</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10,387</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8,616</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20.6</w:t>
            </w:r>
          </w:p>
        </w:tc>
      </w:tr>
      <w:tr>
        <w:trPr>
          <w:trHeight w:val="229"/>
        </w:trPr>
        <w:tc>
          <w:tcPr>
            <w:tcW w:w="4660" w:type="dxa"/>
            <w:vAlign w:val="bottom"/>
          </w:tcPr>
          <w:p>
            <w:pPr>
              <w:ind w:left="80"/>
              <w:spacing w:after="0"/>
              <w:rPr>
                <w:sz w:val="20"/>
                <w:szCs w:val="20"/>
                <w:color w:val="auto"/>
              </w:rPr>
            </w:pPr>
            <w:r>
              <w:rPr>
                <w:rFonts w:ascii="Arial" w:cs="Arial" w:eastAsia="Arial" w:hAnsi="Arial"/>
                <w:sz w:val="18"/>
                <w:szCs w:val="18"/>
                <w:color w:val="auto"/>
              </w:rPr>
              <w:t>Block hours</w:t>
            </w:r>
          </w:p>
        </w:tc>
        <w:tc>
          <w:tcPr>
            <w:tcW w:w="1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21,154</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17,788</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18.9</w:t>
            </w:r>
          </w:p>
        </w:tc>
      </w:tr>
      <w:tr>
        <w:trPr>
          <w:trHeight w:val="229"/>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Available seats miles (ASMs) - thousands</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1,286,175</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1,093,530</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17.6</w:t>
            </w:r>
          </w:p>
        </w:tc>
      </w:tr>
      <w:tr>
        <w:trPr>
          <w:trHeight w:val="230"/>
        </w:trPr>
        <w:tc>
          <w:tcPr>
            <w:tcW w:w="4660" w:type="dxa"/>
            <w:vAlign w:val="bottom"/>
          </w:tcPr>
          <w:p>
            <w:pPr>
              <w:ind w:left="80"/>
              <w:spacing w:after="0"/>
              <w:rPr>
                <w:sz w:val="20"/>
                <w:szCs w:val="20"/>
                <w:color w:val="auto"/>
              </w:rPr>
            </w:pPr>
            <w:r>
              <w:rPr>
                <w:rFonts w:ascii="Arial" w:cs="Arial" w:eastAsia="Arial" w:hAnsi="Arial"/>
                <w:sz w:val="18"/>
                <w:szCs w:val="18"/>
                <w:color w:val="auto"/>
              </w:rPr>
              <w:t>Fuel gallons - thousands</w:t>
            </w:r>
          </w:p>
        </w:tc>
        <w:tc>
          <w:tcPr>
            <w:tcW w:w="1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14,299</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12,055</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18.6</w:t>
            </w:r>
          </w:p>
        </w:tc>
      </w:tr>
      <w:tr>
        <w:trPr>
          <w:trHeight w:val="270"/>
        </w:trPr>
        <w:tc>
          <w:tcPr>
            <w:tcW w:w="46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29"/>
        </w:trPr>
        <w:tc>
          <w:tcPr>
            <w:tcW w:w="4660" w:type="dxa"/>
            <w:vAlign w:val="bottom"/>
          </w:tcPr>
          <w:p>
            <w:pPr>
              <w:ind w:left="80"/>
              <w:spacing w:after="0"/>
              <w:rPr>
                <w:sz w:val="20"/>
                <w:szCs w:val="20"/>
                <w:color w:val="auto"/>
              </w:rPr>
            </w:pPr>
            <w:r>
              <w:rPr>
                <w:rFonts w:ascii="Arial" w:cs="Arial" w:eastAsia="Arial" w:hAnsi="Arial"/>
                <w:sz w:val="18"/>
                <w:szCs w:val="18"/>
                <w:b w:val="1"/>
                <w:bCs w:val="1"/>
                <w:color w:val="auto"/>
              </w:rPr>
              <w:t>Cargo Statistics:</w:t>
            </w:r>
          </w:p>
        </w:tc>
        <w:tc>
          <w:tcPr>
            <w:tcW w:w="1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Departures</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13,009</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11,619</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12.0</w:t>
            </w:r>
          </w:p>
        </w:tc>
      </w:tr>
      <w:tr>
        <w:trPr>
          <w:trHeight w:val="230"/>
        </w:trPr>
        <w:tc>
          <w:tcPr>
            <w:tcW w:w="4660" w:type="dxa"/>
            <w:vAlign w:val="bottom"/>
          </w:tcPr>
          <w:p>
            <w:pPr>
              <w:ind w:left="80"/>
              <w:spacing w:after="0"/>
              <w:rPr>
                <w:sz w:val="20"/>
                <w:szCs w:val="20"/>
                <w:color w:val="auto"/>
              </w:rPr>
            </w:pPr>
            <w:r>
              <w:rPr>
                <w:rFonts w:ascii="Arial" w:cs="Arial" w:eastAsia="Arial" w:hAnsi="Arial"/>
                <w:sz w:val="18"/>
                <w:szCs w:val="18"/>
                <w:color w:val="auto"/>
              </w:rPr>
              <w:t>Block hours</w:t>
            </w:r>
          </w:p>
        </w:tc>
        <w:tc>
          <w:tcPr>
            <w:tcW w:w="1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34,592</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32,691</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5.8</w:t>
            </w:r>
          </w:p>
        </w:tc>
      </w:tr>
      <w:tr>
        <w:trPr>
          <w:trHeight w:val="270"/>
        </w:trPr>
        <w:tc>
          <w:tcPr>
            <w:tcW w:w="46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30"/>
        </w:trPr>
        <w:tc>
          <w:tcPr>
            <w:tcW w:w="4660" w:type="dxa"/>
            <w:vAlign w:val="bottom"/>
          </w:tcPr>
          <w:p>
            <w:pPr>
              <w:ind w:left="80"/>
              <w:spacing w:after="0"/>
              <w:rPr>
                <w:sz w:val="20"/>
                <w:szCs w:val="20"/>
                <w:color w:val="auto"/>
              </w:rPr>
            </w:pPr>
            <w:r>
              <w:rPr>
                <w:rFonts w:ascii="Arial" w:cs="Arial" w:eastAsia="Arial" w:hAnsi="Arial"/>
                <w:sz w:val="18"/>
                <w:szCs w:val="18"/>
                <w:b w:val="1"/>
                <w:bCs w:val="1"/>
                <w:color w:val="auto"/>
              </w:rPr>
              <w:t>Total System Statistics:</w:t>
            </w:r>
          </w:p>
        </w:tc>
        <w:tc>
          <w:tcPr>
            <w:tcW w:w="1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Average passenger aircraft</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35.9</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16.4</w:t>
            </w:r>
          </w:p>
        </w:tc>
      </w:tr>
      <w:tr>
        <w:trPr>
          <w:trHeight w:val="230"/>
        </w:trPr>
        <w:tc>
          <w:tcPr>
            <w:tcW w:w="4660" w:type="dxa"/>
            <w:vAlign w:val="bottom"/>
          </w:tcPr>
          <w:p>
            <w:pPr>
              <w:ind w:left="80"/>
              <w:spacing w:after="0"/>
              <w:rPr>
                <w:sz w:val="20"/>
                <w:szCs w:val="20"/>
                <w:color w:val="auto"/>
              </w:rPr>
            </w:pPr>
            <w:r>
              <w:rPr>
                <w:rFonts w:ascii="Arial" w:cs="Arial" w:eastAsia="Arial" w:hAnsi="Arial"/>
                <w:sz w:val="18"/>
                <w:szCs w:val="18"/>
                <w:color w:val="auto"/>
              </w:rPr>
              <w:t>Passenger aircraft – end of period</w:t>
            </w:r>
          </w:p>
        </w:tc>
        <w:tc>
          <w:tcPr>
            <w:tcW w:w="1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42</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30"/>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Leased Aircraft - end of period</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NM</w:t>
            </w:r>
          </w:p>
        </w:tc>
      </w:tr>
      <w:tr>
        <w:trPr>
          <w:trHeight w:val="230"/>
        </w:trPr>
        <w:tc>
          <w:tcPr>
            <w:tcW w:w="4660" w:type="dxa"/>
            <w:vAlign w:val="bottom"/>
          </w:tcPr>
          <w:p>
            <w:pPr>
              <w:ind w:left="80"/>
              <w:spacing w:after="0"/>
              <w:rPr>
                <w:sz w:val="20"/>
                <w:szCs w:val="20"/>
                <w:color w:val="auto"/>
              </w:rPr>
            </w:pPr>
            <w:r>
              <w:rPr>
                <w:rFonts w:ascii="Arial" w:cs="Arial" w:eastAsia="Arial" w:hAnsi="Arial"/>
                <w:sz w:val="18"/>
                <w:szCs w:val="18"/>
                <w:color w:val="auto"/>
              </w:rPr>
              <w:t>Cargo aircraft – end of period</w:t>
            </w:r>
          </w:p>
        </w:tc>
        <w:tc>
          <w:tcPr>
            <w:tcW w:w="1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12</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29"/>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Available seat miles (ASMs) – thousands</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7,416,189</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6,771,340</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9.5</w:t>
            </w:r>
          </w:p>
        </w:tc>
      </w:tr>
      <w:tr>
        <w:trPr>
          <w:trHeight w:val="230"/>
        </w:trPr>
        <w:tc>
          <w:tcPr>
            <w:tcW w:w="4660" w:type="dxa"/>
            <w:vAlign w:val="bottom"/>
          </w:tcPr>
          <w:p>
            <w:pPr>
              <w:ind w:left="80"/>
              <w:spacing w:after="0"/>
              <w:rPr>
                <w:sz w:val="20"/>
                <w:szCs w:val="20"/>
                <w:color w:val="auto"/>
              </w:rPr>
            </w:pPr>
            <w:r>
              <w:rPr>
                <w:rFonts w:ascii="Arial" w:cs="Arial" w:eastAsia="Arial" w:hAnsi="Arial"/>
                <w:sz w:val="18"/>
                <w:szCs w:val="18"/>
                <w:color w:val="auto"/>
              </w:rPr>
              <w:t>Departures</w:t>
            </w:r>
          </w:p>
        </w:tc>
        <w:tc>
          <w:tcPr>
            <w:tcW w:w="1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50,040</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43,686</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14.5</w:t>
            </w:r>
          </w:p>
        </w:tc>
      </w:tr>
      <w:tr>
        <w:trPr>
          <w:trHeight w:val="230"/>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Block hours</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139,841</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127,361</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9.8</w:t>
            </w:r>
          </w:p>
        </w:tc>
      </w:tr>
      <w:tr>
        <w:trPr>
          <w:trHeight w:val="230"/>
        </w:trPr>
        <w:tc>
          <w:tcPr>
            <w:tcW w:w="4660" w:type="dxa"/>
            <w:vAlign w:val="bottom"/>
          </w:tcPr>
          <w:p>
            <w:pPr>
              <w:ind w:left="80"/>
              <w:spacing w:after="0"/>
              <w:rPr>
                <w:sz w:val="20"/>
                <w:szCs w:val="20"/>
                <w:color w:val="auto"/>
              </w:rPr>
            </w:pPr>
            <w:r>
              <w:rPr>
                <w:rFonts w:ascii="Arial" w:cs="Arial" w:eastAsia="Arial" w:hAnsi="Arial"/>
                <w:sz w:val="18"/>
                <w:szCs w:val="18"/>
                <w:color w:val="auto"/>
              </w:rPr>
              <w:t>Daily utilization – hours</w:t>
            </w:r>
          </w:p>
        </w:tc>
        <w:tc>
          <w:tcPr>
            <w:tcW w:w="1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6.9</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7.2</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(4.2)</w:t>
            </w:r>
          </w:p>
        </w:tc>
      </w:tr>
      <w:tr>
        <w:trPr>
          <w:trHeight w:val="229"/>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Average stage length – miles</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1,155</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(5.6)</w:t>
            </w:r>
          </w:p>
        </w:tc>
      </w:tr>
      <w:tr>
        <w:trPr>
          <w:trHeight w:val="247"/>
        </w:trPr>
        <w:tc>
          <w:tcPr>
            <w:tcW w:w="4660" w:type="dxa"/>
            <w:vAlign w:val="bottom"/>
          </w:tcPr>
          <w:p>
            <w:pPr>
              <w:ind w:left="80"/>
              <w:spacing w:after="0"/>
              <w:rPr>
                <w:sz w:val="20"/>
                <w:szCs w:val="20"/>
                <w:color w:val="auto"/>
              </w:rPr>
            </w:pPr>
            <w:r>
              <w:rPr>
                <w:rFonts w:ascii="Arial" w:cs="Arial" w:eastAsia="Arial" w:hAnsi="Arial"/>
                <w:sz w:val="18"/>
                <w:szCs w:val="18"/>
                <w:color w:val="auto"/>
              </w:rPr>
              <w:t>Total revenue per ASM (TRASM) - cents</w:t>
            </w:r>
          </w:p>
        </w:tc>
        <w:tc>
          <w:tcPr>
            <w:tcW w:w="1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12.56</w:t>
            </w:r>
          </w:p>
        </w:tc>
        <w:tc>
          <w:tcPr>
            <w:tcW w:w="520" w:type="dxa"/>
            <w:vAlign w:val="bottom"/>
          </w:tcPr>
          <w:p>
            <w:pPr>
              <w:spacing w:after="0"/>
              <w:rPr>
                <w:sz w:val="21"/>
                <w:szCs w:val="21"/>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11.87</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5.8</w:t>
            </w:r>
          </w:p>
        </w:tc>
      </w:tr>
      <w:tr>
        <w:trPr>
          <w:trHeight w:val="23"/>
        </w:trPr>
        <w:tc>
          <w:tcPr>
            <w:tcW w:w="4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0"/>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Cost per ASM (CASM) - cents</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12.39</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0.3</w:t>
            </w:r>
          </w:p>
        </w:tc>
      </w:tr>
      <w:tr>
        <w:trPr>
          <w:trHeight w:val="230"/>
        </w:trPr>
        <w:tc>
          <w:tcPr>
            <w:tcW w:w="4660" w:type="dxa"/>
            <w:vAlign w:val="bottom"/>
          </w:tcPr>
          <w:p>
            <w:pPr>
              <w:ind w:left="80"/>
              <w:spacing w:after="0" w:line="230" w:lineRule="exact"/>
              <w:rPr>
                <w:sz w:val="20"/>
                <w:szCs w:val="20"/>
                <w:color w:val="auto"/>
              </w:rPr>
            </w:pPr>
            <w:r>
              <w:rPr>
                <w:rFonts w:ascii="Arial" w:cs="Arial" w:eastAsia="Arial" w:hAnsi="Arial"/>
                <w:sz w:val="18"/>
                <w:szCs w:val="18"/>
                <w:color w:val="auto"/>
              </w:rPr>
              <w:t>Adjusted CASM</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 cents</w:t>
            </w:r>
          </w:p>
        </w:tc>
        <w:tc>
          <w:tcPr>
            <w:tcW w:w="1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7.49</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7.04</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6.4</w:t>
            </w:r>
          </w:p>
        </w:tc>
      </w:tr>
      <w:tr>
        <w:trPr>
          <w:trHeight w:val="230"/>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Fuel gallons - thousands</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79,574</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71,690</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11.0</w:t>
            </w:r>
          </w:p>
        </w:tc>
      </w:tr>
      <w:tr>
        <w:trPr>
          <w:trHeight w:val="229"/>
        </w:trPr>
        <w:tc>
          <w:tcPr>
            <w:tcW w:w="4660" w:type="dxa"/>
            <w:vAlign w:val="bottom"/>
          </w:tcPr>
          <w:p>
            <w:pPr>
              <w:ind w:left="80"/>
              <w:spacing w:after="0"/>
              <w:rPr>
                <w:sz w:val="20"/>
                <w:szCs w:val="20"/>
                <w:color w:val="auto"/>
              </w:rPr>
            </w:pPr>
            <w:r>
              <w:rPr>
                <w:rFonts w:ascii="Arial" w:cs="Arial" w:eastAsia="Arial" w:hAnsi="Arial"/>
                <w:sz w:val="18"/>
                <w:szCs w:val="18"/>
                <w:color w:val="auto"/>
              </w:rPr>
              <w:t>Fuel cost per gallon, excluding derivatives</w:t>
            </w: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3.11</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3.75</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(17.1)</w:t>
            </w:r>
          </w:p>
        </w:tc>
      </w:tr>
      <w:tr>
        <w:trPr>
          <w:trHeight w:val="230"/>
        </w:trPr>
        <w:tc>
          <w:tcPr>
            <w:tcW w:w="4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Employees at end of period</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2,510</w:t>
            </w:r>
          </w:p>
        </w:tc>
        <w:tc>
          <w:tcPr>
            <w:tcW w:w="1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10.9</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1 – See note 3 in End Notes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2 – See note 4 in End Notes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“NM” stands for not meaningful</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Page 10</w:t>
      </w:r>
    </w:p>
    <w:p>
      <w:pPr>
        <w:sectPr>
          <w:pgSz w:w="11900" w:h="16838" w:orient="portrait"/>
          <w:cols w:equalWidth="0" w:num="1">
            <w:col w:w="11100"/>
          </w:cols>
          <w:pgMar w:left="320" w:top="1440" w:right="479" w:bottom="1440" w:gutter="0" w:footer="0" w:header="0"/>
        </w:sectPr>
      </w:pPr>
    </w:p>
    <w:bookmarkStart w:id="13" w:name="page14"/>
    <w:bookmarkEnd w:id="13"/>
    <w:p>
      <w:pPr>
        <w:ind w:left="80"/>
        <w:spacing w:after="0"/>
        <w:rPr>
          <w:sz w:val="20"/>
          <w:szCs w:val="20"/>
          <w:color w:val="auto"/>
        </w:rPr>
      </w:pPr>
      <w:r>
        <w:rPr>
          <w:rFonts w:ascii="Arial" w:cs="Arial" w:eastAsia="Arial" w:hAnsi="Arial"/>
          <w:sz w:val="18"/>
          <w:szCs w:val="18"/>
          <w:b w:val="1"/>
          <w:bCs w:val="1"/>
          <w:color w:val="auto"/>
        </w:rPr>
        <w:t>SUMMARY BALANCE SHEET</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(Dollars in millions)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234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December 31, 2023</w:t>
            </w:r>
          </w:p>
        </w:tc>
        <w:tc>
          <w:tcPr>
            <w:tcW w:w="2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 2022</w:t>
            </w:r>
          </w:p>
        </w:tc>
        <w:tc>
          <w:tcPr>
            <w:tcW w:w="18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 Change</w:t>
            </w:r>
          </w:p>
        </w:tc>
      </w:tr>
      <w:tr>
        <w:trPr>
          <w:trHeight w:val="222"/>
        </w:trPr>
        <w:tc>
          <w:tcPr>
            <w:tcW w:w="5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7"/>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Cash &amp;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r>
      <w:tr>
        <w:trPr>
          <w:trHeight w:val="230"/>
        </w:trPr>
        <w:tc>
          <w:tcPr>
            <w:tcW w:w="51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0A0A0A"/>
              </w:rPr>
              <w:t>Other Current Assets</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225.1</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253.4</w:t>
            </w:r>
          </w:p>
        </w:tc>
        <w:tc>
          <w:tcPr>
            <w:tcW w:w="10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r>
      <w:tr>
        <w:trPr>
          <w:trHeight w:val="223"/>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Total Current Assets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30"/>
        </w:trPr>
        <w:tc>
          <w:tcPr>
            <w:tcW w:w="5180" w:type="dxa"/>
            <w:vAlign w:val="bottom"/>
          </w:tcPr>
          <w:p>
            <w:pPr>
              <w:ind w:left="80"/>
              <w:spacing w:after="0"/>
              <w:rPr>
                <w:sz w:val="20"/>
                <w:szCs w:val="20"/>
                <w:color w:val="auto"/>
              </w:rPr>
            </w:pPr>
            <w:r>
              <w:rPr>
                <w:rFonts w:ascii="Arial" w:cs="Arial" w:eastAsia="Arial" w:hAnsi="Arial"/>
                <w:sz w:val="18"/>
                <w:szCs w:val="18"/>
                <w:color w:val="0A0A0A"/>
              </w:rPr>
              <w:t>Total Property &amp; Equipment, net</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969.0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785.7</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29"/>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393.3</w:t>
            </w:r>
          </w:p>
        </w:tc>
        <w:tc>
          <w:tcPr>
            <w:tcW w:w="10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5180" w:type="dxa"/>
            <w:vAlign w:val="bottom"/>
          </w:tcPr>
          <w:p>
            <w:pPr>
              <w:ind w:left="160"/>
              <w:spacing w:after="0"/>
              <w:rPr>
                <w:sz w:val="20"/>
                <w:szCs w:val="20"/>
                <w:color w:val="auto"/>
              </w:rPr>
            </w:pPr>
            <w:r>
              <w:rPr>
                <w:rFonts w:ascii="Arial" w:cs="Arial" w:eastAsia="Arial" w:hAnsi="Arial"/>
                <w:sz w:val="18"/>
                <w:szCs w:val="18"/>
                <w:b w:val="1"/>
                <w:bCs w:val="1"/>
                <w:color w:val="0A0A0A"/>
              </w:rPr>
              <w:t>Total Assets</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1,623.6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1,524.4</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0"/>
        </w:trPr>
        <w:tc>
          <w:tcPr>
            <w:tcW w:w="5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r>
      <w:tr>
        <w:trPr>
          <w:trHeight w:val="230"/>
        </w:trPr>
        <w:tc>
          <w:tcPr>
            <w:tcW w:w="5180" w:type="dxa"/>
            <w:vAlign w:val="bottom"/>
          </w:tcPr>
          <w:p>
            <w:pPr>
              <w:ind w:left="80"/>
              <w:spacing w:after="0"/>
              <w:rPr>
                <w:sz w:val="20"/>
                <w:szCs w:val="20"/>
                <w:color w:val="auto"/>
              </w:rPr>
            </w:pPr>
            <w:r>
              <w:rPr>
                <w:rFonts w:ascii="Arial" w:cs="Arial" w:eastAsia="Arial" w:hAnsi="Arial"/>
                <w:sz w:val="18"/>
                <w:szCs w:val="18"/>
                <w:color w:val="0A0A0A"/>
              </w:rPr>
              <w:t>Air Traffic Liabilities</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158.0</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Current Finance Lease Obligations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w:t>
            </w:r>
          </w:p>
        </w:tc>
      </w:tr>
      <w:tr>
        <w:trPr>
          <w:trHeight w:val="230"/>
        </w:trPr>
        <w:tc>
          <w:tcPr>
            <w:tcW w:w="5180" w:type="dxa"/>
            <w:vAlign w:val="bottom"/>
          </w:tcPr>
          <w:p>
            <w:pPr>
              <w:ind w:left="80"/>
              <w:spacing w:after="0"/>
              <w:rPr>
                <w:sz w:val="20"/>
                <w:szCs w:val="20"/>
                <w:color w:val="auto"/>
              </w:rPr>
            </w:pPr>
            <w:r>
              <w:rPr>
                <w:rFonts w:ascii="Arial" w:cs="Arial" w:eastAsia="Arial" w:hAnsi="Arial"/>
                <w:sz w:val="18"/>
                <w:szCs w:val="18"/>
                <w:color w:val="0A0A0A"/>
              </w:rPr>
              <w:t>Current Operating Lease Obligations</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(65.1)</w:t>
            </w:r>
          </w:p>
        </w:tc>
      </w:tr>
      <w:tr>
        <w:trPr>
          <w:trHeight w:val="229"/>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Current Maturities of Long-Term Debt</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r>
      <w:tr>
        <w:trPr>
          <w:trHeight w:val="229"/>
        </w:trPr>
        <w:tc>
          <w:tcPr>
            <w:tcW w:w="5180" w:type="dxa"/>
            <w:vAlign w:val="bottom"/>
          </w:tcPr>
          <w:p>
            <w:pPr>
              <w:ind w:left="80"/>
              <w:spacing w:after="0"/>
              <w:rPr>
                <w:sz w:val="20"/>
                <w:szCs w:val="20"/>
                <w:color w:val="auto"/>
              </w:rPr>
            </w:pPr>
            <w:r>
              <w:rPr>
                <w:rFonts w:ascii="Arial" w:cs="Arial" w:eastAsia="Arial" w:hAnsi="Arial"/>
                <w:sz w:val="18"/>
                <w:szCs w:val="18"/>
                <w:color w:val="0A0A0A"/>
              </w:rPr>
              <w:t>Income Tax Receivable Agreement Liability</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43.5</w:t>
            </w:r>
          </w:p>
        </w:tc>
      </w:tr>
      <w:tr>
        <w:trPr>
          <w:trHeight w:val="230"/>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0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3"/>
        </w:trPr>
        <w:tc>
          <w:tcPr>
            <w:tcW w:w="5180" w:type="dxa"/>
            <w:vAlign w:val="bottom"/>
          </w:tcPr>
          <w:p>
            <w:pPr>
              <w:ind w:left="160"/>
              <w:spacing w:after="0"/>
              <w:rPr>
                <w:sz w:val="20"/>
                <w:szCs w:val="20"/>
                <w:color w:val="auto"/>
              </w:rPr>
            </w:pPr>
            <w:r>
              <w:rPr>
                <w:rFonts w:ascii="Arial" w:cs="Arial" w:eastAsia="Arial" w:hAnsi="Arial"/>
                <w:sz w:val="18"/>
                <w:szCs w:val="18"/>
                <w:color w:val="0A0A0A"/>
              </w:rPr>
              <w:t>Total Current Liabilities</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418.6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377.1</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30"/>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Finance Lease Obligations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5180" w:type="dxa"/>
            <w:vAlign w:val="bottom"/>
          </w:tcPr>
          <w:p>
            <w:pPr>
              <w:ind w:left="80"/>
              <w:spacing w:after="0"/>
              <w:rPr>
                <w:sz w:val="20"/>
                <w:szCs w:val="20"/>
                <w:color w:val="auto"/>
              </w:rPr>
            </w:pPr>
            <w:r>
              <w:rPr>
                <w:rFonts w:ascii="Arial" w:cs="Arial" w:eastAsia="Arial" w:hAnsi="Arial"/>
                <w:sz w:val="18"/>
                <w:szCs w:val="18"/>
                <w:color w:val="0A0A0A"/>
              </w:rPr>
              <w:t>Operating Lease Obligations</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30"/>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Long-Term Debt</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30"/>
        </w:trPr>
        <w:tc>
          <w:tcPr>
            <w:tcW w:w="5180" w:type="dxa"/>
            <w:vAlign w:val="bottom"/>
          </w:tcPr>
          <w:p>
            <w:pPr>
              <w:ind w:left="80"/>
              <w:spacing w:after="0"/>
              <w:rPr>
                <w:sz w:val="20"/>
                <w:szCs w:val="20"/>
                <w:color w:val="auto"/>
              </w:rPr>
            </w:pPr>
            <w:r>
              <w:rPr>
                <w:rFonts w:ascii="Arial" w:cs="Arial" w:eastAsia="Arial" w:hAnsi="Arial"/>
                <w:sz w:val="18"/>
                <w:szCs w:val="18"/>
                <w:color w:val="0A0A0A"/>
              </w:rPr>
              <w:t>Income Tax Receivable Agreement Liability</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w:t>
            </w:r>
          </w:p>
        </w:tc>
      </w:tr>
      <w:tr>
        <w:trPr>
          <w:trHeight w:val="223"/>
        </w:trPr>
        <w:tc>
          <w:tcPr>
            <w:tcW w:w="5180" w:type="dxa"/>
            <w:vAlign w:val="bottom"/>
          </w:tcPr>
          <w:p>
            <w:pPr>
              <w:ind w:left="160"/>
              <w:spacing w:after="0"/>
              <w:rPr>
                <w:sz w:val="20"/>
                <w:szCs w:val="20"/>
                <w:color w:val="auto"/>
              </w:rPr>
            </w:pPr>
            <w:r>
              <w:rPr>
                <w:rFonts w:ascii="Arial" w:cs="Arial" w:eastAsia="Arial" w:hAnsi="Arial"/>
                <w:sz w:val="18"/>
                <w:szCs w:val="18"/>
                <w:b w:val="1"/>
                <w:bCs w:val="1"/>
                <w:color w:val="0A0A0A"/>
              </w:rPr>
              <w:t>Total Liabilities</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1,109.2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1,031.7</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0"/>
        </w:trPr>
        <w:tc>
          <w:tcPr>
            <w:tcW w:w="5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r>
      <w:tr>
        <w:trPr>
          <w:trHeight w:val="247"/>
        </w:trPr>
        <w:tc>
          <w:tcPr>
            <w:tcW w:w="5180" w:type="dxa"/>
            <w:vAlign w:val="bottom"/>
          </w:tcPr>
          <w:p>
            <w:pPr>
              <w:ind w:left="80"/>
              <w:spacing w:after="0"/>
              <w:rPr>
                <w:sz w:val="20"/>
                <w:szCs w:val="20"/>
                <w:color w:val="auto"/>
              </w:rPr>
            </w:pPr>
            <w:r>
              <w:rPr>
                <w:rFonts w:ascii="Arial" w:cs="Arial" w:eastAsia="Arial" w:hAnsi="Arial"/>
                <w:sz w:val="18"/>
                <w:szCs w:val="18"/>
                <w:b w:val="1"/>
                <w:bCs w:val="1"/>
                <w:color w:val="0A0A0A"/>
              </w:rPr>
              <w:t>Total Stockholders’ Equity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514.4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492.7</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Page 11</w:t>
      </w:r>
    </w:p>
    <w:p>
      <w:pPr>
        <w:sectPr>
          <w:pgSz w:w="11900" w:h="16838" w:orient="portrait"/>
          <w:cols w:equalWidth="0" w:num="1">
            <w:col w:w="11160"/>
          </w:cols>
          <w:pgMar w:left="320" w:top="1336" w:right="419" w:bottom="1440" w:gutter="0" w:footer="0" w:header="0"/>
        </w:sectPr>
      </w:pPr>
    </w:p>
    <w:bookmarkStart w:id="14" w:name="page15"/>
    <w:bookmarkEnd w:id="14"/>
    <w:p>
      <w:pPr>
        <w:ind w:left="20"/>
        <w:spacing w:after="0"/>
        <w:rPr>
          <w:sz w:val="20"/>
          <w:szCs w:val="20"/>
          <w:color w:val="auto"/>
        </w:rPr>
      </w:pPr>
      <w:r>
        <w:rPr>
          <w:rFonts w:ascii="Arial" w:cs="Arial" w:eastAsia="Arial" w:hAnsi="Arial"/>
          <w:sz w:val="18"/>
          <w:szCs w:val="18"/>
          <w:b w:val="1"/>
          <w:bCs w:val="1"/>
          <w:color w:val="auto"/>
        </w:rPr>
        <w:t>SUMMARY CASH FLOW</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(Dollars in millions)</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234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90" w:lineRule="exact"/>
        <w:rPr>
          <w:sz w:val="20"/>
          <w:szCs w:val="20"/>
          <w:color w:val="auto"/>
        </w:rPr>
      </w:pPr>
    </w:p>
    <w:p>
      <w:pPr>
        <w:ind w:left="6420"/>
        <w:spacing w:after="0"/>
        <w:rPr>
          <w:sz w:val="20"/>
          <w:szCs w:val="20"/>
          <w:color w:val="auto"/>
        </w:rPr>
      </w:pPr>
      <w:r>
        <w:rPr>
          <w:rFonts w:ascii="Arial" w:cs="Arial" w:eastAsia="Arial" w:hAnsi="Arial"/>
          <w:sz w:val="14"/>
          <w:szCs w:val="14"/>
          <w:b w:val="1"/>
          <w:bCs w:val="1"/>
          <w:color w:val="auto"/>
        </w:rPr>
        <w:t>Year Ended December 31,</w:t>
      </w:r>
    </w:p>
    <w:p>
      <w:pPr>
        <w:spacing w:after="0" w:line="42" w:lineRule="exact"/>
        <w:rPr>
          <w:sz w:val="20"/>
          <w:szCs w:val="20"/>
          <w:color w:val="auto"/>
        </w:rPr>
      </w:pPr>
    </w:p>
    <w:p>
      <w:pPr>
        <w:jc w:val="both"/>
        <w:ind w:left="6140"/>
        <w:spacing w:after="0"/>
        <w:tabs>
          <w:tab w:leader="none" w:pos="8100" w:val="left"/>
          <w:tab w:leader="none" w:pos="992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15175"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300" w:type="dxa"/>
            <w:vAlign w:val="bottom"/>
          </w:tcPr>
          <w:p>
            <w:pPr>
              <w:ind w:left="80"/>
              <w:spacing w:after="0"/>
              <w:rPr>
                <w:sz w:val="20"/>
                <w:szCs w:val="20"/>
                <w:color w:val="auto"/>
              </w:rPr>
            </w:pPr>
            <w:r>
              <w:rPr>
                <w:rFonts w:ascii="Arial" w:cs="Arial" w:eastAsia="Arial" w:hAnsi="Arial"/>
                <w:sz w:val="18"/>
                <w:szCs w:val="18"/>
                <w:b w:val="1"/>
                <w:bCs w:val="1"/>
                <w:color w:val="0A0A0A"/>
              </w:rPr>
              <w:t>Net Cash Provided by Operating Activities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2"/>
        </w:trPr>
        <w:tc>
          <w:tcPr>
            <w:tcW w:w="5300" w:type="dxa"/>
            <w:vAlign w:val="bottom"/>
          </w:tcPr>
          <w:p>
            <w:pPr>
              <w:ind w:left="80"/>
              <w:spacing w:after="0"/>
              <w:rPr>
                <w:sz w:val="20"/>
                <w:szCs w:val="20"/>
                <w:color w:val="auto"/>
              </w:rPr>
            </w:pPr>
            <w:r>
              <w:rPr>
                <w:rFonts w:ascii="Arial" w:cs="Arial" w:eastAsia="Arial" w:hAnsi="Arial"/>
                <w:sz w:val="18"/>
                <w:szCs w:val="18"/>
                <w:color w:val="0A0A0A"/>
              </w:rPr>
              <w:t>Purchases of Property &amp; Equipment</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80"/>
              <w:spacing w:after="0"/>
              <w:rPr>
                <w:sz w:val="20"/>
                <w:szCs w:val="20"/>
                <w:color w:val="auto"/>
              </w:rPr>
            </w:pPr>
            <w:r>
              <w:rPr>
                <w:rFonts w:ascii="Arial" w:cs="Arial" w:eastAsia="Arial" w:hAnsi="Arial"/>
                <w:sz w:val="18"/>
                <w:szCs w:val="18"/>
                <w:color w:val="0A0A0A"/>
              </w:rPr>
              <w:t>Other Investing Activities, net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300" w:type="dxa"/>
            <w:vAlign w:val="bottom"/>
          </w:tcPr>
          <w:p>
            <w:pPr>
              <w:ind w:left="80"/>
              <w:spacing w:after="0"/>
              <w:rPr>
                <w:sz w:val="20"/>
                <w:szCs w:val="20"/>
                <w:color w:val="auto"/>
              </w:rPr>
            </w:pPr>
            <w:r>
              <w:rPr>
                <w:rFonts w:ascii="Arial" w:cs="Arial" w:eastAsia="Arial" w:hAnsi="Arial"/>
                <w:sz w:val="18"/>
                <w:szCs w:val="18"/>
                <w:b w:val="1"/>
                <w:bCs w:val="1"/>
                <w:color w:val="0A0A0A"/>
              </w:rPr>
              <w:t>Net Cash Used in Investing Activities</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6"/>
        </w:trPr>
        <w:tc>
          <w:tcPr>
            <w:tcW w:w="5300" w:type="dxa"/>
            <w:vAlign w:val="bottom"/>
          </w:tcPr>
          <w:p>
            <w:pPr>
              <w:ind w:left="80"/>
              <w:spacing w:after="0"/>
              <w:rPr>
                <w:sz w:val="20"/>
                <w:szCs w:val="20"/>
                <w:color w:val="auto"/>
              </w:rPr>
            </w:pPr>
            <w:r>
              <w:rPr>
                <w:rFonts w:ascii="Arial" w:cs="Arial" w:eastAsia="Arial" w:hAnsi="Arial"/>
                <w:sz w:val="18"/>
                <w:szCs w:val="18"/>
                <w:color w:val="0A0A0A"/>
              </w:rPr>
              <w:t>Common Stock Repurchases</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80"/>
              <w:spacing w:after="0"/>
              <w:rPr>
                <w:sz w:val="20"/>
                <w:szCs w:val="20"/>
                <w:color w:val="auto"/>
              </w:rPr>
            </w:pPr>
            <w:r>
              <w:rPr>
                <w:rFonts w:ascii="Arial" w:cs="Arial" w:eastAsia="Arial" w:hAnsi="Arial"/>
                <w:sz w:val="18"/>
                <w:szCs w:val="18"/>
                <w:color w:val="0A0A0A"/>
              </w:rPr>
              <w:t>Proceeds from Borrowing</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80"/>
              <w:spacing w:after="0"/>
              <w:rPr>
                <w:sz w:val="20"/>
                <w:szCs w:val="20"/>
                <w:color w:val="auto"/>
              </w:rPr>
            </w:pPr>
            <w:r>
              <w:rPr>
                <w:rFonts w:ascii="Arial" w:cs="Arial" w:eastAsia="Arial" w:hAnsi="Arial"/>
                <w:sz w:val="18"/>
                <w:szCs w:val="18"/>
                <w:color w:val="0A0A0A"/>
              </w:rPr>
              <w:t>Repayment of Finance Lease Obligations</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80"/>
              <w:spacing w:after="0"/>
              <w:rPr>
                <w:sz w:val="20"/>
                <w:szCs w:val="20"/>
                <w:color w:val="auto"/>
              </w:rPr>
            </w:pPr>
            <w:r>
              <w:rPr>
                <w:rFonts w:ascii="Arial" w:cs="Arial" w:eastAsia="Arial" w:hAnsi="Arial"/>
                <w:sz w:val="18"/>
                <w:szCs w:val="18"/>
                <w:color w:val="0A0A0A"/>
              </w:rPr>
              <w:t>Repayment of Borrowings</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80"/>
              <w:spacing w:after="0"/>
              <w:rPr>
                <w:sz w:val="20"/>
                <w:szCs w:val="20"/>
                <w:color w:val="auto"/>
              </w:rPr>
            </w:pPr>
            <w:r>
              <w:rPr>
                <w:rFonts w:ascii="Arial" w:cs="Arial" w:eastAsia="Arial" w:hAnsi="Arial"/>
                <w:sz w:val="18"/>
                <w:szCs w:val="18"/>
                <w:color w:val="0A0A0A"/>
              </w:rPr>
              <w:t>Other Financing Activities, net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300" w:type="dxa"/>
            <w:vAlign w:val="bottom"/>
          </w:tcPr>
          <w:p>
            <w:pPr>
              <w:ind w:left="100"/>
              <w:spacing w:after="0"/>
              <w:rPr>
                <w:sz w:val="20"/>
                <w:szCs w:val="20"/>
                <w:color w:val="auto"/>
              </w:rPr>
            </w:pPr>
            <w:r>
              <w:rPr>
                <w:rFonts w:ascii="Arial" w:cs="Arial" w:eastAsia="Arial" w:hAnsi="Arial"/>
                <w:sz w:val="18"/>
                <w:szCs w:val="18"/>
                <w:b w:val="1"/>
                <w:bCs w:val="1"/>
                <w:color w:val="0A0A0A"/>
              </w:rPr>
              <w:t>Net Cash (Used in) Provided by Financing Activities</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6"/>
        </w:trPr>
        <w:tc>
          <w:tcPr>
            <w:tcW w:w="5300" w:type="dxa"/>
            <w:vAlign w:val="bottom"/>
          </w:tcPr>
          <w:p>
            <w:pPr>
              <w:ind w:left="80"/>
              <w:spacing w:after="0"/>
              <w:rPr>
                <w:sz w:val="20"/>
                <w:szCs w:val="20"/>
                <w:color w:val="auto"/>
              </w:rPr>
            </w:pPr>
            <w:r>
              <w:rPr>
                <w:rFonts w:ascii="Arial" w:cs="Arial" w:eastAsia="Arial" w:hAnsi="Arial"/>
                <w:sz w:val="18"/>
                <w:szCs w:val="18"/>
                <w:color w:val="0A0A0A"/>
              </w:rPr>
              <w:t>Net Decrease in Cash</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300" w:type="dxa"/>
            <w:vAlign w:val="bottom"/>
          </w:tcPr>
          <w:p>
            <w:pPr>
              <w:ind w:left="100"/>
              <w:spacing w:after="0" w:line="181" w:lineRule="exact"/>
              <w:rPr>
                <w:sz w:val="20"/>
                <w:szCs w:val="20"/>
                <w:color w:val="auto"/>
              </w:rPr>
            </w:pPr>
            <w:r>
              <w:rPr>
                <w:rFonts w:ascii="Arial" w:cs="Arial" w:eastAsia="Arial" w:hAnsi="Arial"/>
                <w:sz w:val="18"/>
                <w:szCs w:val="18"/>
                <w:color w:val="0A0A0A"/>
              </w:rPr>
              <w:t>Cash, Cash Equivalents and Restricted Cash – Beginning of the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300" w:type="dxa"/>
            <w:vAlign w:val="bottom"/>
          </w:tcPr>
          <w:p>
            <w:pPr>
              <w:ind w:left="180"/>
              <w:spacing w:after="0"/>
              <w:rPr>
                <w:sz w:val="20"/>
                <w:szCs w:val="20"/>
                <w:color w:val="auto"/>
              </w:rPr>
            </w:pPr>
            <w:r>
              <w:rPr>
                <w:rFonts w:ascii="Arial" w:cs="Arial" w:eastAsia="Arial" w:hAnsi="Arial"/>
                <w:sz w:val="18"/>
                <w:szCs w:val="18"/>
                <w:color w:val="0A0A0A"/>
              </w:rPr>
              <w:t>Period</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5300" w:type="dxa"/>
            <w:vAlign w:val="bottom"/>
          </w:tcPr>
          <w:p>
            <w:pPr>
              <w:ind w:left="100"/>
              <w:spacing w:after="0" w:line="181" w:lineRule="exact"/>
              <w:rPr>
                <w:sz w:val="20"/>
                <w:szCs w:val="20"/>
                <w:color w:val="auto"/>
              </w:rPr>
            </w:pPr>
            <w:r>
              <w:rPr>
                <w:rFonts w:ascii="Arial" w:cs="Arial" w:eastAsia="Arial" w:hAnsi="Arial"/>
                <w:sz w:val="18"/>
                <w:szCs w:val="18"/>
                <w:color w:val="0A0A0A"/>
              </w:rPr>
              <w:t>Cash, Cash Equivalents and Restricted Cash –</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9"/>
        </w:trPr>
        <w:tc>
          <w:tcPr>
            <w:tcW w:w="5300" w:type="dxa"/>
            <w:vAlign w:val="bottom"/>
            <w:vMerge w:val="restart"/>
          </w:tcPr>
          <w:p>
            <w:pPr>
              <w:ind w:left="180"/>
              <w:spacing w:after="0"/>
              <w:rPr>
                <w:sz w:val="20"/>
                <w:szCs w:val="20"/>
                <w:color w:val="auto"/>
              </w:rPr>
            </w:pPr>
            <w:r>
              <w:rPr>
                <w:rFonts w:ascii="Arial" w:cs="Arial" w:eastAsia="Arial" w:hAnsi="Arial"/>
                <w:sz w:val="18"/>
                <w:szCs w:val="18"/>
                <w:color w:val="0A0A0A"/>
              </w:rPr>
              <w:t>End of the Period</w:t>
            </w:r>
          </w:p>
        </w:tc>
        <w:tc>
          <w:tcPr>
            <w:tcW w:w="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53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1"/>
        </w:trPr>
        <w:tc>
          <w:tcPr>
            <w:tcW w:w="5300" w:type="dxa"/>
            <w:vAlign w:val="bottom"/>
          </w:tcPr>
          <w:p>
            <w:pPr>
              <w:spacing w:after="0"/>
              <w:rPr>
                <w:sz w:val="20"/>
                <w:szCs w:val="20"/>
                <w:color w:val="auto"/>
              </w:rPr>
            </w:pPr>
            <w:r>
              <w:rPr>
                <w:rFonts w:ascii="Arial" w:cs="Arial" w:eastAsia="Arial" w:hAnsi="Arial"/>
                <w:sz w:val="14"/>
                <w:szCs w:val="14"/>
                <w:color w:val="0A0A0A"/>
              </w:rPr>
              <w:t>“NM” stands for not meaningful</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-2574290</wp:posOffset>
            </wp:positionV>
            <wp:extent cx="7115175"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-1957070</wp:posOffset>
            </wp:positionV>
            <wp:extent cx="7115175"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-1665605</wp:posOffset>
            </wp:positionV>
            <wp:extent cx="7115175"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-1374140</wp:posOffset>
            </wp:positionV>
            <wp:extent cx="711517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-756920</wp:posOffset>
            </wp:positionV>
            <wp:extent cx="7115175"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-1074420</wp:posOffset>
            </wp:positionV>
            <wp:extent cx="711517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-2282825</wp:posOffset>
            </wp:positionV>
            <wp:extent cx="711517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174.1</w:t>
            </w:r>
          </w:p>
        </w:tc>
        <w:tc>
          <w:tcPr>
            <w:tcW w:w="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w:t>
            </w:r>
          </w:p>
        </w:tc>
        <w:tc>
          <w:tcPr>
            <w:tcW w:w="140" w:type="dxa"/>
            <w:vAlign w:val="bottom"/>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r>
      <w:tr>
        <w:trPr>
          <w:trHeight w:val="474"/>
        </w:trPr>
        <w:tc>
          <w:tcPr>
            <w:tcW w:w="760" w:type="dxa"/>
            <w:vAlign w:val="bottom"/>
          </w:tcPr>
          <w:p>
            <w:pPr>
              <w:jc w:val="right"/>
              <w:ind w:right="110"/>
              <w:spacing w:after="0"/>
              <w:rPr>
                <w:sz w:val="20"/>
                <w:szCs w:val="20"/>
                <w:color w:val="auto"/>
              </w:rPr>
            </w:pPr>
            <w:r>
              <w:rPr>
                <w:rFonts w:ascii="Arial" w:cs="Arial" w:eastAsia="Arial" w:hAnsi="Arial"/>
                <w:sz w:val="18"/>
                <w:szCs w:val="18"/>
                <w:color w:val="auto"/>
                <w:w w:val="94"/>
              </w:rPr>
              <w:t>(218.2)</w:t>
            </w:r>
          </w:p>
        </w:tc>
        <w:tc>
          <w:tcPr>
            <w:tcW w:w="6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(187.9)</w:t>
            </w:r>
          </w:p>
        </w:tc>
        <w:tc>
          <w:tcPr>
            <w:tcW w:w="1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35"/>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46.9</w:t>
            </w:r>
          </w:p>
        </w:tc>
        <w:tc>
          <w:tcPr>
            <w:tcW w:w="6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w:t>
            </w:r>
          </w:p>
        </w:tc>
        <w:tc>
          <w:tcPr>
            <w:tcW w:w="140" w:type="dxa"/>
            <w:vAlign w:val="bottom"/>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w:t>
            </w:r>
          </w:p>
        </w:tc>
      </w:tr>
      <w:tr>
        <w:trPr>
          <w:trHeight w:val="223"/>
        </w:trPr>
        <w:tc>
          <w:tcPr>
            <w:tcW w:w="760" w:type="dxa"/>
            <w:vAlign w:val="bottom"/>
          </w:tcPr>
          <w:p>
            <w:pPr>
              <w:jc w:val="right"/>
              <w:ind w:right="110"/>
              <w:spacing w:after="0"/>
              <w:rPr>
                <w:sz w:val="20"/>
                <w:szCs w:val="20"/>
                <w:color w:val="auto"/>
              </w:rPr>
            </w:pPr>
            <w:r>
              <w:rPr>
                <w:rFonts w:ascii="Arial" w:cs="Arial" w:eastAsia="Arial" w:hAnsi="Arial"/>
                <w:sz w:val="18"/>
                <w:szCs w:val="18"/>
                <w:color w:val="auto"/>
                <w:w w:val="94"/>
              </w:rPr>
              <w:t>(171.2)</w:t>
            </w:r>
          </w:p>
        </w:tc>
        <w:tc>
          <w:tcPr>
            <w:tcW w:w="6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(349.3)</w:t>
            </w:r>
          </w:p>
        </w:tc>
        <w:tc>
          <w:tcPr>
            <w:tcW w:w="14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r>
      <w:tr>
        <w:trPr>
          <w:trHeight w:val="474"/>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(68.6)</w:t>
            </w:r>
          </w:p>
        </w:tc>
        <w:tc>
          <w:tcPr>
            <w:tcW w:w="6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(25.1)</w:t>
            </w:r>
          </w:p>
        </w:tc>
        <w:tc>
          <w:tcPr>
            <w:tcW w:w="1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173.3</w:t>
            </w:r>
          </w:p>
        </w:tc>
      </w:tr>
      <w:tr>
        <w:trPr>
          <w:trHeight w:val="229"/>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119.2</w:t>
            </w:r>
          </w:p>
        </w:tc>
        <w:tc>
          <w:tcPr>
            <w:tcW w:w="6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188.3</w:t>
            </w:r>
          </w:p>
        </w:tc>
        <w:tc>
          <w:tcPr>
            <w:tcW w:w="1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(36.7)</w:t>
            </w:r>
          </w:p>
        </w:tc>
      </w:tr>
      <w:tr>
        <w:trPr>
          <w:trHeight w:val="229"/>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(21.9)</w:t>
            </w:r>
          </w:p>
        </w:tc>
        <w:tc>
          <w:tcPr>
            <w:tcW w:w="6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(42.1)</w:t>
            </w:r>
          </w:p>
        </w:tc>
        <w:tc>
          <w:tcPr>
            <w:tcW w:w="1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(48.0)</w:t>
            </w:r>
          </w:p>
        </w:tc>
      </w:tr>
      <w:tr>
        <w:trPr>
          <w:trHeight w:val="230"/>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(69.3)</w:t>
            </w:r>
          </w:p>
        </w:tc>
        <w:tc>
          <w:tcPr>
            <w:tcW w:w="6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(113.5)</w:t>
            </w:r>
          </w:p>
        </w:tc>
        <w:tc>
          <w:tcPr>
            <w:tcW w:w="1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(38.9)</w:t>
            </w:r>
          </w:p>
        </w:tc>
      </w:tr>
      <w:tr>
        <w:trPr>
          <w:trHeight w:val="235"/>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(1.6)</w:t>
            </w:r>
          </w:p>
        </w:tc>
        <w:tc>
          <w:tcPr>
            <w:tcW w:w="6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w:t>
            </w:r>
          </w:p>
        </w:tc>
      </w:tr>
      <w:tr>
        <w:trPr>
          <w:trHeight w:val="223"/>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(42.1)</w:t>
            </w:r>
          </w:p>
        </w:tc>
        <w:tc>
          <w:tcPr>
            <w:tcW w:w="6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r>
      <w:tr>
        <w:trPr>
          <w:trHeight w:val="484"/>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(39.2)</w:t>
            </w:r>
          </w:p>
        </w:tc>
        <w:tc>
          <w:tcPr>
            <w:tcW w:w="6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(214.9)</w:t>
            </w:r>
          </w:p>
        </w:tc>
        <w:tc>
          <w:tcPr>
            <w:tcW w:w="1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(81.8)</w:t>
            </w:r>
          </w:p>
        </w:tc>
      </w:tr>
      <w:tr>
        <w:trPr>
          <w:trHeight w:val="324"/>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102.9</w:t>
            </w:r>
          </w:p>
        </w:tc>
        <w:tc>
          <w:tcPr>
            <w:tcW w:w="6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317.8</w:t>
            </w:r>
          </w:p>
        </w:tc>
        <w:tc>
          <w:tcPr>
            <w:tcW w:w="1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(67.6)</w:t>
            </w:r>
          </w:p>
        </w:tc>
      </w:tr>
      <w:tr>
        <w:trPr>
          <w:trHeight w:val="90"/>
        </w:trPr>
        <w:tc>
          <w:tcPr>
            <w:tcW w:w="76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r>
      <w:tr>
        <w:trPr>
          <w:trHeight w:val="294"/>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63.7</w:t>
            </w: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102.9</w:t>
            </w:r>
          </w:p>
        </w:tc>
        <w:tc>
          <w:tcPr>
            <w:tcW w:w="1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(38.1)</w:t>
            </w:r>
          </w:p>
        </w:tc>
      </w:tr>
      <w:tr>
        <w:trPr>
          <w:trHeight w:val="77"/>
        </w:trPr>
        <w:tc>
          <w:tcPr>
            <w:tcW w:w="760" w:type="dxa"/>
            <w:vAlign w:val="bottom"/>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r>
      <w:tr>
        <w:trPr>
          <w:trHeight w:val="20"/>
        </w:trPr>
        <w:tc>
          <w:tcPr>
            <w:tcW w:w="7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-33655</wp:posOffset>
            </wp:positionV>
            <wp:extent cx="11830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83005" cy="8890"/>
                    </a:xfrm>
                    <a:prstGeom prst="rect">
                      <a:avLst/>
                    </a:prstGeom>
                    <a:noFill/>
                  </pic:spPr>
                </pic:pic>
              </a:graphicData>
            </a:graphic>
          </wp:anchor>
        </w:drawing>
        <w:drawing>
          <wp:anchor simplePos="0" relativeHeight="251657728" behindDoc="1" locked="0" layoutInCell="0" allowOverlap="1">
            <wp:simplePos x="0" y="0"/>
            <wp:positionH relativeFrom="column">
              <wp:posOffset>-782320</wp:posOffset>
            </wp:positionH>
            <wp:positionV relativeFrom="paragraph">
              <wp:posOffset>-8255</wp:posOffset>
            </wp:positionV>
            <wp:extent cx="11830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83005" cy="8890"/>
                    </a:xfrm>
                    <a:prstGeom prst="rect">
                      <a:avLst/>
                    </a:prstGeom>
                    <a:noFill/>
                  </pic:spPr>
                </pic:pic>
              </a:graphicData>
            </a:graphic>
          </wp:anchor>
        </w:drawing>
        <w:drawing>
          <wp:anchor simplePos="0" relativeHeight="251657728" behindDoc="1" locked="0" layoutInCell="0" allowOverlap="1">
            <wp:simplePos x="0" y="0"/>
            <wp:positionH relativeFrom="column">
              <wp:posOffset>-782320</wp:posOffset>
            </wp:positionH>
            <wp:positionV relativeFrom="paragraph">
              <wp:posOffset>-281940</wp:posOffset>
            </wp:positionV>
            <wp:extent cx="11830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-782320</wp:posOffset>
            </wp:positionH>
            <wp:positionV relativeFrom="paragraph">
              <wp:posOffset>-1019175</wp:posOffset>
            </wp:positionV>
            <wp:extent cx="11830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-782320</wp:posOffset>
            </wp:positionH>
            <wp:positionV relativeFrom="paragraph">
              <wp:posOffset>-1919605</wp:posOffset>
            </wp:positionV>
            <wp:extent cx="11830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-782320</wp:posOffset>
            </wp:positionH>
            <wp:positionV relativeFrom="paragraph">
              <wp:posOffset>-2536825</wp:posOffset>
            </wp:positionV>
            <wp:extent cx="11830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529" w:lineRule="exact"/>
        <w:rPr>
          <w:sz w:val="20"/>
          <w:szCs w:val="20"/>
          <w:color w:val="auto"/>
        </w:rPr>
      </w:pPr>
    </w:p>
    <w:p>
      <w:pPr>
        <w:sectPr>
          <w:pgSz w:w="11900" w:h="16838" w:orient="portrait"/>
          <w:cols w:equalWidth="0" w:num="2">
            <w:col w:w="5880" w:space="720"/>
            <w:col w:w="4640"/>
          </w:cols>
          <w:pgMar w:left="320" w:top="1390"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auto"/>
        </w:rPr>
        <w:t>Adjusted Operating Income, Adjusted Operating Income Margin, Adjusted Income before Income Tax, Adjusted Pre-tax Margin, Adjusted Net Income, Adjusted Net Income per Share, Adjusted EBITDA and Adjusted EBITDA Margin</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Operating Income, Adjusted Operating Income Margin, Adjusted Income before Income Tax, Adjusted Pre-tax Margin, Adjusted Net Income, Adjusted Net Income per share, Adjusted EBITDA and Adjusted EBITDA Margin are non-GAAP measures included as supplemental disclosure because we believe they are useful indicators of our operating performance. Derivations of Operating Income and Net Income are well recognized performance measurements in the airline industry that are frequently used by our management, as well as by investors, securities analysts and other interested parties in comparing the operating performance of companies in our industry.</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measures described above have limitations as analytical tools. Some of the limitations applicable to these measures include: they do not reflect the impact of certain cash and non-cash charges resulting from matters we consider not to be indicative of our ongoing operations; and other companies in our industry may calculate these non-GAAP measures differently than we do, limiting each measure’s usefulness as a comparative measure. Because of these limitations, the following non-GAAP measures should not be considered in isolation or as a substitute for performance measures calculated in accordance with GAAP and may not be the same as or comparable to similarly titled measures presented by other companies due to the possible differences in the method of calculation and in the items being adjusted.</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aforementioned reasons, Adjusted Operating Income, Adjusted Operating Income Margin, Adjusted Income before Income Tax, Adjusted Pre-tax Margin, Adjusted Net Income, Adjusted Net Income per Share,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12</w:t>
      </w:r>
    </w:p>
    <w:p>
      <w:pPr>
        <w:sectPr>
          <w:pgSz w:w="11900" w:h="16838" w:orient="portrait"/>
          <w:cols w:equalWidth="0" w:num="1">
            <w:col w:w="11240"/>
          </w:cols>
          <w:pgMar w:left="320" w:top="1390" w:right="339" w:bottom="1440" w:gutter="0" w:footer="0" w:header="0"/>
          <w:type w:val="continuous"/>
        </w:sectPr>
      </w:pPr>
    </w:p>
    <w:bookmarkStart w:id="15" w:name="page16"/>
    <w:bookmarkEnd w:id="15"/>
    <w:p>
      <w:pPr>
        <w:spacing w:after="0" w:line="296" w:lineRule="auto"/>
        <w:rPr>
          <w:sz w:val="20"/>
          <w:szCs w:val="20"/>
          <w:color w:val="auto"/>
        </w:rPr>
      </w:pPr>
      <w:r>
        <w:rPr>
          <w:rFonts w:ascii="Arial" w:cs="Arial" w:eastAsia="Arial" w:hAnsi="Arial"/>
          <w:sz w:val="18"/>
          <w:szCs w:val="18"/>
          <w:color w:val="auto"/>
        </w:rPr>
        <w:t>Adjusted EBITDA and Adjusted EBITDA Margin have significant limitations which affect their use as indicators of our profitability. Accordingly, readers are cautioned not to place undue reliance on this information</w:t>
      </w:r>
      <w:r>
        <w:rPr>
          <w:rFonts w:ascii="Arial" w:cs="Arial" w:eastAsia="Arial" w:hAnsi="Arial"/>
          <w:sz w:val="21"/>
          <w:szCs w:val="21"/>
          <w:color w:val="auto"/>
        </w:rPr>
        <w:t>.</w:t>
      </w:r>
    </w:p>
    <w:p>
      <w:pPr>
        <w:spacing w:after="0" w:line="338" w:lineRule="exact"/>
        <w:rPr>
          <w:sz w:val="20"/>
          <w:szCs w:val="20"/>
          <w:color w:val="auto"/>
        </w:rPr>
      </w:pPr>
    </w:p>
    <w:p>
      <w:pPr>
        <w:ind w:left="20" w:right="4560"/>
        <w:spacing w:after="0" w:line="343" w:lineRule="auto"/>
        <w:rPr>
          <w:sz w:val="20"/>
          <w:szCs w:val="20"/>
          <w:color w:val="auto"/>
        </w:rPr>
      </w:pPr>
      <w:r>
        <w:rPr>
          <w:rFonts w:ascii="Arial" w:cs="Arial" w:eastAsia="Arial" w:hAnsi="Arial"/>
          <w:sz w:val="18"/>
          <w:szCs w:val="18"/>
          <w:b w:val="1"/>
          <w:bCs w:val="1"/>
          <w:color w:val="auto"/>
        </w:rPr>
        <w:t>Reconciliation of GAAP Operating Income to Adjusted Operating Income Dollars in millions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234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presents the reconciliation of GAAP Operating Income to Adjusted Operating Income.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20" w:type="dxa"/>
            <w:vAlign w:val="bottom"/>
            <w:gridSpan w:val="4"/>
          </w:tcPr>
          <w:p>
            <w:pPr>
              <w:jc w:val="right"/>
              <w:ind w:right="256"/>
              <w:spacing w:after="0"/>
              <w:rPr>
                <w:sz w:val="20"/>
                <w:szCs w:val="20"/>
                <w:color w:val="auto"/>
              </w:rPr>
            </w:pPr>
            <w:r>
              <w:rPr>
                <w:rFonts w:ascii="Arial" w:cs="Arial" w:eastAsia="Arial" w:hAnsi="Arial"/>
                <w:sz w:val="14"/>
                <w:szCs w:val="14"/>
                <w:b w:val="1"/>
                <w:bCs w:val="1"/>
                <w:color w:val="auto"/>
              </w:rPr>
              <w:t>Three Months Ended December 31,</w:t>
            </w:r>
          </w:p>
        </w:tc>
        <w:tc>
          <w:tcPr>
            <w:tcW w:w="840" w:type="dxa"/>
            <w:vAlign w:val="bottom"/>
          </w:tcPr>
          <w:p>
            <w:pPr>
              <w:spacing w:after="0"/>
              <w:rPr>
                <w:sz w:val="17"/>
                <w:szCs w:val="17"/>
                <w:color w:val="auto"/>
              </w:rPr>
            </w:pPr>
          </w:p>
        </w:tc>
      </w:tr>
      <w:tr>
        <w:trPr>
          <w:trHeight w:val="204"/>
        </w:trPr>
        <w:tc>
          <w:tcPr>
            <w:tcW w:w="64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2022</w:t>
            </w:r>
          </w:p>
        </w:tc>
        <w:tc>
          <w:tcPr>
            <w:tcW w:w="840" w:type="dxa"/>
            <w:vAlign w:val="bottom"/>
            <w:tcBorders>
              <w:bottom w:val="single" w:sz="8" w:color="auto"/>
            </w:tcBorders>
          </w:tcPr>
          <w:p>
            <w:pPr>
              <w:spacing w:after="0"/>
              <w:rPr>
                <w:sz w:val="17"/>
                <w:szCs w:val="17"/>
                <w:color w:val="auto"/>
              </w:rPr>
            </w:pPr>
          </w:p>
        </w:tc>
      </w:tr>
      <w:tr>
        <w:trPr>
          <w:trHeight w:val="224"/>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400" w:type="dxa"/>
            <w:vAlign w:val="bottom"/>
            <w:shd w:val="clear" w:color="auto" w:fill="CCEEFF"/>
          </w:tcPr>
          <w:p>
            <w:pPr>
              <w:jc w:val="right"/>
              <w:ind w:right="1198"/>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245.5</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296"/>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227.2</w:t>
            </w:r>
          </w:p>
        </w:tc>
      </w:tr>
      <w:tr>
        <w:trPr>
          <w:trHeight w:val="230"/>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140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15.1</w:t>
            </w:r>
          </w:p>
        </w:tc>
      </w:tr>
      <w:tr>
        <w:trPr>
          <w:trHeight w:val="229"/>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Compensation Expense</w:t>
            </w:r>
          </w:p>
        </w:tc>
        <w:tc>
          <w:tcPr>
            <w:tcW w:w="1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0.8</w:t>
            </w:r>
          </w:p>
        </w:tc>
      </w:tr>
      <w:tr>
        <w:trPr>
          <w:trHeight w:val="223"/>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Adjusted Operating Income</w:t>
            </w:r>
          </w:p>
        </w:tc>
        <w:tc>
          <w:tcPr>
            <w:tcW w:w="1400" w:type="dxa"/>
            <w:vAlign w:val="bottom"/>
            <w:tcBorders>
              <w:bottom w:val="single" w:sz="8" w:color="auto"/>
            </w:tcBorders>
          </w:tcPr>
          <w:p>
            <w:pPr>
              <w:jc w:val="right"/>
              <w:ind w:right="1198"/>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ind w:right="129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15.9</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7"/>
        </w:trPr>
        <w:tc>
          <w:tcPr>
            <w:tcW w:w="6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29"/>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Operating Income Margin</w:t>
            </w:r>
          </w:p>
        </w:tc>
        <w:tc>
          <w:tcPr>
            <w:tcW w:w="1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7.0 %</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6.7 %</w:t>
            </w:r>
          </w:p>
        </w:tc>
      </w:tr>
      <w:tr>
        <w:trPr>
          <w:trHeight w:val="230"/>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Operating Income Margin</w:t>
            </w:r>
          </w:p>
        </w:tc>
        <w:tc>
          <w:tcPr>
            <w:tcW w:w="1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r>
      <w:tr>
        <w:trPr>
          <w:trHeight w:val="619"/>
        </w:trPr>
        <w:tc>
          <w:tcPr>
            <w:tcW w:w="6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520" w:type="dxa"/>
            <w:vAlign w:val="bottom"/>
            <w:gridSpan w:val="3"/>
          </w:tcPr>
          <w:p>
            <w:pPr>
              <w:jc w:val="right"/>
              <w:ind w:right="596"/>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Pr>
          <w:p>
            <w:pPr>
              <w:spacing w:after="0"/>
              <w:rPr>
                <w:sz w:val="24"/>
                <w:szCs w:val="24"/>
                <w:color w:val="auto"/>
              </w:rPr>
            </w:pPr>
          </w:p>
        </w:tc>
      </w:tr>
      <w:tr>
        <w:trPr>
          <w:trHeight w:val="204"/>
        </w:trPr>
        <w:tc>
          <w:tcPr>
            <w:tcW w:w="64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2022</w:t>
            </w:r>
          </w:p>
        </w:tc>
        <w:tc>
          <w:tcPr>
            <w:tcW w:w="840" w:type="dxa"/>
            <w:vAlign w:val="bottom"/>
            <w:tcBorders>
              <w:bottom w:val="single" w:sz="8" w:color="auto"/>
            </w:tcBorders>
          </w:tcPr>
          <w:p>
            <w:pPr>
              <w:spacing w:after="0"/>
              <w:rPr>
                <w:sz w:val="17"/>
                <w:szCs w:val="17"/>
                <w:color w:val="auto"/>
              </w:rPr>
            </w:pPr>
          </w:p>
        </w:tc>
      </w:tr>
      <w:tr>
        <w:trPr>
          <w:trHeight w:val="224"/>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400" w:type="dxa"/>
            <w:vAlign w:val="bottom"/>
            <w:shd w:val="clear" w:color="auto" w:fill="CCEEFF"/>
          </w:tcPr>
          <w:p>
            <w:pPr>
              <w:jc w:val="right"/>
              <w:ind w:right="1218"/>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1,049.6</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296"/>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894.4</w:t>
            </w:r>
          </w:p>
        </w:tc>
      </w:tr>
      <w:tr>
        <w:trPr>
          <w:trHeight w:val="230"/>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140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55.7</w:t>
            </w:r>
          </w:p>
        </w:tc>
      </w:tr>
      <w:tr>
        <w:trPr>
          <w:trHeight w:val="230"/>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Compensation Expense</w:t>
            </w:r>
          </w:p>
        </w:tc>
        <w:tc>
          <w:tcPr>
            <w:tcW w:w="14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2.8</w:t>
            </w:r>
          </w:p>
        </w:tc>
      </w:tr>
      <w:tr>
        <w:trPr>
          <w:trHeight w:val="223"/>
        </w:trPr>
        <w:tc>
          <w:tcPr>
            <w:tcW w:w="642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1218"/>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136.8</w:t>
            </w:r>
          </w:p>
        </w:tc>
        <w:tc>
          <w:tcPr>
            <w:tcW w:w="10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ind w:right="1296"/>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58.5</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7"/>
        </w:trPr>
        <w:tc>
          <w:tcPr>
            <w:tcW w:w="6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30"/>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Operating Income Margin</w:t>
            </w:r>
          </w:p>
        </w:tc>
        <w:tc>
          <w:tcPr>
            <w:tcW w:w="1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12.1 %</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6.2 %</w:t>
            </w:r>
          </w:p>
        </w:tc>
      </w:tr>
      <w:tr>
        <w:trPr>
          <w:trHeight w:val="230"/>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Operating Income Margin</w:t>
            </w:r>
          </w:p>
        </w:tc>
        <w:tc>
          <w:tcPr>
            <w:tcW w:w="1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13</w:t>
      </w:r>
    </w:p>
    <w:p>
      <w:pPr>
        <w:sectPr>
          <w:pgSz w:w="11900" w:h="16838" w:orient="portrait"/>
          <w:cols w:equalWidth="0" w:num="1">
            <w:col w:w="11240"/>
          </w:cols>
          <w:pgMar w:left="320" w:top="1282" w:right="339" w:bottom="1440" w:gutter="0" w:footer="0" w:header="0"/>
        </w:sectPr>
      </w:pPr>
    </w:p>
    <w:bookmarkStart w:id="16" w:name="page17"/>
    <w:bookmarkEnd w:id="16"/>
    <w:p>
      <w:pPr>
        <w:ind w:left="20" w:right="3480"/>
        <w:spacing w:after="0" w:line="343" w:lineRule="auto"/>
        <w:rPr>
          <w:sz w:val="20"/>
          <w:szCs w:val="20"/>
          <w:color w:val="auto"/>
        </w:rPr>
      </w:pPr>
      <w:r>
        <w:rPr>
          <w:rFonts w:ascii="Arial" w:cs="Arial" w:eastAsia="Arial" w:hAnsi="Arial"/>
          <w:sz w:val="18"/>
          <w:szCs w:val="18"/>
          <w:b w:val="1"/>
          <w:bCs w:val="1"/>
          <w:color w:val="auto"/>
        </w:rPr>
        <w:t>Reconciliation of GAAP Income Before Income Tax to Adjusted Income before Income Tax Dollars in millions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234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presents the reconciliation of GAAP Income before Income Tax to Adjusted Income before Income Tax.</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60" w:type="dxa"/>
            <w:vAlign w:val="bottom"/>
            <w:gridSpan w:val="4"/>
          </w:tcPr>
          <w:p>
            <w:pPr>
              <w:jc w:val="right"/>
              <w:ind w:right="316"/>
              <w:spacing w:after="0"/>
              <w:rPr>
                <w:sz w:val="20"/>
                <w:szCs w:val="20"/>
                <w:color w:val="auto"/>
              </w:rPr>
            </w:pPr>
            <w:r>
              <w:rPr>
                <w:rFonts w:ascii="Arial" w:cs="Arial" w:eastAsia="Arial" w:hAnsi="Arial"/>
                <w:sz w:val="14"/>
                <w:szCs w:val="14"/>
                <w:b w:val="1"/>
                <w:bCs w:val="1"/>
                <w:color w:val="auto"/>
              </w:rPr>
              <w:t>Three Months Ended December 31,</w:t>
            </w:r>
          </w:p>
        </w:tc>
        <w:tc>
          <w:tcPr>
            <w:tcW w:w="800" w:type="dxa"/>
            <w:vAlign w:val="bottom"/>
          </w:tcPr>
          <w:p>
            <w:pPr>
              <w:spacing w:after="0"/>
              <w:rPr>
                <w:sz w:val="17"/>
                <w:szCs w:val="17"/>
                <w:color w:val="auto"/>
              </w:rPr>
            </w:pPr>
          </w:p>
        </w:tc>
      </w:tr>
      <w:tr>
        <w:trPr>
          <w:trHeight w:val="203"/>
        </w:trPr>
        <w:tc>
          <w:tcPr>
            <w:tcW w:w="64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2023</w:t>
            </w: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2022</w:t>
            </w:r>
          </w:p>
        </w:tc>
        <w:tc>
          <w:tcPr>
            <w:tcW w:w="800" w:type="dxa"/>
            <w:vAlign w:val="bottom"/>
            <w:tcBorders>
              <w:bottom w:val="single" w:sz="8" w:color="auto"/>
            </w:tcBorders>
          </w:tcPr>
          <w:p>
            <w:pPr>
              <w:spacing w:after="0"/>
              <w:rPr>
                <w:sz w:val="17"/>
                <w:szCs w:val="17"/>
                <w:color w:val="auto"/>
              </w:rPr>
            </w:pPr>
          </w:p>
        </w:tc>
      </w:tr>
      <w:tr>
        <w:trPr>
          <w:trHeight w:val="245"/>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20" w:type="dxa"/>
            <w:vAlign w:val="bottom"/>
            <w:tcBorders>
              <w:bottom w:val="single" w:sz="8" w:color="CCEEFF"/>
            </w:tcBorders>
            <w:gridSpan w:val="2"/>
            <w:shd w:val="clear" w:color="auto" w:fill="CCEEFF"/>
          </w:tcPr>
          <w:p>
            <w:pPr>
              <w:jc w:val="right"/>
              <w:ind w:right="1219"/>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3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7.3</w:t>
            </w:r>
          </w:p>
        </w:tc>
      </w:tr>
      <w:tr>
        <w:trPr>
          <w:trHeight w:val="229"/>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 Provision for Income Tax Expense</w:t>
            </w:r>
          </w:p>
        </w:tc>
        <w:tc>
          <w:tcPr>
            <w:tcW w:w="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2.2</w:t>
            </w:r>
          </w:p>
        </w:tc>
      </w:tr>
      <w:tr>
        <w:trPr>
          <w:trHeight w:val="223"/>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 as reported</w:t>
            </w:r>
          </w:p>
        </w:tc>
        <w:tc>
          <w:tcPr>
            <w:tcW w:w="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9.5</w:t>
            </w: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Pre-tax margin</w:t>
            </w:r>
          </w:p>
        </w:tc>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4.2 %</w:t>
            </w:r>
          </w:p>
        </w:tc>
      </w:tr>
      <w:tr>
        <w:trPr>
          <w:trHeight w:val="270"/>
        </w:trPr>
        <w:tc>
          <w:tcPr>
            <w:tcW w:w="6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Stock Compensation Expense</w:t>
            </w:r>
          </w:p>
        </w:tc>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0.8</w:t>
            </w:r>
          </w:p>
        </w:tc>
      </w:tr>
      <w:tr>
        <w:trPr>
          <w:trHeight w:val="229"/>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Secondary Offering Costs</w:t>
            </w:r>
          </w:p>
        </w:tc>
        <w:tc>
          <w:tcPr>
            <w:tcW w:w="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23"/>
        </w:trPr>
        <w:tc>
          <w:tcPr>
            <w:tcW w:w="6420" w:type="dxa"/>
            <w:vAlign w:val="bottom"/>
          </w:tcPr>
          <w:p>
            <w:pPr>
              <w:ind w:left="20"/>
              <w:spacing w:after="0"/>
              <w:rPr>
                <w:sz w:val="20"/>
                <w:szCs w:val="20"/>
                <w:color w:val="auto"/>
              </w:rPr>
            </w:pPr>
            <w:r>
              <w:rPr>
                <w:rFonts w:ascii="Arial" w:cs="Arial" w:eastAsia="Arial" w:hAnsi="Arial"/>
                <w:sz w:val="18"/>
                <w:szCs w:val="18"/>
                <w:color w:val="auto"/>
              </w:rPr>
              <w:t>Adjusted Income before Income Tax</w:t>
            </w:r>
          </w:p>
        </w:tc>
        <w:tc>
          <w:tcPr>
            <w:tcW w:w="1420" w:type="dxa"/>
            <w:vAlign w:val="bottom"/>
            <w:tcBorders>
              <w:bottom w:val="single" w:sz="8" w:color="auto"/>
            </w:tcBorders>
            <w:gridSpan w:val="2"/>
          </w:tcPr>
          <w:p>
            <w:pPr>
              <w:jc w:val="right"/>
              <w:ind w:right="1219"/>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ind w:right="133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10.3</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7"/>
        </w:trPr>
        <w:tc>
          <w:tcPr>
            <w:tcW w:w="6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39"/>
        </w:trPr>
        <w:tc>
          <w:tcPr>
            <w:tcW w:w="6420" w:type="dxa"/>
            <w:vAlign w:val="bottom"/>
          </w:tcPr>
          <w:p>
            <w:pPr>
              <w:ind w:left="20"/>
              <w:spacing w:after="0"/>
              <w:rPr>
                <w:sz w:val="20"/>
                <w:szCs w:val="20"/>
                <w:color w:val="auto"/>
              </w:rPr>
            </w:pPr>
            <w:r>
              <w:rPr>
                <w:rFonts w:ascii="Arial" w:cs="Arial" w:eastAsia="Arial" w:hAnsi="Arial"/>
                <w:sz w:val="18"/>
                <w:szCs w:val="18"/>
                <w:color w:val="auto"/>
              </w:rPr>
              <w:t>Adjusted Pre-tax margin</w:t>
            </w:r>
          </w:p>
        </w:tc>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3.8 %</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4.5 %</w:t>
            </w:r>
          </w:p>
        </w:tc>
      </w:tr>
      <w:tr>
        <w:trPr>
          <w:trHeight w:val="529"/>
        </w:trPr>
        <w:tc>
          <w:tcPr>
            <w:tcW w:w="6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560" w:type="dxa"/>
            <w:vAlign w:val="bottom"/>
            <w:gridSpan w:val="3"/>
          </w:tcPr>
          <w:p>
            <w:pPr>
              <w:jc w:val="right"/>
              <w:ind w:right="616"/>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Pr>
          <w:p>
            <w:pPr>
              <w:spacing w:after="0"/>
              <w:rPr>
                <w:sz w:val="24"/>
                <w:szCs w:val="24"/>
                <w:color w:val="auto"/>
              </w:rPr>
            </w:pPr>
          </w:p>
        </w:tc>
      </w:tr>
      <w:tr>
        <w:trPr>
          <w:trHeight w:val="203"/>
        </w:trPr>
        <w:tc>
          <w:tcPr>
            <w:tcW w:w="64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2022</w:t>
            </w:r>
          </w:p>
        </w:tc>
        <w:tc>
          <w:tcPr>
            <w:tcW w:w="800" w:type="dxa"/>
            <w:vAlign w:val="bottom"/>
            <w:tcBorders>
              <w:bottom w:val="single" w:sz="8" w:color="auto"/>
            </w:tcBorders>
          </w:tcPr>
          <w:p>
            <w:pPr>
              <w:spacing w:after="0"/>
              <w:rPr>
                <w:sz w:val="17"/>
                <w:szCs w:val="17"/>
                <w:color w:val="auto"/>
              </w:rPr>
            </w:pPr>
          </w:p>
        </w:tc>
      </w:tr>
      <w:tr>
        <w:trPr>
          <w:trHeight w:val="245"/>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20" w:type="dxa"/>
            <w:vAlign w:val="bottom"/>
            <w:tcBorders>
              <w:bottom w:val="single" w:sz="8" w:color="CCEEFF"/>
            </w:tcBorders>
            <w:gridSpan w:val="2"/>
            <w:shd w:val="clear" w:color="auto" w:fill="CCEEFF"/>
          </w:tcPr>
          <w:p>
            <w:pPr>
              <w:jc w:val="right"/>
              <w:ind w:right="1199"/>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72.2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3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17.7</w:t>
            </w:r>
          </w:p>
        </w:tc>
      </w:tr>
      <w:tr>
        <w:trPr>
          <w:trHeight w:val="230"/>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 Provision for Income Tax Expense</w:t>
            </w:r>
          </w:p>
        </w:tc>
        <w:tc>
          <w:tcPr>
            <w:tcW w:w="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6.3</w:t>
            </w:r>
          </w:p>
        </w:tc>
      </w:tr>
      <w:tr>
        <w:trPr>
          <w:trHeight w:val="223"/>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 as reported</w:t>
            </w:r>
          </w:p>
        </w:tc>
        <w:tc>
          <w:tcPr>
            <w:tcW w:w="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94.2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24.0</w:t>
            </w: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Pre-tax margin</w:t>
            </w:r>
          </w:p>
        </w:tc>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9.0 %</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70"/>
        </w:trPr>
        <w:tc>
          <w:tcPr>
            <w:tcW w:w="6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Stock Compensation Expense</w:t>
            </w:r>
          </w:p>
        </w:tc>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2.8</w:t>
            </w:r>
          </w:p>
        </w:tc>
      </w:tr>
      <w:tr>
        <w:trPr>
          <w:trHeight w:val="23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Secondary Offering Costs</w:t>
            </w:r>
          </w:p>
        </w:tc>
        <w:tc>
          <w:tcPr>
            <w:tcW w:w="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30"/>
        </w:trPr>
        <w:tc>
          <w:tcPr>
            <w:tcW w:w="64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Gain on Asset Transactions, net </w:t>
            </w:r>
            <w:r>
              <w:rPr>
                <w:rFonts w:ascii="Arial" w:cs="Arial" w:eastAsia="Arial" w:hAnsi="Arial"/>
                <w:sz w:val="23"/>
                <w:szCs w:val="23"/>
                <w:color w:val="auto"/>
                <w:vertAlign w:val="superscript"/>
              </w:rPr>
              <w:t>(1)</w:t>
            </w:r>
          </w:p>
        </w:tc>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19"/>
                <w:szCs w:val="19"/>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(0.3)</w:t>
            </w:r>
          </w:p>
        </w:tc>
      </w:tr>
      <w:tr>
        <w:trPr>
          <w:trHeight w:val="27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Tax Receivable Agreement Adjustment </w:t>
            </w:r>
            <w:r>
              <w:rPr>
                <w:rFonts w:ascii="Arial" w:cs="Arial" w:eastAsia="Arial" w:hAnsi="Arial"/>
                <w:sz w:val="23"/>
                <w:szCs w:val="23"/>
                <w:color w:val="auto"/>
                <w:vertAlign w:val="superscript"/>
              </w:rPr>
              <w:t>(2)</w:t>
            </w:r>
          </w:p>
        </w:tc>
        <w:tc>
          <w:tcPr>
            <w:tcW w:w="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5.0</w:t>
            </w: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Loss on Refinancing Credit Facility</w:t>
            </w:r>
          </w:p>
        </w:tc>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19"/>
                <w:szCs w:val="19"/>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1.6</w:t>
            </w:r>
          </w:p>
        </w:tc>
      </w:tr>
      <w:tr>
        <w:trPr>
          <w:trHeight w:val="248"/>
        </w:trPr>
        <w:tc>
          <w:tcPr>
            <w:tcW w:w="6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Income before Income Tax</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ind w:right="1199"/>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104.2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ind w:right="1336"/>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33.0</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9"/>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Pre-tax margin</w:t>
            </w:r>
          </w:p>
        </w:tc>
        <w:tc>
          <w:tcPr>
            <w:tcW w:w="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r>
    </w:tbl>
    <w:p>
      <w:pPr>
        <w:spacing w:after="0" w:line="261" w:lineRule="exact"/>
        <w:rPr>
          <w:sz w:val="20"/>
          <w:szCs w:val="20"/>
          <w:color w:val="auto"/>
        </w:rPr>
      </w:pPr>
    </w:p>
    <w:p>
      <w:pPr>
        <w:ind w:left="440" w:right="140" w:hanging="414"/>
        <w:spacing w:after="0" w:line="235" w:lineRule="auto"/>
        <w:tabs>
          <w:tab w:leader="none" w:pos="440" w:val="left"/>
        </w:tabs>
        <w:numPr>
          <w:ilvl w:val="0"/>
          <w:numId w:val="6"/>
        </w:numPr>
        <w:rPr>
          <w:rFonts w:ascii="Arial" w:cs="Arial" w:eastAsia="Arial" w:hAnsi="Arial"/>
          <w:sz w:val="14"/>
          <w:szCs w:val="14"/>
          <w:color w:val="auto"/>
        </w:rPr>
      </w:pPr>
      <w:r>
        <w:rPr>
          <w:rFonts w:ascii="Arial" w:cs="Arial" w:eastAsia="Arial" w:hAnsi="Arial"/>
          <w:sz w:val="14"/>
          <w:szCs w:val="14"/>
          <w:color w:val="auto"/>
        </w:rPr>
        <w:t>Due to changes in the Company’s operations, Management determined that, beginning in the fourth quarter 2022, certain asset transactions will no longer be included as adjustments to Adjusted Income Before Income Tax because these transactions are part of our recurring operations. This change was made prospectively beginning in the fourth quarter of 2022, and no prior period amounts have been adjusted.</w:t>
      </w:r>
    </w:p>
    <w:p>
      <w:pPr>
        <w:ind w:left="440" w:hanging="414"/>
        <w:spacing w:after="0" w:line="184" w:lineRule="auto"/>
        <w:tabs>
          <w:tab w:leader="none" w:pos="440" w:val="left"/>
        </w:tabs>
        <w:numPr>
          <w:ilvl w:val="0"/>
          <w:numId w:val="6"/>
        </w:numPr>
        <w:rPr>
          <w:rFonts w:ascii="Arial" w:cs="Arial" w:eastAsia="Arial" w:hAnsi="Arial"/>
          <w:sz w:val="29"/>
          <w:szCs w:val="29"/>
          <w:color w:val="auto"/>
          <w:vertAlign w:val="superscript"/>
        </w:rPr>
      </w:pPr>
      <w:r>
        <w:rPr>
          <w:rFonts w:ascii="Arial" w:cs="Arial" w:eastAsia="Arial" w:hAnsi="Arial"/>
          <w:sz w:val="14"/>
          <w:szCs w:val="14"/>
          <w:color w:val="auto"/>
        </w:rPr>
        <w:t>This represents the adjustment to the TRA for the period, which is recorded in Non-Operating Income (Expense),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Page 14</w:t>
      </w:r>
    </w:p>
    <w:p>
      <w:pPr>
        <w:sectPr>
          <w:pgSz w:w="11900" w:h="16838" w:orient="portrait"/>
          <w:cols w:equalWidth="0" w:num="1">
            <w:col w:w="11200"/>
          </w:cols>
          <w:pgMar w:left="320" w:top="1417" w:right="379" w:bottom="1440" w:gutter="0" w:footer="0" w:header="0"/>
        </w:sectPr>
      </w:pPr>
    </w:p>
    <w:bookmarkStart w:id="17" w:name="page18"/>
    <w:bookmarkEnd w:id="17"/>
    <w:p>
      <w:pPr>
        <w:spacing w:after="0" w:line="200" w:lineRule="exact"/>
        <w:rPr>
          <w:sz w:val="20"/>
          <w:szCs w:val="20"/>
          <w:color w:val="auto"/>
        </w:rPr>
      </w:pPr>
    </w:p>
    <w:p>
      <w:pPr>
        <w:spacing w:after="0" w:line="263" w:lineRule="exact"/>
        <w:rPr>
          <w:sz w:val="20"/>
          <w:szCs w:val="20"/>
          <w:color w:val="auto"/>
        </w:rPr>
      </w:pPr>
    </w:p>
    <w:p>
      <w:pPr>
        <w:ind w:left="20" w:right="1140"/>
        <w:spacing w:after="0" w:line="343" w:lineRule="auto"/>
        <w:rPr>
          <w:sz w:val="20"/>
          <w:szCs w:val="20"/>
          <w:color w:val="auto"/>
        </w:rPr>
      </w:pPr>
      <w:r>
        <w:rPr>
          <w:rFonts w:ascii="Arial" w:cs="Arial" w:eastAsia="Arial" w:hAnsi="Arial"/>
          <w:sz w:val="18"/>
          <w:szCs w:val="18"/>
          <w:b w:val="1"/>
          <w:bCs w:val="1"/>
          <w:color w:val="auto"/>
        </w:rPr>
        <w:t>Reconciliation of GAAP Net Income and Earnings per Share to Adjusted Net Income and Adjusted Earnings per Share Dollars and shares in millions, except for per share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234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17" w:lineRule="exact"/>
        <w:rPr>
          <w:sz w:val="20"/>
          <w:szCs w:val="20"/>
          <w:color w:val="auto"/>
        </w:rPr>
      </w:pPr>
    </w:p>
    <w:p>
      <w:pPr>
        <w:ind w:left="20" w:right="20"/>
        <w:spacing w:after="0" w:line="287" w:lineRule="auto"/>
        <w:rPr>
          <w:sz w:val="20"/>
          <w:szCs w:val="20"/>
          <w:color w:val="auto"/>
        </w:rPr>
      </w:pPr>
      <w:r>
        <w:rPr>
          <w:rFonts w:ascii="Arial" w:cs="Arial" w:eastAsia="Arial" w:hAnsi="Arial"/>
          <w:sz w:val="18"/>
          <w:szCs w:val="18"/>
          <w:color w:val="auto"/>
        </w:rPr>
        <w:t>The following table presents the reconciliation of GAAP Net Income and Earnings per Share to Adjusted Net Income and Adjusted Earnings per Share.</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 December 31,</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4"/>
        </w:trPr>
        <w:tc>
          <w:tcPr>
            <w:tcW w:w="462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14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1440" w:type="dxa"/>
            <w:vAlign w:val="bottom"/>
            <w:tcBorders>
              <w:bottom w:val="single" w:sz="8" w:color="auto"/>
            </w:tcBorders>
          </w:tcPr>
          <w:p>
            <w:pPr>
              <w:spacing w:after="0"/>
              <w:rPr>
                <w:sz w:val="17"/>
                <w:szCs w:val="17"/>
                <w:color w:val="auto"/>
              </w:rPr>
            </w:pPr>
          </w:p>
        </w:tc>
      </w:tr>
      <w:tr>
        <w:trPr>
          <w:trHeight w:val="196"/>
        </w:trPr>
        <w:tc>
          <w:tcPr>
            <w:tcW w:w="46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Dollars</w:t>
            </w:r>
          </w:p>
        </w:tc>
        <w:tc>
          <w:tcPr>
            <w:tcW w:w="5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Per Share - diluted</w:t>
            </w: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Dollars</w:t>
            </w:r>
          </w:p>
        </w:tc>
        <w:tc>
          <w:tcPr>
            <w:tcW w:w="4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Per Share - diluted</w:t>
            </w:r>
          </w:p>
        </w:tc>
      </w:tr>
      <w:tr>
        <w:trPr>
          <w:trHeight w:val="224"/>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8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Stock Compensation Expense</w:t>
            </w:r>
          </w:p>
        </w:tc>
        <w:tc>
          <w:tcPr>
            <w:tcW w:w="1080" w:type="dxa"/>
            <w:vAlign w:val="bottom"/>
          </w:tcPr>
          <w:p>
            <w:pPr>
              <w:spacing w:after="0"/>
              <w:rPr>
                <w:sz w:val="19"/>
                <w:szCs w:val="19"/>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Secondary Offering Costs</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Income Tax Effect of Adjusting Items, net </w:t>
            </w:r>
            <w:r>
              <w:rPr>
                <w:rFonts w:ascii="Arial" w:cs="Arial" w:eastAsia="Arial" w:hAnsi="Arial"/>
                <w:sz w:val="23"/>
                <w:szCs w:val="23"/>
                <w:color w:val="auto"/>
                <w:vertAlign w:val="superscript"/>
              </w:rPr>
              <w:t>(1)</w:t>
            </w:r>
          </w:p>
        </w:tc>
        <w:tc>
          <w:tcPr>
            <w:tcW w:w="108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w:t>
            </w:r>
          </w:p>
        </w:tc>
        <w:tc>
          <w:tcPr>
            <w:tcW w:w="108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46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share count</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0A0A0A"/>
              </w:rPr>
              <w:t>56.3</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0A0A0A"/>
                <w:w w:val="96"/>
              </w:rPr>
              <w:t>60.1</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363"/>
        </w:trPr>
        <w:tc>
          <w:tcPr>
            <w:tcW w:w="4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gridSpan w:val="3"/>
          </w:tcPr>
          <w:p>
            <w:pPr>
              <w:jc w:val="right"/>
              <w:ind w:right="236"/>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462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14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1440" w:type="dxa"/>
            <w:vAlign w:val="bottom"/>
            <w:tcBorders>
              <w:bottom w:val="single" w:sz="8" w:color="auto"/>
            </w:tcBorders>
          </w:tcPr>
          <w:p>
            <w:pPr>
              <w:spacing w:after="0"/>
              <w:rPr>
                <w:sz w:val="17"/>
                <w:szCs w:val="17"/>
                <w:color w:val="auto"/>
              </w:rPr>
            </w:pPr>
          </w:p>
        </w:tc>
      </w:tr>
      <w:tr>
        <w:trPr>
          <w:trHeight w:val="196"/>
        </w:trPr>
        <w:tc>
          <w:tcPr>
            <w:tcW w:w="46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Dollars</w:t>
            </w:r>
          </w:p>
        </w:tc>
        <w:tc>
          <w:tcPr>
            <w:tcW w:w="5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Per Share - diluted</w:t>
            </w: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Dollars</w:t>
            </w:r>
          </w:p>
        </w:tc>
        <w:tc>
          <w:tcPr>
            <w:tcW w:w="4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Per Share - diluted</w:t>
            </w:r>
          </w:p>
        </w:tc>
      </w:tr>
      <w:tr>
        <w:trPr>
          <w:trHeight w:val="244"/>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8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6"/>
              </w:rPr>
              <w:t>17.7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0.29</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Stock Compensation Expense</w:t>
            </w:r>
          </w:p>
        </w:tc>
        <w:tc>
          <w:tcPr>
            <w:tcW w:w="1080" w:type="dxa"/>
            <w:vAlign w:val="bottom"/>
          </w:tcPr>
          <w:p>
            <w:pPr>
              <w:spacing w:after="0"/>
              <w:rPr>
                <w:sz w:val="19"/>
                <w:szCs w:val="19"/>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0.05</w:t>
            </w: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Secondary Offering Costs</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Gain on Asset Transactions, net </w:t>
            </w:r>
            <w:r>
              <w:rPr>
                <w:rFonts w:ascii="Arial" w:cs="Arial" w:eastAsia="Arial" w:hAnsi="Arial"/>
                <w:sz w:val="23"/>
                <w:szCs w:val="23"/>
                <w:color w:val="auto"/>
                <w:vertAlign w:val="superscript"/>
              </w:rPr>
              <w:t>(2)</w:t>
            </w:r>
          </w:p>
        </w:tc>
        <w:tc>
          <w:tcPr>
            <w:tcW w:w="1080" w:type="dxa"/>
            <w:vAlign w:val="bottom"/>
          </w:tcPr>
          <w:p>
            <w:pPr>
              <w:spacing w:after="0"/>
              <w:rPr>
                <w:sz w:val="19"/>
                <w:szCs w:val="19"/>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7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Tax Receivable Agreement Adjustment </w:t>
            </w:r>
            <w:r>
              <w:rPr>
                <w:rFonts w:ascii="Arial" w:cs="Arial" w:eastAsia="Arial" w:hAnsi="Arial"/>
                <w:sz w:val="23"/>
                <w:szCs w:val="23"/>
                <w:color w:val="auto"/>
                <w:vertAlign w:val="superscript"/>
              </w:rPr>
              <w:t>(3)</w:t>
            </w:r>
          </w:p>
        </w:tc>
        <w:tc>
          <w:tcPr>
            <w:tcW w:w="108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Loss on Refinancing Credit Facility</w:t>
            </w:r>
          </w:p>
        </w:tc>
        <w:tc>
          <w:tcPr>
            <w:tcW w:w="1080" w:type="dxa"/>
            <w:vAlign w:val="bottom"/>
          </w:tcPr>
          <w:p>
            <w:pPr>
              <w:spacing w:after="0"/>
              <w:rPr>
                <w:sz w:val="19"/>
                <w:szCs w:val="19"/>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0.03</w:t>
            </w:r>
          </w:p>
        </w:tc>
      </w:tr>
      <w:tr>
        <w:trPr>
          <w:trHeight w:val="27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Income Tax Effect of Adjusting Items, net </w:t>
            </w:r>
            <w:r>
              <w:rPr>
                <w:rFonts w:ascii="Arial" w:cs="Arial" w:eastAsia="Arial" w:hAnsi="Arial"/>
                <w:sz w:val="23"/>
                <w:szCs w:val="23"/>
                <w:color w:val="auto"/>
                <w:vertAlign w:val="superscript"/>
              </w:rPr>
              <w:t>(1)</w:t>
            </w:r>
          </w:p>
        </w:tc>
        <w:tc>
          <w:tcPr>
            <w:tcW w:w="108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8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1080" w:type="dxa"/>
            <w:vAlign w:val="bottom"/>
            <w:tcBorders>
              <w:bottom w:val="single" w:sz="8" w:color="auto"/>
            </w:tcBorders>
          </w:tcPr>
          <w:p>
            <w:pPr>
              <w:jc w:val="right"/>
              <w:ind w:right="89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79.9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93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6"/>
              </w:rPr>
              <w:t>25.8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16"/>
        </w:trPr>
        <w:tc>
          <w:tcPr>
            <w:tcW w:w="46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r>
      <w:tr>
        <w:trPr>
          <w:trHeight w:val="239"/>
        </w:trPr>
        <w:tc>
          <w:tcPr>
            <w:tcW w:w="4620" w:type="dxa"/>
            <w:vAlign w:val="bottom"/>
          </w:tcPr>
          <w:p>
            <w:pPr>
              <w:ind w:left="20"/>
              <w:spacing w:after="0"/>
              <w:rPr>
                <w:sz w:val="20"/>
                <w:szCs w:val="20"/>
                <w:color w:val="auto"/>
              </w:rPr>
            </w:pPr>
            <w:r>
              <w:rPr>
                <w:rFonts w:ascii="Arial" w:cs="Arial" w:eastAsia="Arial" w:hAnsi="Arial"/>
                <w:sz w:val="18"/>
                <w:szCs w:val="18"/>
                <w:color w:val="auto"/>
              </w:rPr>
              <w:t>Diluted share count</w:t>
            </w:r>
          </w:p>
        </w:tc>
        <w:tc>
          <w:tcPr>
            <w:tcW w:w="1080" w:type="dxa"/>
            <w:vAlign w:val="bottom"/>
          </w:tcPr>
          <w:p>
            <w:pPr>
              <w:spacing w:after="0"/>
              <w:rPr>
                <w:sz w:val="20"/>
                <w:szCs w:val="20"/>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0A0A0A"/>
              </w:rPr>
              <w:t>58.5</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0A0A0A"/>
                <w:w w:val="96"/>
              </w:rPr>
              <w:t>61.0</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230" w:lineRule="exact"/>
        <w:rPr>
          <w:sz w:val="20"/>
          <w:szCs w:val="20"/>
          <w:color w:val="auto"/>
        </w:rPr>
      </w:pPr>
    </w:p>
    <w:p>
      <w:pPr>
        <w:ind w:left="440" w:hanging="414"/>
        <w:spacing w:after="0"/>
        <w:tabs>
          <w:tab w:leader="none" w:pos="440" w:val="left"/>
        </w:tabs>
        <w:numPr>
          <w:ilvl w:val="0"/>
          <w:numId w:val="7"/>
        </w:numPr>
        <w:rPr>
          <w:rFonts w:ascii="Arial" w:cs="Arial" w:eastAsia="Arial" w:hAnsi="Arial"/>
          <w:sz w:val="29"/>
          <w:szCs w:val="29"/>
          <w:color w:val="auto"/>
          <w:vertAlign w:val="superscript"/>
        </w:rPr>
      </w:pPr>
      <w:r>
        <w:rPr>
          <w:rFonts w:ascii="Arial" w:cs="Arial" w:eastAsia="Arial" w:hAnsi="Arial"/>
          <w:sz w:val="14"/>
          <w:szCs w:val="14"/>
          <w:color w:val="auto"/>
        </w:rPr>
        <w:t>The tax effect of adjusting items, net is calculated at the Company’s statutory rate for the application period</w:t>
      </w:r>
    </w:p>
    <w:p>
      <w:pPr>
        <w:spacing w:after="0" w:line="39" w:lineRule="exact"/>
        <w:rPr>
          <w:rFonts w:ascii="Arial" w:cs="Arial" w:eastAsia="Arial" w:hAnsi="Arial"/>
          <w:sz w:val="29"/>
          <w:szCs w:val="29"/>
          <w:color w:val="auto"/>
          <w:vertAlign w:val="superscript"/>
        </w:rPr>
      </w:pPr>
    </w:p>
    <w:p>
      <w:pPr>
        <w:ind w:left="440" w:right="240" w:hanging="414"/>
        <w:spacing w:after="0" w:line="235" w:lineRule="auto"/>
        <w:tabs>
          <w:tab w:leader="none" w:pos="440" w:val="left"/>
        </w:tabs>
        <w:numPr>
          <w:ilvl w:val="0"/>
          <w:numId w:val="7"/>
        </w:numPr>
        <w:rPr>
          <w:rFonts w:ascii="Arial" w:cs="Arial" w:eastAsia="Arial" w:hAnsi="Arial"/>
          <w:sz w:val="14"/>
          <w:szCs w:val="14"/>
          <w:color w:val="auto"/>
        </w:rPr>
      </w:pPr>
      <w:r>
        <w:rPr>
          <w:rFonts w:ascii="Arial" w:cs="Arial" w:eastAsia="Arial" w:hAnsi="Arial"/>
          <w:sz w:val="14"/>
          <w:szCs w:val="14"/>
          <w:color w:val="auto"/>
        </w:rPr>
        <w:t>Due to changes in the Company’s operations, Management determined that, beginning in the fourth quarter 2022, certain asset transactions will no longer be included as adjustments to Adjusted Net Income because these transactions are part of our recurring operations. This change was made prospectively beginning in the fourth quarter of 2022, and no prior period amounts have been adjusted.</w:t>
      </w:r>
    </w:p>
    <w:p>
      <w:pPr>
        <w:ind w:left="440" w:hanging="414"/>
        <w:spacing w:after="0" w:line="181" w:lineRule="auto"/>
        <w:tabs>
          <w:tab w:leader="none" w:pos="440" w:val="left"/>
        </w:tabs>
        <w:numPr>
          <w:ilvl w:val="0"/>
          <w:numId w:val="7"/>
        </w:numPr>
        <w:rPr>
          <w:rFonts w:ascii="Arial" w:cs="Arial" w:eastAsia="Arial" w:hAnsi="Arial"/>
          <w:sz w:val="28"/>
          <w:szCs w:val="28"/>
          <w:color w:val="auto"/>
          <w:vertAlign w:val="superscript"/>
        </w:rPr>
      </w:pPr>
      <w:r>
        <w:rPr>
          <w:rFonts w:ascii="Arial" w:cs="Arial" w:eastAsia="Arial" w:hAnsi="Arial"/>
          <w:sz w:val="14"/>
          <w:szCs w:val="14"/>
          <w:color w:val="auto"/>
        </w:rPr>
        <w:t>This represents the adjustment to the TRA for the period, which is recorded in Non-Operating Income (Expense), net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15</w:t>
      </w:r>
    </w:p>
    <w:p>
      <w:pPr>
        <w:sectPr>
          <w:pgSz w:w="11900" w:h="16838" w:orient="portrait"/>
          <w:cols w:equalWidth="0" w:num="1">
            <w:col w:w="11220"/>
          </w:cols>
          <w:pgMar w:left="320" w:top="1440" w:right="359" w:bottom="1440" w:gutter="0" w:footer="0" w:header="0"/>
        </w:sectPr>
      </w:pPr>
    </w:p>
    <w:bookmarkStart w:id="18" w:name="page19"/>
    <w:bookmarkEnd w:id="18"/>
    <w:p>
      <w:pPr>
        <w:ind w:left="20"/>
        <w:spacing w:after="0"/>
        <w:rPr>
          <w:sz w:val="20"/>
          <w:szCs w:val="20"/>
          <w:color w:val="auto"/>
        </w:rPr>
      </w:pPr>
      <w:r>
        <w:rPr>
          <w:rFonts w:ascii="Arial" w:cs="Arial" w:eastAsia="Arial" w:hAnsi="Arial"/>
          <w:sz w:val="18"/>
          <w:szCs w:val="18"/>
          <w:b w:val="1"/>
          <w:bCs w:val="1"/>
          <w:color w:val="auto"/>
        </w:rPr>
        <w:t>Reconciliation of GAAP Net Income to Adjusted EBITDA</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Dollars in millions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234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tables present the reconciliation of GAAP Net Income to Adjusted EBITDA for the periods presented below.</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20" w:type="dxa"/>
            <w:vAlign w:val="bottom"/>
            <w:gridSpan w:val="5"/>
          </w:tcPr>
          <w:p>
            <w:pPr>
              <w:jc w:val="right"/>
              <w:ind w:right="296"/>
              <w:spacing w:after="0"/>
              <w:rPr>
                <w:sz w:val="20"/>
                <w:szCs w:val="20"/>
                <w:color w:val="auto"/>
              </w:rPr>
            </w:pPr>
            <w:r>
              <w:rPr>
                <w:rFonts w:ascii="Arial" w:cs="Arial" w:eastAsia="Arial" w:hAnsi="Arial"/>
                <w:sz w:val="14"/>
                <w:szCs w:val="14"/>
                <w:b w:val="1"/>
                <w:bCs w:val="1"/>
                <w:color w:val="auto"/>
              </w:rPr>
              <w:t>Three Months Ended December 31,</w:t>
            </w:r>
          </w:p>
        </w:tc>
        <w:tc>
          <w:tcPr>
            <w:tcW w:w="880" w:type="dxa"/>
            <w:vAlign w:val="bottom"/>
          </w:tcPr>
          <w:p>
            <w:pPr>
              <w:spacing w:after="0"/>
              <w:rPr>
                <w:sz w:val="17"/>
                <w:szCs w:val="17"/>
                <w:color w:val="auto"/>
              </w:rPr>
            </w:pPr>
          </w:p>
        </w:tc>
      </w:tr>
      <w:tr>
        <w:trPr>
          <w:trHeight w:val="203"/>
        </w:trPr>
        <w:tc>
          <w:tcPr>
            <w:tcW w:w="6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2023</w:t>
            </w:r>
          </w:p>
        </w:tc>
        <w:tc>
          <w:tcPr>
            <w:tcW w:w="9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2022</w:t>
            </w:r>
          </w:p>
        </w:tc>
        <w:tc>
          <w:tcPr>
            <w:tcW w:w="880" w:type="dxa"/>
            <w:vAlign w:val="bottom"/>
            <w:tcBorders>
              <w:bottom w:val="single" w:sz="8" w:color="auto"/>
            </w:tcBorders>
          </w:tcPr>
          <w:p>
            <w:pPr>
              <w:spacing w:after="0"/>
              <w:rPr>
                <w:sz w:val="17"/>
                <w:szCs w:val="17"/>
                <w:color w:val="auto"/>
              </w:rPr>
            </w:pPr>
          </w:p>
        </w:tc>
      </w:tr>
      <w:tr>
        <w:trPr>
          <w:trHeight w:val="224"/>
        </w:trPr>
        <w:tc>
          <w:tcPr>
            <w:tcW w:w="6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w:t>
            </w:r>
          </w:p>
        </w:tc>
        <w:tc>
          <w:tcPr>
            <w:tcW w:w="1500" w:type="dxa"/>
            <w:vAlign w:val="bottom"/>
            <w:gridSpan w:val="2"/>
            <w:shd w:val="clear" w:color="auto" w:fill="CCEEFF"/>
          </w:tcPr>
          <w:p>
            <w:pPr>
              <w:jc w:val="right"/>
              <w:ind w:right="1279"/>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36"/>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7.3</w:t>
            </w:r>
          </w:p>
        </w:tc>
      </w:tr>
      <w:tr>
        <w:trPr>
          <w:trHeight w:val="229"/>
        </w:trPr>
        <w:tc>
          <w:tcPr>
            <w:tcW w:w="6200" w:type="dxa"/>
            <w:vAlign w:val="bottom"/>
          </w:tcPr>
          <w:p>
            <w:pPr>
              <w:ind w:left="80"/>
              <w:spacing w:after="0"/>
              <w:rPr>
                <w:sz w:val="20"/>
                <w:szCs w:val="20"/>
                <w:color w:val="auto"/>
              </w:rPr>
            </w:pPr>
            <w:r>
              <w:rPr>
                <w:rFonts w:ascii="Arial" w:cs="Arial" w:eastAsia="Arial" w:hAnsi="Arial"/>
                <w:sz w:val="18"/>
                <w:szCs w:val="18"/>
                <w:color w:val="auto"/>
              </w:rPr>
              <w:t>Interest Income</w:t>
            </w:r>
          </w:p>
        </w:tc>
        <w:tc>
          <w:tcPr>
            <w:tcW w:w="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(2.4)</w:t>
            </w:r>
          </w:p>
        </w:tc>
      </w:tr>
      <w:tr>
        <w:trPr>
          <w:trHeight w:val="229"/>
        </w:trPr>
        <w:tc>
          <w:tcPr>
            <w:tcW w:w="6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Expense</w:t>
            </w:r>
          </w:p>
        </w:tc>
        <w:tc>
          <w:tcPr>
            <w:tcW w:w="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11.4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7.9</w:t>
            </w:r>
          </w:p>
        </w:tc>
      </w:tr>
      <w:tr>
        <w:trPr>
          <w:trHeight w:val="230"/>
        </w:trPr>
        <w:tc>
          <w:tcPr>
            <w:tcW w:w="6200" w:type="dxa"/>
            <w:vAlign w:val="bottom"/>
          </w:tcPr>
          <w:p>
            <w:pPr>
              <w:ind w:left="80"/>
              <w:spacing w:after="0"/>
              <w:rPr>
                <w:sz w:val="20"/>
                <w:szCs w:val="20"/>
                <w:color w:val="auto"/>
              </w:rPr>
            </w:pPr>
            <w:r>
              <w:rPr>
                <w:rFonts w:ascii="Arial" w:cs="Arial" w:eastAsia="Arial" w:hAnsi="Arial"/>
                <w:sz w:val="18"/>
                <w:szCs w:val="18"/>
                <w:color w:val="auto"/>
              </w:rPr>
              <w:t>Stock Compensation Expense</w:t>
            </w:r>
          </w:p>
        </w:tc>
        <w:tc>
          <w:tcPr>
            <w:tcW w:w="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00" w:type="dxa"/>
            <w:vAlign w:val="bottom"/>
          </w:tcPr>
          <w:p>
            <w:pPr>
              <w:jc w:val="right"/>
              <w:ind w:right="111"/>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0.8</w:t>
            </w:r>
          </w:p>
        </w:tc>
      </w:tr>
      <w:tr>
        <w:trPr>
          <w:trHeight w:val="229"/>
        </w:trPr>
        <w:tc>
          <w:tcPr>
            <w:tcW w:w="6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Secondary Offering Costs</w:t>
            </w:r>
          </w:p>
        </w:tc>
        <w:tc>
          <w:tcPr>
            <w:tcW w:w="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0.5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29"/>
        </w:trPr>
        <w:tc>
          <w:tcPr>
            <w:tcW w:w="6200" w:type="dxa"/>
            <w:vAlign w:val="bottom"/>
          </w:tcPr>
          <w:p>
            <w:pPr>
              <w:ind w:left="80"/>
              <w:spacing w:after="0"/>
              <w:rPr>
                <w:sz w:val="20"/>
                <w:szCs w:val="20"/>
                <w:color w:val="auto"/>
              </w:rPr>
            </w:pPr>
            <w:r>
              <w:rPr>
                <w:rFonts w:ascii="Arial" w:cs="Arial" w:eastAsia="Arial" w:hAnsi="Arial"/>
                <w:sz w:val="18"/>
                <w:szCs w:val="18"/>
                <w:color w:val="auto"/>
              </w:rPr>
              <w:t>Provision for Income Taxes</w:t>
            </w:r>
          </w:p>
        </w:tc>
        <w:tc>
          <w:tcPr>
            <w:tcW w:w="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00" w:type="dxa"/>
            <w:vAlign w:val="bottom"/>
          </w:tcPr>
          <w:p>
            <w:pPr>
              <w:jc w:val="right"/>
              <w:ind w:right="111"/>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2.2</w:t>
            </w:r>
          </w:p>
        </w:tc>
      </w:tr>
      <w:tr>
        <w:trPr>
          <w:trHeight w:val="230"/>
        </w:trPr>
        <w:tc>
          <w:tcPr>
            <w:tcW w:w="6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Depreciation and Amortization</w:t>
            </w:r>
          </w:p>
        </w:tc>
        <w:tc>
          <w:tcPr>
            <w:tcW w:w="4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23.6</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18.3</w:t>
            </w:r>
          </w:p>
        </w:tc>
      </w:tr>
      <w:tr>
        <w:trPr>
          <w:trHeight w:val="223"/>
        </w:trPr>
        <w:tc>
          <w:tcPr>
            <w:tcW w:w="6200" w:type="dxa"/>
            <w:vAlign w:val="bottom"/>
          </w:tcPr>
          <w:p>
            <w:pPr>
              <w:ind w:left="80"/>
              <w:spacing w:after="0"/>
              <w:rPr>
                <w:sz w:val="20"/>
                <w:szCs w:val="20"/>
                <w:color w:val="auto"/>
              </w:rPr>
            </w:pPr>
            <w:r>
              <w:rPr>
                <w:rFonts w:ascii="Arial" w:cs="Arial" w:eastAsia="Arial" w:hAnsi="Arial"/>
                <w:sz w:val="18"/>
                <w:szCs w:val="18"/>
                <w:color w:val="auto"/>
              </w:rPr>
              <w:t>Adjusted EBITDA</w:t>
            </w:r>
          </w:p>
        </w:tc>
        <w:tc>
          <w:tcPr>
            <w:tcW w:w="40" w:type="dxa"/>
            <w:vAlign w:val="bottom"/>
          </w:tcPr>
          <w:p>
            <w:pPr>
              <w:spacing w:after="0"/>
              <w:rPr>
                <w:sz w:val="19"/>
                <w:szCs w:val="19"/>
                <w:color w:val="auto"/>
              </w:rPr>
            </w:pPr>
          </w:p>
        </w:tc>
        <w:tc>
          <w:tcPr>
            <w:tcW w:w="1460" w:type="dxa"/>
            <w:vAlign w:val="bottom"/>
            <w:tcBorders>
              <w:bottom w:val="single" w:sz="8" w:color="auto"/>
            </w:tcBorders>
          </w:tcPr>
          <w:p>
            <w:pPr>
              <w:jc w:val="right"/>
              <w:ind w:right="1279"/>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41.8</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Borders>
              <w:bottom w:val="single" w:sz="8" w:color="auto"/>
            </w:tcBorders>
          </w:tcPr>
          <w:p>
            <w:pPr>
              <w:jc w:val="right"/>
              <w:ind w:right="133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34.1</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6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9"/>
        </w:trPr>
        <w:tc>
          <w:tcPr>
            <w:tcW w:w="6200" w:type="dxa"/>
            <w:vAlign w:val="bottom"/>
          </w:tcPr>
          <w:p>
            <w:pPr>
              <w:ind w:left="80"/>
              <w:spacing w:after="0"/>
              <w:rPr>
                <w:sz w:val="20"/>
                <w:szCs w:val="20"/>
                <w:color w:val="auto"/>
              </w:rPr>
            </w:pPr>
            <w:r>
              <w:rPr>
                <w:rFonts w:ascii="Arial" w:cs="Arial" w:eastAsia="Arial" w:hAnsi="Arial"/>
                <w:sz w:val="18"/>
                <w:szCs w:val="18"/>
                <w:color w:val="auto"/>
              </w:rPr>
              <w:t>Net Income Margin</w:t>
            </w:r>
          </w:p>
        </w:tc>
        <w:tc>
          <w:tcPr>
            <w:tcW w:w="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2.3 %</w:t>
            </w: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3.2 %</w:t>
            </w:r>
          </w:p>
        </w:tc>
      </w:tr>
      <w:tr>
        <w:trPr>
          <w:trHeight w:val="230"/>
        </w:trPr>
        <w:tc>
          <w:tcPr>
            <w:tcW w:w="6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Adjusted EBITDA margin</w:t>
            </w:r>
          </w:p>
        </w:tc>
        <w:tc>
          <w:tcPr>
            <w:tcW w:w="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15.0 %</w:t>
            </w:r>
          </w:p>
        </w:tc>
      </w:tr>
      <w:tr>
        <w:trPr>
          <w:trHeight w:val="619"/>
        </w:trPr>
        <w:tc>
          <w:tcPr>
            <w:tcW w:w="6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560" w:type="dxa"/>
            <w:vAlign w:val="bottom"/>
            <w:gridSpan w:val="4"/>
          </w:tcPr>
          <w:p>
            <w:pPr>
              <w:jc w:val="right"/>
              <w:ind w:right="636"/>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Pr>
          <w:p>
            <w:pPr>
              <w:spacing w:after="0"/>
              <w:rPr>
                <w:sz w:val="24"/>
                <w:szCs w:val="24"/>
                <w:color w:val="auto"/>
              </w:rPr>
            </w:pPr>
          </w:p>
        </w:tc>
      </w:tr>
      <w:tr>
        <w:trPr>
          <w:trHeight w:val="203"/>
        </w:trPr>
        <w:tc>
          <w:tcPr>
            <w:tcW w:w="6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2023</w:t>
            </w:r>
          </w:p>
        </w:tc>
        <w:tc>
          <w:tcPr>
            <w:tcW w:w="9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2022</w:t>
            </w:r>
          </w:p>
        </w:tc>
        <w:tc>
          <w:tcPr>
            <w:tcW w:w="880" w:type="dxa"/>
            <w:vAlign w:val="bottom"/>
            <w:tcBorders>
              <w:bottom w:val="single" w:sz="8" w:color="auto"/>
            </w:tcBorders>
          </w:tcPr>
          <w:p>
            <w:pPr>
              <w:spacing w:after="0"/>
              <w:rPr>
                <w:sz w:val="17"/>
                <w:szCs w:val="17"/>
                <w:color w:val="auto"/>
              </w:rPr>
            </w:pPr>
          </w:p>
        </w:tc>
      </w:tr>
      <w:tr>
        <w:trPr>
          <w:trHeight w:val="224"/>
        </w:trPr>
        <w:tc>
          <w:tcPr>
            <w:tcW w:w="6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w:t>
            </w:r>
          </w:p>
        </w:tc>
        <w:tc>
          <w:tcPr>
            <w:tcW w:w="1500" w:type="dxa"/>
            <w:vAlign w:val="bottom"/>
            <w:gridSpan w:val="2"/>
            <w:shd w:val="clear" w:color="auto" w:fill="CCEEFF"/>
          </w:tcPr>
          <w:p>
            <w:pPr>
              <w:jc w:val="right"/>
              <w:ind w:right="1299"/>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72.2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36"/>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17.7</w:t>
            </w:r>
          </w:p>
        </w:tc>
      </w:tr>
      <w:tr>
        <w:trPr>
          <w:trHeight w:val="230"/>
        </w:trPr>
        <w:tc>
          <w:tcPr>
            <w:tcW w:w="6200" w:type="dxa"/>
            <w:vAlign w:val="bottom"/>
          </w:tcPr>
          <w:p>
            <w:pPr>
              <w:ind w:left="80"/>
              <w:spacing w:after="0"/>
              <w:rPr>
                <w:sz w:val="20"/>
                <w:szCs w:val="20"/>
                <w:color w:val="auto"/>
              </w:rPr>
            </w:pPr>
            <w:r>
              <w:rPr>
                <w:rFonts w:ascii="Arial" w:cs="Arial" w:eastAsia="Arial" w:hAnsi="Arial"/>
                <w:sz w:val="18"/>
                <w:szCs w:val="18"/>
                <w:color w:val="auto"/>
              </w:rPr>
              <w:t>Interest Income</w:t>
            </w:r>
          </w:p>
        </w:tc>
        <w:tc>
          <w:tcPr>
            <w:tcW w:w="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(4.5)</w:t>
            </w:r>
          </w:p>
        </w:tc>
      </w:tr>
      <w:tr>
        <w:trPr>
          <w:trHeight w:val="230"/>
        </w:trPr>
        <w:tc>
          <w:tcPr>
            <w:tcW w:w="6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Expense</w:t>
            </w:r>
          </w:p>
        </w:tc>
        <w:tc>
          <w:tcPr>
            <w:tcW w:w="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42.6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31.0</w:t>
            </w:r>
          </w:p>
        </w:tc>
      </w:tr>
      <w:tr>
        <w:trPr>
          <w:trHeight w:val="230"/>
        </w:trPr>
        <w:tc>
          <w:tcPr>
            <w:tcW w:w="6200" w:type="dxa"/>
            <w:vAlign w:val="bottom"/>
          </w:tcPr>
          <w:p>
            <w:pPr>
              <w:ind w:left="80"/>
              <w:spacing w:after="0"/>
              <w:rPr>
                <w:sz w:val="20"/>
                <w:szCs w:val="20"/>
                <w:color w:val="auto"/>
              </w:rPr>
            </w:pPr>
            <w:r>
              <w:rPr>
                <w:rFonts w:ascii="Arial" w:cs="Arial" w:eastAsia="Arial" w:hAnsi="Arial"/>
                <w:sz w:val="18"/>
                <w:szCs w:val="18"/>
                <w:color w:val="auto"/>
              </w:rPr>
              <w:t>Stock Compensation Expense</w:t>
            </w:r>
          </w:p>
        </w:tc>
        <w:tc>
          <w:tcPr>
            <w:tcW w:w="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9.3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2.8</w:t>
            </w:r>
          </w:p>
        </w:tc>
      </w:tr>
      <w:tr>
        <w:trPr>
          <w:trHeight w:val="229"/>
        </w:trPr>
        <w:tc>
          <w:tcPr>
            <w:tcW w:w="6200" w:type="dxa"/>
            <w:vAlign w:val="bottom"/>
            <w:shd w:val="clear" w:color="auto" w:fill="CCEEFF"/>
          </w:tcPr>
          <w:p>
            <w:pPr>
              <w:ind w:left="80"/>
              <w:spacing w:after="0" w:line="230" w:lineRule="exact"/>
              <w:rPr>
                <w:sz w:val="20"/>
                <w:szCs w:val="20"/>
                <w:color w:val="auto"/>
              </w:rPr>
            </w:pPr>
            <w:r>
              <w:rPr>
                <w:rFonts w:ascii="Arial" w:cs="Arial" w:eastAsia="Arial" w:hAnsi="Arial"/>
                <w:sz w:val="18"/>
                <w:szCs w:val="18"/>
                <w:color w:val="auto"/>
              </w:rPr>
              <w:t xml:space="preserve">Gain on Asset Transactions, net </w:t>
            </w:r>
            <w:r>
              <w:rPr>
                <w:rFonts w:ascii="Arial" w:cs="Arial" w:eastAsia="Arial" w:hAnsi="Arial"/>
                <w:sz w:val="23"/>
                <w:szCs w:val="23"/>
                <w:color w:val="auto"/>
                <w:vertAlign w:val="superscript"/>
              </w:rPr>
              <w:t>(1)</w:t>
            </w:r>
          </w:p>
        </w:tc>
        <w:tc>
          <w:tcPr>
            <w:tcW w:w="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(0.3)</w:t>
            </w:r>
          </w:p>
        </w:tc>
      </w:tr>
      <w:tr>
        <w:trPr>
          <w:trHeight w:val="230"/>
        </w:trPr>
        <w:tc>
          <w:tcPr>
            <w:tcW w:w="6200" w:type="dxa"/>
            <w:vAlign w:val="bottom"/>
          </w:tcPr>
          <w:p>
            <w:pPr>
              <w:ind w:left="80"/>
              <w:spacing w:after="0"/>
              <w:rPr>
                <w:sz w:val="20"/>
                <w:szCs w:val="20"/>
                <w:color w:val="auto"/>
              </w:rPr>
            </w:pPr>
            <w:r>
              <w:rPr>
                <w:rFonts w:ascii="Arial" w:cs="Arial" w:eastAsia="Arial" w:hAnsi="Arial"/>
                <w:sz w:val="18"/>
                <w:szCs w:val="18"/>
                <w:color w:val="auto"/>
              </w:rPr>
              <w:t>Secondary Offering Costs</w:t>
            </w:r>
          </w:p>
        </w:tc>
        <w:tc>
          <w:tcPr>
            <w:tcW w:w="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0"/>
        </w:trPr>
        <w:tc>
          <w:tcPr>
            <w:tcW w:w="6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 xml:space="preserve">Tax Receivable Agreement Adjustment </w:t>
            </w:r>
            <w:r>
              <w:rPr>
                <w:rFonts w:ascii="Arial" w:cs="Arial" w:eastAsia="Arial" w:hAnsi="Arial"/>
                <w:sz w:val="23"/>
                <w:szCs w:val="23"/>
                <w:color w:val="auto"/>
                <w:vertAlign w:val="superscript"/>
              </w:rPr>
              <w:t>(2)</w:t>
            </w:r>
          </w:p>
        </w:tc>
        <w:tc>
          <w:tcPr>
            <w:tcW w:w="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(0.3)</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5.0</w:t>
            </w:r>
          </w:p>
        </w:tc>
      </w:tr>
      <w:tr>
        <w:trPr>
          <w:trHeight w:val="230"/>
        </w:trPr>
        <w:tc>
          <w:tcPr>
            <w:tcW w:w="6200" w:type="dxa"/>
            <w:vAlign w:val="bottom"/>
          </w:tcPr>
          <w:p>
            <w:pPr>
              <w:ind w:left="80"/>
              <w:spacing w:after="0"/>
              <w:rPr>
                <w:sz w:val="20"/>
                <w:szCs w:val="20"/>
                <w:color w:val="auto"/>
              </w:rPr>
            </w:pPr>
            <w:r>
              <w:rPr>
                <w:rFonts w:ascii="Arial" w:cs="Arial" w:eastAsia="Arial" w:hAnsi="Arial"/>
                <w:sz w:val="18"/>
                <w:szCs w:val="18"/>
                <w:color w:val="auto"/>
              </w:rPr>
              <w:t>Provision for Income Taxes</w:t>
            </w:r>
          </w:p>
        </w:tc>
        <w:tc>
          <w:tcPr>
            <w:tcW w:w="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22.0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6.3</w:t>
            </w:r>
          </w:p>
        </w:tc>
      </w:tr>
      <w:tr>
        <w:trPr>
          <w:trHeight w:val="230"/>
        </w:trPr>
        <w:tc>
          <w:tcPr>
            <w:tcW w:w="6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Depreciation and Amortization</w:t>
            </w:r>
          </w:p>
        </w:tc>
        <w:tc>
          <w:tcPr>
            <w:tcW w:w="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88.2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67.6</w:t>
            </w:r>
          </w:p>
        </w:tc>
      </w:tr>
      <w:tr>
        <w:trPr>
          <w:trHeight w:val="223"/>
        </w:trPr>
        <w:tc>
          <w:tcPr>
            <w:tcW w:w="6200" w:type="dxa"/>
            <w:vAlign w:val="bottom"/>
          </w:tcPr>
          <w:p>
            <w:pPr>
              <w:ind w:left="80"/>
              <w:spacing w:after="0"/>
              <w:rPr>
                <w:sz w:val="20"/>
                <w:szCs w:val="20"/>
                <w:color w:val="auto"/>
              </w:rPr>
            </w:pPr>
            <w:r>
              <w:rPr>
                <w:rFonts w:ascii="Arial" w:cs="Arial" w:eastAsia="Arial" w:hAnsi="Arial"/>
                <w:sz w:val="18"/>
                <w:szCs w:val="18"/>
                <w:color w:val="auto"/>
              </w:rPr>
              <w:t>Adjusted EBITDA</w:t>
            </w:r>
          </w:p>
        </w:tc>
        <w:tc>
          <w:tcPr>
            <w:tcW w:w="1500" w:type="dxa"/>
            <w:vAlign w:val="bottom"/>
            <w:tcBorders>
              <w:bottom w:val="single" w:sz="8" w:color="auto"/>
            </w:tcBorders>
            <w:gridSpan w:val="2"/>
          </w:tcPr>
          <w:p>
            <w:pPr>
              <w:jc w:val="right"/>
              <w:ind w:right="1299"/>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224.8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Borders>
              <w:bottom w:val="single" w:sz="8" w:color="auto"/>
            </w:tcBorders>
          </w:tcPr>
          <w:p>
            <w:pPr>
              <w:jc w:val="right"/>
              <w:ind w:right="133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125.6</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6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9"/>
        </w:trPr>
        <w:tc>
          <w:tcPr>
            <w:tcW w:w="6200" w:type="dxa"/>
            <w:vAlign w:val="bottom"/>
          </w:tcPr>
          <w:p>
            <w:pPr>
              <w:ind w:left="80"/>
              <w:spacing w:after="0"/>
              <w:rPr>
                <w:sz w:val="20"/>
                <w:szCs w:val="20"/>
                <w:color w:val="auto"/>
              </w:rPr>
            </w:pPr>
            <w:r>
              <w:rPr>
                <w:rFonts w:ascii="Arial" w:cs="Arial" w:eastAsia="Arial" w:hAnsi="Arial"/>
                <w:sz w:val="18"/>
                <w:szCs w:val="18"/>
                <w:color w:val="auto"/>
              </w:rPr>
              <w:t>Net Income Margin</w:t>
            </w:r>
          </w:p>
        </w:tc>
        <w:tc>
          <w:tcPr>
            <w:tcW w:w="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30"/>
        </w:trPr>
        <w:tc>
          <w:tcPr>
            <w:tcW w:w="6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Adjusted EBITDA margin</w:t>
            </w:r>
          </w:p>
        </w:tc>
        <w:tc>
          <w:tcPr>
            <w:tcW w:w="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14.0 %</w:t>
            </w:r>
          </w:p>
        </w:tc>
      </w:tr>
    </w:tbl>
    <w:p>
      <w:pPr>
        <w:spacing w:after="0" w:line="166" w:lineRule="exact"/>
        <w:rPr>
          <w:sz w:val="20"/>
          <w:szCs w:val="20"/>
          <w:color w:val="auto"/>
        </w:rPr>
      </w:pPr>
    </w:p>
    <w:p>
      <w:pPr>
        <w:ind w:left="440" w:right="160" w:hanging="414"/>
        <w:spacing w:after="0" w:line="243" w:lineRule="auto"/>
        <w:tabs>
          <w:tab w:leader="none" w:pos="440" w:val="left"/>
        </w:tabs>
        <w:numPr>
          <w:ilvl w:val="0"/>
          <w:numId w:val="8"/>
        </w:numPr>
        <w:rPr>
          <w:rFonts w:ascii="Arial" w:cs="Arial" w:eastAsia="Arial" w:hAnsi="Arial"/>
          <w:sz w:val="14"/>
          <w:szCs w:val="14"/>
          <w:color w:val="auto"/>
        </w:rPr>
      </w:pPr>
      <w:r>
        <w:rPr>
          <w:rFonts w:ascii="Arial" w:cs="Arial" w:eastAsia="Arial" w:hAnsi="Arial"/>
          <w:sz w:val="14"/>
          <w:szCs w:val="14"/>
          <w:color w:val="auto"/>
        </w:rPr>
        <w:t>Due to changes in the Company’s operations, Management determined that, beginning in the fourth quarter 2022, certain asset transactions will no longer be included as adjustments to Adjusted EBITDA because these transactions are part of our recurring operations. This change was made prospectively beginning in the fourth quarter of 2022, and no prior period amounts have been adjusted.</w:t>
      </w:r>
    </w:p>
    <w:p>
      <w:pPr>
        <w:ind w:left="440" w:hanging="414"/>
        <w:spacing w:after="0" w:line="181" w:lineRule="auto"/>
        <w:tabs>
          <w:tab w:leader="none" w:pos="440" w:val="left"/>
        </w:tabs>
        <w:numPr>
          <w:ilvl w:val="0"/>
          <w:numId w:val="8"/>
        </w:numPr>
        <w:rPr>
          <w:rFonts w:ascii="Arial" w:cs="Arial" w:eastAsia="Arial" w:hAnsi="Arial"/>
          <w:sz w:val="28"/>
          <w:szCs w:val="28"/>
          <w:color w:val="auto"/>
          <w:vertAlign w:val="superscript"/>
        </w:rPr>
      </w:pPr>
      <w:r>
        <w:rPr>
          <w:rFonts w:ascii="Arial" w:cs="Arial" w:eastAsia="Arial" w:hAnsi="Arial"/>
          <w:sz w:val="14"/>
          <w:szCs w:val="14"/>
          <w:color w:val="auto"/>
        </w:rPr>
        <w:t>This represents the adjustment to the TRA for the period, which is recorded in Non-Operating Income (Expense), net</w:t>
      </w:r>
    </w:p>
    <w:p>
      <w:pPr>
        <w:sectPr>
          <w:pgSz w:w="11900" w:h="16838" w:orient="portrait"/>
          <w:cols w:equalWidth="0" w:num="1">
            <w:col w:w="11140"/>
          </w:cols>
          <w:pgMar w:left="320" w:top="117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Page 16</w:t>
      </w:r>
    </w:p>
    <w:p>
      <w:pPr>
        <w:sectPr>
          <w:pgSz w:w="11900" w:h="16838" w:orient="portrait"/>
          <w:cols w:equalWidth="0" w:num="1">
            <w:col w:w="11140"/>
          </w:cols>
          <w:pgMar w:left="320" w:top="1174" w:right="439" w:bottom="1440" w:gutter="0" w:footer="0" w:header="0"/>
          <w:type w:val="continuous"/>
        </w:sectPr>
      </w:pPr>
    </w:p>
    <w:bookmarkStart w:id="19" w:name="page20"/>
    <w:bookmarkEnd w:id="19"/>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CASM</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Adjusted CASM is a non-GAAP measure derived from CASM by excluding fuel costs, costs related to our cargo operations, stock based compensation, depreciation and amortization recognized on certain assets that generate lease income, certain commissions and other costs of selling our vacations product from this measure as these costs are unrelated to our airline operations and improve comparability to our peers. Adjusted CASM is an important measure used by management and by our board of directors in assessing quarterly and annual cost performance. Adjusted CASM is also a measure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CASM excludes fuel costs. By excluding volatile fuel costs that are outside of our control from our unit metrics, we believe that we have better visibility into the results of operations and our non-fuel cost 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and maintenance costs, and productivity, which are more controllable by management.</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excluded costs related to the cargo operations, as well as depreciation and amortization recognized on certain assets that generate lease income as these operations do not create ASMs. During the year ended December 31, 2023, we entered into a series of transactions where we act as a lessor. As of December 31, 2023, we leased or subleased six aircraft. Depreciation and Amortization on these aircraft materially began during the three months ended June 30, 2023. Adjusted CASM further excludes special items and other adjustments, as defined in the relevant reporting period, that are not representative of the ongoing costs necessary to our airline operations and may improve comparability between periods. We also exclude stock compensation expense when computing Adjusted CASM. The Company’s compensation strategy includes the use of stock-based compensation to attract and retain employees and executives and is principally aimed at aligning their interests with those of our stockholders and long-term employee retention, rather than to motivate or reward operational performance for any period. Thus, stock-based compensation expense varies for reasons that are generally unrelated to operational decisions and performance in any period.</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derivations of Adjusted CASM are not determined in accordance with GAAP, such measures are susceptible to varying calculations and not all companies calculate the measures in the same manner. As a result, derivations of Adjusted CASM as presented may not be directly comparable to similarly titled measures presented by other companies. Adjusted CASM should not be considered in isolation or as a replacement for CASM. For the aforementioned reasons, Adjusted CASM has significant limitations which affect its use as an indicator of our profitability. Accordingly, readers are cautioned not to place undue reliance on this information.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17</w:t>
      </w:r>
    </w:p>
    <w:p>
      <w:pPr>
        <w:sectPr>
          <w:pgSz w:w="11900" w:h="16838" w:orient="portrait"/>
          <w:cols w:equalWidth="0" w:num="1">
            <w:col w:w="11240"/>
          </w:cols>
          <w:pgMar w:left="320" w:top="1440" w:right="339" w:bottom="1440" w:gutter="0" w:footer="0" w:header="0"/>
        </w:sectPr>
      </w:pPr>
    </w:p>
    <w:bookmarkStart w:id="20" w:name="page21"/>
    <w:bookmarkEnd w:id="20"/>
    <w:p>
      <w:pPr>
        <w:ind w:left="20"/>
        <w:spacing w:after="0"/>
        <w:rPr>
          <w:sz w:val="20"/>
          <w:szCs w:val="20"/>
          <w:color w:val="auto"/>
        </w:rPr>
      </w:pPr>
      <w:r>
        <w:rPr>
          <w:rFonts w:ascii="Arial" w:cs="Arial" w:eastAsia="Arial" w:hAnsi="Arial"/>
          <w:sz w:val="18"/>
          <w:szCs w:val="18"/>
          <w:b w:val="1"/>
          <w:bCs w:val="1"/>
          <w:color w:val="auto"/>
        </w:rPr>
        <w:t>Reconciliation of CASM to Adjusted CASM</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Amounts may not recalculate due to rounding, dollar amounts in millions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234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presents the reconciliation of CASM to Adjusted CASM.</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8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Three Months Ended December 31,</w:t>
            </w:r>
          </w:p>
        </w:tc>
        <w:tc>
          <w:tcPr>
            <w:tcW w:w="1380" w:type="dxa"/>
            <w:vAlign w:val="bottom"/>
          </w:tcPr>
          <w:p>
            <w:pPr>
              <w:spacing w:after="0"/>
              <w:rPr>
                <w:sz w:val="17"/>
                <w:szCs w:val="17"/>
                <w:color w:val="auto"/>
              </w:rPr>
            </w:pPr>
          </w:p>
        </w:tc>
      </w:tr>
      <w:tr>
        <w:trPr>
          <w:trHeight w:val="204"/>
        </w:trPr>
        <w:tc>
          <w:tcPr>
            <w:tcW w:w="47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380" w:type="dxa"/>
            <w:vAlign w:val="bottom"/>
            <w:tcBorders>
              <w:bottom w:val="single" w:sz="8" w:color="auto"/>
            </w:tcBorders>
          </w:tcPr>
          <w:p>
            <w:pPr>
              <w:spacing w:after="0"/>
              <w:rPr>
                <w:sz w:val="17"/>
                <w:szCs w:val="17"/>
                <w:color w:val="auto"/>
              </w:rPr>
            </w:pPr>
          </w:p>
        </w:tc>
      </w:tr>
      <w:tr>
        <w:trPr>
          <w:trHeight w:val="188"/>
        </w:trPr>
        <w:tc>
          <w:tcPr>
            <w:tcW w:w="4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ind w:left="60"/>
              <w:spacing w:after="0"/>
              <w:rPr>
                <w:sz w:val="20"/>
                <w:szCs w:val="20"/>
                <w:color w:val="auto"/>
              </w:rPr>
            </w:pPr>
            <w:r>
              <w:rPr>
                <w:rFonts w:ascii="Arial" w:cs="Arial" w:eastAsia="Arial" w:hAnsi="Arial"/>
                <w:sz w:val="14"/>
                <w:szCs w:val="14"/>
                <w:b w:val="1"/>
                <w:bCs w:val="1"/>
                <w:color w:val="auto"/>
              </w:rPr>
              <w:t>Operating</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11"/>
        </w:trPr>
        <w:tc>
          <w:tcPr>
            <w:tcW w:w="47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Expenses</w:t>
            </w:r>
          </w:p>
        </w:tc>
        <w:tc>
          <w:tcPr>
            <w:tcW w:w="14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Per ASM (cents)</w:t>
            </w:r>
          </w:p>
        </w:tc>
        <w:tc>
          <w:tcPr>
            <w:tcW w:w="180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4"/>
                <w:szCs w:val="14"/>
                <w:b w:val="1"/>
                <w:bCs w:val="1"/>
                <w:color w:val="auto"/>
              </w:rPr>
              <w:t>Operating Expenses</w:t>
            </w:r>
          </w:p>
        </w:tc>
        <w:tc>
          <w:tcPr>
            <w:tcW w:w="13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Per ASM (cents)</w:t>
            </w:r>
          </w:p>
        </w:tc>
      </w:tr>
      <w:tr>
        <w:trPr>
          <w:trHeight w:val="224"/>
        </w:trPr>
        <w:tc>
          <w:tcPr>
            <w:tcW w:w="4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CASM</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228.4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212.0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w:t>
            </w:r>
          </w:p>
        </w:tc>
      </w:tr>
      <w:tr>
        <w:trPr>
          <w:trHeight w:val="229"/>
        </w:trPr>
        <w:tc>
          <w:tcPr>
            <w:tcW w:w="4740" w:type="dxa"/>
            <w:vAlign w:val="bottom"/>
          </w:tcPr>
          <w:p>
            <w:pPr>
              <w:ind w:left="80"/>
              <w:spacing w:after="0"/>
              <w:rPr>
                <w:sz w:val="20"/>
                <w:szCs w:val="20"/>
                <w:color w:val="auto"/>
              </w:rPr>
            </w:pPr>
            <w:r>
              <w:rPr>
                <w:rFonts w:ascii="Arial" w:cs="Arial" w:eastAsia="Arial" w:hAnsi="Arial"/>
                <w:sz w:val="18"/>
                <w:szCs w:val="18"/>
                <w:color w:val="auto"/>
              </w:rPr>
              <w:t>Less:</w:t>
            </w: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4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Aircraft Fuel</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60.8</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62.0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29"/>
        </w:trPr>
        <w:tc>
          <w:tcPr>
            <w:tcW w:w="4740" w:type="dxa"/>
            <w:vAlign w:val="bottom"/>
          </w:tcPr>
          <w:p>
            <w:pPr>
              <w:ind w:left="80"/>
              <w:spacing w:after="0"/>
              <w:rPr>
                <w:sz w:val="20"/>
                <w:szCs w:val="20"/>
                <w:color w:val="auto"/>
              </w:rPr>
            </w:pPr>
            <w:r>
              <w:rPr>
                <w:rFonts w:ascii="Arial" w:cs="Arial" w:eastAsia="Arial" w:hAnsi="Arial"/>
                <w:sz w:val="18"/>
                <w:szCs w:val="18"/>
                <w:color w:val="auto"/>
              </w:rPr>
              <w:t>Stock Compensation Expense</w:t>
            </w:r>
          </w:p>
        </w:tc>
        <w:tc>
          <w:tcPr>
            <w:tcW w:w="200" w:type="dxa"/>
            <w:vAlign w:val="bottom"/>
          </w:tcPr>
          <w:p>
            <w:pPr>
              <w:spacing w:after="0"/>
              <w:rPr>
                <w:sz w:val="19"/>
                <w:szCs w:val="19"/>
                <w:color w:val="auto"/>
              </w:rPr>
            </w:pPr>
          </w:p>
        </w:tc>
        <w:tc>
          <w:tcPr>
            <w:tcW w:w="1620" w:type="dxa"/>
            <w:vAlign w:val="bottom"/>
          </w:tcPr>
          <w:p>
            <w:pPr>
              <w:jc w:val="right"/>
              <w:ind w:right="235"/>
              <w:spacing w:after="0"/>
              <w:rPr>
                <w:sz w:val="20"/>
                <w:szCs w:val="20"/>
                <w:color w:val="auto"/>
              </w:rPr>
            </w:pPr>
            <w:r>
              <w:rPr>
                <w:rFonts w:ascii="Arial" w:cs="Arial" w:eastAsia="Arial" w:hAnsi="Arial"/>
                <w:sz w:val="18"/>
                <w:szCs w:val="18"/>
                <w:color w:val="auto"/>
              </w:rPr>
              <w:t>1.1</w:t>
            </w:r>
          </w:p>
        </w:tc>
        <w:tc>
          <w:tcPr>
            <w:tcW w:w="138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0.8</w:t>
            </w:r>
          </w:p>
        </w:tc>
        <w:tc>
          <w:tcPr>
            <w:tcW w:w="1380" w:type="dxa"/>
            <w:vAlign w:val="bottom"/>
          </w:tcPr>
          <w:p>
            <w:pPr>
              <w:jc w:val="right"/>
              <w:spacing w:after="0"/>
              <w:rPr>
                <w:sz w:val="20"/>
                <w:szCs w:val="20"/>
                <w:color w:val="auto"/>
              </w:rPr>
            </w:pPr>
            <w:r>
              <w:rPr>
                <w:rFonts w:ascii="Arial" w:cs="Arial" w:eastAsia="Arial" w:hAnsi="Arial"/>
                <w:sz w:val="18"/>
                <w:szCs w:val="18"/>
                <w:color w:val="auto"/>
              </w:rPr>
              <w:t>0.05</w:t>
            </w:r>
          </w:p>
        </w:tc>
      </w:tr>
      <w:tr>
        <w:trPr>
          <w:trHeight w:val="229"/>
        </w:trPr>
        <w:tc>
          <w:tcPr>
            <w:tcW w:w="4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Cargo Expenses, Not Already Adjusted Above</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25.8</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25.8</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30"/>
        </w:trPr>
        <w:tc>
          <w:tcPr>
            <w:tcW w:w="4740" w:type="dxa"/>
            <w:vAlign w:val="bottom"/>
          </w:tcPr>
          <w:p>
            <w:pPr>
              <w:ind w:left="80"/>
              <w:spacing w:after="0"/>
              <w:rPr>
                <w:sz w:val="20"/>
                <w:szCs w:val="20"/>
                <w:color w:val="auto"/>
              </w:rPr>
            </w:pPr>
            <w:r>
              <w:rPr>
                <w:rFonts w:ascii="Arial" w:cs="Arial" w:eastAsia="Arial" w:hAnsi="Arial"/>
                <w:sz w:val="18"/>
                <w:szCs w:val="18"/>
                <w:color w:val="auto"/>
              </w:rPr>
              <w:t>Sun Country Vacations</w:t>
            </w:r>
          </w:p>
        </w:tc>
        <w:tc>
          <w:tcPr>
            <w:tcW w:w="200" w:type="dxa"/>
            <w:vAlign w:val="bottom"/>
          </w:tcPr>
          <w:p>
            <w:pPr>
              <w:spacing w:after="0"/>
              <w:rPr>
                <w:sz w:val="19"/>
                <w:szCs w:val="19"/>
                <w:color w:val="auto"/>
              </w:rPr>
            </w:pPr>
          </w:p>
        </w:tc>
        <w:tc>
          <w:tcPr>
            <w:tcW w:w="1620" w:type="dxa"/>
            <w:vAlign w:val="bottom"/>
          </w:tcPr>
          <w:p>
            <w:pPr>
              <w:jc w:val="right"/>
              <w:ind w:right="235"/>
              <w:spacing w:after="0"/>
              <w:rPr>
                <w:sz w:val="20"/>
                <w:szCs w:val="20"/>
                <w:color w:val="auto"/>
              </w:rPr>
            </w:pPr>
            <w:r>
              <w:rPr>
                <w:rFonts w:ascii="Arial" w:cs="Arial" w:eastAsia="Arial" w:hAnsi="Arial"/>
                <w:sz w:val="18"/>
                <w:szCs w:val="18"/>
                <w:color w:val="auto"/>
              </w:rPr>
              <w:t>0.2</w:t>
            </w:r>
          </w:p>
        </w:tc>
        <w:tc>
          <w:tcPr>
            <w:tcW w:w="138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0.2</w:t>
            </w:r>
          </w:p>
        </w:tc>
        <w:tc>
          <w:tcPr>
            <w:tcW w:w="138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29"/>
        </w:trPr>
        <w:tc>
          <w:tcPr>
            <w:tcW w:w="4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Leased Aircraft, Depreciation Expense</w:t>
            </w: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8"/>
                <w:szCs w:val="18"/>
                <w:color w:val="auto"/>
              </w:rPr>
              <w:t>2.2</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740" w:type="dxa"/>
            <w:vAlign w:val="bottom"/>
          </w:tcPr>
          <w:p>
            <w:pPr>
              <w:ind w:left="80"/>
              <w:spacing w:after="0"/>
              <w:rPr>
                <w:sz w:val="20"/>
                <w:szCs w:val="20"/>
                <w:color w:val="auto"/>
              </w:rPr>
            </w:pPr>
            <w:r>
              <w:rPr>
                <w:rFonts w:ascii="Arial" w:cs="Arial" w:eastAsia="Arial" w:hAnsi="Arial"/>
                <w:sz w:val="18"/>
                <w:szCs w:val="18"/>
                <w:color w:val="auto"/>
              </w:rPr>
              <w:t>Adjusted CASM</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138.2</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65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123.2</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37"/>
        </w:trPr>
        <w:tc>
          <w:tcPr>
            <w:tcW w:w="4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39"/>
        </w:trPr>
        <w:tc>
          <w:tcPr>
            <w:tcW w:w="4740" w:type="dxa"/>
            <w:vAlign w:val="bottom"/>
          </w:tcPr>
          <w:p>
            <w:pPr>
              <w:ind w:left="80"/>
              <w:spacing w:after="0"/>
              <w:rPr>
                <w:sz w:val="20"/>
                <w:szCs w:val="20"/>
                <w:color w:val="auto"/>
              </w:rPr>
            </w:pPr>
            <w:r>
              <w:rPr>
                <w:rFonts w:ascii="Arial" w:cs="Arial" w:eastAsia="Arial" w:hAnsi="Arial"/>
                <w:sz w:val="18"/>
                <w:szCs w:val="18"/>
                <w:color w:val="auto"/>
              </w:rPr>
              <w:t>Available seat miles (ASMs)</w:t>
            </w:r>
          </w:p>
        </w:tc>
        <w:tc>
          <w:tcPr>
            <w:tcW w:w="200" w:type="dxa"/>
            <w:vAlign w:val="bottom"/>
          </w:tcPr>
          <w:p>
            <w:pPr>
              <w:spacing w:after="0"/>
              <w:rPr>
                <w:sz w:val="20"/>
                <w:szCs w:val="20"/>
                <w:color w:val="auto"/>
              </w:rPr>
            </w:pPr>
          </w:p>
        </w:tc>
        <w:tc>
          <w:tcPr>
            <w:tcW w:w="1620" w:type="dxa"/>
            <w:vAlign w:val="bottom"/>
          </w:tcPr>
          <w:p>
            <w:pPr>
              <w:jc w:val="right"/>
              <w:ind w:right="235"/>
              <w:spacing w:after="0"/>
              <w:rPr>
                <w:sz w:val="20"/>
                <w:szCs w:val="20"/>
                <w:color w:val="auto"/>
              </w:rPr>
            </w:pPr>
            <w:r>
              <w:rPr>
                <w:rFonts w:ascii="Arial" w:cs="Arial" w:eastAsia="Arial" w:hAnsi="Arial"/>
                <w:sz w:val="18"/>
                <w:szCs w:val="18"/>
                <w:color w:val="auto"/>
              </w:rPr>
              <w:t>1,899.4</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tcPr>
          <w:p>
            <w:pPr>
              <w:jc w:val="right"/>
              <w:ind w:right="232"/>
              <w:spacing w:after="0"/>
              <w:rPr>
                <w:sz w:val="20"/>
                <w:szCs w:val="20"/>
                <w:color w:val="auto"/>
              </w:rPr>
            </w:pPr>
            <w:r>
              <w:rPr>
                <w:rFonts w:ascii="Arial" w:cs="Arial" w:eastAsia="Arial" w:hAnsi="Arial"/>
                <w:sz w:val="18"/>
                <w:szCs w:val="18"/>
                <w:color w:val="auto"/>
                <w:w w:val="99"/>
              </w:rPr>
              <w:t>1,657.2</w:t>
            </w:r>
          </w:p>
        </w:tc>
        <w:tc>
          <w:tcPr>
            <w:tcW w:w="1380" w:type="dxa"/>
            <w:vAlign w:val="bottom"/>
          </w:tcPr>
          <w:p>
            <w:pPr>
              <w:spacing w:after="0"/>
              <w:rPr>
                <w:sz w:val="20"/>
                <w:szCs w:val="20"/>
                <w:color w:val="auto"/>
              </w:rPr>
            </w:pPr>
          </w:p>
        </w:tc>
      </w:tr>
      <w:tr>
        <w:trPr>
          <w:trHeight w:val="610"/>
        </w:trPr>
        <w:tc>
          <w:tcPr>
            <w:tcW w:w="4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47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380" w:type="dxa"/>
            <w:vAlign w:val="bottom"/>
            <w:tcBorders>
              <w:bottom w:val="single" w:sz="8" w:color="auto"/>
            </w:tcBorders>
          </w:tcPr>
          <w:p>
            <w:pPr>
              <w:spacing w:after="0"/>
              <w:rPr>
                <w:sz w:val="17"/>
                <w:szCs w:val="17"/>
                <w:color w:val="auto"/>
              </w:rPr>
            </w:pPr>
          </w:p>
        </w:tc>
      </w:tr>
      <w:tr>
        <w:trPr>
          <w:trHeight w:val="174"/>
        </w:trPr>
        <w:tc>
          <w:tcPr>
            <w:tcW w:w="4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ind w:left="60"/>
              <w:spacing w:after="0"/>
              <w:rPr>
                <w:sz w:val="20"/>
                <w:szCs w:val="20"/>
                <w:color w:val="auto"/>
              </w:rPr>
            </w:pPr>
            <w:r>
              <w:rPr>
                <w:rFonts w:ascii="Arial" w:cs="Arial" w:eastAsia="Arial" w:hAnsi="Arial"/>
                <w:sz w:val="14"/>
                <w:szCs w:val="14"/>
                <w:b w:val="1"/>
                <w:bCs w:val="1"/>
                <w:color w:val="auto"/>
              </w:rPr>
              <w:t>Operating</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24"/>
        </w:trPr>
        <w:tc>
          <w:tcPr>
            <w:tcW w:w="47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Expenses</w:t>
            </w:r>
          </w:p>
        </w:tc>
        <w:tc>
          <w:tcPr>
            <w:tcW w:w="14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Per ASM (cents)</w:t>
            </w:r>
          </w:p>
        </w:tc>
        <w:tc>
          <w:tcPr>
            <w:tcW w:w="180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4"/>
                <w:szCs w:val="14"/>
                <w:b w:val="1"/>
                <w:bCs w:val="1"/>
                <w:color w:val="auto"/>
              </w:rPr>
              <w:t>Operating Expenses</w:t>
            </w:r>
          </w:p>
        </w:tc>
        <w:tc>
          <w:tcPr>
            <w:tcW w:w="13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Per ASM (cents)</w:t>
            </w:r>
          </w:p>
        </w:tc>
      </w:tr>
      <w:tr>
        <w:trPr>
          <w:trHeight w:val="224"/>
        </w:trPr>
        <w:tc>
          <w:tcPr>
            <w:tcW w:w="4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CASM</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922.1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838.7</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r>
      <w:tr>
        <w:trPr>
          <w:trHeight w:val="230"/>
        </w:trPr>
        <w:tc>
          <w:tcPr>
            <w:tcW w:w="4740" w:type="dxa"/>
            <w:vAlign w:val="bottom"/>
          </w:tcPr>
          <w:p>
            <w:pPr>
              <w:ind w:left="80"/>
              <w:spacing w:after="0"/>
              <w:rPr>
                <w:sz w:val="20"/>
                <w:szCs w:val="20"/>
                <w:color w:val="auto"/>
              </w:rPr>
            </w:pPr>
            <w:r>
              <w:rPr>
                <w:rFonts w:ascii="Arial" w:cs="Arial" w:eastAsia="Arial" w:hAnsi="Arial"/>
                <w:sz w:val="18"/>
                <w:szCs w:val="18"/>
                <w:color w:val="auto"/>
              </w:rPr>
              <w:t>Less:</w:t>
            </w: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4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Aircraft Fuel</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246.7</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268.4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30"/>
        </w:trPr>
        <w:tc>
          <w:tcPr>
            <w:tcW w:w="4740" w:type="dxa"/>
            <w:vAlign w:val="bottom"/>
          </w:tcPr>
          <w:p>
            <w:pPr>
              <w:ind w:left="80"/>
              <w:spacing w:after="0"/>
              <w:rPr>
                <w:sz w:val="20"/>
                <w:szCs w:val="20"/>
                <w:color w:val="auto"/>
              </w:rPr>
            </w:pPr>
            <w:r>
              <w:rPr>
                <w:rFonts w:ascii="Arial" w:cs="Arial" w:eastAsia="Arial" w:hAnsi="Arial"/>
                <w:sz w:val="18"/>
                <w:szCs w:val="18"/>
                <w:color w:val="auto"/>
              </w:rPr>
              <w:t>Stock Compensation Expense</w:t>
            </w:r>
          </w:p>
        </w:tc>
        <w:tc>
          <w:tcPr>
            <w:tcW w:w="200" w:type="dxa"/>
            <w:vAlign w:val="bottom"/>
          </w:tcPr>
          <w:p>
            <w:pPr>
              <w:spacing w:after="0"/>
              <w:rPr>
                <w:sz w:val="19"/>
                <w:szCs w:val="19"/>
                <w:color w:val="auto"/>
              </w:rPr>
            </w:pPr>
          </w:p>
        </w:tc>
        <w:tc>
          <w:tcPr>
            <w:tcW w:w="1620" w:type="dxa"/>
            <w:vAlign w:val="bottom"/>
          </w:tcPr>
          <w:p>
            <w:pPr>
              <w:jc w:val="right"/>
              <w:ind w:right="235"/>
              <w:spacing w:after="0"/>
              <w:rPr>
                <w:sz w:val="20"/>
                <w:szCs w:val="20"/>
                <w:color w:val="auto"/>
              </w:rPr>
            </w:pPr>
            <w:r>
              <w:rPr>
                <w:rFonts w:ascii="Arial" w:cs="Arial" w:eastAsia="Arial" w:hAnsi="Arial"/>
                <w:sz w:val="18"/>
                <w:szCs w:val="18"/>
                <w:color w:val="auto"/>
              </w:rPr>
              <w:t>9.3</w:t>
            </w:r>
          </w:p>
        </w:tc>
        <w:tc>
          <w:tcPr>
            <w:tcW w:w="138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2.8</w:t>
            </w:r>
          </w:p>
        </w:tc>
        <w:tc>
          <w:tcPr>
            <w:tcW w:w="1380" w:type="dxa"/>
            <w:vAlign w:val="bottom"/>
          </w:tcPr>
          <w:p>
            <w:pPr>
              <w:jc w:val="right"/>
              <w:spacing w:after="0"/>
              <w:rPr>
                <w:sz w:val="20"/>
                <w:szCs w:val="20"/>
                <w:color w:val="auto"/>
              </w:rPr>
            </w:pPr>
            <w:r>
              <w:rPr>
                <w:rFonts w:ascii="Arial" w:cs="Arial" w:eastAsia="Arial" w:hAnsi="Arial"/>
                <w:sz w:val="18"/>
                <w:szCs w:val="18"/>
                <w:color w:val="auto"/>
              </w:rPr>
              <w:t>0.04</w:t>
            </w:r>
          </w:p>
        </w:tc>
      </w:tr>
      <w:tr>
        <w:trPr>
          <w:trHeight w:val="230"/>
        </w:trPr>
        <w:tc>
          <w:tcPr>
            <w:tcW w:w="4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Cargo Expenses, Not Already Adjusted Above</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103.0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89.8</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30"/>
        </w:trPr>
        <w:tc>
          <w:tcPr>
            <w:tcW w:w="4740" w:type="dxa"/>
            <w:vAlign w:val="bottom"/>
          </w:tcPr>
          <w:p>
            <w:pPr>
              <w:ind w:left="80"/>
              <w:spacing w:after="0"/>
              <w:rPr>
                <w:sz w:val="20"/>
                <w:szCs w:val="20"/>
                <w:color w:val="auto"/>
              </w:rPr>
            </w:pPr>
            <w:r>
              <w:rPr>
                <w:rFonts w:ascii="Arial" w:cs="Arial" w:eastAsia="Arial" w:hAnsi="Arial"/>
                <w:sz w:val="18"/>
                <w:szCs w:val="18"/>
                <w:color w:val="auto"/>
              </w:rPr>
              <w:t>Sun Country Vacations</w:t>
            </w:r>
          </w:p>
        </w:tc>
        <w:tc>
          <w:tcPr>
            <w:tcW w:w="200" w:type="dxa"/>
            <w:vAlign w:val="bottom"/>
          </w:tcPr>
          <w:p>
            <w:pPr>
              <w:spacing w:after="0"/>
              <w:rPr>
                <w:sz w:val="19"/>
                <w:szCs w:val="19"/>
                <w:color w:val="auto"/>
              </w:rPr>
            </w:pPr>
          </w:p>
        </w:tc>
        <w:tc>
          <w:tcPr>
            <w:tcW w:w="1620" w:type="dxa"/>
            <w:vAlign w:val="bottom"/>
          </w:tcPr>
          <w:p>
            <w:pPr>
              <w:jc w:val="right"/>
              <w:ind w:right="235"/>
              <w:spacing w:after="0"/>
              <w:rPr>
                <w:sz w:val="20"/>
                <w:szCs w:val="20"/>
                <w:color w:val="auto"/>
              </w:rPr>
            </w:pPr>
            <w:r>
              <w:rPr>
                <w:rFonts w:ascii="Arial" w:cs="Arial" w:eastAsia="Arial" w:hAnsi="Arial"/>
                <w:sz w:val="18"/>
                <w:szCs w:val="18"/>
                <w:color w:val="auto"/>
              </w:rPr>
              <w:t>1.1</w:t>
            </w:r>
          </w:p>
        </w:tc>
        <w:tc>
          <w:tcPr>
            <w:tcW w:w="138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1.0</w:t>
            </w:r>
          </w:p>
        </w:tc>
        <w:tc>
          <w:tcPr>
            <w:tcW w:w="138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29"/>
        </w:trPr>
        <w:tc>
          <w:tcPr>
            <w:tcW w:w="4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Leased Aircraft, Depreciation Expense</w:t>
            </w: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8"/>
                <w:szCs w:val="18"/>
                <w:color w:val="auto"/>
              </w:rPr>
              <w:t>6.7</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740" w:type="dxa"/>
            <w:vAlign w:val="bottom"/>
          </w:tcPr>
          <w:p>
            <w:pPr>
              <w:ind w:left="80"/>
              <w:spacing w:after="0"/>
              <w:rPr>
                <w:sz w:val="20"/>
                <w:szCs w:val="20"/>
                <w:color w:val="auto"/>
              </w:rPr>
            </w:pPr>
            <w:r>
              <w:rPr>
                <w:rFonts w:ascii="Arial" w:cs="Arial" w:eastAsia="Arial" w:hAnsi="Arial"/>
                <w:sz w:val="18"/>
                <w:szCs w:val="18"/>
                <w:color w:val="auto"/>
              </w:rPr>
              <w:t>Adjusted CASM</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555.4</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65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476.8</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37"/>
        </w:trPr>
        <w:tc>
          <w:tcPr>
            <w:tcW w:w="4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39"/>
        </w:trPr>
        <w:tc>
          <w:tcPr>
            <w:tcW w:w="4740" w:type="dxa"/>
            <w:vAlign w:val="bottom"/>
          </w:tcPr>
          <w:p>
            <w:pPr>
              <w:ind w:left="80"/>
              <w:spacing w:after="0"/>
              <w:rPr>
                <w:sz w:val="20"/>
                <w:szCs w:val="20"/>
                <w:color w:val="auto"/>
              </w:rPr>
            </w:pPr>
            <w:r>
              <w:rPr>
                <w:rFonts w:ascii="Arial" w:cs="Arial" w:eastAsia="Arial" w:hAnsi="Arial"/>
                <w:sz w:val="18"/>
                <w:szCs w:val="18"/>
                <w:color w:val="auto"/>
              </w:rPr>
              <w:t>Available seat miles (ASMs)</w:t>
            </w:r>
          </w:p>
        </w:tc>
        <w:tc>
          <w:tcPr>
            <w:tcW w:w="200" w:type="dxa"/>
            <w:vAlign w:val="bottom"/>
          </w:tcPr>
          <w:p>
            <w:pPr>
              <w:spacing w:after="0"/>
              <w:rPr>
                <w:sz w:val="20"/>
                <w:szCs w:val="20"/>
                <w:color w:val="auto"/>
              </w:rPr>
            </w:pPr>
          </w:p>
        </w:tc>
        <w:tc>
          <w:tcPr>
            <w:tcW w:w="1620" w:type="dxa"/>
            <w:vAlign w:val="bottom"/>
          </w:tcPr>
          <w:p>
            <w:pPr>
              <w:jc w:val="right"/>
              <w:ind w:right="235"/>
              <w:spacing w:after="0"/>
              <w:rPr>
                <w:sz w:val="20"/>
                <w:szCs w:val="20"/>
                <w:color w:val="auto"/>
              </w:rPr>
            </w:pPr>
            <w:r>
              <w:rPr>
                <w:rFonts w:ascii="Arial" w:cs="Arial" w:eastAsia="Arial" w:hAnsi="Arial"/>
                <w:sz w:val="18"/>
                <w:szCs w:val="18"/>
                <w:color w:val="auto"/>
              </w:rPr>
              <w:t>7,416.2</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tcPr>
          <w:p>
            <w:pPr>
              <w:jc w:val="right"/>
              <w:ind w:right="232"/>
              <w:spacing w:after="0"/>
              <w:rPr>
                <w:sz w:val="20"/>
                <w:szCs w:val="20"/>
                <w:color w:val="auto"/>
              </w:rPr>
            </w:pPr>
            <w:r>
              <w:rPr>
                <w:rFonts w:ascii="Arial" w:cs="Arial" w:eastAsia="Arial" w:hAnsi="Arial"/>
                <w:sz w:val="18"/>
                <w:szCs w:val="18"/>
                <w:color w:val="auto"/>
                <w:w w:val="99"/>
              </w:rPr>
              <w:t>6,771.3</w:t>
            </w:r>
          </w:p>
        </w:tc>
        <w:tc>
          <w:tcPr>
            <w:tcW w:w="13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18</w:t>
      </w:r>
    </w:p>
    <w:sectPr>
      <w:pgSz w:w="11900" w:h="16838" w:orient="portrait"/>
      <w:cols w:equalWidth="0" w:num="1">
        <w:col w:w="11220"/>
      </w:cols>
      <w:pgMar w:left="320" w:top="139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bullet"/>
      <w:start w:val="1"/>
    </w:lvl>
  </w:abstractNum>
  <w:abstractNum w:abstractNumId="3">
    <w:nsid w:val="507ED7AB"/>
    <w:multiLevelType w:val="hybridMultilevel"/>
    <w:lvl w:ilvl="0">
      <w:lvlJc w:val="left"/>
      <w:lvlText w:val="5"/>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2024-01-31T15:15:21Z</dcterms:created>
  <dcterms:modified xsi:type="dcterms:W3CDTF">2024-01-31T15:15:21Z</dcterms:modified>
</cp:coreProperties>
</file>