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3"/>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3"/>
            <w:vMerge w:val="restart"/>
          </w:tcPr>
          <w:p>
            <w:pPr>
              <w:jc w:val="center"/>
              <w:ind w:right="77"/>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80" w:type="dxa"/>
            <w:vAlign w:val="bottom"/>
            <w:gridSpan w:val="2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180" w:type="dxa"/>
            <w:vAlign w:val="bottom"/>
            <w:gridSpan w:val="16"/>
            <w:vMerge w:val="restart"/>
          </w:tcPr>
          <w:p>
            <w:pPr>
              <w:jc w:val="center"/>
              <w:ind w:right="12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180" w:type="dxa"/>
            <w:vAlign w:val="bottom"/>
            <w:gridSpan w:val="16"/>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80" w:type="dxa"/>
            <w:vAlign w:val="bottom"/>
            <w:gridSpan w:val="16"/>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jc w:val="center"/>
              <w:ind w:right="154"/>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6"/>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15"/>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spacing w:after="0" w:line="238" w:lineRule="exact"/>
              <w:rPr>
                <w:rFonts w:ascii="Arial" w:cs="Arial" w:eastAsia="Arial" w:hAnsi="Arial"/>
                <w:sz w:val="21"/>
                <w:szCs w:val="21"/>
                <w:color w:val="0000EE"/>
                <w:w w:val="90"/>
              </w:rPr>
            </w:pPr>
            <w:hyperlink r:id="rId8">
              <w:r>
                <w:rPr>
                  <w:rFonts w:ascii="Arial" w:cs="Arial" w:eastAsia="Arial" w:hAnsi="Arial"/>
                  <w:sz w:val="21"/>
                  <w:szCs w:val="21"/>
                  <w:color w:val="0000EE"/>
                  <w:w w:val="90"/>
                </w:rPr>
                <w:t>Whitney Grant</w:t>
              </w:r>
            </w:hyperlink>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20" w:type="dxa"/>
            <w:vAlign w:val="bottom"/>
            <w:gridSpan w:val="1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1580" w:type="dxa"/>
            <w:vAlign w:val="bottom"/>
            <w:gridSpan w:val="8"/>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gridSpan w:val="8"/>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4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gridSpan w:val="6"/>
            <w:vMerge w:val="restart"/>
          </w:tcPr>
          <w:p>
            <w:pPr>
              <w:ind w:left="360"/>
              <w:spacing w:after="0" w:line="238" w:lineRule="exact"/>
              <w:rPr>
                <w:sz w:val="20"/>
                <w:szCs w:val="20"/>
                <w:color w:val="auto"/>
              </w:rPr>
            </w:pPr>
            <w:r>
              <w:rPr>
                <w:rFonts w:ascii="Arial" w:cs="Arial" w:eastAsia="Arial" w:hAnsi="Arial"/>
                <w:sz w:val="21"/>
                <w:szCs w:val="21"/>
                <w:color w:val="auto"/>
              </w:rPr>
              <w:t>]</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4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gridSpan w:val="6"/>
            <w:vMerge w:val="continue"/>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60" w:type="dxa"/>
            <w:vAlign w:val="bottom"/>
            <w:tcBorders>
              <w:top w:val="single" w:sz="8" w:color="9A9A9A"/>
            </w:tcBorders>
          </w:tcPr>
          <w:p>
            <w:pPr>
              <w:spacing w:after="0"/>
              <w:rPr>
                <w:sz w:val="4"/>
                <w:szCs w:val="4"/>
                <w:color w:val="auto"/>
              </w:rPr>
            </w:pPr>
          </w:p>
        </w:tc>
        <w:tc>
          <w:tcPr>
            <w:tcW w:w="68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1100" w:type="dxa"/>
            <w:vAlign w:val="bottom"/>
            <w:tcBorders>
              <w:top w:val="single" w:sz="8" w:color="9A9A9A"/>
            </w:tcBorders>
          </w:tcPr>
          <w:p>
            <w:pPr>
              <w:spacing w:after="0"/>
              <w:rPr>
                <w:sz w:val="4"/>
                <w:szCs w:val="4"/>
                <w:color w:val="auto"/>
              </w:rPr>
            </w:pPr>
          </w:p>
        </w:tc>
        <w:tc>
          <w:tcPr>
            <w:tcW w:w="560" w:type="dxa"/>
            <w:vAlign w:val="bottom"/>
            <w:tcBorders>
              <w:top w:val="single" w:sz="8" w:color="9A9A9A"/>
            </w:tcBorders>
          </w:tcPr>
          <w:p>
            <w:pPr>
              <w:spacing w:after="0"/>
              <w:rPr>
                <w:sz w:val="4"/>
                <w:szCs w:val="4"/>
                <w:color w:val="auto"/>
              </w:rPr>
            </w:pPr>
          </w:p>
        </w:tc>
        <w:tc>
          <w:tcPr>
            <w:tcW w:w="440" w:type="dxa"/>
            <w:vAlign w:val="bottom"/>
            <w:tcBorders>
              <w:top w:val="single" w:sz="8" w:color="9A9A9A"/>
            </w:tcBorders>
          </w:tcPr>
          <w:p>
            <w:pPr>
              <w:spacing w:after="0"/>
              <w:rPr>
                <w:sz w:val="4"/>
                <w:szCs w:val="4"/>
                <w:color w:val="auto"/>
              </w:rPr>
            </w:pPr>
          </w:p>
        </w:tc>
        <w:tc>
          <w:tcPr>
            <w:tcW w:w="80" w:type="dxa"/>
            <w:vAlign w:val="bottom"/>
            <w:tcBorders>
              <w:top w:val="single" w:sz="8" w:color="9A9A9A"/>
            </w:tcBorders>
          </w:tcPr>
          <w:p>
            <w:pPr>
              <w:spacing w:after="0"/>
              <w:rPr>
                <w:sz w:val="4"/>
                <w:szCs w:val="4"/>
                <w:color w:val="auto"/>
              </w:rPr>
            </w:pPr>
          </w:p>
        </w:tc>
        <w:tc>
          <w:tcPr>
            <w:tcW w:w="120" w:type="dxa"/>
            <w:vAlign w:val="bottom"/>
            <w:tcBorders>
              <w:top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40" w:type="dxa"/>
            <w:vAlign w:val="bottom"/>
            <w:tcBorders>
              <w:top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restart"/>
          </w:tcPr>
          <w:p>
            <w:pPr>
              <w:ind w:left="40"/>
              <w:spacing w:after="0" w:line="109" w:lineRule="exact"/>
              <w:rPr>
                <w:sz w:val="20"/>
                <w:szCs w:val="20"/>
                <w:color w:val="auto"/>
              </w:rPr>
            </w:pPr>
            <w:r>
              <w:rPr>
                <w:rFonts w:ascii="Arial" w:cs="Arial" w:eastAsia="Arial" w:hAnsi="Arial"/>
                <w:sz w:val="12"/>
                <w:szCs w:val="12"/>
                <w:color w:val="auto"/>
              </w:rPr>
              <w:t>below)</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11"/>
            <w:vMerge w:val="restart"/>
          </w:tcPr>
          <w:p>
            <w:pPr>
              <w:ind w:left="80"/>
              <w:spacing w:after="0"/>
              <w:rPr>
                <w:sz w:val="20"/>
                <w:szCs w:val="20"/>
                <w:color w:val="auto"/>
              </w:rPr>
            </w:pPr>
            <w:r>
              <w:rPr>
                <w:rFonts w:ascii="Arial" w:cs="Arial" w:eastAsia="Arial" w:hAnsi="Arial"/>
                <w:sz w:val="17"/>
                <w:szCs w:val="17"/>
                <w:color w:val="0000FF"/>
              </w:rPr>
              <w:t>Chief Revenue Officer &amp; SVP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500" w:type="dxa"/>
            <w:vAlign w:val="bottom"/>
            <w:gridSpan w:val="9"/>
          </w:tcPr>
          <w:p>
            <w:pPr>
              <w:ind w:left="360"/>
              <w:spacing w:after="0"/>
              <w:rPr>
                <w:sz w:val="20"/>
                <w:szCs w:val="20"/>
                <w:color w:val="auto"/>
              </w:rPr>
            </w:pPr>
            <w:r>
              <w:rPr>
                <w:rFonts w:ascii="Arial" w:cs="Arial" w:eastAsia="Arial" w:hAnsi="Arial"/>
                <w:sz w:val="17"/>
                <w:szCs w:val="17"/>
                <w:color w:val="0000FF"/>
              </w:rPr>
              <w:t>06/30/2023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INC.C</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gridSpan w:val="15"/>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2005 CARGO ROAD</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40" w:type="dxa"/>
            <w:vAlign w:val="bottom"/>
            <w:gridSpan w:val="15"/>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1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11"/>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10"/>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10"/>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920" w:type="dxa"/>
            <w:vAlign w:val="bottom"/>
            <w:gridSpan w:val="24"/>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92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9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60" w:type="dxa"/>
            <w:vAlign w:val="bottom"/>
            <w:gridSpan w:val="13"/>
          </w:tcPr>
          <w:p>
            <w:pPr>
              <w:spacing w:after="0" w:line="123" w:lineRule="exact"/>
              <w:rPr>
                <w:sz w:val="20"/>
                <w:szCs w:val="20"/>
                <w:color w:val="auto"/>
              </w:rPr>
            </w:pPr>
            <w:r>
              <w:rPr>
                <w:rFonts w:ascii="Arial" w:cs="Arial" w:eastAsia="Arial" w:hAnsi="Arial"/>
                <w:sz w:val="12"/>
                <w:szCs w:val="12"/>
                <w:color w:val="auto"/>
                <w:w w:val="96"/>
              </w:rPr>
              <w:t>satisfy the affirmative defense conditions of Rule 10b5-1(c). See Instruction 10.</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4"/>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040" w:type="dxa"/>
            <w:vAlign w:val="bottom"/>
            <w:gridSpan w:val="8"/>
          </w:tcPr>
          <w:p>
            <w:pPr>
              <w:ind w:left="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ind w:left="100"/>
              <w:spacing w:after="0"/>
              <w:rPr>
                <w:sz w:val="20"/>
                <w:szCs w:val="20"/>
                <w:color w:val="auto"/>
              </w:rPr>
            </w:pPr>
            <w:r>
              <w:rPr>
                <w:rFonts w:ascii="Arial" w:cs="Arial" w:eastAsia="Arial" w:hAnsi="Arial"/>
                <w:sz w:val="12"/>
                <w:szCs w:val="12"/>
                <w:b w:val="1"/>
                <w:bCs w:val="1"/>
                <w:color w:val="auto"/>
                <w:w w:val="95"/>
              </w:rPr>
              <w:t>4. Securities Acquired (A) or</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10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4"/>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88"/>
              </w:rPr>
              <w:t>Price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4"/>
              </w:rPr>
              <w:t>Common Stock, par value $0.01 per share</w:t>
            </w:r>
          </w:p>
        </w:tc>
        <w:tc>
          <w:tcPr>
            <w:tcW w:w="960" w:type="dxa"/>
            <w:vAlign w:val="bottom"/>
            <w:tcBorders>
              <w:bottom w:val="single" w:sz="8" w:color="2C2C2C"/>
            </w:tcBorders>
            <w:gridSpan w:val="7"/>
          </w:tcPr>
          <w:p>
            <w:pPr>
              <w:jc w:val="right"/>
              <w:spacing w:after="0"/>
              <w:rPr>
                <w:sz w:val="20"/>
                <w:szCs w:val="20"/>
                <w:color w:val="auto"/>
              </w:rPr>
            </w:pPr>
            <w:r>
              <w:rPr>
                <w:rFonts w:ascii="Arial" w:cs="Arial" w:eastAsia="Arial" w:hAnsi="Arial"/>
                <w:sz w:val="17"/>
                <w:szCs w:val="17"/>
                <w:color w:val="0000FF"/>
              </w:rPr>
              <w:t>07/03/2023</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396</w:t>
            </w:r>
            <w:r>
              <w:rPr>
                <w:rFonts w:ascii="Arial" w:cs="Arial" w:eastAsia="Arial" w:hAnsi="Arial"/>
                <w:sz w:val="21"/>
                <w:szCs w:val="21"/>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22.4305</w:t>
            </w: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15,732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4"/>
          </w:tcPr>
          <w:p>
            <w:pPr>
              <w:jc w:val="center"/>
              <w:ind w:left="81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9"/>
          </w:tcPr>
          <w:p>
            <w:pPr>
              <w:jc w:val="center"/>
              <w:ind w:righ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Amount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3, 4 and 5)</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w w:val="98"/>
              </w:rPr>
              <w:t>90,380</w:t>
            </w:r>
            <w:r>
              <w:rPr>
                <w:rFonts w:ascii="Arial" w:cs="Arial" w:eastAsia="Arial" w:hAnsi="Arial"/>
                <w:sz w:val="21"/>
                <w:szCs w:val="21"/>
                <w:color w:val="008000"/>
                <w:w w:val="98"/>
                <w:vertAlign w:val="superscript"/>
              </w:rPr>
              <w:t>(2)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3"/>
            <w:vMerge w:val="restart"/>
          </w:tcPr>
          <w:p>
            <w:pPr>
              <w:ind w:left="40"/>
              <w:spacing w:after="0"/>
              <w:rPr>
                <w:sz w:val="20"/>
                <w:szCs w:val="20"/>
                <w:color w:val="auto"/>
              </w:rPr>
            </w:pPr>
            <w:r>
              <w:rPr>
                <w:rFonts w:ascii="Arial" w:cs="Arial" w:eastAsia="Arial" w:hAnsi="Arial"/>
                <w:sz w:val="17"/>
                <w:szCs w:val="17"/>
                <w:color w:val="0000FF"/>
                <w:w w:val="96"/>
              </w:rPr>
              <w:t>90,380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Option</w:t>
            </w:r>
          </w:p>
        </w:tc>
        <w:tc>
          <w:tcPr>
            <w:tcW w:w="6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0" w:type="dxa"/>
            <w:vAlign w:val="bottom"/>
          </w:tcPr>
          <w:p>
            <w:pPr>
              <w:spacing w:after="0"/>
              <w:rPr>
                <w:sz w:val="11"/>
                <w:szCs w:val="11"/>
                <w:color w:val="auto"/>
              </w:rPr>
            </w:pPr>
          </w:p>
        </w:tc>
        <w:tc>
          <w:tcPr>
            <w:tcW w:w="1100" w:type="dxa"/>
            <w:vAlign w:val="bottom"/>
          </w:tcPr>
          <w:p>
            <w:pPr>
              <w:jc w:val="right"/>
              <w:ind w:right="192"/>
              <w:spacing w:after="0" w:line="138" w:lineRule="exact"/>
              <w:rPr>
                <w:sz w:val="20"/>
                <w:szCs w:val="20"/>
                <w:color w:val="auto"/>
              </w:rPr>
            </w:pPr>
            <w:r>
              <w:rPr>
                <w:rFonts w:ascii="Arial" w:cs="Arial" w:eastAsia="Arial" w:hAnsi="Arial"/>
                <w:sz w:val="13"/>
                <w:szCs w:val="13"/>
                <w:color w:val="0000FF"/>
              </w:rPr>
              <w:t>06/30/2023</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5"/>
          </w:tcPr>
          <w:p>
            <w:pPr>
              <w:ind w:left="60"/>
              <w:spacing w:after="0" w:line="138"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06/30/2023</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07/31/2029</w:t>
            </w:r>
          </w:p>
        </w:tc>
        <w:tc>
          <w:tcPr>
            <w:tcW w:w="64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4"/>
          </w:tcPr>
          <w:p>
            <w:pPr>
              <w:ind w:left="200"/>
              <w:spacing w:after="0" w:line="138" w:lineRule="exact"/>
              <w:rPr>
                <w:sz w:val="20"/>
                <w:szCs w:val="20"/>
                <w:color w:val="auto"/>
              </w:rPr>
            </w:pPr>
            <w:r>
              <w:rPr>
                <w:rFonts w:ascii="Arial" w:cs="Arial" w:eastAsia="Arial" w:hAnsi="Arial"/>
                <w:sz w:val="13"/>
                <w:szCs w:val="13"/>
                <w:color w:val="0000FF"/>
              </w:rPr>
              <w:t>229,581</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-5751195</wp:posOffset>
            </wp:positionV>
            <wp:extent cx="7046595" cy="590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9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200" w:firstLine="2"/>
        <w:spacing w:after="0" w:line="286"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31, 2019, the reporting person was granted an option to purchase 165,232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4,627 shares occurred on that date. On June 29, 2023, the Company's Compensation Committee determined pursuant to the award agreement that the performance criteria for the final installment were met, resulting in vesting as to an additional 90,380 shares on June 30, 2023.</w:t>
      </w:r>
    </w:p>
    <w:tbl>
      <w:tblPr>
        <w:tblLayout w:type="fixed"/>
        <w:tblInd w:w="6580" w:type="dxa"/>
        <w:tblCellMar>
          <w:top w:w="0" w:type="dxa"/>
          <w:left w:w="0" w:type="dxa"/>
          <w:bottom w:w="0" w:type="dxa"/>
          <w:right w:w="0" w:type="dxa"/>
        </w:tblCellMar>
      </w:tblPr>
      <w:tr>
        <w:trPr>
          <w:trHeight w:val="211"/>
        </w:trPr>
        <w:tc>
          <w:tcPr>
            <w:tcW w:w="2040" w:type="dxa"/>
            <w:vAlign w:val="bottom"/>
            <w:tcBorders>
              <w:bottom w:val="single" w:sz="8" w:color="auto"/>
            </w:tcBorders>
            <w:gridSpan w:val="2"/>
          </w:tcPr>
          <w:p>
            <w:pPr>
              <w:ind w:left="20"/>
              <w:spacing w:after="0" w:line="190" w:lineRule="exact"/>
              <w:rPr>
                <w:sz w:val="20"/>
                <w:szCs w:val="20"/>
                <w:color w:val="auto"/>
              </w:rPr>
            </w:pPr>
            <w:r>
              <w:rPr>
                <w:rFonts w:ascii="Arial" w:cs="Arial" w:eastAsia="Arial" w:hAnsi="Arial"/>
                <w:sz w:val="17"/>
                <w:szCs w:val="17"/>
                <w:color w:val="0000FF"/>
                <w:w w:val="87"/>
              </w:rPr>
              <w:t>/s/ Rose Neale, as attorney-in-</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07/05/2023</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ind w:left="20"/>
              <w:spacing w:after="0" w:line="187" w:lineRule="exact"/>
              <w:rPr>
                <w:sz w:val="20"/>
                <w:szCs w:val="20"/>
                <w:color w:val="auto"/>
              </w:rPr>
            </w:pPr>
            <w:r>
              <w:rPr>
                <w:rFonts w:ascii="Arial" w:cs="Arial" w:eastAsia="Arial" w:hAnsi="Arial"/>
                <w:sz w:val="17"/>
                <w:szCs w:val="17"/>
                <w:color w:val="0000FF"/>
              </w:rPr>
              <w:t>fact for Grant Whitney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489"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2023-07-05T16:39:29Z</dcterms:created>
  <dcterms:modified xsi:type="dcterms:W3CDTF">2023-07-05T16:39:29Z</dcterms:modified>
</cp:coreProperties>
</file>