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June 14, 2023</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Sun Country Airlines Holdings,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61"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500"/>
        <w:spacing w:after="0"/>
        <w:rPr>
          <w:sz w:val="20"/>
          <w:szCs w:val="20"/>
          <w:color w:val="auto"/>
        </w:rPr>
      </w:pPr>
      <w:r>
        <w:rPr>
          <w:rFonts w:ascii="Arial" w:cs="Arial" w:eastAsia="Arial" w:hAnsi="Arial"/>
          <w:sz w:val="18"/>
          <w:szCs w:val="18"/>
          <w:color w:val="auto"/>
        </w:rPr>
        <w:t>(State of</w:t>
      </w:r>
    </w:p>
    <w:p>
      <w:pPr>
        <w:spacing w:after="0" w:line="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001-40217</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82-4092570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3">
            <w:col w:w="4420" w:space="720"/>
            <w:col w:w="2920" w:space="720"/>
            <w:col w:w="2460"/>
          </w:cols>
          <w:pgMar w:left="320" w:top="661" w:right="339" w:bottom="1440" w:gutter="0" w:footer="0" w:header="0"/>
          <w:type w:val="continuous"/>
        </w:sectPr>
      </w:pPr>
    </w:p>
    <w:p>
      <w:pPr>
        <w:spacing w:after="0" w:line="18"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2005 Cargo Road</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Minneapolis, MN</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55450</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661"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(651) 681-3900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8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60" w:type="dxa"/>
            <w:vAlign w:val="bottom"/>
          </w:tcPr>
          <w:p>
            <w:pPr>
              <w:jc w:val="center"/>
              <w:ind w:right="750"/>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78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87"/>
              </w:rPr>
              <w:t>Title of each class</w:t>
            </w:r>
          </w:p>
        </w:tc>
        <w:tc>
          <w:tcPr>
            <w:tcW w:w="2860" w:type="dxa"/>
            <w:vAlign w:val="bottom"/>
          </w:tcPr>
          <w:p>
            <w:pPr>
              <w:jc w:val="center"/>
              <w:ind w:right="750"/>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Arial" w:cs="Arial" w:eastAsia="Arial" w:hAnsi="Arial"/>
                <w:sz w:val="18"/>
                <w:szCs w:val="18"/>
                <w:b w:val="1"/>
                <w:bCs w:val="1"/>
                <w:color w:val="auto"/>
                <w:w w:val="89"/>
              </w:rPr>
              <w:t>on which registered</w:t>
            </w:r>
          </w:p>
        </w:tc>
      </w:tr>
      <w:tr>
        <w:trPr>
          <w:trHeight w:val="224"/>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860" w:type="dxa"/>
            <w:vAlign w:val="bottom"/>
            <w:tcBorders>
              <w:top w:val="single" w:sz="8" w:color="auto"/>
            </w:tcBorders>
          </w:tcPr>
          <w:p>
            <w:pPr>
              <w:jc w:val="center"/>
              <w:ind w:right="730"/>
              <w:spacing w:after="0"/>
              <w:rPr>
                <w:sz w:val="20"/>
                <w:szCs w:val="20"/>
                <w:color w:val="auto"/>
              </w:rPr>
            </w:pPr>
            <w:r>
              <w:rPr>
                <w:rFonts w:ascii="Arial" w:cs="Arial" w:eastAsia="Arial" w:hAnsi="Arial"/>
                <w:sz w:val="18"/>
                <w:szCs w:val="18"/>
                <w:color w:val="auto"/>
                <w:w w:val="95"/>
              </w:rPr>
              <w:t>SNCY</w:t>
            </w:r>
          </w:p>
        </w:tc>
        <w:tc>
          <w:tcPr>
            <w:tcW w:w="12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Item 5.07</w:t>
            </w:r>
          </w:p>
        </w:tc>
        <w:tc>
          <w:tcPr>
            <w:tcW w:w="5400" w:type="dxa"/>
            <w:vAlign w:val="bottom"/>
            <w:gridSpan w:val="3"/>
          </w:tcPr>
          <w:p>
            <w:pPr>
              <w:ind w:left="160"/>
              <w:spacing w:after="0"/>
              <w:rPr>
                <w:sz w:val="20"/>
                <w:szCs w:val="20"/>
                <w:color w:val="auto"/>
              </w:rPr>
            </w:pPr>
            <w:r>
              <w:rPr>
                <w:rFonts w:ascii="Arial" w:cs="Arial" w:eastAsia="Arial" w:hAnsi="Arial"/>
                <w:sz w:val="18"/>
                <w:szCs w:val="18"/>
                <w:b w:val="1"/>
                <w:bCs w:val="1"/>
                <w:color w:val="auto"/>
              </w:rPr>
              <w:t>Submission of Matters to a Vote of Security Holders.</w:t>
            </w: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18"/>
        </w:trPr>
        <w:tc>
          <w:tcPr>
            <w:tcW w:w="560" w:type="dxa"/>
            <w:vAlign w:val="bottom"/>
          </w:tcPr>
          <w:p>
            <w:pPr>
              <w:ind w:left="340"/>
              <w:spacing w:after="0"/>
              <w:rPr>
                <w:sz w:val="20"/>
                <w:szCs w:val="20"/>
                <w:color w:val="auto"/>
              </w:rPr>
            </w:pPr>
            <w:r>
              <w:rPr>
                <w:rFonts w:ascii="Arial" w:cs="Arial" w:eastAsia="Arial" w:hAnsi="Arial"/>
                <w:sz w:val="18"/>
                <w:szCs w:val="18"/>
                <w:color w:val="auto"/>
              </w:rPr>
              <w:t>a.</w:t>
            </w: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w w:val="95"/>
              </w:rPr>
              <w:t>On June 14, 2023, Sun Country Airlines Holdings, Inc. (the “Company”) held its annual meeting of stockholders (the “Annual Meeting”). The</w:t>
            </w:r>
          </w:p>
        </w:tc>
      </w:tr>
      <w:tr>
        <w:trPr>
          <w:trHeight w:val="216"/>
        </w:trPr>
        <w:tc>
          <w:tcPr>
            <w:tcW w:w="560" w:type="dxa"/>
            <w:vAlign w:val="bottom"/>
          </w:tcPr>
          <w:p>
            <w:pPr>
              <w:spacing w:after="0"/>
              <w:rPr>
                <w:sz w:val="18"/>
                <w:szCs w:val="18"/>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w w:val="90"/>
              </w:rPr>
              <w:t>matters voted upon at the Annual Meeting and the final results of such voting are set forth below. A more complete description of each proposal is</w:t>
            </w:r>
          </w:p>
        </w:tc>
      </w:tr>
      <w:tr>
        <w:trPr>
          <w:trHeight w:val="230"/>
        </w:trPr>
        <w:tc>
          <w:tcPr>
            <w:tcW w:w="560" w:type="dxa"/>
            <w:vAlign w:val="bottom"/>
          </w:tcPr>
          <w:p>
            <w:pPr>
              <w:spacing w:after="0"/>
              <w:rPr>
                <w:sz w:val="20"/>
                <w:szCs w:val="20"/>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rPr>
              <w:t>set forth in the Company’s definitive proxy statement filed with the Securities and Exchange Commission on April 28, 2023.</w:t>
            </w:r>
          </w:p>
        </w:tc>
      </w:tr>
      <w:tr>
        <w:trPr>
          <w:trHeight w:val="418"/>
        </w:trPr>
        <w:tc>
          <w:tcPr>
            <w:tcW w:w="560" w:type="dxa"/>
            <w:vAlign w:val="bottom"/>
          </w:tcPr>
          <w:p>
            <w:pPr>
              <w:ind w:left="340"/>
              <w:spacing w:after="0"/>
              <w:rPr>
                <w:sz w:val="20"/>
                <w:szCs w:val="20"/>
                <w:color w:val="auto"/>
              </w:rPr>
            </w:pPr>
            <w:r>
              <w:rPr>
                <w:rFonts w:ascii="Arial" w:cs="Arial" w:eastAsia="Arial" w:hAnsi="Arial"/>
                <w:sz w:val="18"/>
                <w:szCs w:val="18"/>
                <w:color w:val="auto"/>
              </w:rPr>
              <w:t>b.</w:t>
            </w:r>
          </w:p>
        </w:tc>
        <w:tc>
          <w:tcPr>
            <w:tcW w:w="10680" w:type="dxa"/>
            <w:vAlign w:val="bottom"/>
            <w:gridSpan w:val="7"/>
          </w:tcPr>
          <w:p>
            <w:pPr>
              <w:ind w:left="100"/>
              <w:spacing w:after="0"/>
              <w:rPr>
                <w:sz w:val="20"/>
                <w:szCs w:val="20"/>
                <w:color w:val="auto"/>
              </w:rPr>
            </w:pPr>
            <w:r>
              <w:rPr>
                <w:rFonts w:ascii="Arial" w:cs="Arial" w:eastAsia="Arial" w:hAnsi="Arial"/>
                <w:sz w:val="18"/>
                <w:szCs w:val="18"/>
                <w:b w:val="1"/>
                <w:bCs w:val="1"/>
                <w:color w:val="auto"/>
                <w:w w:val="90"/>
              </w:rPr>
              <w:t>Proposal 1</w:t>
            </w:r>
            <w:r>
              <w:rPr>
                <w:rFonts w:ascii="Arial" w:cs="Arial" w:eastAsia="Arial" w:hAnsi="Arial"/>
                <w:sz w:val="18"/>
                <w:szCs w:val="18"/>
                <w:color w:val="auto"/>
                <w:w w:val="90"/>
              </w:rPr>
              <w:t>. To elect Marion Blakey and Patrick O’Keeffe to the board of directors of the Company as Class II directors, in each case, for a term of</w:t>
            </w:r>
          </w:p>
        </w:tc>
      </w:tr>
      <w:tr>
        <w:trPr>
          <w:trHeight w:val="216"/>
        </w:trPr>
        <w:tc>
          <w:tcPr>
            <w:tcW w:w="560" w:type="dxa"/>
            <w:vAlign w:val="bottom"/>
          </w:tcPr>
          <w:p>
            <w:pPr>
              <w:spacing w:after="0"/>
              <w:rPr>
                <w:sz w:val="18"/>
                <w:szCs w:val="18"/>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w w:val="95"/>
              </w:rPr>
              <w:t>three years expiring at the annual meeting of stockholders to be held in 2026. The Company’s stockholders duly elected Marion Blakey and</w:t>
            </w:r>
          </w:p>
        </w:tc>
      </w:tr>
      <w:tr>
        <w:trPr>
          <w:trHeight w:val="216"/>
        </w:trPr>
        <w:tc>
          <w:tcPr>
            <w:tcW w:w="560" w:type="dxa"/>
            <w:vAlign w:val="bottom"/>
          </w:tcPr>
          <w:p>
            <w:pPr>
              <w:spacing w:after="0"/>
              <w:rPr>
                <w:sz w:val="18"/>
                <w:szCs w:val="18"/>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w w:val="92"/>
              </w:rPr>
              <w:t>Patrick O’Keeffe, by at least a plurality of the votes cast, to serve as Class II directors until the 2026 annual meeting of stockholders and until his</w:t>
            </w:r>
          </w:p>
        </w:tc>
      </w:tr>
      <w:tr>
        <w:trPr>
          <w:trHeight w:val="230"/>
        </w:trPr>
        <w:tc>
          <w:tcPr>
            <w:tcW w:w="560" w:type="dxa"/>
            <w:vAlign w:val="bottom"/>
          </w:tcPr>
          <w:p>
            <w:pPr>
              <w:spacing w:after="0"/>
              <w:rPr>
                <w:sz w:val="20"/>
                <w:szCs w:val="20"/>
                <w:color w:val="auto"/>
              </w:rPr>
            </w:pPr>
          </w:p>
        </w:tc>
        <w:tc>
          <w:tcPr>
            <w:tcW w:w="5980" w:type="dxa"/>
            <w:vAlign w:val="bottom"/>
            <w:gridSpan w:val="4"/>
          </w:tcPr>
          <w:p>
            <w:pPr>
              <w:ind w:left="100"/>
              <w:spacing w:after="0"/>
              <w:rPr>
                <w:sz w:val="20"/>
                <w:szCs w:val="20"/>
                <w:color w:val="auto"/>
              </w:rPr>
            </w:pPr>
            <w:r>
              <w:rPr>
                <w:rFonts w:ascii="Arial" w:cs="Arial" w:eastAsia="Arial" w:hAnsi="Arial"/>
                <w:sz w:val="18"/>
                <w:szCs w:val="18"/>
                <w:color w:val="auto"/>
                <w:w w:val="90"/>
              </w:rPr>
              <w:t>successor is duly elected and qualified. The results of the voting were as follows:</w:t>
            </w:r>
          </w:p>
        </w:tc>
        <w:tc>
          <w:tcPr>
            <w:tcW w:w="1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r>
      <w:tr>
        <w:trPr>
          <w:trHeight w:val="210"/>
        </w:trPr>
        <w:tc>
          <w:tcPr>
            <w:tcW w:w="5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Nominee</w:t>
            </w:r>
          </w:p>
        </w:tc>
        <w:tc>
          <w:tcPr>
            <w:tcW w:w="2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Votes For</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Votes Withheld</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Broker Non-Votes</w:t>
            </w:r>
          </w:p>
        </w:tc>
      </w:tr>
      <w:tr>
        <w:trPr>
          <w:trHeight w:val="209"/>
        </w:trPr>
        <w:tc>
          <w:tcPr>
            <w:tcW w:w="560" w:type="dxa"/>
            <w:vAlign w:val="bottom"/>
            <w:tcBorders>
              <w:bottom w:val="single" w:sz="8" w:color="C6F4F9"/>
            </w:tcBorders>
            <w:shd w:val="clear" w:color="auto" w:fill="C6F4F9"/>
          </w:tcPr>
          <w:p>
            <w:pPr>
              <w:spacing w:after="0"/>
              <w:rPr>
                <w:sz w:val="18"/>
                <w:szCs w:val="18"/>
                <w:color w:val="auto"/>
              </w:rPr>
            </w:pPr>
          </w:p>
        </w:tc>
        <w:tc>
          <w:tcPr>
            <w:tcW w:w="580" w:type="dxa"/>
            <w:vAlign w:val="bottom"/>
            <w:tcBorders>
              <w:bottom w:val="single" w:sz="8" w:color="C6F4F9"/>
              <w:right w:val="single" w:sz="8" w:color="auto"/>
            </w:tcBorders>
            <w:shd w:val="clear" w:color="auto" w:fill="C6F4F9"/>
          </w:tcPr>
          <w:p>
            <w:pPr>
              <w:spacing w:after="0"/>
              <w:rPr>
                <w:sz w:val="18"/>
                <w:szCs w:val="18"/>
                <w:color w:val="auto"/>
              </w:rPr>
            </w:pPr>
          </w:p>
        </w:tc>
        <w:tc>
          <w:tcPr>
            <w:tcW w:w="304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Marion Blakey</w:t>
            </w:r>
          </w:p>
        </w:tc>
        <w:tc>
          <w:tcPr>
            <w:tcW w:w="2360" w:type="dxa"/>
            <w:vAlign w:val="bottom"/>
            <w:tcBorders>
              <w:bottom w:val="single" w:sz="8" w:color="auto"/>
              <w:right w:val="single" w:sz="8" w:color="auto"/>
            </w:tcBorders>
            <w:gridSpan w:val="2"/>
            <w:shd w:val="clear" w:color="auto" w:fill="C6F4F9"/>
          </w:tcPr>
          <w:p>
            <w:pPr>
              <w:spacing w:after="0"/>
              <w:rPr>
                <w:sz w:val="20"/>
                <w:szCs w:val="20"/>
                <w:color w:val="auto"/>
              </w:rPr>
            </w:pPr>
            <w:r>
              <w:rPr>
                <w:rFonts w:ascii="Arial" w:cs="Arial" w:eastAsia="Arial" w:hAnsi="Arial"/>
                <w:sz w:val="18"/>
                <w:szCs w:val="18"/>
                <w:color w:val="auto"/>
              </w:rPr>
              <w:t>51,935,775</w:t>
            </w:r>
          </w:p>
        </w:tc>
        <w:tc>
          <w:tcPr>
            <w:tcW w:w="1340" w:type="dxa"/>
            <w:vAlign w:val="bottom"/>
            <w:tcBorders>
              <w:bottom w:val="single" w:sz="8" w:color="auto"/>
              <w:right w:val="single" w:sz="8" w:color="C6F4F9"/>
            </w:tcBorders>
            <w:shd w:val="clear" w:color="auto" w:fill="C6F4F9"/>
          </w:tcPr>
          <w:p>
            <w:pPr>
              <w:spacing w:after="0"/>
              <w:rPr>
                <w:sz w:val="20"/>
                <w:szCs w:val="20"/>
                <w:color w:val="auto"/>
              </w:rPr>
            </w:pPr>
            <w:r>
              <w:rPr>
                <w:rFonts w:ascii="Arial" w:cs="Arial" w:eastAsia="Arial" w:hAnsi="Arial"/>
                <w:sz w:val="18"/>
                <w:szCs w:val="18"/>
                <w:color w:val="auto"/>
              </w:rPr>
              <w:t>1,954,744</w:t>
            </w:r>
          </w:p>
        </w:tc>
        <w:tc>
          <w:tcPr>
            <w:tcW w:w="1000" w:type="dxa"/>
            <w:vAlign w:val="bottom"/>
            <w:tcBorders>
              <w:bottom w:val="single" w:sz="8" w:color="auto"/>
              <w:right w:val="single" w:sz="8" w:color="auto"/>
            </w:tcBorders>
            <w:shd w:val="clear" w:color="auto" w:fill="C6F4F9"/>
          </w:tcPr>
          <w:p>
            <w:pPr>
              <w:spacing w:after="0"/>
              <w:rPr>
                <w:sz w:val="18"/>
                <w:szCs w:val="18"/>
                <w:color w:val="auto"/>
              </w:rPr>
            </w:pPr>
          </w:p>
        </w:tc>
        <w:tc>
          <w:tcPr>
            <w:tcW w:w="2360" w:type="dxa"/>
            <w:vAlign w:val="bottom"/>
            <w:tcBorders>
              <w:bottom w:val="single" w:sz="8" w:color="auto"/>
              <w:right w:val="single" w:sz="8" w:color="auto"/>
            </w:tcBorders>
            <w:shd w:val="clear" w:color="auto" w:fill="C6F4F9"/>
          </w:tcPr>
          <w:p>
            <w:pPr>
              <w:spacing w:after="0"/>
              <w:rPr>
                <w:sz w:val="20"/>
                <w:szCs w:val="20"/>
                <w:color w:val="auto"/>
              </w:rPr>
            </w:pPr>
            <w:r>
              <w:rPr>
                <w:rFonts w:ascii="Arial" w:cs="Arial" w:eastAsia="Arial" w:hAnsi="Arial"/>
                <w:sz w:val="18"/>
                <w:szCs w:val="18"/>
                <w:color w:val="auto"/>
              </w:rPr>
              <w:t>602,262</w:t>
            </w:r>
          </w:p>
        </w:tc>
      </w:tr>
      <w:tr>
        <w:trPr>
          <w:trHeight w:val="209"/>
        </w:trPr>
        <w:tc>
          <w:tcPr>
            <w:tcW w:w="5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Patrick O’Keeffe</w:t>
            </w:r>
          </w:p>
        </w:tc>
        <w:tc>
          <w:tcPr>
            <w:tcW w:w="2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43,240,899</w:t>
            </w:r>
          </w:p>
        </w:tc>
        <w:tc>
          <w:tcPr>
            <w:tcW w:w="1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10,649,620</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602,262</w:t>
            </w:r>
          </w:p>
        </w:tc>
      </w:tr>
      <w:tr>
        <w:trPr>
          <w:trHeight w:val="411"/>
        </w:trPr>
        <w:tc>
          <w:tcPr>
            <w:tcW w:w="560" w:type="dxa"/>
            <w:vAlign w:val="bottom"/>
          </w:tcPr>
          <w:p>
            <w:pPr>
              <w:spacing w:after="0"/>
              <w:rPr>
                <w:sz w:val="24"/>
                <w:szCs w:val="24"/>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b w:val="1"/>
                <w:bCs w:val="1"/>
                <w:color w:val="auto"/>
                <w:w w:val="92"/>
              </w:rPr>
              <w:t>Proposal 2</w:t>
            </w:r>
            <w:r>
              <w:rPr>
                <w:rFonts w:ascii="Arial" w:cs="Arial" w:eastAsia="Arial" w:hAnsi="Arial"/>
                <w:sz w:val="18"/>
                <w:szCs w:val="18"/>
                <w:color w:val="auto"/>
                <w:w w:val="92"/>
              </w:rPr>
              <w:t>. To ratify the appointment of KPMG LLP as the Company’s independent registered public accounting firm for the fiscal year ending</w:t>
            </w:r>
          </w:p>
        </w:tc>
      </w:tr>
      <w:tr>
        <w:trPr>
          <w:trHeight w:val="216"/>
        </w:trPr>
        <w:tc>
          <w:tcPr>
            <w:tcW w:w="560" w:type="dxa"/>
            <w:vAlign w:val="bottom"/>
          </w:tcPr>
          <w:p>
            <w:pPr>
              <w:spacing w:after="0"/>
              <w:rPr>
                <w:sz w:val="18"/>
                <w:szCs w:val="18"/>
                <w:color w:val="auto"/>
              </w:rPr>
            </w:pPr>
          </w:p>
        </w:tc>
        <w:tc>
          <w:tcPr>
            <w:tcW w:w="10680" w:type="dxa"/>
            <w:vAlign w:val="bottom"/>
            <w:gridSpan w:val="7"/>
          </w:tcPr>
          <w:p>
            <w:pPr>
              <w:ind w:left="100"/>
              <w:spacing w:after="0"/>
              <w:rPr>
                <w:sz w:val="20"/>
                <w:szCs w:val="20"/>
                <w:color w:val="auto"/>
              </w:rPr>
            </w:pPr>
            <w:r>
              <w:rPr>
                <w:rFonts w:ascii="Arial" w:cs="Arial" w:eastAsia="Arial" w:hAnsi="Arial"/>
                <w:sz w:val="18"/>
                <w:szCs w:val="18"/>
                <w:color w:val="auto"/>
                <w:w w:val="90"/>
              </w:rPr>
              <w:t>December 31, 2023. The Company’s stockholders ratified the selection of KPMG LLP as the Company’s independent registered public accounting</w:t>
            </w:r>
          </w:p>
        </w:tc>
      </w:tr>
      <w:tr>
        <w:trPr>
          <w:trHeight w:val="230"/>
        </w:trPr>
        <w:tc>
          <w:tcPr>
            <w:tcW w:w="560" w:type="dxa"/>
            <w:vAlign w:val="bottom"/>
          </w:tcPr>
          <w:p>
            <w:pPr>
              <w:spacing w:after="0"/>
              <w:rPr>
                <w:sz w:val="20"/>
                <w:szCs w:val="20"/>
                <w:color w:val="auto"/>
              </w:rPr>
            </w:pPr>
          </w:p>
        </w:tc>
        <w:tc>
          <w:tcPr>
            <w:tcW w:w="7320" w:type="dxa"/>
            <w:vAlign w:val="bottom"/>
            <w:gridSpan w:val="5"/>
          </w:tcPr>
          <w:p>
            <w:pPr>
              <w:ind w:left="100"/>
              <w:spacing w:after="0"/>
              <w:rPr>
                <w:sz w:val="20"/>
                <w:szCs w:val="20"/>
                <w:color w:val="auto"/>
              </w:rPr>
            </w:pPr>
            <w:r>
              <w:rPr>
                <w:rFonts w:ascii="Arial" w:cs="Arial" w:eastAsia="Arial" w:hAnsi="Arial"/>
                <w:sz w:val="18"/>
                <w:szCs w:val="18"/>
                <w:color w:val="auto"/>
                <w:w w:val="98"/>
              </w:rPr>
              <w:t>firm for the fiscal year ending December 31, 2023. The results of the voting were as follows:</w:t>
            </w:r>
          </w:p>
        </w:tc>
        <w:tc>
          <w:tcPr>
            <w:tcW w:w="10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16"/>
        </w:trPr>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2"/>
          </w:tcPr>
          <w:p>
            <w:pPr>
              <w:spacing w:after="0"/>
              <w:rPr>
                <w:sz w:val="18"/>
                <w:szCs w:val="18"/>
                <w:color w:val="auto"/>
              </w:rPr>
            </w:pPr>
          </w:p>
        </w:tc>
      </w:tr>
      <w:tr>
        <w:trPr>
          <w:trHeight w:val="209"/>
        </w:trPr>
        <w:tc>
          <w:tcPr>
            <w:tcW w:w="5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Votes For</w:t>
            </w:r>
          </w:p>
        </w:tc>
        <w:tc>
          <w:tcPr>
            <w:tcW w:w="32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Votes Against</w:t>
            </w:r>
          </w:p>
        </w:tc>
        <w:tc>
          <w:tcPr>
            <w:tcW w:w="1340" w:type="dxa"/>
            <w:vAlign w:val="bottom"/>
            <w:tcBorders>
              <w:bottom w:val="single" w:sz="8" w:color="auto"/>
              <w:right w:val="single" w:sz="8" w:color="auto"/>
            </w:tcBorders>
          </w:tcPr>
          <w:p>
            <w:pPr>
              <w:spacing w:after="0"/>
              <w:rPr>
                <w:sz w:val="18"/>
                <w:szCs w:val="18"/>
                <w:color w:val="auto"/>
              </w:rPr>
            </w:pPr>
          </w:p>
        </w:tc>
        <w:tc>
          <w:tcPr>
            <w:tcW w:w="33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Abstentions</w:t>
            </w:r>
          </w:p>
        </w:tc>
      </w:tr>
      <w:tr>
        <w:trPr>
          <w:trHeight w:val="209"/>
        </w:trPr>
        <w:tc>
          <w:tcPr>
            <w:tcW w:w="56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54,478,777</w:t>
            </w:r>
          </w:p>
        </w:tc>
        <w:tc>
          <w:tcPr>
            <w:tcW w:w="32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8,937</w:t>
            </w:r>
          </w:p>
        </w:tc>
        <w:tc>
          <w:tcPr>
            <w:tcW w:w="134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5,067</w:t>
            </w:r>
          </w:p>
        </w:tc>
        <w:tc>
          <w:tcPr>
            <w:tcW w:w="2360" w:type="dxa"/>
            <w:vAlign w:val="bottom"/>
            <w:tcBorders>
              <w:bottom w:val="single" w:sz="8" w:color="auto"/>
              <w:right w:val="single" w:sz="8" w:color="auto"/>
            </w:tcBorders>
          </w:tcPr>
          <w:p>
            <w:pPr>
              <w:spacing w:after="0"/>
              <w:rPr>
                <w:sz w:val="18"/>
                <w:szCs w:val="18"/>
                <w:color w:val="auto"/>
              </w:rPr>
            </w:pPr>
          </w:p>
        </w:tc>
      </w:tr>
      <w:tr>
        <w:trPr>
          <w:trHeight w:val="541"/>
        </w:trPr>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-1636395</wp:posOffset>
            </wp:positionV>
            <wp:extent cx="71120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200" cy="29146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color w:val="auto"/>
              </w:rPr>
              <w:t>Date: June 14, 2023</w:t>
            </w:r>
          </w:p>
        </w:tc>
        <w:tc>
          <w:tcPr>
            <w:tcW w:w="6580" w:type="dxa"/>
            <w:vAlign w:val="bottom"/>
            <w:gridSpan w:val="2"/>
          </w:tcPr>
          <w:p>
            <w:pPr>
              <w:ind w:left="2080"/>
              <w:spacing w:after="0"/>
              <w:rPr>
                <w:sz w:val="20"/>
                <w:szCs w:val="20"/>
                <w:color w:val="auto"/>
              </w:rPr>
            </w:pPr>
            <w:r>
              <w:rPr>
                <w:rFonts w:ascii="Arial" w:cs="Arial" w:eastAsia="Arial" w:hAnsi="Arial"/>
                <w:sz w:val="18"/>
                <w:szCs w:val="18"/>
                <w:b w:val="1"/>
                <w:bCs w:val="1"/>
                <w:color w:val="auto"/>
              </w:rPr>
              <w:t>Sun Country Airlines Holdings, Inc.</w:t>
            </w:r>
          </w:p>
        </w:tc>
        <w:tc>
          <w:tcPr>
            <w:tcW w:w="1120" w:type="dxa"/>
            <w:vAlign w:val="bottom"/>
          </w:tcPr>
          <w:p>
            <w:pPr>
              <w:spacing w:after="0"/>
              <w:rPr>
                <w:sz w:val="20"/>
                <w:szCs w:val="20"/>
                <w:color w:val="auto"/>
              </w:rPr>
            </w:pPr>
          </w:p>
        </w:tc>
      </w:tr>
      <w:tr>
        <w:trPr>
          <w:trHeight w:val="648"/>
        </w:trPr>
        <w:tc>
          <w:tcPr>
            <w:tcW w:w="3540" w:type="dxa"/>
            <w:vAlign w:val="bottom"/>
          </w:tcPr>
          <w:p>
            <w:pPr>
              <w:spacing w:after="0"/>
              <w:rPr>
                <w:sz w:val="24"/>
                <w:szCs w:val="24"/>
                <w:color w:val="auto"/>
              </w:rPr>
            </w:pP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Erin Rose Neale</w:t>
            </w:r>
          </w:p>
        </w:tc>
        <w:tc>
          <w:tcPr>
            <w:tcW w:w="112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3940" w:type="dxa"/>
            <w:vAlign w:val="bottom"/>
          </w:tcPr>
          <w:p>
            <w:pPr>
              <w:spacing w:after="0" w:line="195" w:lineRule="exact"/>
              <w:rPr>
                <w:sz w:val="20"/>
                <w:szCs w:val="20"/>
                <w:color w:val="auto"/>
              </w:rPr>
            </w:pPr>
            <w:r>
              <w:rPr>
                <w:rFonts w:ascii="Arial" w:cs="Arial" w:eastAsia="Arial" w:hAnsi="Arial"/>
                <w:sz w:val="18"/>
                <w:szCs w:val="18"/>
                <w:color w:val="auto"/>
              </w:rPr>
              <w:t>Name: Erin Rose Neale</w:t>
            </w:r>
          </w:p>
        </w:tc>
        <w:tc>
          <w:tcPr>
            <w:tcW w:w="1120" w:type="dxa"/>
            <w:vAlign w:val="bottom"/>
          </w:tcPr>
          <w:p>
            <w:pPr>
              <w:spacing w:after="0"/>
              <w:rPr>
                <w:sz w:val="16"/>
                <w:szCs w:val="16"/>
                <w:color w:val="auto"/>
              </w:rPr>
            </w:pP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7"/>
              </w:rPr>
              <w:t>Title:  Senior Vice President, General Counsel and</w:t>
            </w:r>
          </w:p>
        </w:tc>
        <w:tc>
          <w:tcPr>
            <w:tcW w:w="1120" w:type="dxa"/>
            <w:vAlign w:val="bottom"/>
          </w:tcPr>
          <w:p>
            <w:pPr>
              <w:spacing w:after="0"/>
              <w:rPr>
                <w:sz w:val="18"/>
                <w:szCs w:val="18"/>
                <w:color w:val="auto"/>
              </w:rPr>
            </w:pP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940" w:type="dxa"/>
            <w:vAlign w:val="bottom"/>
          </w:tcPr>
          <w:p>
            <w:pPr>
              <w:ind w:left="560"/>
              <w:spacing w:after="0"/>
              <w:rPr>
                <w:sz w:val="20"/>
                <w:szCs w:val="20"/>
                <w:color w:val="auto"/>
              </w:rPr>
            </w:pPr>
            <w:r>
              <w:rPr>
                <w:rFonts w:ascii="Arial" w:cs="Arial" w:eastAsia="Arial" w:hAnsi="Arial"/>
                <w:sz w:val="18"/>
                <w:szCs w:val="18"/>
                <w:color w:val="auto"/>
              </w:rPr>
              <w:t>Secretary</w:t>
            </w:r>
          </w:p>
        </w:tc>
        <w:tc>
          <w:tcPr>
            <w:tcW w:w="1120" w:type="dxa"/>
            <w:vAlign w:val="bottom"/>
          </w:tcPr>
          <w:p>
            <w:pPr>
              <w:spacing w:after="0"/>
              <w:rPr>
                <w:sz w:val="20"/>
                <w:szCs w:val="20"/>
                <w:color w:val="auto"/>
              </w:rPr>
            </w:pPr>
          </w:p>
        </w:tc>
      </w:tr>
      <w:tr>
        <w:trPr>
          <w:trHeight w:val="1195"/>
        </w:trPr>
        <w:tc>
          <w:tcPr>
            <w:tcW w:w="35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2023-06-14T15:40:50Z</dcterms:created>
  <dcterms:modified xsi:type="dcterms:W3CDTF">2023-06-14T15:40:50Z</dcterms:modified>
</cp:coreProperties>
</file>