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highlight w:val="black"/>
        </w:rPr>
      </w:pPr>
    </w:p>
    <w:p>
      <w:pPr>
        <w:ind w:left="920" w:hanging="815"/>
        <w:spacing w:after="0"/>
        <w:tabs>
          <w:tab w:leader="none" w:pos="9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Rule 13d-1(c)</w:t>
      </w:r>
    </w:p>
    <w:p>
      <w:pPr>
        <w:spacing w:after="0" w:line="2" w:lineRule="exact"/>
        <w:rPr>
          <w:sz w:val="24"/>
          <w:szCs w:val="24"/>
          <w:color w:val="auto"/>
        </w:rPr>
      </w:pPr>
    </w:p>
    <w:p>
      <w:pPr>
        <w:ind w:left="920" w:hanging="815"/>
        <w:spacing w:after="0"/>
        <w:tabs>
          <w:tab w:leader="none" w:pos="920" w:val="left"/>
        </w:tabs>
        <w:numPr>
          <w:ilvl w:val="1"/>
          <w:numId w:val="2"/>
        </w:numPr>
        <w:rPr>
          <w:rFonts w:ascii="MS PGothic" w:cs="MS PGothic" w:eastAsia="MS PGothic" w:hAnsi="MS PGothic"/>
          <w:sz w:val="18"/>
          <w:szCs w:val="18"/>
          <w:color w:val="auto"/>
          <w:highlight w:val="black"/>
        </w:rPr>
      </w:pPr>
      <w:r>
        <w:rPr>
          <w:rFonts w:ascii="Arial" w:cs="Arial" w:eastAsia="Arial" w:hAnsi="Arial"/>
          <w:sz w:val="18"/>
          <w:szCs w:val="18"/>
          <w:color w:val="auto"/>
        </w:rPr>
        <w:t>Rule 13d-1(d)</w:t>
      </w:r>
    </w:p>
    <w:p>
      <w:pPr>
        <w:spacing w:after="0" w:line="219" w:lineRule="exact"/>
        <w:rPr>
          <w:rFonts w:ascii="MS PGothic" w:cs="MS PGothic" w:eastAsia="MS PGothic" w:hAnsi="MS PGothic"/>
          <w:sz w:val="18"/>
          <w:szCs w:val="18"/>
          <w:color w:val="auto"/>
          <w:highlight w:val="black"/>
        </w:rPr>
      </w:pPr>
    </w:p>
    <w:p>
      <w:pPr>
        <w:spacing w:after="0" w:line="214" w:lineRule="auto"/>
        <w:rPr>
          <w:rFonts w:ascii="MS PGothic" w:cs="MS PGothic" w:eastAsia="MS PGothic" w:hAnsi="MS PGothic"/>
          <w:sz w:val="18"/>
          <w:szCs w:val="18"/>
          <w:color w:val="auto"/>
          <w:highlight w:val="black"/>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1" w:name="page2"/>
    <w:bookmarkEnd w:id="1"/>
    <w:p>
      <w:pPr>
        <w:ind w:left="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26055" cy="282575"/>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6677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40" w:hanging="258"/>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640" w:right="3443"/>
        <w:spacing w:after="0" w:line="490"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SCA Horus Holdings, LLC</w:t>
      </w:r>
    </w:p>
    <w:p>
      <w:pPr>
        <w:spacing w:after="0" w:line="4" w:lineRule="exact"/>
        <w:rPr>
          <w:sz w:val="20"/>
          <w:szCs w:val="20"/>
          <w:color w:val="auto"/>
        </w:rPr>
      </w:pPr>
    </w:p>
    <w:p>
      <w:pPr>
        <w:ind w:left="640" w:hanging="258"/>
        <w:spacing w:after="0"/>
        <w:tabs>
          <w:tab w:leader="none" w:pos="6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258"/>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5403" w:hanging="258"/>
        <w:spacing w:after="0" w:line="454" w:lineRule="auto"/>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7" w:hanging="237"/>
        <w:spacing w:after="0" w:line="207" w:lineRule="exact"/>
        <w:tabs>
          <w:tab w:leader="none" w:pos="237"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257" w:hanging="257"/>
        <w:spacing w:after="0" w:line="184" w:lineRule="exact"/>
        <w:tabs>
          <w:tab w:leader="none" w:pos="257" w:val="left"/>
        </w:tabs>
        <w:numPr>
          <w:ilvl w:val="0"/>
          <w:numId w:val="7"/>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928" w:lineRule="exact"/>
        <w:rPr>
          <w:sz w:val="20"/>
          <w:szCs w:val="20"/>
          <w:color w:val="auto"/>
        </w:rPr>
      </w:pPr>
    </w:p>
    <w:p>
      <w:pPr>
        <w:sectPr>
          <w:pgSz w:w="11900" w:h="16838" w:orient="portrait"/>
          <w:cols w:equalWidth="0" w:num="2">
            <w:col w:w="9723" w:space="720"/>
            <w:col w:w="797"/>
          </w:cols>
          <w:pgMar w:left="320" w:top="1026" w:right="339" w:bottom="1440" w:gutter="0" w:footer="0" w:header="0"/>
          <w:type w:val="continuous"/>
        </w:sectPr>
      </w:pPr>
    </w:p>
    <w:tbl>
      <w:tblPr>
        <w:tblLayout w:type="fixed"/>
        <w:tblInd w:w="0" w:type="dxa"/>
        <w:tblCellMar>
          <w:top w:w="0" w:type="dxa"/>
          <w:left w:w="0" w:type="dxa"/>
          <w:bottom w:w="0" w:type="dxa"/>
          <w:right w:w="0" w:type="dxa"/>
        </w:tblCellMar>
      </w:tblPr>
      <w:tr>
        <w:trPr>
          <w:trHeight w:val="291"/>
        </w:trPr>
        <w:tc>
          <w:tcPr>
            <w:tcW w:w="22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8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22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0" w:type="dxa"/>
            <w:vAlign w:val="bottom"/>
          </w:tcPr>
          <w:p>
            <w:pPr>
              <w:spacing w:after="0"/>
              <w:rPr>
                <w:sz w:val="1"/>
                <w:szCs w:val="1"/>
                <w:color w:val="auto"/>
              </w:rPr>
            </w:pPr>
          </w:p>
        </w:tc>
      </w:tr>
      <w:tr>
        <w:trPr>
          <w:trHeight w:val="136"/>
        </w:trPr>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bottom w:val="single" w:sz="8" w:color="auto"/>
              <w:right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2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 PERSON</w:t>
            </w:r>
          </w:p>
        </w:tc>
        <w:tc>
          <w:tcPr>
            <w:tcW w:w="560" w:type="dxa"/>
            <w:vAlign w:val="bottom"/>
            <w:tcBorders>
              <w:right w:val="single" w:sz="8" w:color="auto"/>
            </w:tcBorders>
            <w:vMerge w:val="continue"/>
          </w:tcPr>
          <w:p>
            <w:pPr>
              <w:spacing w:after="0"/>
              <w:rPr>
                <w:sz w:val="18"/>
                <w:szCs w:val="18"/>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4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right="4040" w:hanging="258"/>
        <w:spacing w:after="0" w:line="481"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24,869,997 shares</w:t>
      </w:r>
    </w:p>
    <w:p>
      <w:pPr>
        <w:spacing w:after="0" w:line="2" w:lineRule="exact"/>
        <w:rPr>
          <w:sz w:val="20"/>
          <w:szCs w:val="20"/>
          <w:color w:val="auto"/>
        </w:rPr>
      </w:pPr>
    </w:p>
    <w:p>
      <w:pPr>
        <w:ind w:left="300"/>
        <w:spacing w:after="0" w:line="207" w:lineRule="exact"/>
        <w:tabs>
          <w:tab w:leader="none" w:pos="620" w:val="left"/>
          <w:tab w:leader="none" w:pos="104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74" w:lineRule="exact"/>
        <w:rPr>
          <w:sz w:val="20"/>
          <w:szCs w:val="20"/>
          <w:color w:val="auto"/>
        </w:rPr>
      </w:pPr>
    </w:p>
    <w:p>
      <w:pPr>
        <w:ind w:left="640" w:right="5540" w:hanging="338"/>
        <w:spacing w:after="0" w:line="498" w:lineRule="auto"/>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43.2%</w:t>
      </w:r>
    </w:p>
    <w:p>
      <w:pPr>
        <w:spacing w:after="0" w:line="5" w:lineRule="exact"/>
        <w:rPr>
          <w:rFonts w:ascii="Arial" w:cs="Arial" w:eastAsia="Arial" w:hAnsi="Arial"/>
          <w:sz w:val="18"/>
          <w:szCs w:val="18"/>
          <w:b w:val="1"/>
          <w:bCs w:val="1"/>
          <w:color w:val="auto"/>
        </w:rPr>
      </w:pPr>
    </w:p>
    <w:p>
      <w:pPr>
        <w:ind w:left="640" w:hanging="348"/>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 w:name="page3"/>
    <w:bookmarkEnd w:id="2"/>
    <w:p>
      <w:pPr>
        <w:ind w:left="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6677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40" w:hanging="258"/>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640" w:right="3443"/>
        <w:spacing w:after="0" w:line="490"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 VIII (SCA Stock AIV), LLC</w:t>
      </w:r>
    </w:p>
    <w:p>
      <w:pPr>
        <w:spacing w:after="0" w:line="4" w:lineRule="exact"/>
        <w:rPr>
          <w:sz w:val="20"/>
          <w:szCs w:val="20"/>
          <w:color w:val="auto"/>
        </w:rPr>
      </w:pPr>
    </w:p>
    <w:p>
      <w:pPr>
        <w:ind w:left="640" w:hanging="258"/>
        <w:spacing w:after="0"/>
        <w:tabs>
          <w:tab w:leader="none" w:pos="64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258"/>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5403" w:hanging="258"/>
        <w:spacing w:after="0" w:line="454" w:lineRule="auto"/>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7" w:hanging="237"/>
        <w:spacing w:after="0" w:line="207" w:lineRule="exact"/>
        <w:tabs>
          <w:tab w:leader="none" w:pos="237"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257" w:hanging="257"/>
        <w:spacing w:after="0" w:line="184" w:lineRule="exact"/>
        <w:tabs>
          <w:tab w:leader="none" w:pos="257" w:val="left"/>
        </w:tabs>
        <w:numPr>
          <w:ilvl w:val="0"/>
          <w:numId w:val="14"/>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928" w:lineRule="exact"/>
        <w:rPr>
          <w:sz w:val="20"/>
          <w:szCs w:val="20"/>
          <w:color w:val="auto"/>
        </w:rPr>
      </w:pPr>
    </w:p>
    <w:p>
      <w:pPr>
        <w:sectPr>
          <w:pgSz w:w="11900" w:h="16838" w:orient="portrait"/>
          <w:cols w:equalWidth="0" w:num="2">
            <w:col w:w="9723" w:space="720"/>
            <w:col w:w="797"/>
          </w:cols>
          <w:pgMar w:left="320" w:top="1026" w:right="339" w:bottom="1440" w:gutter="0" w:footer="0" w:header="0"/>
          <w:type w:val="continuous"/>
        </w:sectPr>
      </w:pPr>
    </w:p>
    <w:tbl>
      <w:tblPr>
        <w:tblLayout w:type="fixed"/>
        <w:tblInd w:w="0" w:type="dxa"/>
        <w:tblCellMar>
          <w:top w:w="0" w:type="dxa"/>
          <w:left w:w="0" w:type="dxa"/>
          <w:bottom w:w="0" w:type="dxa"/>
          <w:right w:w="0" w:type="dxa"/>
        </w:tblCellMar>
      </w:tblPr>
      <w:tr>
        <w:trPr>
          <w:trHeight w:val="291"/>
        </w:trPr>
        <w:tc>
          <w:tcPr>
            <w:tcW w:w="22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8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22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0" w:type="dxa"/>
            <w:vAlign w:val="bottom"/>
          </w:tcPr>
          <w:p>
            <w:pPr>
              <w:spacing w:after="0"/>
              <w:rPr>
                <w:sz w:val="1"/>
                <w:szCs w:val="1"/>
                <w:color w:val="auto"/>
              </w:rPr>
            </w:pPr>
          </w:p>
        </w:tc>
      </w:tr>
      <w:tr>
        <w:trPr>
          <w:trHeight w:val="136"/>
        </w:trPr>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bottom w:val="single" w:sz="8" w:color="auto"/>
              <w:right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2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 PERSON</w:t>
            </w:r>
          </w:p>
        </w:tc>
        <w:tc>
          <w:tcPr>
            <w:tcW w:w="560" w:type="dxa"/>
            <w:vAlign w:val="bottom"/>
            <w:tcBorders>
              <w:right w:val="single" w:sz="8" w:color="auto"/>
            </w:tcBorders>
            <w:vMerge w:val="continue"/>
          </w:tcPr>
          <w:p>
            <w:pPr>
              <w:spacing w:after="0"/>
              <w:rPr>
                <w:sz w:val="18"/>
                <w:szCs w:val="18"/>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4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hanging="258"/>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24,869,997 shares</w:t>
      </w:r>
    </w:p>
    <w:p>
      <w:pPr>
        <w:spacing w:after="0" w:line="192" w:lineRule="exact"/>
        <w:rPr>
          <w:sz w:val="20"/>
          <w:szCs w:val="20"/>
          <w:color w:val="auto"/>
        </w:rPr>
      </w:pPr>
    </w:p>
    <w:p>
      <w:pPr>
        <w:ind w:left="300"/>
        <w:spacing w:after="0" w:line="207" w:lineRule="exact"/>
        <w:tabs>
          <w:tab w:leader="none" w:pos="620" w:val="left"/>
          <w:tab w:leader="none" w:pos="104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74" w:lineRule="exact"/>
        <w:rPr>
          <w:sz w:val="20"/>
          <w:szCs w:val="20"/>
          <w:color w:val="auto"/>
        </w:rPr>
      </w:pPr>
    </w:p>
    <w:p>
      <w:pPr>
        <w:ind w:left="640" w:right="5540" w:hanging="338"/>
        <w:spacing w:after="0" w:line="498" w:lineRule="auto"/>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43.2%</w:t>
      </w:r>
    </w:p>
    <w:p>
      <w:pPr>
        <w:spacing w:after="0" w:line="5" w:lineRule="exact"/>
        <w:rPr>
          <w:rFonts w:ascii="Arial" w:cs="Arial" w:eastAsia="Arial" w:hAnsi="Arial"/>
          <w:sz w:val="18"/>
          <w:szCs w:val="18"/>
          <w:b w:val="1"/>
          <w:bCs w:val="1"/>
          <w:color w:val="auto"/>
        </w:rPr>
      </w:pPr>
    </w:p>
    <w:p>
      <w:pPr>
        <w:ind w:left="640" w:hanging="348"/>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3" w:name="page4"/>
    <w:bookmarkEnd w:id="3"/>
    <w:p>
      <w:pPr>
        <w:ind w:left="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6055" cy="282575"/>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6677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40" w:hanging="258"/>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640" w:right="3443"/>
        <w:spacing w:after="0" w:line="490"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Antoine Munfakh</w:t>
      </w:r>
    </w:p>
    <w:p>
      <w:pPr>
        <w:spacing w:after="0" w:line="4" w:lineRule="exact"/>
        <w:rPr>
          <w:sz w:val="20"/>
          <w:szCs w:val="20"/>
          <w:color w:val="auto"/>
        </w:rPr>
      </w:pPr>
    </w:p>
    <w:p>
      <w:pPr>
        <w:ind w:left="640" w:hanging="258"/>
        <w:spacing w:after="0"/>
        <w:tabs>
          <w:tab w:leader="none" w:pos="64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258"/>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5403" w:hanging="258"/>
        <w:spacing w:after="0" w:line="454" w:lineRule="auto"/>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7" w:hanging="237"/>
        <w:spacing w:after="0" w:line="207" w:lineRule="exact"/>
        <w:tabs>
          <w:tab w:leader="none" w:pos="237"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257" w:hanging="257"/>
        <w:spacing w:after="0" w:line="184" w:lineRule="exact"/>
        <w:tabs>
          <w:tab w:leader="none" w:pos="257" w:val="left"/>
        </w:tabs>
        <w:numPr>
          <w:ilvl w:val="0"/>
          <w:numId w:val="2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928" w:lineRule="exact"/>
        <w:rPr>
          <w:sz w:val="20"/>
          <w:szCs w:val="20"/>
          <w:color w:val="auto"/>
        </w:rPr>
      </w:pPr>
    </w:p>
    <w:p>
      <w:pPr>
        <w:sectPr>
          <w:pgSz w:w="11900" w:h="16838" w:orient="portrait"/>
          <w:cols w:equalWidth="0" w:num="2">
            <w:col w:w="9723" w:space="720"/>
            <w:col w:w="797"/>
          </w:cols>
          <w:pgMar w:left="320" w:top="1026" w:right="339" w:bottom="1440" w:gutter="0" w:footer="0" w:header="0"/>
          <w:type w:val="continuous"/>
        </w:sectPr>
      </w:pPr>
    </w:p>
    <w:tbl>
      <w:tblPr>
        <w:tblLayout w:type="fixed"/>
        <w:tblInd w:w="0" w:type="dxa"/>
        <w:tblCellMar>
          <w:top w:w="0" w:type="dxa"/>
          <w:left w:w="0" w:type="dxa"/>
          <w:bottom w:w="0" w:type="dxa"/>
          <w:right w:w="0" w:type="dxa"/>
        </w:tblCellMar>
      </w:tblPr>
      <w:tr>
        <w:trPr>
          <w:trHeight w:val="291"/>
        </w:trPr>
        <w:tc>
          <w:tcPr>
            <w:tcW w:w="22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8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22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0" w:type="dxa"/>
            <w:vAlign w:val="bottom"/>
          </w:tcPr>
          <w:p>
            <w:pPr>
              <w:spacing w:after="0"/>
              <w:rPr>
                <w:sz w:val="1"/>
                <w:szCs w:val="1"/>
                <w:color w:val="auto"/>
              </w:rPr>
            </w:pPr>
          </w:p>
        </w:tc>
      </w:tr>
      <w:tr>
        <w:trPr>
          <w:trHeight w:val="136"/>
        </w:trPr>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bottom w:val="single" w:sz="8" w:color="auto"/>
              <w:right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2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 PERSON</w:t>
            </w:r>
          </w:p>
        </w:tc>
        <w:tc>
          <w:tcPr>
            <w:tcW w:w="560" w:type="dxa"/>
            <w:vAlign w:val="bottom"/>
            <w:tcBorders>
              <w:right w:val="single" w:sz="8" w:color="auto"/>
            </w:tcBorders>
            <w:vMerge w:val="continue"/>
          </w:tcPr>
          <w:p>
            <w:pPr>
              <w:spacing w:after="0"/>
              <w:rPr>
                <w:sz w:val="18"/>
                <w:szCs w:val="18"/>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4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right="4040" w:hanging="258"/>
        <w:spacing w:after="0" w:line="481" w:lineRule="auto"/>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24,869,997 shares</w:t>
      </w:r>
    </w:p>
    <w:p>
      <w:pPr>
        <w:spacing w:after="0" w:line="2" w:lineRule="exact"/>
        <w:rPr>
          <w:sz w:val="20"/>
          <w:szCs w:val="20"/>
          <w:color w:val="auto"/>
        </w:rPr>
      </w:pPr>
    </w:p>
    <w:p>
      <w:pPr>
        <w:ind w:left="300"/>
        <w:spacing w:after="0" w:line="207" w:lineRule="exact"/>
        <w:tabs>
          <w:tab w:leader="none" w:pos="620" w:val="left"/>
          <w:tab w:leader="none" w:pos="104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74" w:lineRule="exact"/>
        <w:rPr>
          <w:sz w:val="20"/>
          <w:szCs w:val="20"/>
          <w:color w:val="auto"/>
        </w:rPr>
      </w:pPr>
    </w:p>
    <w:p>
      <w:pPr>
        <w:ind w:left="640" w:right="5540" w:hanging="338"/>
        <w:spacing w:after="0" w:line="498" w:lineRule="auto"/>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43.2%</w:t>
      </w:r>
    </w:p>
    <w:p>
      <w:pPr>
        <w:spacing w:after="0" w:line="5" w:lineRule="exact"/>
        <w:rPr>
          <w:rFonts w:ascii="Arial" w:cs="Arial" w:eastAsia="Arial" w:hAnsi="Arial"/>
          <w:sz w:val="18"/>
          <w:szCs w:val="18"/>
          <w:b w:val="1"/>
          <w:bCs w:val="1"/>
          <w:color w:val="auto"/>
        </w:rPr>
      </w:pPr>
    </w:p>
    <w:p>
      <w:pPr>
        <w:ind w:left="640" w:hanging="348"/>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4" w:name="page5"/>
    <w:bookmarkEnd w:id="4"/>
    <w:p>
      <w:pPr>
        <w:ind w:left="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6055" cy="283210"/>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6677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67766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40" w:hanging="258"/>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640" w:right="3443"/>
        <w:spacing w:after="0" w:line="490"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Patrick Kearney</w:t>
      </w:r>
    </w:p>
    <w:p>
      <w:pPr>
        <w:spacing w:after="0" w:line="4" w:lineRule="exact"/>
        <w:rPr>
          <w:sz w:val="20"/>
          <w:szCs w:val="20"/>
          <w:color w:val="auto"/>
        </w:rPr>
      </w:pPr>
    </w:p>
    <w:p>
      <w:pPr>
        <w:ind w:left="640" w:hanging="258"/>
        <w:spacing w:after="0"/>
        <w:tabs>
          <w:tab w:leader="none" w:pos="64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258"/>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5403" w:hanging="258"/>
        <w:spacing w:after="0" w:line="454" w:lineRule="auto"/>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7" w:hanging="237"/>
        <w:spacing w:after="0" w:line="207" w:lineRule="exact"/>
        <w:tabs>
          <w:tab w:leader="none" w:pos="237"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5" w:lineRule="exact"/>
        <w:rPr>
          <w:rFonts w:ascii="Arial" w:cs="Arial" w:eastAsia="Arial" w:hAnsi="Arial"/>
          <w:sz w:val="18"/>
          <w:szCs w:val="18"/>
          <w:color w:val="auto"/>
        </w:rPr>
      </w:pPr>
    </w:p>
    <w:p>
      <w:pPr>
        <w:ind w:left="257" w:hanging="257"/>
        <w:spacing w:after="0" w:line="184" w:lineRule="exact"/>
        <w:tabs>
          <w:tab w:leader="none" w:pos="257" w:val="left"/>
        </w:tabs>
        <w:numPr>
          <w:ilvl w:val="0"/>
          <w:numId w:val="28"/>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1928" w:lineRule="exact"/>
        <w:rPr>
          <w:sz w:val="20"/>
          <w:szCs w:val="20"/>
          <w:color w:val="auto"/>
        </w:rPr>
      </w:pPr>
    </w:p>
    <w:p>
      <w:pPr>
        <w:sectPr>
          <w:pgSz w:w="11900" w:h="16838" w:orient="portrait"/>
          <w:cols w:equalWidth="0" w:num="2">
            <w:col w:w="9723" w:space="720"/>
            <w:col w:w="797"/>
          </w:cols>
          <w:pgMar w:left="320" w:top="1026" w:right="339" w:bottom="1440" w:gutter="0" w:footer="0" w:header="0"/>
          <w:type w:val="continuous"/>
        </w:sectPr>
      </w:pPr>
    </w:p>
    <w:tbl>
      <w:tblPr>
        <w:tblLayout w:type="fixed"/>
        <w:tblInd w:w="0" w:type="dxa"/>
        <w:tblCellMar>
          <w:top w:w="0" w:type="dxa"/>
          <w:left w:w="0" w:type="dxa"/>
          <w:bottom w:w="0" w:type="dxa"/>
          <w:right w:w="0" w:type="dxa"/>
        </w:tblCellMar>
      </w:tblPr>
      <w:tr>
        <w:trPr>
          <w:trHeight w:val="291"/>
        </w:trPr>
        <w:tc>
          <w:tcPr>
            <w:tcW w:w="22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8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2260" w:type="dxa"/>
            <w:vAlign w:val="bottom"/>
            <w:tcBorders>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0" w:type="dxa"/>
            <w:vAlign w:val="bottom"/>
          </w:tcPr>
          <w:p>
            <w:pPr>
              <w:spacing w:after="0"/>
              <w:rPr>
                <w:sz w:val="1"/>
                <w:szCs w:val="1"/>
                <w:color w:val="auto"/>
              </w:rPr>
            </w:pPr>
          </w:p>
        </w:tc>
      </w:tr>
      <w:tr>
        <w:trPr>
          <w:trHeight w:val="136"/>
        </w:trPr>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bottom w:val="single" w:sz="8" w:color="auto"/>
              <w:right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26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 PERSON</w:t>
            </w:r>
          </w:p>
        </w:tc>
        <w:tc>
          <w:tcPr>
            <w:tcW w:w="560" w:type="dxa"/>
            <w:vAlign w:val="bottom"/>
            <w:tcBorders>
              <w:right w:val="single" w:sz="8" w:color="auto"/>
            </w:tcBorders>
            <w:vMerge w:val="continue"/>
          </w:tcPr>
          <w:p>
            <w:pPr>
              <w:spacing w:after="0"/>
              <w:rPr>
                <w:sz w:val="18"/>
                <w:szCs w:val="18"/>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84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22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260" w:type="dxa"/>
            <w:vAlign w:val="bottom"/>
            <w:tcBorders>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24,869,997 shares</w:t>
            </w:r>
          </w:p>
        </w:tc>
        <w:tc>
          <w:tcPr>
            <w:tcW w:w="0" w:type="dxa"/>
            <w:vAlign w:val="bottom"/>
          </w:tcPr>
          <w:p>
            <w:pPr>
              <w:spacing w:after="0"/>
              <w:rPr>
                <w:sz w:val="1"/>
                <w:szCs w:val="1"/>
                <w:color w:val="auto"/>
              </w:rPr>
            </w:pPr>
          </w:p>
        </w:tc>
      </w:tr>
      <w:tr>
        <w:trPr>
          <w:trHeight w:val="121"/>
        </w:trPr>
        <w:tc>
          <w:tcPr>
            <w:tcW w:w="22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hanging="258"/>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24,869,997 shares</w:t>
      </w:r>
    </w:p>
    <w:p>
      <w:pPr>
        <w:spacing w:after="0" w:line="192" w:lineRule="exact"/>
        <w:rPr>
          <w:sz w:val="20"/>
          <w:szCs w:val="20"/>
          <w:color w:val="auto"/>
        </w:rPr>
      </w:pPr>
    </w:p>
    <w:p>
      <w:pPr>
        <w:ind w:left="300"/>
        <w:spacing w:after="0" w:line="207" w:lineRule="exact"/>
        <w:tabs>
          <w:tab w:leader="none" w:pos="620" w:val="left"/>
          <w:tab w:leader="none" w:pos="104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74" w:lineRule="exact"/>
        <w:rPr>
          <w:sz w:val="20"/>
          <w:szCs w:val="20"/>
          <w:color w:val="auto"/>
        </w:rPr>
      </w:pPr>
    </w:p>
    <w:p>
      <w:pPr>
        <w:ind w:left="640" w:right="5540" w:hanging="338"/>
        <w:spacing w:after="0" w:line="498" w:lineRule="auto"/>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43.2%</w:t>
      </w:r>
    </w:p>
    <w:p>
      <w:pPr>
        <w:spacing w:after="0" w:line="5" w:lineRule="exact"/>
        <w:rPr>
          <w:rFonts w:ascii="Arial" w:cs="Arial" w:eastAsia="Arial" w:hAnsi="Arial"/>
          <w:sz w:val="18"/>
          <w:szCs w:val="18"/>
          <w:b w:val="1"/>
          <w:bCs w:val="1"/>
          <w:color w:val="auto"/>
        </w:rPr>
      </w:pPr>
    </w:p>
    <w:p>
      <w:pPr>
        <w:ind w:left="640" w:hanging="348"/>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0" w:type="dxa"/>
            <w:vAlign w:val="bottom"/>
          </w:tcPr>
          <w:p>
            <w:pPr>
              <w:ind w:left="380"/>
              <w:spacing w:after="0"/>
              <w:rPr>
                <w:sz w:val="20"/>
                <w:szCs w:val="20"/>
                <w:color w:val="auto"/>
              </w:rPr>
            </w:pPr>
            <w:r>
              <w:rPr>
                <w:rFonts w:ascii="Arial" w:cs="Arial" w:eastAsia="Arial" w:hAnsi="Arial"/>
                <w:sz w:val="18"/>
                <w:szCs w:val="18"/>
                <w:b w:val="1"/>
                <w:bCs w:val="1"/>
                <w:color w:val="auto"/>
              </w:rPr>
              <w:t>(a)</w:t>
            </w:r>
          </w:p>
        </w:tc>
        <w:tc>
          <w:tcPr>
            <w:tcW w:w="950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Sun Country Airlines Holdings, Inc.</w:t>
            </w:r>
          </w:p>
        </w:tc>
      </w:tr>
      <w:tr>
        <w:trPr>
          <w:trHeight w:val="418"/>
        </w:trPr>
        <w:tc>
          <w:tcPr>
            <w:tcW w:w="9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8"/>
                <w:szCs w:val="18"/>
                <w:b w:val="1"/>
                <w:bCs w:val="1"/>
                <w:color w:val="auto"/>
              </w:rPr>
              <w:t>(b)</w:t>
            </w:r>
          </w:p>
        </w:tc>
        <w:tc>
          <w:tcPr>
            <w:tcW w:w="9500" w:type="dxa"/>
            <w:vAlign w:val="bottom"/>
          </w:tcPr>
          <w:p>
            <w:pPr>
              <w:ind w:left="2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16"/>
        </w:trPr>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2005 Cargo Road</w:t>
            </w:r>
          </w:p>
        </w:tc>
      </w:tr>
      <w:tr>
        <w:trPr>
          <w:trHeight w:val="230"/>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Minneapolis, Minnesota 55450</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20" w:type="dxa"/>
            <w:vAlign w:val="bottom"/>
          </w:tcPr>
          <w:p>
            <w:pPr>
              <w:ind w:left="380"/>
              <w:spacing w:after="0"/>
              <w:rPr>
                <w:sz w:val="20"/>
                <w:szCs w:val="20"/>
                <w:color w:val="auto"/>
              </w:rPr>
            </w:pPr>
            <w:r>
              <w:rPr>
                <w:rFonts w:ascii="Arial" w:cs="Arial" w:eastAsia="Arial" w:hAnsi="Arial"/>
                <w:sz w:val="18"/>
                <w:szCs w:val="18"/>
                <w:b w:val="1"/>
                <w:bCs w:val="1"/>
                <w:color w:val="auto"/>
              </w:rPr>
              <w:t>(a)</w:t>
            </w:r>
          </w:p>
        </w:tc>
        <w:tc>
          <w:tcPr>
            <w:tcW w:w="950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This statement is filed by (i) SCA Horus Holdings, LLC (“Apollo Stockholder”); (ii) AP VIII (SCA Stock AIV), LLC, (iii)</w:t>
            </w:r>
          </w:p>
        </w:tc>
      </w:tr>
      <w:tr>
        <w:trPr>
          <w:trHeight w:val="230"/>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w w:val="97"/>
              </w:rPr>
              <w:t>Antoine Munfakh, and (iv) Patrick Kearney. The foregoing are collectively referred to herein as the “Reporting Persons.”</w:t>
            </w:r>
          </w:p>
        </w:tc>
      </w:tr>
      <w:tr>
        <w:trPr>
          <w:trHeight w:val="418"/>
        </w:trPr>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w w:val="99"/>
              </w:rPr>
              <w:t>The Apollo Stockholder holds securities of the Issuer. AP VIII (SCA Stock AIV), LLC is the sole member of the Apollo</w:t>
            </w:r>
          </w:p>
        </w:tc>
      </w:tr>
      <w:tr>
        <w:trPr>
          <w:trHeight w:val="230"/>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Stockholder. Antoine Munfakh and Patrick Kearney are the directors of AP VIII (SCA Stock AIV), LLC.</w:t>
            </w:r>
          </w:p>
        </w:tc>
      </w:tr>
      <w:tr>
        <w:trPr>
          <w:trHeight w:val="418"/>
        </w:trPr>
        <w:tc>
          <w:tcPr>
            <w:tcW w:w="9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8"/>
                <w:szCs w:val="18"/>
                <w:b w:val="1"/>
                <w:bCs w:val="1"/>
                <w:color w:val="auto"/>
              </w:rPr>
              <w:t>(b)</w:t>
            </w:r>
          </w:p>
        </w:tc>
        <w:tc>
          <w:tcPr>
            <w:tcW w:w="9500" w:type="dxa"/>
            <w:vAlign w:val="bottom"/>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16"/>
        </w:trPr>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w w:val="92"/>
              </w:rPr>
              <w:t>The address of the principal office of each of the Apollo Stockholder and Messrs. Munfakh and Kearney is 9 West 57th Street,</w:t>
            </w:r>
          </w:p>
        </w:tc>
      </w:tr>
      <w:tr>
        <w:trPr>
          <w:trHeight w:val="216"/>
        </w:trPr>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43rd Floor, New York, New York 10019. The address of the principal office of AP VIII (SCA Stock AIV), LLC is One</w:t>
            </w:r>
          </w:p>
        </w:tc>
      </w:tr>
      <w:tr>
        <w:trPr>
          <w:trHeight w:val="230"/>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Manhattanville Road, Suite 201, Purchase, New York 10577.</w:t>
            </w:r>
          </w:p>
        </w:tc>
      </w:tr>
      <w:tr>
        <w:trPr>
          <w:trHeight w:val="418"/>
        </w:trPr>
        <w:tc>
          <w:tcPr>
            <w:tcW w:w="9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8"/>
                <w:szCs w:val="18"/>
                <w:b w:val="1"/>
                <w:bCs w:val="1"/>
                <w:color w:val="auto"/>
              </w:rPr>
              <w:t>(c)</w:t>
            </w:r>
          </w:p>
        </w:tc>
        <w:tc>
          <w:tcPr>
            <w:tcW w:w="950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w w:val="94"/>
              </w:rPr>
              <w:t>The Apollo Stockholder and AP VIII (SCA Stock AIV), LLC are each a Delaware limited liability company. Messrs. Munfakh</w:t>
            </w:r>
          </w:p>
        </w:tc>
      </w:tr>
      <w:tr>
        <w:trPr>
          <w:trHeight w:val="230"/>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and Kearney are each United States citizens.</w:t>
            </w:r>
          </w:p>
        </w:tc>
      </w:tr>
      <w:tr>
        <w:trPr>
          <w:trHeight w:val="418"/>
        </w:trPr>
        <w:tc>
          <w:tcPr>
            <w:tcW w:w="9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8"/>
                <w:szCs w:val="18"/>
                <w:b w:val="1"/>
                <w:bCs w:val="1"/>
                <w:color w:val="auto"/>
              </w:rPr>
              <w:t>(d)</w:t>
            </w:r>
          </w:p>
        </w:tc>
        <w:tc>
          <w:tcPr>
            <w:tcW w:w="950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Common Stock, par value $0.01 per share (the “Common Stock”).</w:t>
            </w:r>
          </w:p>
        </w:tc>
      </w:tr>
      <w:tr>
        <w:trPr>
          <w:trHeight w:val="418"/>
        </w:trPr>
        <w:tc>
          <w:tcPr>
            <w:tcW w:w="9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8"/>
                <w:szCs w:val="18"/>
                <w:b w:val="1"/>
                <w:bCs w:val="1"/>
                <w:color w:val="auto"/>
              </w:rPr>
              <w:t>(e)</w:t>
            </w:r>
          </w:p>
        </w:tc>
        <w:tc>
          <w:tcPr>
            <w:tcW w:w="950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500" w:type="dxa"/>
            <w:vAlign w:val="bottom"/>
          </w:tcPr>
          <w:p>
            <w:pPr>
              <w:ind w:left="220"/>
              <w:spacing w:after="0"/>
              <w:rPr>
                <w:sz w:val="20"/>
                <w:szCs w:val="20"/>
                <w:color w:val="auto"/>
              </w:rPr>
            </w:pPr>
            <w:r>
              <w:rPr>
                <w:rFonts w:ascii="Arial" w:cs="Arial" w:eastAsia="Arial" w:hAnsi="Arial"/>
                <w:sz w:val="18"/>
                <w:szCs w:val="18"/>
                <w:color w:val="auto"/>
              </w:rPr>
              <w:t>866683105</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20" w:type="dxa"/>
            <w:vAlign w:val="bottom"/>
            <w:gridSpan w:val="2"/>
          </w:tcPr>
          <w:p>
            <w:pPr>
              <w:ind w:left="38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230"/>
        </w:trPr>
        <w:tc>
          <w:tcPr>
            <w:tcW w:w="920" w:type="dxa"/>
            <w:vAlign w:val="bottom"/>
          </w:tcPr>
          <w:p>
            <w:pPr>
              <w:spacing w:after="0"/>
              <w:rPr>
                <w:sz w:val="20"/>
                <w:szCs w:val="20"/>
                <w:color w:val="auto"/>
              </w:rPr>
            </w:pPr>
          </w:p>
        </w:tc>
        <w:tc>
          <w:tcPr>
            <w:tcW w:w="10320" w:type="dxa"/>
            <w:vAlign w:val="bottom"/>
            <w:gridSpan w:val="2"/>
          </w:tcPr>
          <w:p>
            <w:pPr>
              <w:ind w:left="380"/>
              <w:spacing w:after="0"/>
              <w:rPr>
                <w:sz w:val="20"/>
                <w:szCs w:val="20"/>
                <w:color w:val="auto"/>
              </w:rPr>
            </w:pPr>
            <w:r>
              <w:rPr>
                <w:rFonts w:ascii="Arial" w:cs="Arial" w:eastAsia="Arial" w:hAnsi="Arial"/>
                <w:sz w:val="18"/>
                <w:szCs w:val="18"/>
                <w:color w:val="auto"/>
              </w:rPr>
              <w:t>Not applicable.</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320" w:type="dxa"/>
            <w:vAlign w:val="bottom"/>
            <w:gridSpan w:val="2"/>
          </w:tcPr>
          <w:p>
            <w:pPr>
              <w:ind w:left="380"/>
              <w:spacing w:after="0"/>
              <w:rPr>
                <w:sz w:val="20"/>
                <w:szCs w:val="20"/>
                <w:color w:val="auto"/>
              </w:rPr>
            </w:pPr>
            <w:r>
              <w:rPr>
                <w:rFonts w:ascii="Arial" w:cs="Arial" w:eastAsia="Arial" w:hAnsi="Arial"/>
                <w:sz w:val="18"/>
                <w:szCs w:val="18"/>
                <w:b w:val="1"/>
                <w:bCs w:val="1"/>
                <w:color w:val="auto"/>
              </w:rPr>
              <w:t>Ownership.</w:t>
            </w:r>
          </w:p>
        </w:tc>
      </w:tr>
      <w:tr>
        <w:trPr>
          <w:trHeight w:val="432"/>
        </w:trPr>
        <w:tc>
          <w:tcPr>
            <w:tcW w:w="9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Arial" w:cs="Arial" w:eastAsia="Arial" w:hAnsi="Arial"/>
                <w:sz w:val="18"/>
                <w:szCs w:val="18"/>
                <w:b w:val="1"/>
                <w:bCs w:val="1"/>
                <w:color w:val="auto"/>
              </w:rPr>
              <w:t>(a)</w:t>
            </w:r>
          </w:p>
        </w:tc>
        <w:tc>
          <w:tcPr>
            <w:tcW w:w="9500" w:type="dxa"/>
            <w:vAlign w:val="bottom"/>
          </w:tcPr>
          <w:p>
            <w:pPr>
              <w:ind w:left="220"/>
              <w:spacing w:after="0"/>
              <w:rPr>
                <w:sz w:val="20"/>
                <w:szCs w:val="20"/>
                <w:color w:val="auto"/>
              </w:rPr>
            </w:pPr>
            <w:r>
              <w:rPr>
                <w:rFonts w:ascii="Arial" w:cs="Arial" w:eastAsia="Arial" w:hAnsi="Arial"/>
                <w:sz w:val="18"/>
                <w:szCs w:val="18"/>
                <w:b w:val="1"/>
                <w:bCs w:val="1"/>
                <w:color w:val="auto"/>
              </w:rPr>
              <w:t>Amount beneficially owned:</w:t>
            </w:r>
          </w:p>
        </w:tc>
      </w:tr>
    </w:tbl>
    <w:p>
      <w:pPr>
        <w:spacing w:after="0" w:line="216"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Apollo Stockholder</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AP VIII (SCA Stock AIV), LLC</w:t>
            </w:r>
          </w:p>
        </w:tc>
        <w:tc>
          <w:tcPr>
            <w:tcW w:w="3180" w:type="dxa"/>
            <w:vAlign w:val="bottom"/>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Patrick Kearney</w:t>
            </w:r>
          </w:p>
        </w:tc>
        <w:tc>
          <w:tcPr>
            <w:tcW w:w="3180" w:type="dxa"/>
            <w:vAlign w:val="bottom"/>
          </w:tcPr>
          <w:p>
            <w:pPr>
              <w:jc w:val="right"/>
              <w:spacing w:after="0"/>
              <w:rPr>
                <w:sz w:val="20"/>
                <w:szCs w:val="20"/>
                <w:color w:val="auto"/>
              </w:rPr>
            </w:pPr>
            <w:r>
              <w:rPr>
                <w:rFonts w:ascii="Arial" w:cs="Arial" w:eastAsia="Arial" w:hAnsi="Arial"/>
                <w:sz w:val="18"/>
                <w:szCs w:val="18"/>
                <w:color w:val="auto"/>
              </w:rPr>
              <w:t>24,869,997</w:t>
            </w:r>
          </w:p>
        </w:tc>
      </w:tr>
    </w:tbl>
    <w:p>
      <w:pPr>
        <w:spacing w:after="0" w:line="187" w:lineRule="exact"/>
        <w:rPr>
          <w:sz w:val="20"/>
          <w:szCs w:val="20"/>
          <w:color w:val="auto"/>
        </w:rPr>
      </w:pPr>
    </w:p>
    <w:p>
      <w:pPr>
        <w:jc w:val="both"/>
        <w:ind w:left="1960"/>
        <w:spacing w:after="0" w:line="311" w:lineRule="auto"/>
        <w:rPr>
          <w:sz w:val="20"/>
          <w:szCs w:val="20"/>
          <w:color w:val="auto"/>
        </w:rPr>
      </w:pPr>
      <w:r>
        <w:rPr>
          <w:rFonts w:ascii="Arial" w:cs="Arial" w:eastAsia="Arial" w:hAnsi="Arial"/>
          <w:sz w:val="16"/>
          <w:szCs w:val="16"/>
          <w:color w:val="auto"/>
        </w:rPr>
        <w:t>Each of the reporting persons disclaims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13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(b)</w:t>
            </w:r>
          </w:p>
        </w:tc>
        <w:tc>
          <w:tcPr>
            <w:tcW w:w="4860" w:type="dxa"/>
            <w:vAlign w:val="bottom"/>
          </w:tcPr>
          <w:p>
            <w:pPr>
              <w:spacing w:after="0"/>
              <w:rPr>
                <w:sz w:val="20"/>
                <w:szCs w:val="20"/>
                <w:color w:val="auto"/>
              </w:rPr>
            </w:pPr>
            <w:r>
              <w:rPr>
                <w:rFonts w:ascii="Arial" w:cs="Arial" w:eastAsia="Arial" w:hAnsi="Arial"/>
                <w:sz w:val="18"/>
                <w:szCs w:val="18"/>
                <w:b w:val="1"/>
                <w:bCs w:val="1"/>
                <w:color w:val="auto"/>
              </w:rPr>
              <w:t>Percent of class:</w:t>
            </w:r>
          </w:p>
        </w:tc>
        <w:tc>
          <w:tcPr>
            <w:tcW w:w="29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Apollo Stockholder</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AP VIII (SCA Stock AIV), LLC</w:t>
            </w:r>
          </w:p>
        </w:tc>
        <w:tc>
          <w:tcPr>
            <w:tcW w:w="29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Patrick Kearney</w:t>
            </w:r>
          </w:p>
        </w:tc>
        <w:tc>
          <w:tcPr>
            <w:tcW w:w="2980" w:type="dxa"/>
            <w:vAlign w:val="bottom"/>
          </w:tcPr>
          <w:p>
            <w:pPr>
              <w:jc w:val="right"/>
              <w:spacing w:after="0"/>
              <w:rPr>
                <w:sz w:val="20"/>
                <w:szCs w:val="20"/>
                <w:color w:val="auto"/>
              </w:rPr>
            </w:pPr>
            <w:r>
              <w:rPr>
                <w:rFonts w:ascii="Arial" w:cs="Arial" w:eastAsia="Arial" w:hAnsi="Arial"/>
                <w:sz w:val="18"/>
                <w:szCs w:val="18"/>
                <w:color w:val="auto"/>
              </w:rPr>
              <w:t>43.2%</w:t>
            </w:r>
          </w:p>
        </w:tc>
      </w:tr>
    </w:tbl>
    <w:p>
      <w:pPr>
        <w:spacing w:after="0" w:line="18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The percentages are based on 57,551,741 shares of Common Stock outstanding as of September 30, 2021, as disclosed in the Issuer’s Quarterly Report on Form 10-Q filed on November 1, 2021.</w:t>
      </w:r>
    </w:p>
    <w:p>
      <w:pPr>
        <w:spacing w:after="0" w:line="166" w:lineRule="exact"/>
        <w:rPr>
          <w:sz w:val="20"/>
          <w:szCs w:val="20"/>
          <w:color w:val="auto"/>
        </w:rPr>
      </w:pPr>
    </w:p>
    <w:p>
      <w:pPr>
        <w:ind w:left="1960" w:hanging="656"/>
        <w:spacing w:after="0"/>
        <w:tabs>
          <w:tab w:leader="none" w:pos="19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9" w:lineRule="exact"/>
        <w:rPr>
          <w:rFonts w:ascii="Arial" w:cs="Arial" w:eastAsia="Arial" w:hAnsi="Arial"/>
          <w:sz w:val="18"/>
          <w:szCs w:val="18"/>
          <w:b w:val="1"/>
          <w:bCs w:val="1"/>
          <w:color w:val="auto"/>
        </w:rPr>
      </w:pPr>
    </w:p>
    <w:p>
      <w:pPr>
        <w:ind w:left="2600" w:hanging="648"/>
        <w:spacing w:after="0"/>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10" w:lineRule="exact"/>
        <w:rPr>
          <w:rFonts w:ascii="Arial" w:cs="Arial" w:eastAsia="Arial" w:hAnsi="Arial"/>
          <w:sz w:val="18"/>
          <w:szCs w:val="18"/>
          <w:color w:val="auto"/>
        </w:rPr>
      </w:pPr>
    </w:p>
    <w:p>
      <w:pPr>
        <w:ind w:left="2600" w:hanging="648"/>
        <w:spacing w:after="0"/>
        <w:tabs>
          <w:tab w:leader="none" w:pos="2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9"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Apollo Stockholder</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AP VIII (SCA Stock AIV), LLC</w:t>
            </w:r>
          </w:p>
        </w:tc>
        <w:tc>
          <w:tcPr>
            <w:tcW w:w="3180" w:type="dxa"/>
            <w:vAlign w:val="bottom"/>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Patrick Kearney</w:t>
            </w:r>
          </w:p>
        </w:tc>
        <w:tc>
          <w:tcPr>
            <w:tcW w:w="3180" w:type="dxa"/>
            <w:vAlign w:val="bottom"/>
          </w:tcPr>
          <w:p>
            <w:pPr>
              <w:jc w:val="right"/>
              <w:spacing w:after="0"/>
              <w:rPr>
                <w:sz w:val="20"/>
                <w:szCs w:val="20"/>
                <w:color w:val="auto"/>
              </w:rPr>
            </w:pPr>
            <w:r>
              <w:rPr>
                <w:rFonts w:ascii="Arial" w:cs="Arial" w:eastAsia="Arial" w:hAnsi="Arial"/>
                <w:sz w:val="18"/>
                <w:szCs w:val="18"/>
                <w:color w:val="auto"/>
              </w:rPr>
              <w:t>24,869,997</w:t>
            </w:r>
          </w:p>
        </w:tc>
      </w:tr>
    </w:tbl>
    <w:p>
      <w:pPr>
        <w:spacing w:after="0" w:line="187" w:lineRule="exact"/>
        <w:rPr>
          <w:sz w:val="20"/>
          <w:szCs w:val="20"/>
          <w:color w:val="auto"/>
        </w:rPr>
      </w:pPr>
    </w:p>
    <w:p>
      <w:pPr>
        <w:ind w:left="2600" w:hanging="648"/>
        <w:spacing w:after="0"/>
        <w:tabs>
          <w:tab w:leader="none" w:pos="2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10" w:lineRule="exact"/>
        <w:rPr>
          <w:rFonts w:ascii="Arial" w:cs="Arial" w:eastAsia="Arial" w:hAnsi="Arial"/>
          <w:sz w:val="18"/>
          <w:szCs w:val="18"/>
          <w:color w:val="auto"/>
        </w:rPr>
      </w:pPr>
    </w:p>
    <w:p>
      <w:pPr>
        <w:ind w:left="2600" w:hanging="648"/>
        <w:spacing w:after="0"/>
        <w:tabs>
          <w:tab w:leader="none" w:pos="2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9"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Apollo Stockholder</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AP VIII (SCA Stock AIV), LLC</w:t>
            </w:r>
          </w:p>
        </w:tc>
        <w:tc>
          <w:tcPr>
            <w:tcW w:w="3180" w:type="dxa"/>
            <w:vAlign w:val="bottom"/>
          </w:tcPr>
          <w:p>
            <w:pPr>
              <w:jc w:val="right"/>
              <w:spacing w:after="0"/>
              <w:rPr>
                <w:sz w:val="20"/>
                <w:szCs w:val="20"/>
                <w:color w:val="auto"/>
              </w:rPr>
            </w:pPr>
            <w:r>
              <w:rPr>
                <w:rFonts w:ascii="Arial" w:cs="Arial" w:eastAsia="Arial" w:hAnsi="Arial"/>
                <w:sz w:val="18"/>
                <w:szCs w:val="18"/>
                <w:color w:val="auto"/>
              </w:rPr>
              <w:t>24,869,997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Antoine Munfakh</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24,869,997</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Patrick Kearney</w:t>
            </w:r>
          </w:p>
        </w:tc>
        <w:tc>
          <w:tcPr>
            <w:tcW w:w="3180" w:type="dxa"/>
            <w:vAlign w:val="bottom"/>
          </w:tcPr>
          <w:p>
            <w:pPr>
              <w:jc w:val="right"/>
              <w:spacing w:after="0"/>
              <w:rPr>
                <w:sz w:val="20"/>
                <w:szCs w:val="20"/>
                <w:color w:val="auto"/>
              </w:rPr>
            </w:pPr>
            <w:r>
              <w:rPr>
                <w:rFonts w:ascii="Arial" w:cs="Arial" w:eastAsia="Arial" w:hAnsi="Arial"/>
                <w:sz w:val="18"/>
                <w:szCs w:val="18"/>
                <w:color w:val="auto"/>
              </w:rPr>
              <w:t>24,869,997</w:t>
            </w:r>
          </w:p>
        </w:tc>
      </w:tr>
    </w:tbl>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left="1300" w:right="2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1300" w:right="20" w:hanging="1295"/>
        <w:spacing w:after="0" w:line="261"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not acquired and are not</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432"/>
        </w:trPr>
        <w:tc>
          <w:tcPr>
            <w:tcW w:w="980" w:type="dxa"/>
            <w:vAlign w:val="bottom"/>
          </w:tcPr>
          <w:p>
            <w:pPr>
              <w:spacing w:after="0"/>
              <w:rPr>
                <w:sz w:val="24"/>
                <w:szCs w:val="24"/>
                <w:color w:val="auto"/>
              </w:rPr>
            </w:pPr>
          </w:p>
        </w:tc>
        <w:tc>
          <w:tcPr>
            <w:tcW w:w="10260" w:type="dxa"/>
            <w:vAlign w:val="bottom"/>
          </w:tcPr>
          <w:p>
            <w:pPr>
              <w:ind w:left="2660"/>
              <w:spacing w:after="0"/>
              <w:rPr>
                <w:sz w:val="20"/>
                <w:szCs w:val="20"/>
                <w:color w:val="auto"/>
              </w:rPr>
            </w:pPr>
            <w:r>
              <w:rPr>
                <w:rFonts w:ascii="Arial" w:cs="Arial" w:eastAsia="Arial" w:hAnsi="Arial"/>
                <w:sz w:val="18"/>
                <w:szCs w:val="18"/>
                <w:color w:val="auto"/>
              </w:rPr>
              <w:t>[The remainder of this page is intentionally left blank.]</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SCA HORUS HOLDINGS, LLC</w:t>
      </w:r>
    </w:p>
    <w:p>
      <w:pPr>
        <w:spacing w:after="0" w:line="225" w:lineRule="exact"/>
        <w:rPr>
          <w:sz w:val="20"/>
          <w:szCs w:val="20"/>
          <w:color w:val="auto"/>
        </w:rPr>
      </w:pPr>
    </w:p>
    <w:p>
      <w:pPr>
        <w:ind w:left="5400"/>
        <w:spacing w:after="0"/>
        <w:tabs>
          <w:tab w:leader="none" w:pos="5860" w:val="left"/>
        </w:tabs>
        <w:rPr>
          <w:sz w:val="20"/>
          <w:szCs w:val="20"/>
          <w:color w:val="auto"/>
        </w:rPr>
      </w:pPr>
      <w:r>
        <w:rPr>
          <w:rFonts w:ascii="Arial" w:cs="Arial" w:eastAsia="Arial" w:hAnsi="Arial"/>
          <w:sz w:val="18"/>
          <w:szCs w:val="18"/>
          <w:color w:val="auto"/>
        </w:rPr>
        <w:t>By:</w:t>
        <w:tab/>
        <w:t>AP VIII (SCA Stock AIV), LLC,</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its sole shareholder</w:t>
      </w:r>
    </w:p>
    <w:p>
      <w:pPr>
        <w:spacing w:after="0" w:line="211" w:lineRule="exact"/>
        <w:rPr>
          <w:sz w:val="20"/>
          <w:szCs w:val="20"/>
          <w:color w:val="auto"/>
        </w:rPr>
      </w:pPr>
    </w:p>
    <w:tbl>
      <w:tblPr>
        <w:tblLayout w:type="fixed"/>
        <w:tblInd w:w="58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D. Medley</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Laurie D. Medley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AP VIII (SCA Stock AIV), LLC</w:t>
      </w:r>
    </w:p>
    <w:p>
      <w:pPr>
        <w:spacing w:after="0" w:line="225" w:lineRule="exact"/>
        <w:rPr>
          <w:sz w:val="20"/>
          <w:szCs w:val="20"/>
          <w:color w:val="auto"/>
        </w:rPr>
      </w:pPr>
    </w:p>
    <w:p>
      <w:pPr>
        <w:ind w:left="5400"/>
        <w:spacing w:after="0"/>
        <w:tabs>
          <w:tab w:leader="none" w:pos="5860" w:val="left"/>
        </w:tabs>
        <w:rPr>
          <w:sz w:val="20"/>
          <w:szCs w:val="20"/>
          <w:color w:val="auto"/>
        </w:rPr>
      </w:pPr>
      <w:r>
        <w:rPr>
          <w:rFonts w:ascii="Arial" w:cs="Arial" w:eastAsia="Arial" w:hAnsi="Arial"/>
          <w:sz w:val="18"/>
          <w:szCs w:val="18"/>
          <w:color w:val="auto"/>
        </w:rPr>
        <w:t>By:</w:t>
        <w:tab/>
        <w:t>/s/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4029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Name:Laurie D. Medley</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ANTOINE MUNFAKH</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14605</wp:posOffset>
            </wp:positionV>
            <wp:extent cx="3711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1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PATRICK KEARNEY</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14605</wp:posOffset>
            </wp:positionV>
            <wp:extent cx="3711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 COUNTRY AIRLINES HOLDINGS, INC..</w:t>
      </w:r>
    </w:p>
    <w:p>
      <w:pPr>
        <w:spacing w:after="0" w:line="21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hereby confirm the agreement by and among them to the joint filing on behalf of them of the Statement on Schedule 13G and any and all further amendments thereto, with respect to the securities of the above referenced issuer, and that this Agreement be included as an Exhibit to such filing. This Agreement may be executed in any number of counterparts each of which shall be deemed to be an original and all of which together shall be deemed to constitute one and the same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as of February 14, 2022.</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SCA HORUS HOLDINGS, LLC</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AP VIII (SCA Stock AIV), LLC,</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sole shareholder</w:t>
      </w:r>
    </w:p>
    <w:p>
      <w:pPr>
        <w:spacing w:after="0" w:line="211"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D. Medley</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Laurie D. Medley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AP VIII (SCA Stock AIV), LLC</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Laurie D. Medley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Name:Laurie D. Medley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ANTOINE MUNFAKH</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83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PATRICK KEARNEY</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833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2"/>
      <w:numFmt w:val="bullet"/>
      <w:start w:val="1"/>
    </w:lvl>
  </w:abstractNum>
  <w:abstractNum w:abstractNumId="4">
    <w:nsid w:val="3F2DBA31"/>
    <w:multiLevelType w:val="hybridMultilevel"/>
    <w:lvl w:ilvl="0">
      <w:lvlJc w:val="left"/>
      <w:lvlText w:val="3"/>
      <w:numFmt w:val="bullet"/>
      <w:start w:val="1"/>
    </w:lvl>
  </w:abstractNum>
  <w:abstractNum w:abstractNumId="5">
    <w:nsid w:val="7C83E458"/>
    <w:multiLevelType w:val="hybridMultilevel"/>
    <w:lvl w:ilvl="0">
      <w:lvlJc w:val="left"/>
      <w:lvlText w:val="4"/>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9"/>
      <w:numFmt w:val="bullet"/>
      <w:start w:val="1"/>
    </w:lvl>
  </w:abstractNum>
  <w:abstractNum w:abstractNumId="8">
    <w:nsid w:val="436C6125"/>
    <w:multiLevelType w:val="hybridMultilevel"/>
    <w:lvl w:ilvl="0">
      <w:lvlJc w:val="left"/>
      <w:lvlText w:val="%1"/>
      <w:numFmt w:val="decimal"/>
      <w:start w:val="11"/>
    </w:lvl>
  </w:abstractNum>
  <w:abstractNum w:abstractNumId="9">
    <w:nsid w:val="628C895D"/>
    <w:multiLevelType w:val="hybridMultilevel"/>
    <w:lvl w:ilvl="0">
      <w:lvlJc w:val="left"/>
      <w:lvlText w:val="1"/>
      <w:numFmt w:val="bullet"/>
      <w:start w:val="1"/>
    </w:lvl>
  </w:abstractNum>
  <w:abstractNum w:abstractNumId="10">
    <w:nsid w:val="333AB105"/>
    <w:multiLevelType w:val="hybridMultilevel"/>
    <w:lvl w:ilvl="0">
      <w:lvlJc w:val="left"/>
      <w:lvlText w:val="2"/>
      <w:numFmt w:val="bullet"/>
      <w:start w:val="1"/>
    </w:lvl>
  </w:abstractNum>
  <w:abstractNum w:abstractNumId="11">
    <w:nsid w:val="721DA317"/>
    <w:multiLevelType w:val="hybridMultilevel"/>
    <w:lvl w:ilvl="0">
      <w:lvlJc w:val="left"/>
      <w:lvlText w:val="3"/>
      <w:numFmt w:val="bullet"/>
      <w:start w:val="1"/>
    </w:lvl>
  </w:abstractNum>
  <w:abstractNum w:abstractNumId="12">
    <w:nsid w:val="2443A858"/>
    <w:multiLevelType w:val="hybridMultilevel"/>
    <w:lvl w:ilvl="0">
      <w:lvlJc w:val="left"/>
      <w:lvlText w:val="4"/>
      <w:numFmt w:val="bullet"/>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9"/>
      <w:numFmt w:val="bullet"/>
      <w:start w:val="1"/>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2"/>
      <w:numFmt w:val="bullet"/>
      <w:start w:val="1"/>
    </w:lvl>
  </w:abstractNum>
  <w:abstractNum w:abstractNumId="18">
    <w:nsid w:val="4353D0CD"/>
    <w:multiLevelType w:val="hybridMultilevel"/>
    <w:lvl w:ilvl="0">
      <w:lvlJc w:val="left"/>
      <w:lvlText w:val="3"/>
      <w:numFmt w:val="bullet"/>
      <w:start w:val="1"/>
    </w:lvl>
  </w:abstractNum>
  <w:abstractNum w:abstractNumId="19">
    <w:nsid w:val="B03E0C6"/>
    <w:multiLevelType w:val="hybridMultilevel"/>
    <w:lvl w:ilvl="0">
      <w:lvlJc w:val="left"/>
      <w:lvlText w:val="4"/>
      <w:numFmt w:val="bullet"/>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9"/>
      <w:numFmt w:val="bullet"/>
      <w:start w:val="1"/>
    </w:lvl>
  </w:abstractNum>
  <w:abstractNum w:abstractNumId="22">
    <w:nsid w:val="71F32454"/>
    <w:multiLevelType w:val="hybridMultilevel"/>
    <w:lvl w:ilvl="0">
      <w:lvlJc w:val="left"/>
      <w:lvlText w:val="%1"/>
      <w:numFmt w:val="decimal"/>
      <w:start w:val="11"/>
    </w:lvl>
  </w:abstractNum>
  <w:abstractNum w:abstractNumId="23">
    <w:nsid w:val="2CA88611"/>
    <w:multiLevelType w:val="hybridMultilevel"/>
    <w:lvl w:ilvl="0">
      <w:lvlJc w:val="left"/>
      <w:lvlText w:val="1"/>
      <w:numFmt w:val="bullet"/>
      <w:start w:val="1"/>
    </w:lvl>
  </w:abstractNum>
  <w:abstractNum w:abstractNumId="24">
    <w:nsid w:val="836C40E"/>
    <w:multiLevelType w:val="hybridMultilevel"/>
    <w:lvl w:ilvl="0">
      <w:lvlJc w:val="left"/>
      <w:lvlText w:val="2"/>
      <w:numFmt w:val="bullet"/>
      <w:start w:val="1"/>
    </w:lvl>
  </w:abstractNum>
  <w:abstractNum w:abstractNumId="25">
    <w:nsid w:val="2901D82"/>
    <w:multiLevelType w:val="hybridMultilevel"/>
    <w:lvl w:ilvl="0">
      <w:lvlJc w:val="left"/>
      <w:lvlText w:val="3"/>
      <w:numFmt w:val="bullet"/>
      <w:start w:val="1"/>
    </w:lvl>
  </w:abstractNum>
  <w:abstractNum w:abstractNumId="26">
    <w:nsid w:val="3A95F874"/>
    <w:multiLevelType w:val="hybridMultilevel"/>
    <w:lvl w:ilvl="0">
      <w:lvlJc w:val="left"/>
      <w:lvlText w:val="4"/>
      <w:numFmt w:val="bullet"/>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9"/>
      <w:numFmt w:val="bullet"/>
      <w:start w:val="1"/>
    </w:lvl>
  </w:abstractNum>
  <w:abstractNum w:abstractNumId="29">
    <w:nsid w:val="7C3DBD3D"/>
    <w:multiLevelType w:val="hybridMultilevel"/>
    <w:lvl w:ilvl="0">
      <w:lvlJc w:val="left"/>
      <w:lvlText w:val="%1"/>
      <w:numFmt w:val="decimal"/>
      <w:start w:val="11"/>
    </w:lvl>
  </w:abstractNum>
  <w:abstractNum w:abstractNumId="30">
    <w:nsid w:val="737B8DDC"/>
    <w:multiLevelType w:val="hybridMultilevel"/>
    <w:lvl w:ilvl="0">
      <w:lvlJc w:val="left"/>
      <w:lvlText w:val="(%1)"/>
      <w:numFmt w:val="lowerLetter"/>
      <w:start w:val="3"/>
    </w:lvl>
    <w:lvl w:ilvl="1">
      <w:lvlJc w:val="left"/>
      <w:lvlText w:val="(%2)"/>
      <w:numFmt w:val="lowerRoman"/>
      <w:start w:val="1"/>
    </w:lvl>
  </w:abstractNum>
  <w:abstractNum w:abstractNumId="31">
    <w:nsid w:val="6CEAF08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2022-02-14T16:15:25Z</dcterms:created>
  <dcterms:modified xsi:type="dcterms:W3CDTF">2022-02-14T16:15:25Z</dcterms:modified>
</cp:coreProperties>
</file>