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48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856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Whitney Grant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1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SNCY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87"/>
        <w:spacing w:after="0"/>
        <w:rPr>
          <w:sz w:val="20"/>
          <w:szCs w:val="20"/>
          <w:color w:val="auto"/>
        </w:rPr>
      </w:pPr>
      <w:r>
        <w:rPr>
          <w:rFonts w:ascii="Times New Roman" w:cs="Times New Roman" w:eastAsia="Times New Roman" w:hAnsi="Times New Roman"/>
          <w:sz w:val="17"/>
          <w:szCs w:val="17"/>
          <w:color w:val="0000FF"/>
        </w:rPr>
        <w:t>Chief Revenue Officer &amp; EVP</w:t>
      </w:r>
    </w:p>
    <w:p>
      <w:pPr>
        <w:spacing w:after="0" w:line="301" w:lineRule="exact"/>
        <w:rPr>
          <w:sz w:val="24"/>
          <w:szCs w:val="24"/>
          <w:color w:val="auto"/>
        </w:rPr>
      </w:pPr>
    </w:p>
    <w:p>
      <w:pPr>
        <w:sectPr>
          <w:pgSz w:w="11900" w:h="16838" w:orient="portrait"/>
          <w:cols w:equalWidth="0" w:num="3">
            <w:col w:w="3700" w:space="200"/>
            <w:col w:w="3700" w:space="127"/>
            <w:col w:w="3353"/>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MINNEAPOLIS</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7"/>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12,393</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12,393</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07/31/2029</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w:t>
            </w:r>
          </w:p>
        </w:tc>
        <w:tc>
          <w:tcPr>
            <w:tcW w:w="94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118,050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31, 2019, the reporting person was granted an option to purchase 165,232 shares of common stock. The option vests in six installments based on Sun Country's satisfaction of certain performance criteria. The performance criteria for the second installment were met resulting in partial vesting of the option as to 12,393 shares on September 19,2022.</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May 20, 2020.</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Rose Neale, as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09/23/2022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Grant Whitney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2022-09-23T16:43:23Z</dcterms:created>
  <dcterms:modified xsi:type="dcterms:W3CDTF">2022-09-23T16:43:23Z</dcterms:modified>
</cp:coreProperties>
</file>