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71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7184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Chief Admin. Off., GC &amp; Sec.</w:t>
      </w:r>
    </w:p>
    <w:p>
      <w:pPr>
        <w:spacing w:after="0" w:line="307" w:lineRule="exact"/>
        <w:rPr>
          <w:sz w:val="24"/>
          <w:szCs w:val="24"/>
          <w:color w:val="auto"/>
        </w:rPr>
      </w:pPr>
    </w:p>
    <w:p>
      <w:pPr>
        <w:sectPr>
          <w:pgSz w:w="11900" w:h="16838" w:orient="portrait"/>
          <w:cols w:equalWidth="0" w:num="3">
            <w:col w:w="3740" w:space="180"/>
            <w:col w:w="3600" w:space="2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04/19/2022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29,295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30,632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04/19/2022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30,054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60,686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04/19/2022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59,349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27.6344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1,337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29,295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04/19/2022</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29,295</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178,765</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30,054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04/19/2022</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30,054</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148,711</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sales reported in this Form 4 were effected pursuant to a Rule 10b5-1 trading plan.</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$27.50 to $27.84,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Rose Neale, as attorney-in-fact  </w:t>
      </w:r>
      <w:r>
        <w:rPr>
          <w:rFonts w:ascii="Times New Roman" w:cs="Times New Roman" w:eastAsia="Times New Roman" w:hAnsi="Times New Roman"/>
          <w:sz w:val="33"/>
          <w:szCs w:val="33"/>
          <w:color w:val="0000FF"/>
          <w:vertAlign w:val="subscript"/>
        </w:rPr>
        <w:t>04/20/2022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22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23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2022-04-21T15:58:47Z</dcterms:created>
  <dcterms:modified xsi:type="dcterms:W3CDTF">2022-04-21T15:58:47Z</dcterms:modified>
</cp:coreProperties>
</file>