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May 8, 2026</w:t>
      </w:r>
    </w:p>
    <w:p>
      <w:pPr>
        <w:pStyle w:val="TextBody"/>
        <w:bidi w:val="0"/>
        <w:spacing w:before="0" w:after="0"/>
        <w:jc w:val="left"/>
        <w:rPr>
          <w:color w:val="000000"/>
          <w:shd w:fill="FFFFFF" w:val="clear"/>
        </w:rPr>
      </w:pPr>
      <w:r>
        <w:rPr>
          <w:color w:val="000000"/>
          <w:shd w:fill="FFFFFF" w:val="clear"/>
        </w:rPr>
        <w:t> </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Sun Country Airlines Holdings,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w:t>
      </w:r>
      <w:r>
        <w:rPr>
          <w:rFonts w:ascii="Times New Roman" w:hAnsi="Times New Roman"/>
          <w:color w:val="000000"/>
          <w:sz w:val="20"/>
          <w:shd w:fill="FFFFFF" w:val="clear"/>
        </w:rPr>
        <w:t>Exact name of Registrant as specified in its charter</w:t>
      </w:r>
      <w:r>
        <w:rPr>
          <w:rFonts w:ascii="Times New Roman" w:hAnsi="Times New Roman"/>
          <w:b/>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pPr>
      <w:r>
        <w:rPr/>
      </w:r>
    </w:p>
    <w:tbl>
      <w:tblPr>
        <w:tblW w:w="3930" w:type="dxa"/>
        <w:jc w:val="left"/>
        <w:tblInd w:w="0" w:type="dxa"/>
        <w:tblLayout w:type="fixed"/>
        <w:tblCellMar>
          <w:top w:w="0" w:type="dxa"/>
          <w:left w:w="0" w:type="dxa"/>
          <w:bottom w:w="0" w:type="dxa"/>
          <w:right w:w="0" w:type="dxa"/>
        </w:tblCellMar>
      </w:tblPr>
      <w:tblGrid>
        <w:gridCol w:w="1190"/>
        <w:gridCol w:w="60"/>
        <w:gridCol w:w="1100"/>
        <w:gridCol w:w="60"/>
        <w:gridCol w:w="1520"/>
      </w:tblGrid>
      <w:tr>
        <w:trPr/>
        <w:tc>
          <w:tcPr>
            <w:tcW w:w="11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001-40217</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82-4092570</w:t>
            </w:r>
          </w:p>
        </w:tc>
      </w:tr>
      <w:tr>
        <w:trPr/>
        <w:tc>
          <w:tcPr>
            <w:tcW w:w="119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State of</w:t>
              <w:br/>
              <w:t>incorporation</w:t>
            </w:r>
            <w:r>
              <w:rPr>
                <w:rFonts w:ascii="Times New Roman" w:hAnsi="Times New Roman"/>
                <w:b/>
                <w:color w:val="000000"/>
                <w:sz w:val="20"/>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w:t>
              <w:b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spacing w:before="0" w:after="0"/>
        <w:jc w:val="left"/>
        <w:rPr/>
      </w:pPr>
      <w:r>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2005 Cargo Road</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Minneapolis, Minnesota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b/>
              </w:rPr>
            </w:pPr>
            <w:r>
              <w:rPr>
                <w:b/>
              </w:rPr>
              <w:t>55450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pPr>
      <w:r>
        <w:rPr/>
      </w:r>
    </w:p>
    <w:tbl>
      <w:tblPr>
        <w:tblW w:w="5770" w:type="dxa"/>
        <w:jc w:val="left"/>
        <w:tblInd w:w="0" w:type="dxa"/>
        <w:tblLayout w:type="fixed"/>
        <w:tblCellMar>
          <w:top w:w="0" w:type="dxa"/>
          <w:left w:w="0" w:type="dxa"/>
          <w:bottom w:w="0" w:type="dxa"/>
          <w:right w:w="0" w:type="dxa"/>
        </w:tblCellMar>
      </w:tblPr>
      <w:tblGrid>
        <w:gridCol w:w="4400"/>
        <w:gridCol w:w="60"/>
        <w:gridCol w:w="1310"/>
      </w:tblGrid>
      <w:tr>
        <w:trPr/>
        <w:tc>
          <w:tcPr>
            <w:tcW w:w="44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(651) 681-3900</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885" w:type="dxa"/>
        <w:jc w:val="left"/>
        <w:tblInd w:w="0" w:type="dxa"/>
        <w:tblLayout w:type="fixed"/>
        <w:tblCellMar>
          <w:top w:w="0" w:type="dxa"/>
          <w:left w:w="0" w:type="dxa"/>
          <w:bottom w:w="28" w:type="dxa"/>
          <w:right w:w="0" w:type="dxa"/>
        </w:tblCellMar>
      </w:tblPr>
      <w:tblGrid>
        <w:gridCol w:w="3365"/>
        <w:gridCol w:w="60"/>
        <w:gridCol w:w="860"/>
        <w:gridCol w:w="60"/>
        <w:gridCol w:w="2540"/>
      </w:tblGrid>
      <w:tr>
        <w:trPr/>
        <w:tc>
          <w:tcPr>
            <w:tcW w:w="33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b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54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3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 per share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SNCY</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54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bidi w:val="0"/>
        <w:spacing w:before="200" w:after="200"/>
        <w:jc w:val="left"/>
        <w:rPr/>
      </w:pPr>
      <w:r>
        <w:rPr/>
      </w:r>
    </w:p>
    <w:tbl>
      <w:tblPr>
        <w:tblW w:w="5260" w:type="dxa"/>
        <w:jc w:val="left"/>
        <w:tblInd w:w="0" w:type="dxa"/>
        <w:tblLayout w:type="fixed"/>
        <w:tblCellMar>
          <w:top w:w="0" w:type="dxa"/>
          <w:left w:w="0" w:type="dxa"/>
          <w:bottom w:w="0" w:type="dxa"/>
          <w:right w:w="0" w:type="dxa"/>
        </w:tblCellMar>
      </w:tblPr>
      <w:tblGrid>
        <w:gridCol w:w="875"/>
        <w:gridCol w:w="438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3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Submission of Matters to a Vote of Security Holders</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br/>
        <w:t>On May 8, 2026, Sun Country Airlines Holdings, Inc. (“</w:t>
      </w:r>
      <w:r>
        <w:rPr>
          <w:rFonts w:ascii="Times New Roman" w:hAnsi="Times New Roman"/>
          <w:color w:val="000000"/>
          <w:sz w:val="20"/>
          <w:u w:val="single"/>
          <w:shd w:fill="FFFFFF" w:val="clear"/>
        </w:rPr>
        <w:t>Sun Country</w:t>
      </w:r>
      <w:r>
        <w:rPr>
          <w:rFonts w:ascii="Times New Roman" w:hAnsi="Times New Roman"/>
          <w:color w:val="000000"/>
          <w:sz w:val="20"/>
          <w:shd w:fill="FFFFFF" w:val="clear"/>
        </w:rPr>
        <w:t>” or the “</w:t>
      </w:r>
      <w:r>
        <w:rPr>
          <w:rFonts w:ascii="Times New Roman" w:hAnsi="Times New Roman"/>
          <w:color w:val="000000"/>
          <w:sz w:val="20"/>
          <w:u w:val="single"/>
          <w:shd w:fill="FFFFFF" w:val="clear"/>
        </w:rPr>
        <w:t>Company</w:t>
      </w:r>
      <w:r>
        <w:rPr>
          <w:rFonts w:ascii="Times New Roman" w:hAnsi="Times New Roman"/>
          <w:color w:val="000000"/>
          <w:sz w:val="20"/>
          <w:shd w:fill="FFFFFF" w:val="clear"/>
        </w:rPr>
        <w:t>”) held a special meeting of stockholders (the “</w:t>
      </w:r>
      <w:r>
        <w:rPr>
          <w:rFonts w:ascii="Times New Roman" w:hAnsi="Times New Roman"/>
          <w:color w:val="000000"/>
          <w:sz w:val="20"/>
          <w:u w:val="single"/>
          <w:shd w:fill="FFFFFF" w:val="clear"/>
        </w:rPr>
        <w:t>Special Meeting</w:t>
      </w:r>
      <w:r>
        <w:rPr>
          <w:rFonts w:ascii="Times New Roman" w:hAnsi="Times New Roman"/>
          <w:color w:val="000000"/>
          <w:sz w:val="20"/>
          <w:shd w:fill="FFFFFF" w:val="clear"/>
        </w:rPr>
        <w:t>”) to consider the proposals set forth in the definitive proxy statement of the Company filed with the U.S. Securities and Exchange Commission on March 31, 2026, as supplemented on April 28, 2026 (as supplemented, the “</w:t>
      </w:r>
      <w:r>
        <w:rPr>
          <w:rFonts w:ascii="Times New Roman" w:hAnsi="Times New Roman"/>
          <w:color w:val="000000"/>
          <w:sz w:val="20"/>
          <w:u w:val="single"/>
          <w:shd w:fill="FFFFFF" w:val="clear"/>
        </w:rPr>
        <w:t>Proxy Statement</w:t>
      </w:r>
      <w:r>
        <w:rPr>
          <w:rFonts w:ascii="Times New Roman" w:hAnsi="Times New Roman"/>
          <w:color w:val="000000"/>
          <w:sz w:val="20"/>
          <w:shd w:fill="FFFFFF" w:val="clear"/>
        </w:rPr>
        <w:t>”), related to the Agreement and Plan of Merger (such agreement, as it may be amended, modified or supplemented from time to time, the “</w:t>
      </w:r>
      <w:r>
        <w:rPr>
          <w:rFonts w:ascii="Times New Roman" w:hAnsi="Times New Roman"/>
          <w:color w:val="000000"/>
          <w:sz w:val="20"/>
          <w:u w:val="single"/>
          <w:shd w:fill="FFFFFF" w:val="clear"/>
        </w:rPr>
        <w:t>Merger Agreement</w:t>
      </w:r>
      <w:r>
        <w:rPr>
          <w:rFonts w:ascii="Times New Roman" w:hAnsi="Times New Roman"/>
          <w:color w:val="000000"/>
          <w:sz w:val="20"/>
          <w:shd w:fill="FFFFFF" w:val="clear"/>
        </w:rPr>
        <w:t>”) by and among the Company, Allegiant Travel Company, a Nevada corporation (“</w:t>
      </w:r>
      <w:r>
        <w:rPr>
          <w:rFonts w:ascii="Times New Roman" w:hAnsi="Times New Roman"/>
          <w:color w:val="000000"/>
          <w:sz w:val="20"/>
          <w:u w:val="single"/>
          <w:shd w:fill="FFFFFF" w:val="clear"/>
        </w:rPr>
        <w:t>Allegiant</w:t>
      </w:r>
      <w:r>
        <w:rPr>
          <w:rFonts w:ascii="Times New Roman" w:hAnsi="Times New Roman"/>
          <w:color w:val="000000"/>
          <w:sz w:val="20"/>
          <w:shd w:fill="FFFFFF" w:val="clear"/>
        </w:rPr>
        <w:t>”), Mirage Merger Sub, Inc., a Delaware corporation and a direct wholly owned subsidiary of Allegiant (“</w:t>
      </w:r>
      <w:r>
        <w:rPr>
          <w:rFonts w:ascii="Times New Roman" w:hAnsi="Times New Roman"/>
          <w:color w:val="000000"/>
          <w:sz w:val="20"/>
          <w:u w:val="single"/>
          <w:shd w:fill="FFFFFF" w:val="clear"/>
        </w:rPr>
        <w:t>Merger Sub 1</w:t>
      </w:r>
      <w:r>
        <w:rPr>
          <w:rFonts w:ascii="Times New Roman" w:hAnsi="Times New Roman"/>
          <w:color w:val="000000"/>
          <w:sz w:val="20"/>
          <w:shd w:fill="FFFFFF" w:val="clear"/>
        </w:rPr>
        <w:t>”), and Sawdust Merger Sub, LLC, a Nevada limited liability company and a direct wholly owned subsidiary of Allegiant (“</w:t>
      </w:r>
      <w:r>
        <w:rPr>
          <w:rFonts w:ascii="Times New Roman" w:hAnsi="Times New Roman"/>
          <w:color w:val="000000"/>
          <w:sz w:val="20"/>
          <w:u w:val="single"/>
          <w:shd w:fill="FFFFFF" w:val="clear"/>
        </w:rPr>
        <w:t>Merger Sub 2</w:t>
      </w:r>
      <w:r>
        <w:rPr>
          <w:rFonts w:ascii="Times New Roman" w:hAnsi="Times New Roman"/>
          <w:color w:val="000000"/>
          <w:sz w:val="20"/>
          <w:shd w:fill="FFFFFF" w:val="clear"/>
        </w:rPr>
        <w:t>”), providing for the merger of Merger Sub 1 with and into Sun Country (the “</w:t>
      </w:r>
      <w:r>
        <w:rPr>
          <w:rFonts w:ascii="Times New Roman" w:hAnsi="Times New Roman"/>
          <w:color w:val="000000"/>
          <w:sz w:val="20"/>
          <w:u w:val="single"/>
          <w:shd w:fill="FFFFFF" w:val="clear"/>
        </w:rPr>
        <w:t>First Merger</w:t>
      </w:r>
      <w:r>
        <w:rPr>
          <w:rFonts w:ascii="Times New Roman" w:hAnsi="Times New Roman"/>
          <w:color w:val="000000"/>
          <w:sz w:val="20"/>
          <w:shd w:fill="FFFFFF" w:val="clear"/>
        </w:rPr>
        <w:t>”), with Sun Country surviving the First Merger as a direct wholly owned subsidiary of Allegiant and immediately following the First Merger, the merger of Sun Country with and into Merger Sub 2 (the “</w:t>
      </w:r>
      <w:r>
        <w:rPr>
          <w:rFonts w:ascii="Times New Roman" w:hAnsi="Times New Roman"/>
          <w:color w:val="000000"/>
          <w:sz w:val="20"/>
          <w:u w:val="single"/>
          <w:shd w:fill="FFFFFF" w:val="clear"/>
        </w:rPr>
        <w:t>Second Merger</w:t>
      </w:r>
      <w:r>
        <w:rPr>
          <w:rFonts w:ascii="Times New Roman" w:hAnsi="Times New Roman"/>
          <w:color w:val="000000"/>
          <w:sz w:val="20"/>
          <w:shd w:fill="FFFFFF" w:val="clear"/>
        </w:rPr>
        <w:t>” and, together with the First Merger, the “</w:t>
      </w:r>
      <w:r>
        <w:rPr>
          <w:rFonts w:ascii="Times New Roman" w:hAnsi="Times New Roman"/>
          <w:color w:val="000000"/>
          <w:sz w:val="20"/>
          <w:u w:val="single"/>
          <w:shd w:fill="FFFFFF" w:val="clear"/>
        </w:rPr>
        <w:t>Mergers</w:t>
      </w:r>
      <w:r>
        <w:rPr>
          <w:rFonts w:ascii="Times New Roman" w:hAnsi="Times New Roman"/>
          <w:color w:val="000000"/>
          <w:sz w:val="20"/>
          <w:shd w:fill="FFFFFF" w:val="clear"/>
        </w:rPr>
        <w:t>”), with Merger Sub 2 surviving the Second Merger as a direct, wholly owned subsidiary of Allegiant..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March 25, 2026, the record date for the Special Meeting, there were (i) 54,191,637 shares of common stock of the Company, par value $0.01 per share (“</w:t>
      </w:r>
      <w:r>
        <w:rPr>
          <w:rFonts w:ascii="Times New Roman" w:hAnsi="Times New Roman"/>
          <w:color w:val="000000"/>
          <w:sz w:val="20"/>
          <w:u w:val="single"/>
          <w:shd w:fill="FFFFFF" w:val="clear"/>
        </w:rPr>
        <w:t>Sun Country Common Stock</w:t>
      </w:r>
      <w:r>
        <w:rPr>
          <w:rFonts w:ascii="Times New Roman" w:hAnsi="Times New Roman"/>
          <w:color w:val="000000"/>
          <w:sz w:val="20"/>
          <w:shd w:fill="FFFFFF" w:val="clear"/>
        </w:rPr>
        <w:t>”), issued and outstanding, each of which was entitled to vote at the Special Meeting. At the Special Meeting, a total of 44,043,534 shares of Sun Country Common Stock, representing approximately 81.27% of the Sun Country Common Stock issued and outstanding and entitled to vote, were present virtually or by proxy, constituting a quorum to conduct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At the Special Meeting the following proposals were considered:</w:t>
      </w:r>
    </w:p>
    <w:p>
      <w:pPr>
        <w:pStyle w:val="TextBody"/>
        <w:bidi w:val="0"/>
        <w:spacing w:before="0" w:after="0"/>
        <w:jc w:val="left"/>
        <w:rPr>
          <w:color w:val="000000"/>
          <w:shd w:fill="FFFFFF" w:val="clear"/>
        </w:rPr>
      </w:pPr>
      <w:r>
        <w:rPr>
          <w:color w:val="000000"/>
          <w:shd w:fill="FFFFFF" w:val="clear"/>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proposal to approve the adoption of the Merger Agreement (the “</w:t>
            </w:r>
            <w:r>
              <w:rPr>
                <w:rFonts w:ascii="Times New Roman" w:hAnsi="Times New Roman"/>
                <w:sz w:val="20"/>
                <w:u w:val="single"/>
              </w:rPr>
              <w:t>Merger Agreement Proposal</w:t>
            </w:r>
            <w:r>
              <w:rPr>
                <w:rFonts w:ascii="Times New Roman" w:hAnsi="Times New Roman"/>
                <w:sz w:val="20"/>
              </w:rPr>
              <w:t>”);</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pPr>
            <w:r>
              <w:rPr/>
            </w:r>
          </w:p>
        </w:tc>
        <w:tc>
          <w:tcPr>
            <w:tcW w:w="2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proposal to approve, on an advisory (non-binding) basis, the compensation that will or may become payable by Sun Country to its named executive officers in connection with the Mergers (the “</w:t>
            </w:r>
            <w:r>
              <w:rPr>
                <w:rFonts w:ascii="Times New Roman" w:hAnsi="Times New Roman"/>
                <w:sz w:val="20"/>
                <w:u w:val="single"/>
              </w:rPr>
              <w:t>Compensation Proposal</w:t>
            </w:r>
            <w:r>
              <w:rPr>
                <w:rFonts w:ascii="Times New Roman" w:hAnsi="Times New Roman"/>
                <w:sz w:val="20"/>
              </w:rPr>
              <w:t>”); and</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pPr>
            <w:r>
              <w:rPr/>
            </w:r>
          </w:p>
        </w:tc>
        <w:tc>
          <w:tcPr>
            <w:tcW w:w="21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proposal to approve any adjournment of the Special Meeting, if necessary or appropriate, to solicit additional proxies if there are insufficient votes to adopt the Merger Agreement at the time of the Special Meeting (the “</w:t>
            </w:r>
            <w:r>
              <w:rPr>
                <w:rFonts w:ascii="Times New Roman" w:hAnsi="Times New Roman"/>
                <w:sz w:val="20"/>
                <w:u w:val="single"/>
              </w:rPr>
              <w:t>Adjournment Proposal</w:t>
            </w:r>
            <w:r>
              <w:rPr>
                <w:rFonts w:ascii="Times New Roman" w:hAnsi="Times New Roman"/>
                <w:sz w:val="2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Merger Agreement Proposal and the Compensation Proposal were approved by the requisite votes of the Company’s stockholders. Sufficient votes were received to approve the Adjournment Proposal, but such an adjournment was not necessary in light of the approval of the Merger Agreement Proposal. The final voting results for each proposal are described below. For more information on each of these proposals, please refer to the Proxy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Proposal 1 – Merger Agreement Proposal</w:t>
      </w:r>
    </w:p>
    <w:p>
      <w:pPr>
        <w:pStyle w:val="TextBody"/>
        <w:bidi w:val="0"/>
        <w:spacing w:before="0" w:after="0"/>
        <w:jc w:val="left"/>
        <w:rPr/>
      </w:pPr>
      <w:r>
        <w:rPr/>
      </w:r>
    </w:p>
    <w:tbl>
      <w:tblPr>
        <w:tblW w:w="3240" w:type="dxa"/>
        <w:jc w:val="left"/>
        <w:tblInd w:w="0" w:type="dxa"/>
        <w:tblLayout w:type="fixed"/>
        <w:tblCellMar>
          <w:top w:w="0" w:type="dxa"/>
          <w:left w:w="0" w:type="dxa"/>
          <w:bottom w:w="28" w:type="dxa"/>
          <w:right w:w="0" w:type="dxa"/>
        </w:tblCellMar>
      </w:tblPr>
      <w:tblGrid>
        <w:gridCol w:w="950"/>
        <w:gridCol w:w="60"/>
        <w:gridCol w:w="1175"/>
        <w:gridCol w:w="60"/>
        <w:gridCol w:w="995"/>
      </w:tblGrid>
      <w:tr>
        <w:trPr/>
        <w:tc>
          <w:tcPr>
            <w:tcW w:w="9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9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950" w:type="dxa"/>
            <w:tcBorders/>
            <w:shd w:fill="CCEEFF" w:val="clear"/>
            <w:tcMar>
              <w:bottom w:w="0" w:type="dxa"/>
            </w:tcMar>
            <w:vAlign w:val="center"/>
          </w:tcPr>
          <w:p>
            <w:pPr>
              <w:pStyle w:val="TableContents"/>
              <w:bidi w:val="0"/>
              <w:spacing w:before="0" w:after="0"/>
              <w:ind w:left="200" w:right="0" w:hanging="200"/>
              <w:jc w:val="center"/>
              <w:rPr>
                <w:rFonts w:ascii="Times New Roman" w:hAnsi="Times New Roman"/>
                <w:color w:val="000000"/>
                <w:sz w:val="20"/>
              </w:rPr>
            </w:pPr>
            <w:r>
              <w:rPr>
                <w:rFonts w:ascii="Times New Roman" w:hAnsi="Times New Roman"/>
                <w:color w:val="000000"/>
                <w:sz w:val="20"/>
              </w:rPr>
              <w:t>43,971,505</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32,926</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9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39,103</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Proposal 2 – Compensation Proposal:</w:t>
      </w:r>
    </w:p>
    <w:p>
      <w:pPr>
        <w:pStyle w:val="TextBody"/>
        <w:bidi w:val="0"/>
        <w:spacing w:before="0" w:after="0"/>
        <w:jc w:val="left"/>
        <w:rPr/>
      </w:pPr>
      <w:r>
        <w:rPr/>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0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965" w:type="dxa"/>
            <w:tcBorders/>
            <w:shd w:fill="CCEEFF" w:val="clear"/>
            <w:tcMar>
              <w:bottom w:w="0" w:type="dxa"/>
            </w:tcMar>
            <w:vAlign w:val="center"/>
          </w:tcPr>
          <w:p>
            <w:pPr>
              <w:pStyle w:val="TableContents"/>
              <w:bidi w:val="0"/>
              <w:spacing w:before="0" w:after="0"/>
              <w:ind w:left="200" w:right="0" w:hanging="200"/>
              <w:jc w:val="center"/>
              <w:rPr>
                <w:rFonts w:ascii="Times New Roman" w:hAnsi="Times New Roman"/>
                <w:color w:val="000000"/>
                <w:sz w:val="20"/>
              </w:rPr>
            </w:pPr>
            <w:r>
              <w:rPr>
                <w:rFonts w:ascii="Times New Roman" w:hAnsi="Times New Roman"/>
                <w:color w:val="000000"/>
                <w:sz w:val="20"/>
              </w:rPr>
              <w:t>40,981,581</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3,054,379</w:t>
            </w:r>
          </w:p>
        </w:tc>
        <w:tc>
          <w:tcPr>
            <w:tcW w:w="6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1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7,574</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Proposal 3 – Adjournment Proposal</w:t>
      </w:r>
    </w:p>
    <w:p>
      <w:pPr>
        <w:pStyle w:val="TextBody"/>
        <w:bidi w:val="0"/>
        <w:spacing w:before="0" w:after="0"/>
        <w:jc w:val="left"/>
        <w:rPr/>
      </w:pPr>
      <w:r>
        <w:rPr/>
      </w:r>
    </w:p>
    <w:tbl>
      <w:tblPr>
        <w:tblW w:w="3270" w:type="dxa"/>
        <w:jc w:val="left"/>
        <w:tblInd w:w="0" w:type="dxa"/>
        <w:tblLayout w:type="fixed"/>
        <w:tblCellMar>
          <w:top w:w="0" w:type="dxa"/>
          <w:left w:w="0" w:type="dxa"/>
          <w:bottom w:w="28" w:type="dxa"/>
          <w:right w:w="0" w:type="dxa"/>
        </w:tblCellMar>
      </w:tblPr>
      <w:tblGrid>
        <w:gridCol w:w="965"/>
        <w:gridCol w:w="60"/>
        <w:gridCol w:w="1175"/>
        <w:gridCol w:w="60"/>
        <w:gridCol w:w="1010"/>
      </w:tblGrid>
      <w:tr>
        <w:trPr/>
        <w:tc>
          <w:tcPr>
            <w:tcW w:w="96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10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965" w:type="dxa"/>
            <w:tcBorders/>
            <w:shd w:fill="CCEEFF" w:val="clear"/>
            <w:tcMar>
              <w:bottom w:w="0" w:type="dxa"/>
            </w:tcMar>
            <w:vAlign w:val="center"/>
          </w:tcPr>
          <w:p>
            <w:pPr>
              <w:pStyle w:val="TableContents"/>
              <w:bidi w:val="0"/>
              <w:spacing w:before="0" w:after="0"/>
              <w:ind w:left="200" w:right="0" w:hanging="200"/>
              <w:jc w:val="center"/>
              <w:rPr>
                <w:rFonts w:ascii="Times New Roman" w:hAnsi="Times New Roman"/>
                <w:color w:val="000000"/>
                <w:sz w:val="20"/>
              </w:rPr>
            </w:pPr>
            <w:r>
              <w:rPr>
                <w:rFonts w:ascii="Times New Roman" w:hAnsi="Times New Roman"/>
                <w:color w:val="000000"/>
                <w:sz w:val="20"/>
              </w:rPr>
              <w:t>40,197,295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3,840,741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5,498</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 other matters were submitted for stockholder action at the Special Meeting.</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55" w:type="dxa"/>
        <w:jc w:val="left"/>
        <w:tblInd w:w="0" w:type="dxa"/>
        <w:tblLayout w:type="fixed"/>
        <w:tblCellMar>
          <w:top w:w="0" w:type="dxa"/>
          <w:left w:w="0" w:type="dxa"/>
          <w:bottom w:w="0" w:type="dxa"/>
          <w:right w:w="0" w:type="dxa"/>
        </w:tblCellMar>
      </w:tblPr>
      <w:tblGrid>
        <w:gridCol w:w="455"/>
        <w:gridCol w:w="1055"/>
        <w:gridCol w:w="60"/>
        <w:gridCol w:w="635"/>
        <w:gridCol w:w="5450"/>
      </w:tblGrid>
      <w:tr>
        <w:trPr/>
        <w:tc>
          <w:tcPr>
            <w:tcW w:w="45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Sun Country Airlines Holdings, Inc.</w:t>
            </w:r>
          </w:p>
        </w:tc>
      </w:tr>
      <w:tr>
        <w:trPr/>
        <w:tc>
          <w:tcPr>
            <w:tcW w:w="45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8</w:t>
            </w:r>
            <w:r>
              <w:rPr>
                <w:rFonts w:ascii="Times New Roman" w:hAnsi="Times New Roman"/>
                <w:color w:val="000000"/>
                <w:sz w:val="20"/>
              </w:rPr>
              <w:t>, 2026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5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Erin Rose Neale</w:t>
            </w:r>
          </w:p>
        </w:tc>
      </w:tr>
      <w:tr>
        <w:trPr/>
        <w:tc>
          <w:tcPr>
            <w:tcW w:w="45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Name:  </w:t>
            </w:r>
          </w:p>
        </w:tc>
        <w:tc>
          <w:tcPr>
            <w:tcW w:w="54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Erin Rose Neale</w:t>
            </w:r>
          </w:p>
        </w:tc>
      </w:tr>
      <w:tr>
        <w:trPr/>
        <w:tc>
          <w:tcPr>
            <w:tcW w:w="45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54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Legal Officer, Senior Vice President, and Corporate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908</Words>
  <Characters>4970</Characters>
  <CharactersWithSpaces>5866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