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5440"/>
        <w:spacing w:after="0" w:line="257" w:lineRule="auto"/>
        <w:rPr>
          <w:sz w:val="20"/>
          <w:szCs w:val="20"/>
          <w:color w:val="auto"/>
        </w:rPr>
      </w:pPr>
      <w:r>
        <w:rPr>
          <w:rFonts w:ascii="Times New Roman" w:cs="Times New Roman" w:eastAsia="Times New Roman" w:hAnsi="Times New Roman"/>
          <w:sz w:val="18"/>
          <w:szCs w:val="18"/>
          <w:b w:val="1"/>
          <w:bCs w:val="1"/>
          <w:color w:val="auto"/>
        </w:rPr>
        <w:t>FILED BY SUN COUNTRY AIRLINES HOLDINGS, INC. PURSUANT TO RULE 425 UNDER THE SECURITIES ACT OF 1933 AND DEEMED FILED PURSUANT TO RULE 14a-12 UNDER THE SECURITIES EXCHANGE ACT OF 1934 SUBJECT COMPANY: SUN COUNTRY AIRLINES HOLDINGS, INC. COMMISSION FILE NO. 001-40217</w:t>
      </w:r>
    </w:p>
    <w:p>
      <w:pPr>
        <w:spacing w:after="0" w:line="182"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FORM OF 425 FILING (PRIOR TO FILING OF FORM S-4)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Allegiant Travel Co. and Sun Country Airlines Holdings, Inc. Merger Agreement Call</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 Details</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2026-01-12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Allegiant Travel Co. Ticker: ALGT-US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Participants</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Sherry Wilson - Allegiant Travel Co., Managing Director-Investor Relations &amp; Sustainability</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Gregory Clark Anderson - Allegiant Travel Co., Chief Executive O</w:t>
      </w:r>
      <w:r>
        <w:rPr>
          <w:rFonts w:ascii="Arial" w:cs="Arial" w:eastAsia="Arial" w:hAnsi="Arial"/>
          <w:sz w:val="18"/>
          <w:szCs w:val="18"/>
          <w:color w:val="auto"/>
        </w:rPr>
        <w:t>ﬃ</w:t>
      </w:r>
      <w:r>
        <w:rPr>
          <w:rFonts w:ascii="Times New Roman" w:cs="Times New Roman" w:eastAsia="Times New Roman" w:hAnsi="Times New Roman"/>
          <w:sz w:val="18"/>
          <w:szCs w:val="18"/>
          <w:color w:val="auto"/>
        </w:rPr>
        <w:t>cer &amp; Director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Jude I. Bricker - Sun Country Airlines Holdings, Inc., President, Chief Executive O</w:t>
      </w:r>
      <w:r>
        <w:rPr>
          <w:rFonts w:ascii="Arial" w:cs="Arial" w:eastAsia="Arial" w:hAnsi="Arial"/>
          <w:sz w:val="18"/>
          <w:szCs w:val="18"/>
          <w:color w:val="auto"/>
        </w:rPr>
        <w:t>ﬃ</w:t>
      </w:r>
      <w:r>
        <w:rPr>
          <w:rFonts w:ascii="Times New Roman" w:cs="Times New Roman" w:eastAsia="Times New Roman" w:hAnsi="Times New Roman"/>
          <w:sz w:val="18"/>
          <w:szCs w:val="18"/>
          <w:color w:val="auto"/>
        </w:rPr>
        <w:t>cer &amp; Director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Robert J. Neal - Allegiant Travel Co., President &amp; Chief Financial O</w:t>
      </w:r>
      <w:r>
        <w:rPr>
          <w:rFonts w:ascii="Arial" w:cs="Arial" w:eastAsia="Arial" w:hAnsi="Arial"/>
          <w:sz w:val="18"/>
          <w:szCs w:val="18"/>
          <w:color w:val="auto"/>
        </w:rPr>
        <w:t>ﬃ</w:t>
      </w:r>
      <w:r>
        <w:rPr>
          <w:rFonts w:ascii="Times New Roman" w:cs="Times New Roman" w:eastAsia="Times New Roman" w:hAnsi="Times New Roman"/>
          <w:sz w:val="18"/>
          <w:szCs w:val="18"/>
          <w:color w:val="auto"/>
        </w:rPr>
        <w:t>cer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Drew A. Wells - Allegiant Travel Co., Senior Vice President &amp; Chief Commercial O</w:t>
      </w:r>
      <w:r>
        <w:rPr>
          <w:rFonts w:ascii="Arial" w:cs="Arial" w:eastAsia="Arial" w:hAnsi="Arial"/>
          <w:sz w:val="18"/>
          <w:szCs w:val="18"/>
          <w:color w:val="auto"/>
        </w:rPr>
        <w:t>ﬃ</w:t>
      </w:r>
      <w:r>
        <w:rPr>
          <w:rFonts w:ascii="Times New Roman" w:cs="Times New Roman" w:eastAsia="Times New Roman" w:hAnsi="Times New Roman"/>
          <w:sz w:val="18"/>
          <w:szCs w:val="18"/>
          <w:color w:val="auto"/>
        </w:rPr>
        <w:t>cer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Michael Broderick - Allegiant Travel Co., Senior Vice President-FP&amp;A, Procurement &amp; Airport A</w:t>
      </w:r>
      <w:r>
        <w:rPr>
          <w:rFonts w:ascii="Arial" w:cs="Arial" w:eastAsia="Arial" w:hAnsi="Arial"/>
          <w:sz w:val="18"/>
          <w:szCs w:val="18"/>
          <w:color w:val="auto"/>
        </w:rPr>
        <w:t>ﬀ</w:t>
      </w:r>
      <w:r>
        <w:rPr>
          <w:rFonts w:ascii="Times New Roman" w:cs="Times New Roman" w:eastAsia="Times New Roman" w:hAnsi="Times New Roman"/>
          <w:sz w:val="18"/>
          <w:szCs w:val="18"/>
          <w:color w:val="auto"/>
        </w:rPr>
        <w:t>airs</w:t>
      </w:r>
    </w:p>
    <w:p>
      <w:pPr>
        <w:spacing w:after="0" w:line="3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Participants</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Andrew G. Didora - Analyst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Michael Linenberg – Analyst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Duane Pfennigwerth – Analyst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Catherine O’Brien – Analyst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Atul Maheswari – Analyst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Scott H. Group - Analyst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Thomas Fitzgerald - Analyst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Conor Cunningham - Analyst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Savanthi Syth - Analyst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Ravi Shanker - Analyst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Daniel McKenzie - Analyst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John Godyn - Analyst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James M. Kirby - Analyst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Christopher Stathoulopoulos - Analyst</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DISCUSSION SECTION</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Good morning, ladies and gentlemen, and thank you for standing by. My name is Rob, and I’ll be your conference operator. At this time, I would like to welcome everyone to today’s call to discuss the Definitive Merger Agreement under which Allegiant will acquire Sun Country.All lines have been placed on mute to prevent any background noise. After the speakers’ remarks, there will be a question-and-answer session. Thank you.</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 would now like to turn the call over to Sherry Wilson, Allegiant’s Managing Director of Investor Relations. Please go ahead.</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Sherry Wilson</w:t>
      </w:r>
    </w:p>
    <w:p>
      <w:pPr>
        <w:spacing w:after="0" w:line="121" w:lineRule="exact"/>
        <w:rPr>
          <w:sz w:val="24"/>
          <w:szCs w:val="24"/>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Good morning and thank you all for joining us today. The presentation you’re viewing should be considered alongside the press release issued yesterday, which are available on the Allegiant and Sun Country Investor Relations website, as well as our transaction microsite, www.soaringforleisure.com.</w:t>
      </w:r>
    </w:p>
    <w:p>
      <w:pPr>
        <w:spacing w:after="0" w:line="140" w:lineRule="exact"/>
        <w:rPr>
          <w:sz w:val="24"/>
          <w:szCs w:val="24"/>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The company’s comments today will contain forward-looking statements concerning our future performance and strategic plans. Various risk factors could cause the underlying assumptions of these statements and our actual results to di</w:t>
      </w:r>
      <w:r>
        <w:rPr>
          <w:rFonts w:ascii="Arial" w:cs="Arial" w:eastAsia="Arial" w:hAnsi="Arial"/>
          <w:sz w:val="18"/>
          <w:szCs w:val="18"/>
          <w:color w:val="auto"/>
        </w:rPr>
        <w:t>ﬀ</w:t>
      </w:r>
      <w:r>
        <w:rPr>
          <w:rFonts w:ascii="Times New Roman" w:cs="Times New Roman" w:eastAsia="Times New Roman" w:hAnsi="Times New Roman"/>
          <w:sz w:val="18"/>
          <w:szCs w:val="18"/>
          <w:color w:val="auto"/>
        </w:rPr>
        <w:t>er materially from those expressed or implied by our forward-looking statements. These risk factors and others are more fully disclosed in our filings with the SEC.</w:t>
      </w:r>
    </w:p>
    <w:p>
      <w:pPr>
        <w:spacing w:after="0" w:line="177"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Any forward-looking statements are based on information available to us today. We undertake no obligation to update publicly any forward-looking statements, whether as a result of future events, new information or otherwise. The company cautions investors not to place undue reliance on forward-looking statements, which may be based on assumptions and events that do not materialize.</w:t>
      </w:r>
    </w:p>
    <w:p>
      <w:pPr>
        <w:sectPr>
          <w:pgSz w:w="11900" w:h="16838" w:orient="portrait"/>
          <w:cols w:equalWidth="0" w:num="1">
            <w:col w:w="11020"/>
          </w:cols>
          <w:pgMar w:left="440" w:top="225" w:right="439" w:bottom="1440" w:gutter="0" w:footer="0" w:header="0"/>
        </w:sectPr>
      </w:pPr>
    </w:p>
    <w:bookmarkStart w:id="1" w:name="page2"/>
    <w:bookmarkEnd w:id="1"/>
    <w:p>
      <w:pPr>
        <w:ind w:right="280"/>
        <w:spacing w:after="0" w:line="31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Joining us from Las Vegas, we have Greg Anderson, CEO of Allegiant; Robert Neal, President and CFO of Allegiant; and Drew Wells, Chief Commercial O</w:t>
      </w:r>
      <w:r>
        <w:rPr>
          <w:rFonts w:ascii="Arial" w:cs="Arial" w:eastAsia="Arial" w:hAnsi="Arial"/>
          <w:sz w:val="18"/>
          <w:szCs w:val="18"/>
          <w:color w:val="auto"/>
        </w:rPr>
        <w:t>ﬃ</w:t>
      </w:r>
      <w:r>
        <w:rPr>
          <w:rFonts w:ascii="Times New Roman" w:cs="Times New Roman" w:eastAsia="Times New Roman" w:hAnsi="Times New Roman"/>
          <w:sz w:val="18"/>
          <w:szCs w:val="18"/>
          <w:color w:val="auto"/>
        </w:rPr>
        <w:t>cer of Allegiant. We also have Jude Bricker, President and CEO of Sun Country, along with a handful of others to answer questions.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with that, let me turn it over to Greg Anderson.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Gregory Clark Anderson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Thank you, Sherry, and thank you all for joining us today. Yesterday afternoon, we announced a definitive agreement under which Allegiant will acquire Sun Country in a cash and stock transaction at an implied value of $18.89 per Sun Country share, which represents a premium of 19.8% over Sun Country’s closing share price of $15.77 on January 9 and values Sun Country at approximately $1.5 billion, inclusive of $400 million of Sun Country’s net debt.</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At its core, this combination brings together two highly complementary airlines built on flexible capacity and low-utilization models; a common focus on the leisure traveler, where diversified revenue streams play a critical role in enhancing earnings, with leading positions in 94% originating markets; proven histories of industry-leading financial returns; substantial growth potential from an attractive order book and targeted leisure markets; and the support of robust balance sheets.</w:t>
      </w:r>
    </w:p>
    <w:p>
      <w:pPr>
        <w:spacing w:after="0" w:line="13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auto"/>
        </w:rPr>
        <w:t>Allegiant pioneered the flexible capacity approach in the early 2000s by o</w:t>
      </w:r>
      <w:r>
        <w:rPr>
          <w:rFonts w:ascii="Arial" w:cs="Arial" w:eastAsia="Arial" w:hAnsi="Arial"/>
          <w:sz w:val="18"/>
          <w:szCs w:val="18"/>
          <w:color w:val="auto"/>
        </w:rPr>
        <w:t>ﬀ</w:t>
      </w:r>
      <w:r>
        <w:rPr>
          <w:rFonts w:ascii="Times New Roman" w:cs="Times New Roman" w:eastAsia="Times New Roman" w:hAnsi="Times New Roman"/>
          <w:sz w:val="18"/>
          <w:szCs w:val="18"/>
          <w:color w:val="auto"/>
        </w:rPr>
        <w:t>ering a</w:t>
      </w:r>
      <w:r>
        <w:rPr>
          <w:rFonts w:ascii="Arial" w:cs="Arial" w:eastAsia="Arial" w:hAnsi="Arial"/>
          <w:sz w:val="18"/>
          <w:szCs w:val="18"/>
          <w:color w:val="auto"/>
        </w:rPr>
        <w:t>ﬀ</w:t>
      </w:r>
      <w:r>
        <w:rPr>
          <w:rFonts w:ascii="Times New Roman" w:cs="Times New Roman" w:eastAsia="Times New Roman" w:hAnsi="Times New Roman"/>
          <w:sz w:val="18"/>
          <w:szCs w:val="18"/>
          <w:color w:val="auto"/>
        </w:rPr>
        <w:t>ordable and convenient service for leisure customers from underserved communities. Sun Country’s President and CEO, Jude Bricker, began his career at Allegiant, and together with the entire Sun Country team, has successfully led Sun Country’s transformation into a flexible capacity carrier with a unique business model that is complementary to ours.</w:t>
      </w:r>
    </w:p>
    <w:p>
      <w:pPr>
        <w:spacing w:after="0" w:line="1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hold Sun Country in the highest regard, recognizing the close cultural connections between our two companies, both employ a similar strategy for managing capacity to serve peak leisure travel periods, excel at charter operations, and foster a strong sense of community. Just as Sun Country has been vital to Minnesota over the last 43 years, Allegiant o</w:t>
      </w:r>
      <w:r>
        <w:rPr>
          <w:rFonts w:ascii="Arial" w:cs="Arial" w:eastAsia="Arial" w:hAnsi="Arial"/>
          <w:sz w:val="18"/>
          <w:szCs w:val="18"/>
          <w:color w:val="auto"/>
        </w:rPr>
        <w:t>ﬀ</w:t>
      </w:r>
      <w:r>
        <w:rPr>
          <w:rFonts w:ascii="Times New Roman" w:cs="Times New Roman" w:eastAsia="Times New Roman" w:hAnsi="Times New Roman"/>
          <w:sz w:val="18"/>
          <w:szCs w:val="18"/>
          <w:color w:val="auto"/>
        </w:rPr>
        <w:t>ers similarly important services to the 125 communities we serve.</w:t>
      </w:r>
    </w:p>
    <w:p>
      <w:pPr>
        <w:spacing w:after="0" w:line="13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We greatly value the strong relationship that exists between an airline and its communities. At Allegiant, we recognize the importance of preserving and enhancing Sun Country’s legacy in Minneapolis-St. Paul. We remain committed to delivering the same high-quality experiences while o</w:t>
      </w:r>
      <w:r>
        <w:rPr>
          <w:rFonts w:ascii="Arial" w:cs="Arial" w:eastAsia="Arial" w:hAnsi="Arial"/>
          <w:sz w:val="18"/>
          <w:szCs w:val="18"/>
          <w:color w:val="auto"/>
        </w:rPr>
        <w:t>ﬀ</w:t>
      </w:r>
      <w:r>
        <w:rPr>
          <w:rFonts w:ascii="Times New Roman" w:cs="Times New Roman" w:eastAsia="Times New Roman" w:hAnsi="Times New Roman"/>
          <w:sz w:val="18"/>
          <w:szCs w:val="18"/>
          <w:color w:val="auto"/>
        </w:rPr>
        <w:t>ering additional options and greater value to the leisure travelers in the Twin Cities.</w:t>
      </w:r>
    </w:p>
    <w:p>
      <w:pPr>
        <w:spacing w:after="0" w:line="17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Allegiant and Sun Country have both shown that our leisure-focused flexible capacity models are strong, thriving and consistently profitable, which gives me great confidence in the potential benefits of combining our organizations. Ultimately, this combination is about expanding opportunity for our travelers, for our teams and for our shareholders, while staying true to the values and operating philosophies that have made both Allegiant and Sun Country successful. We are really excited for what’s ahead.</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Before I go further, I want to invite Jude to share his perspective on what this combination means for Sun Country’s team, customers and community. Jude?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Jude I. Bricker</w:t>
      </w:r>
    </w:p>
    <w:p>
      <w:pPr>
        <w:spacing w:after="0" w:line="121"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Thank you, Greg. I appreciate your kind words and want to echo your excitement about this combination. I’ve had the privilege of working at both companies and can say that based on those experiences, this is a tremendous fit across the board. Combining our leading approach to profitably serving the leisure travel market with Allegiant will create a very strong airline that can continue to serve the leisure customer for a long period of time.</w:t>
      </w:r>
    </w:p>
    <w:p>
      <w:pPr>
        <w:spacing w:after="0" w:line="15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Many of you know that I’m outspoken in my belief that we should be looking for opportunities that would make Sun Country a stronger competitor and enable us to o</w:t>
      </w:r>
      <w:r>
        <w:rPr>
          <w:rFonts w:ascii="Arial" w:cs="Arial" w:eastAsia="Arial" w:hAnsi="Arial"/>
          <w:sz w:val="18"/>
          <w:szCs w:val="18"/>
          <w:color w:val="auto"/>
        </w:rPr>
        <w:t>ﬀ</w:t>
      </w:r>
      <w:r>
        <w:rPr>
          <w:rFonts w:ascii="Times New Roman" w:cs="Times New Roman" w:eastAsia="Times New Roman" w:hAnsi="Times New Roman"/>
          <w:sz w:val="18"/>
          <w:szCs w:val="18"/>
          <w:color w:val="auto"/>
        </w:rPr>
        <w:t>er even more choice to our customers. Over the years, we’ve looked at di</w:t>
      </w:r>
      <w:r>
        <w:rPr>
          <w:rFonts w:ascii="Arial" w:cs="Arial" w:eastAsia="Arial" w:hAnsi="Arial"/>
          <w:sz w:val="18"/>
          <w:szCs w:val="18"/>
          <w:color w:val="auto"/>
        </w:rPr>
        <w:t>ﬀ</w:t>
      </w:r>
      <w:r>
        <w:rPr>
          <w:rFonts w:ascii="Times New Roman" w:cs="Times New Roman" w:eastAsia="Times New Roman" w:hAnsi="Times New Roman"/>
          <w:sz w:val="18"/>
          <w:szCs w:val="18"/>
          <w:color w:val="auto"/>
        </w:rPr>
        <w:t>erent opportunities. But we believe this combination makes the most sense, as it delivers on our value commitments for customers, communities, employees and shareholders alike.</w:t>
      </w:r>
    </w:p>
    <w:p>
      <w:pPr>
        <w:spacing w:after="0" w:line="17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At Sun Country, we have developed an innovative way to build an airline that shares resources over multiple lines of business. Our unique focus on scheduled service, charter and cargo has been consistently profitable with high margins and has been generating significant free cash. These di</w:t>
      </w:r>
      <w:r>
        <w:rPr>
          <w:rFonts w:ascii="Arial" w:cs="Arial" w:eastAsia="Arial" w:hAnsi="Arial"/>
          <w:sz w:val="18"/>
          <w:szCs w:val="18"/>
          <w:color w:val="auto"/>
        </w:rPr>
        <w:t>ﬀ</w:t>
      </w:r>
      <w:r>
        <w:rPr>
          <w:rFonts w:ascii="Times New Roman" w:cs="Times New Roman" w:eastAsia="Times New Roman" w:hAnsi="Times New Roman"/>
          <w:sz w:val="18"/>
          <w:szCs w:val="18"/>
          <w:color w:val="auto"/>
        </w:rPr>
        <w:t>erentiators will immediately carry over to the combined company to help ensure it becomes a stronger national player.</w:t>
      </w:r>
    </w:p>
    <w:p>
      <w:pPr>
        <w:spacing w:after="0" w:line="13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Driven by a strong execution from our team, we deliver some of the highest margins in the industry throughout cycles. Over the last several years, we’ve produced profitable growth, and last quarter marked our 13th consecutive profitable quarter. Our cargo partnership with Amazon has become an increasingly important contributor to our overall revenue. If you think about the growth we can o</w:t>
      </w:r>
      <w:r>
        <w:rPr>
          <w:rFonts w:ascii="Arial" w:cs="Arial" w:eastAsia="Arial" w:hAnsi="Arial"/>
          <w:sz w:val="18"/>
          <w:szCs w:val="18"/>
          <w:color w:val="auto"/>
        </w:rPr>
        <w:t>ﬀ</w:t>
      </w:r>
      <w:r>
        <w:rPr>
          <w:rFonts w:ascii="Times New Roman" w:cs="Times New Roman" w:eastAsia="Times New Roman" w:hAnsi="Times New Roman"/>
          <w:sz w:val="18"/>
          <w:szCs w:val="18"/>
          <w:color w:val="auto"/>
        </w:rPr>
        <w:t>er Allegiant through the combination, this is another important pillar.</w:t>
      </w:r>
    </w:p>
    <w:p>
      <w:pPr>
        <w:spacing w:after="0" w:line="18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And finally, our charter business continues to post positive results with record reported charter revenues so far in 2025. We are committed to our charter partners and look forward to being able to grow charter opportunities in the combined company.</w:t>
      </w:r>
    </w:p>
    <w:p>
      <w:pPr>
        <w:spacing w:after="0" w:line="16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We believe this combination is also a win for our shareholders. Our fundamentals, coupled with our expanded network and the addition of a significant charter and cargo program, make for an attractive combination that we believe will deliver long-term growth and value creation for our shareholders. The transaction value o</w:t>
      </w:r>
      <w:r>
        <w:rPr>
          <w:rFonts w:ascii="Arial" w:cs="Arial" w:eastAsia="Arial" w:hAnsi="Arial"/>
          <w:sz w:val="18"/>
          <w:szCs w:val="18"/>
          <w:color w:val="auto"/>
        </w:rPr>
        <w:t>ﬀ</w:t>
      </w:r>
      <w:r>
        <w:rPr>
          <w:rFonts w:ascii="Times New Roman" w:cs="Times New Roman" w:eastAsia="Times New Roman" w:hAnsi="Times New Roman"/>
          <w:sz w:val="18"/>
          <w:szCs w:val="18"/>
          <w:color w:val="auto"/>
        </w:rPr>
        <w:t>ers a significant and compelling cash premium, with upside in ownership in the combined company. We expect that MSP will be a major strategic hub for the combined company, with more flights in and out of MSP connecting to Allegiant’s mid-sized markets.</w:t>
      </w:r>
    </w:p>
    <w:p>
      <w:pPr>
        <w:sectPr>
          <w:pgSz w:w="11900" w:h="16838" w:orient="portrait"/>
          <w:cols w:equalWidth="0" w:num="1">
            <w:col w:w="11020"/>
          </w:cols>
          <w:pgMar w:left="440" w:top="270" w:right="439" w:bottom="1440" w:gutter="0" w:footer="0" w:header="0"/>
        </w:sectPr>
      </w:pPr>
    </w:p>
    <w:bookmarkStart w:id="2" w:name="page3"/>
    <w:bookmarkEnd w:id="2"/>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Importantly, our frontline employees will benefit from the transaction as part of a larger, more diversified airline. With the expanded leisure travel opportunities and our charter and cargo flying, our combined company will have more year-round flying opportunities for pilots, crews and operations personnel, providing additional stability, an expanding career growth and greater cross-training opportunities. We are nothing without our people. To the entire Sun Country team, thank you for all that you do. You will remain core to our future success. I look forward to working with Greg as we plan to bring our airlines together.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with that, I’ll hand it back to Greg to walk through the strategic rationale and value creation for our shareholders.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Gregory Clark Anderson</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Jude, thank you. Turning to slide 5, as we look at what this combination means for shareholders, I want to step back and focus on the long-term value we’re creating together. Allegiant maintains a solid plan for organic growth, backed by a well-timed aircraft order with Boeing. While we have implemented several key initiatives that have reinforced our foundation and are expected to enhance future profitability, we see this acquisition as a unique opportunity to accelerate and further strengthen our well-planned strategy.</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acquisition will create significant long-term value for both Allegiant and Sun Country shareholders, strengthening what is already the leading flexible capacity carrier in North America. The combination is expected to generate $140 million in annual synergies, assuming conservative estimates. We intend to optimize our complementary fleets based on where we are flying, where the aircraft can be best utilized, our order and option book with Boeing, and which bases are best matched for the aircraft being flown.</w:t>
      </w:r>
    </w:p>
    <w:p>
      <w:pPr>
        <w:spacing w:after="0" w:line="180" w:lineRule="exact"/>
        <w:rPr>
          <w:sz w:val="20"/>
          <w:szCs w:val="20"/>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Additionally, we expect to drive growth by flying to new potential markets by connecting Allegiant’s origination markets with Sun Country’s international leisure destinations, including Mexico, the Caribbean, Central America and Canada, as well as connecting Minneapolis-St. Paul to Allegiant’s mid-sized markets. Greater network relevance enhances the value of the combined loyalty platform, supporting higher membership, increased engagement and stronger overall remuneration.</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flexible capacity, low-utilization model will benefit from Sun Country’s cargo business, and both companies will benefit from greater scale in the charter market. The charter and cargo businesses naturally help balance the typical cycle of leisure demand and mitigate fuel risk as they pass through to the end customer. Lastly, the combination makes financial sense by maintaining our strong balance sheet. We expect the transaction will also be accretive to our EPS in the first full year post-closing. This is a compelling opportunity to create lasting value for all of our stakeholders.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let me turn it over to BJ to review the transaction details.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J. Neal</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Thanks, Greg, and good morning, everyone. As Greg just shared, this is a transformative combination for our customers, team members and shareholders.I’d like to walk you through the key details of the transaction and what it means from a financial and governance perspective. Under the terms of the definitive agreement, Allegiant will acquire Sun Country in a cash and stock transaction that values Sun Country at a fully diluted equity value of $1.1 billion.</w:t>
      </w:r>
    </w:p>
    <w:p>
      <w:pPr>
        <w:spacing w:after="0" w:line="18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When the deal closes, Allegiant shareholders will own roughly 67% of the combined company, while Sun Country shareholders will own approximately 33%. For Sun Country shareholders, each share will be converted into 0.1557 shares of Allegiant stock, plus $4.10 in cash which, as of January 9, 2026, implies a total merger consideration of $18.89 per Sun Country share. This represents a 19.8% premium to Sun Country’s closing share price of $15.77 on January 9.</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believe this is a compelling value for Sun Country shareholders, giving them both immediate benefit and the opportunity to participate in the growth of a larger, more competitive combined airline. We expect the transaction to close in the second half of 2026, subject to customary closing conditions, including regulatory and shareholder approvals.The combined company will continue under the Allegiant name, headquartered in Las Vegas, and we’re committed to maintaining a significant presence in Minnesota, which will continue to be an important base of operations.</w:t>
      </w:r>
    </w:p>
    <w:p>
      <w:pPr>
        <w:spacing w:after="0" w:line="18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To ensure stability and continuity through the integration, we believe leadership consistency is critical. Accordingly, Greg Anderson will continue to serve as Chief Executive O</w:t>
      </w:r>
      <w:r>
        <w:rPr>
          <w:rFonts w:ascii="Arial" w:cs="Arial" w:eastAsia="Arial" w:hAnsi="Arial"/>
          <w:sz w:val="18"/>
          <w:szCs w:val="18"/>
          <w:color w:val="auto"/>
        </w:rPr>
        <w:t>ﬃ</w:t>
      </w:r>
      <w:r>
        <w:rPr>
          <w:rFonts w:ascii="Times New Roman" w:cs="Times New Roman" w:eastAsia="Times New Roman" w:hAnsi="Times New Roman"/>
          <w:sz w:val="18"/>
          <w:szCs w:val="18"/>
          <w:color w:val="auto"/>
        </w:rPr>
        <w:t>cer.I’ll continue to serve the company as President and Chief Financial O</w:t>
      </w:r>
      <w:r>
        <w:rPr>
          <w:rFonts w:ascii="Arial" w:cs="Arial" w:eastAsia="Arial" w:hAnsi="Arial"/>
          <w:sz w:val="18"/>
          <w:szCs w:val="18"/>
          <w:color w:val="auto"/>
        </w:rPr>
        <w:t>ﬃ</w:t>
      </w:r>
      <w:r>
        <w:rPr>
          <w:rFonts w:ascii="Times New Roman" w:cs="Times New Roman" w:eastAsia="Times New Roman" w:hAnsi="Times New Roman"/>
          <w:sz w:val="18"/>
          <w:szCs w:val="18"/>
          <w:color w:val="auto"/>
        </w:rPr>
        <w:t>cer.Jude Bricker will join the combined company board and will act as advisor to Greg during the transition. Maury Gallagher will serve as Chairman of the Board of the combined company. In addition to Jude, 2 members will be added to Allegiant’s board of directors upon closing of the transaction, bringing total board members to 11.</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Gregory Clark Anderson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Thanks, BJ. Turning to slide 7, I want to spend a moment on one of the most important strengths we’re bringing together with this combination, which is our unique low-utilization and flexible capacity models. Allegiant and Sun Country have similar approaches of flexing capacity to meet demand by season and by day of week. To successfully operate a flexible capacity carrier, you need the right fleet, the right team member base, the right network, and most importantly, you need to have all this in your DNA. Both Allegiant and Sun Country were specifically built with these attributes and it is how each business is run.</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aim is that the combined carrier will maintain the ability to increase utilization during peak leisure periods, as well as peak leisure day of week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flying; deploy aircraft into charter and cargo operations strategically; dynamically adjust routes to capture emerging leisure trends; and maintain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r>
        <w:rPr>
          <w:rFonts w:ascii="Arial" w:cs="Arial" w:eastAsia="Arial" w:hAnsi="Arial"/>
          <w:sz w:val="18"/>
          <w:szCs w:val="18"/>
          <w:color w:val="auto"/>
        </w:rPr>
        <w:t>ﬃ</w:t>
      </w:r>
      <w:r>
        <w:rPr>
          <w:rFonts w:ascii="Times New Roman" w:cs="Times New Roman" w:eastAsia="Times New Roman" w:hAnsi="Times New Roman"/>
          <w:sz w:val="18"/>
          <w:szCs w:val="18"/>
          <w:color w:val="auto"/>
        </w:rPr>
        <w:t>cient point-to-point service without hub complexity.This flexibility is a core characteristic for both carriers and a key contributor to our sustained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leading financial results over the years. We believe this advantage is strengthened through this transaction.</w:t>
      </w:r>
    </w:p>
    <w:p>
      <w:pPr>
        <w:spacing w:after="0" w:line="2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And as you can see on slide 8, this approach has allowed both Allegiant and Sun Country to deliver near industry-leading financial results across economic cycles, including the current backdrop. Those results are not incidental. They are the product of expertly matching capacity to meet periods of demand, a relentless focus on cost performance, a responsible approach to asset acquisition, and a solid diversified revenue stream from charter and cargo operations.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By joining forces, we aim to improve our ability to reshape and lead the leisure travel market throughout North America, a timely move given the recent post-pandemic shifts that have exposed vulnerabilities in other low-fare carriers, which are struggling to adapt.</w:t>
      </w:r>
    </w:p>
    <w:p>
      <w:pPr>
        <w:spacing w:after="0" w:line="16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color w:val="auto"/>
        </w:rPr>
        <w:t>This combination meaningfully expands access and choice. Allegiant and Sun Country operate largely complementary route networks. Together, the combined network will provide broader access to a</w:t>
      </w:r>
      <w:r>
        <w:rPr>
          <w:rFonts w:ascii="Arial" w:cs="Arial" w:eastAsia="Arial" w:hAnsi="Arial"/>
          <w:sz w:val="18"/>
          <w:szCs w:val="18"/>
          <w:color w:val="auto"/>
        </w:rPr>
        <w:t>ﬀ</w:t>
      </w:r>
      <w:r>
        <w:rPr>
          <w:rFonts w:ascii="Times New Roman" w:cs="Times New Roman" w:eastAsia="Times New Roman" w:hAnsi="Times New Roman"/>
          <w:sz w:val="18"/>
          <w:szCs w:val="18"/>
          <w:color w:val="auto"/>
        </w:rPr>
        <w:t>ordable leisure travel across the United States, serving 22 million passengers annually and o</w:t>
      </w:r>
      <w:r>
        <w:rPr>
          <w:rFonts w:ascii="Arial" w:cs="Arial" w:eastAsia="Arial" w:hAnsi="Arial"/>
          <w:sz w:val="18"/>
          <w:szCs w:val="18"/>
          <w:color w:val="auto"/>
        </w:rPr>
        <w:t>ﬀ</w:t>
      </w:r>
      <w:r>
        <w:rPr>
          <w:rFonts w:ascii="Times New Roman" w:cs="Times New Roman" w:eastAsia="Times New Roman" w:hAnsi="Times New Roman"/>
          <w:sz w:val="18"/>
          <w:szCs w:val="18"/>
          <w:color w:val="auto"/>
        </w:rPr>
        <w:t>ering service to nearly 175 communities, with meaningful opportunities for continued expansion. In short, this transaction enhances customer value by delivering greater access to a</w:t>
      </w:r>
      <w:r>
        <w:rPr>
          <w:rFonts w:ascii="Arial" w:cs="Arial" w:eastAsia="Arial" w:hAnsi="Arial"/>
          <w:sz w:val="18"/>
          <w:szCs w:val="18"/>
          <w:color w:val="auto"/>
        </w:rPr>
        <w:t>ﬀ</w:t>
      </w:r>
      <w:r>
        <w:rPr>
          <w:rFonts w:ascii="Times New Roman" w:cs="Times New Roman" w:eastAsia="Times New Roman" w:hAnsi="Times New Roman"/>
          <w:sz w:val="18"/>
          <w:szCs w:val="18"/>
          <w:color w:val="auto"/>
        </w:rPr>
        <w:t>ordable travel across the US, international and key leisure destinations.</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Customers will benefit from expanded loyalty benefits across the combined platform. Supported by Allegiant’s award-winning loyalty program, travelers will gain greater opportunities to earn and redeem rewards across a significantly larger network. Allegiant is currently investing in a capital program and brings a highly attractive order book of Boeing 737 MAX aircraft, which enables profitable growth. This adds significant value to the combined business, particularly given that Sun Country owns and operates a mid-life fleet of 737 aircraft and with no future fleet commitments, and also generates attractive free cash flows.</w:t>
      </w:r>
    </w:p>
    <w:p>
      <w:pPr>
        <w:spacing w:after="0" w:line="18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For our team members, both airlines share a deep commitment to safety, service and operational excellence. We believe the scale and opportunities created by the combined company will support incremental career growth and development for our people over time. Notably, Allegiant and Sun Country share closely aligned cultures and operating philosophies, which we expect to support a smooth integration process and enable our teams to uphold the exceptional standards of service and performance our customers expect.</w:t>
      </w:r>
    </w:p>
    <w:p>
      <w:pPr>
        <w:spacing w:after="0" w:line="18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Turning to slide 10, while other leisure carriers have struggled, Allegiant and Sun Country have thrived. While other leisure airlines fly as much as possible on crowded routes, Allegiant and Sun Country only fly large routes when demand exceeds capacity. Additionally, both airlines retain leadership positions in their respective originating markets, and thus, have relevancy to the customer base. Lastly, both companies have strong balance sheets, which again is di</w:t>
      </w:r>
      <w:r>
        <w:rPr>
          <w:rFonts w:ascii="Arial" w:cs="Arial" w:eastAsia="Arial" w:hAnsi="Arial"/>
          <w:sz w:val="18"/>
          <w:szCs w:val="18"/>
          <w:color w:val="auto"/>
        </w:rPr>
        <w:t>ﬀ</w:t>
      </w:r>
      <w:r>
        <w:rPr>
          <w:rFonts w:ascii="Times New Roman" w:cs="Times New Roman" w:eastAsia="Times New Roman" w:hAnsi="Times New Roman"/>
          <w:sz w:val="18"/>
          <w:szCs w:val="18"/>
          <w:color w:val="auto"/>
        </w:rPr>
        <w:t>erent from other leisure carriers.</w:t>
      </w:r>
    </w:p>
    <w:p>
      <w:pPr>
        <w:spacing w:after="0" w:line="14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And the results of our models speak for themselves. The combined Allegiant and Sun Country generates healthy operating margins in the airline sector before accounting for synergies, while all other leisure-focused carriers generate negative margins. Additionally, the combined airline will be the only leisure carrier with a conservative balance sheet. In short, the new Allegiant has the right scale, business model, customer relevance and financial strength to be the clear leader in leisure travel.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 going to pass it back to BJ, who will share more on that.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J. Neal</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we look at the combined airline, what truly stands out is our diversified revenue streams that enhance returns and reduce volatility. Our business models prioritize high-value scheduled service, but generate a substantial portion of scheduled service revenue from ancillary products and loyalty. Additionally, both airlines opportunistically deploy capacity into charter operations, further enhancing asset deployment and margin performance, while Sun Country adds a contracted cargo business to further diversify revenue streams.</w:t>
      </w:r>
    </w:p>
    <w:p>
      <w:pPr>
        <w:spacing w:after="0" w:line="180"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Looking ahead, the combined entity will look to grow its charter platform, unlocking incremental opportunities, while cargo will remain a critical contributor to margin enhancement, particularly during periods of softer leisure demand. With a resilient business model, we can invest in growth, deliver value to shareholders, and provide stability for our teams, regardless of the broader industry environment.</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Both airlines take a sophisticated and responsible approach to acquiring aircraft, prioritizing ownership over leasing. Since the vast majority of our fleet is owned, the combined company will be able to deploy capacity more flexibly and e</w:t>
      </w:r>
      <w:r>
        <w:rPr>
          <w:rFonts w:ascii="Arial" w:cs="Arial" w:eastAsia="Arial" w:hAnsi="Arial"/>
          <w:sz w:val="18"/>
          <w:szCs w:val="18"/>
          <w:color w:val="auto"/>
        </w:rPr>
        <w:t>ﬃ</w:t>
      </w:r>
      <w:r>
        <w:rPr>
          <w:rFonts w:ascii="Times New Roman" w:cs="Times New Roman" w:eastAsia="Times New Roman" w:hAnsi="Times New Roman"/>
          <w:sz w:val="18"/>
          <w:szCs w:val="18"/>
          <w:color w:val="auto"/>
        </w:rPr>
        <w:t>ciently wherever it can earn the highest return, reinforcing our position as a leading flexible capacity carrier in the US. Additionally, the combined fleet will have significant embedded equity value, which can be unlocked opportunistically to further reduce leverage and drive equity returns. We believe Allegiant and Sun Country stand out in the industry in our ability to realize value through best-in-class fleet management.</w:t>
      </w:r>
    </w:p>
    <w:p>
      <w:pPr>
        <w:spacing w:after="0" w:line="18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With our expanded and flexible fleet, we’re well-positioned to unlock significant market growth opportunities across the combined network. Allegiant contributes a broad US network, serving more than 550 routes, an award-winning loyalty program, a strong domestic leisure presence across more than 80 originating cities, and a meaningful charter operation that helps smooth seasonality.</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Sun Country contributes 105 routes, a valuable position in Minneapolis-St. Paul, and an established international leisure footprint with 18 destinations across Mexico, the Caribbean, Canada and Latin America. It also brings a diversified revenue model, spanning scheduled service, charter and cargo. Importantly, Sun Country is a profitable business with strong free cash flow generation and minimal remaining capital requirement.</w:t>
      </w:r>
    </w:p>
    <w:p>
      <w:pPr>
        <w:sectPr>
          <w:pgSz w:w="11900" w:h="16838" w:orient="portrait"/>
          <w:cols w:equalWidth="0" w:num="1">
            <w:col w:w="11000"/>
          </w:cols>
          <w:pgMar w:left="440" w:top="270" w:right="459" w:bottom="1440" w:gutter="0" w:footer="0" w:header="0"/>
        </w:sectPr>
      </w:pPr>
    </w:p>
    <w:bookmarkStart w:id="4" w:name="page5"/>
    <w:bookmarkEnd w:id="4"/>
    <w:p>
      <w:pPr>
        <w:ind w:right="20"/>
        <w:spacing w:after="0" w:line="26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 combined, the network optimizes aircraft and airport utilization, enhances seasonal scheduling agility and expands customer choice, o</w:t>
      </w:r>
      <w:r>
        <w:rPr>
          <w:rFonts w:ascii="Arial" w:cs="Arial" w:eastAsia="Arial" w:hAnsi="Arial"/>
          <w:sz w:val="18"/>
          <w:szCs w:val="18"/>
          <w:color w:val="auto"/>
        </w:rPr>
        <w:t>ﬀ</w:t>
      </w:r>
      <w:r>
        <w:rPr>
          <w:rFonts w:ascii="Times New Roman" w:cs="Times New Roman" w:eastAsia="Times New Roman" w:hAnsi="Times New Roman"/>
          <w:sz w:val="18"/>
          <w:szCs w:val="18"/>
          <w:color w:val="auto"/>
        </w:rPr>
        <w:t>ering more relevance to customers in many cities. Growth opportunities include connecting the dots between complementary networks, serving international leisure destinations from Allegiant’s origination markets and added frequency, leveraging both customer bases across the Midwest. This kind of network flexibility allows us to pursue growth where it makes the most sense and drive value for our customers and shareholders, while strengthening our position as the leader in flexible leisure travel.</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Turning to slide 15, we outline the key drivers of the synergy opportunity we see in the combination. Based on our analysis, we expect to achieve an annual run-rate of approximately $140 million in synergies, net of dis-synergies, at approximately three years post-close. Importantly, we also believe there is meaningful potential upside to this estimate over time.</w:t>
      </w:r>
    </w:p>
    <w:p>
      <w:pPr>
        <w:spacing w:after="0" w:line="17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largest driver of value is network and scheduling optimization. The combination creates a broader, more complementary footprint and larger fleet that enhances our ability to tactically deploy capacity across markets and seasons. With greater scale and flexibility, we expect to better align aircraft type, utilization, stage length and gauge with underlying demand, supporting improved asset productivity and margin performance. These e</w:t>
      </w:r>
      <w:r>
        <w:rPr>
          <w:rFonts w:ascii="Arial" w:cs="Arial" w:eastAsia="Arial" w:hAnsi="Arial"/>
          <w:sz w:val="18"/>
          <w:szCs w:val="18"/>
          <w:color w:val="auto"/>
        </w:rPr>
        <w:t>ﬀ</w:t>
      </w:r>
      <w:r>
        <w:rPr>
          <w:rFonts w:ascii="Times New Roman" w:cs="Times New Roman" w:eastAsia="Times New Roman" w:hAnsi="Times New Roman"/>
          <w:sz w:val="18"/>
          <w:szCs w:val="18"/>
          <w:color w:val="auto"/>
        </w:rPr>
        <w:t>orts build on operating practices both companies already execute well today.</w:t>
      </w:r>
    </w:p>
    <w:p>
      <w:pPr>
        <w:spacing w:after="0" w:line="18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 second driver is expanded relevance in the Midwest through a more comprehensive network and distribution platform. By linking complementary systems, we can broaden route coverage and improve access to leisure destinations for Midwest customers, while leveraging point-to-point infrastructure well-suited to our model. This expanded reach is expected to support demand stimulation, higher load factors and improved unit economics without adding structural complexity.</w:t>
      </w:r>
    </w:p>
    <w:p>
      <w:pPr>
        <w:spacing w:after="0" w:line="18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Additionally, the broader footprint improves cobrand economics and enhances the utility of the loyalty platform for the combined company. A larger network increases opportunities for customers to earn and redeem points across more destinations, driving engagement and supporting higher cardholder spend. We expect these dynamics to strengthen the value of the proposition of the cobrand program and contribute incremental revenue over time.</w:t>
      </w:r>
    </w:p>
    <w:p>
      <w:pPr>
        <w:spacing w:after="0" w:line="117"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8"/>
          <w:szCs w:val="18"/>
          <w:color w:val="auto"/>
        </w:rPr>
        <w:t>Charter e</w:t>
      </w:r>
      <w:r>
        <w:rPr>
          <w:rFonts w:ascii="Arial" w:cs="Arial" w:eastAsia="Arial" w:hAnsi="Arial"/>
          <w:sz w:val="18"/>
          <w:szCs w:val="18"/>
          <w:color w:val="auto"/>
        </w:rPr>
        <w:t>ﬃ</w:t>
      </w:r>
      <w:r>
        <w:rPr>
          <w:rFonts w:ascii="Times New Roman" w:cs="Times New Roman" w:eastAsia="Times New Roman" w:hAnsi="Times New Roman"/>
          <w:sz w:val="18"/>
          <w:szCs w:val="18"/>
          <w:color w:val="auto"/>
        </w:rPr>
        <w:t>ciencies are enhanced through broader resources. Increased scale across operational bases, flight crews, aircraft types and deployable assets expands our ability to serve charter demand more e</w:t>
      </w:r>
      <w:r>
        <w:rPr>
          <w:rFonts w:ascii="Arial" w:cs="Arial" w:eastAsia="Arial" w:hAnsi="Arial"/>
          <w:sz w:val="18"/>
          <w:szCs w:val="18"/>
          <w:color w:val="auto"/>
        </w:rPr>
        <w:t>ﬃ</w:t>
      </w:r>
      <w:r>
        <w:rPr>
          <w:rFonts w:ascii="Times New Roman" w:cs="Times New Roman" w:eastAsia="Times New Roman" w:hAnsi="Times New Roman"/>
          <w:sz w:val="18"/>
          <w:szCs w:val="18"/>
          <w:color w:val="auto"/>
        </w:rPr>
        <w:t>ciently. This improves o</w:t>
      </w:r>
      <w:r>
        <w:rPr>
          <w:rFonts w:ascii="Arial" w:cs="Arial" w:eastAsia="Arial" w:hAnsi="Arial"/>
          <w:sz w:val="18"/>
          <w:szCs w:val="18"/>
          <w:color w:val="auto"/>
        </w:rPr>
        <w:t>ﬀ</w:t>
      </w:r>
      <w:r>
        <w:rPr>
          <w:rFonts w:ascii="Times New Roman" w:cs="Times New Roman" w:eastAsia="Times New Roman" w:hAnsi="Times New Roman"/>
          <w:sz w:val="18"/>
          <w:szCs w:val="18"/>
          <w:color w:val="auto"/>
        </w:rPr>
        <w:t>-peak utilization, supports incremental revenue opportunities and reinforces the flexibility of the overall business model.</w:t>
      </w:r>
    </w:p>
    <w:p>
      <w:pPr>
        <w:spacing w:after="0" w:line="1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Beyond these core drivers, we see additional upside potential from several areas, including increased flexibility in fleet and asset management; best-in-class third-party ancillary optimization; cargo e</w:t>
      </w:r>
      <w:r>
        <w:rPr>
          <w:rFonts w:ascii="Arial" w:cs="Arial" w:eastAsia="Arial" w:hAnsi="Arial"/>
          <w:sz w:val="18"/>
          <w:szCs w:val="18"/>
          <w:color w:val="auto"/>
        </w:rPr>
        <w:t>ﬃ</w:t>
      </w:r>
      <w:r>
        <w:rPr>
          <w:rFonts w:ascii="Times New Roman" w:cs="Times New Roman" w:eastAsia="Times New Roman" w:hAnsi="Times New Roman"/>
          <w:sz w:val="18"/>
          <w:szCs w:val="18"/>
          <w:color w:val="auto"/>
        </w:rPr>
        <w:t>ciencies enabled by a broader operational footprint; international scale and improved speed to market; and benefits associated with a stronger balance sheet. Taken together, these initiatives underpin our expectation of approximately $140 million in annual EBITDA synergies, net of dis-synergies, with meaningful upside potential as we continue to execute and identify new opportunities across the combined platform.</w:t>
      </w:r>
    </w:p>
    <w:p>
      <w:pPr>
        <w:spacing w:after="0" w:line="18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Turning slides, the transaction is expected to be earnings accretive in the first full year post- closing, with accretion growing as full synergies are realized. Additionally, we expect the transaction to increase Allegiant’s return on capital and free cash flow. Return on invested capital, when considering synergies, is expected to be in the mid-teen percentage range. Importantly, we remain committed to a disciplined balance sheet approach. This transaction does not change our capital allocation priorities, and we expect to maintain strong liquidity and financial flexibility throughout the integration, with pro forma adjusted net debt to EBITDAR of less than 3 times.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Gregory Clark Anderson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Thanks, BJ, and thank you again to everyone for joining us. Before we open it up for questions, I want to take a moment to summarize why we’re so excited about this combination and what it means for all of our stakeholders. The combined carriers will provide a larger network, serving more markets with a better loyalty program, all of which accrue to the benefit of our customers and the communities we serve, which means more family vacations or last-minute getaways. Additionally, enhanced fleet management across the combined entity also improves reliability and on-time performance, delivering a more consistent and dependable travel experience.</w:t>
      </w:r>
    </w:p>
    <w:p>
      <w:pPr>
        <w:spacing w:after="0" w:line="183"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A larger and more seasonally balanced business will also create more career opportunities for our team members, while also allowing us to continue to invest in professional development and employee engagement. Finally, the combination is expected to create significant shareholder value by bringing together complementary business models with leading industry margins and unlocking approximately $140 million in annual synergies and supporting sustainable long-term growth and cash generation.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let’s open it up for your questions.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 AND ANSWER SECTION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Thank you. We will now begin the question-and-answer session. Your first question comes from the line of Andrew Didora from Bank of America. Your line is open.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w:t>
      </w:r>
      <w:r>
        <w:rPr>
          <w:rFonts w:ascii="Times New Roman" w:cs="Times New Roman" w:eastAsia="Times New Roman" w:hAnsi="Times New Roman"/>
          <w:sz w:val="18"/>
          <w:szCs w:val="18"/>
          <w:color w:val="auto"/>
        </w:rPr>
        <w:t>Andrew G. Didora</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Question – Andrew G. Didora: </w:t>
      </w:r>
      <w:r>
        <w:rPr>
          <w:rFonts w:ascii="Times New Roman" w:cs="Times New Roman" w:eastAsia="Times New Roman" w:hAnsi="Times New Roman"/>
          <w:sz w:val="18"/>
          <w:szCs w:val="18"/>
          <w:color w:val="auto"/>
        </w:rPr>
        <w:t>Hey. Good morning, everyone. Congratulations on getting this deal across. I guess my question, just in terms of labor,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 you’ve been working on your pilot deal for quite some time now. I guess, about combining at a later point? Thanks.from a process standpoint, does that stop and now you work on the combined deal or you’re just going full steam ahead with your pilots right now and worry</w:t>
      </w:r>
    </w:p>
    <w:p>
      <w:pPr>
        <w:sectPr>
          <w:pgSz w:w="11900" w:h="16838" w:orient="portrait"/>
          <w:cols w:equalWidth="0" w:num="1">
            <w:col w:w="11000"/>
          </w:cols>
          <w:pgMar w:left="440" w:top="229" w:right="459" w:bottom="1440" w:gutter="0" w:footer="0" w:header="0"/>
        </w:sectPr>
      </w:pPr>
    </w:p>
    <w:bookmarkStart w:id="5" w:name="page6"/>
    <w:bookmarkEnd w:id="5"/>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Answer – Gregory Clark Anderson: </w:t>
      </w:r>
      <w:r>
        <w:rPr>
          <w:rFonts w:ascii="Times New Roman" w:cs="Times New Roman" w:eastAsia="Times New Roman" w:hAnsi="Times New Roman"/>
          <w:sz w:val="18"/>
          <w:szCs w:val="18"/>
          <w:color w:val="auto"/>
        </w:rPr>
        <w:t>Andrew, hey. Good morning. It’s Greg. Thanks for the question. Our pilots are obviously critical to our success,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it’s important that we get it right. I’m confident that we’re going to get there. We are though in the mediation process, and the NMB will dictate the timing. And we’ll work closely with them and our pilot union throughout this process.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next question comes from the line of Michael Linenberg from Deutsche Bank. Your line is open.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w:t>
      </w:r>
      <w:r>
        <w:rPr>
          <w:rFonts w:ascii="Times New Roman" w:cs="Times New Roman" w:eastAsia="Times New Roman" w:hAnsi="Times New Roman"/>
          <w:sz w:val="18"/>
          <w:szCs w:val="18"/>
          <w:color w:val="auto"/>
        </w:rPr>
        <w:t>Michael Linenberg</w:t>
      </w:r>
    </w:p>
    <w:p>
      <w:pPr>
        <w:spacing w:after="0" w:line="11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Question – Michael Linenberg: </w:t>
      </w:r>
      <w:r>
        <w:rPr>
          <w:rFonts w:ascii="Times New Roman" w:cs="Times New Roman" w:eastAsia="Times New Roman" w:hAnsi="Times New Roman"/>
          <w:sz w:val="18"/>
          <w:szCs w:val="18"/>
          <w:color w:val="auto"/>
        </w:rPr>
        <w:t>Oh, yeah. Hey. Good morning, everyone. Congrats on this announcement. If you can just give us an update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timing, have you filed Hart-Scott-Rodino or does that happen this week? You also indicated that the close is the second half of 2026. And so, in order to get some of these synergies, I guess, we would see the timing around the merging of the certificate and the transition – or the cutover of the (00:26:27) passenger service system. Any sort of milestones that you can provide around the timing? Thanks.</w:t>
      </w:r>
    </w:p>
    <w:p>
      <w:pPr>
        <w:spacing w:after="0" w:line="140" w:lineRule="exact"/>
        <w:rPr>
          <w:sz w:val="20"/>
          <w:szCs w:val="20"/>
          <w:color w:val="auto"/>
        </w:rPr>
      </w:pPr>
    </w:p>
    <w:p>
      <w:pPr>
        <w:ind w:right="100"/>
        <w:spacing w:after="0" w:line="328" w:lineRule="auto"/>
        <w:rPr>
          <w:sz w:val="20"/>
          <w:szCs w:val="20"/>
          <w:color w:val="auto"/>
        </w:rPr>
      </w:pPr>
      <w:r>
        <w:rPr>
          <w:rFonts w:ascii="Times New Roman" w:cs="Times New Roman" w:eastAsia="Times New Roman" w:hAnsi="Times New Roman"/>
          <w:sz w:val="18"/>
          <w:szCs w:val="18"/>
          <w:b w:val="1"/>
          <w:bCs w:val="1"/>
          <w:color w:val="auto"/>
        </w:rPr>
        <w:t xml:space="preserve">Answer – Gregory Clark Anderson: </w:t>
      </w:r>
      <w:r>
        <w:rPr>
          <w:rFonts w:ascii="Times New Roman" w:cs="Times New Roman" w:eastAsia="Times New Roman" w:hAnsi="Times New Roman"/>
          <w:sz w:val="18"/>
          <w:szCs w:val="18"/>
          <w:color w:val="auto"/>
        </w:rPr>
        <w:t>Hey, Michael. It’s Greg. Why don’t I kick it o</w:t>
      </w:r>
      <w:r>
        <w:rPr>
          <w:rFonts w:ascii="Arial" w:cs="Arial" w:eastAsia="Arial" w:hAnsi="Arial"/>
          <w:sz w:val="18"/>
          <w:szCs w:val="18"/>
          <w:color w:val="auto"/>
        </w:rPr>
        <w:t>ﬀ</w:t>
      </w:r>
      <w:r>
        <w:rPr>
          <w:rFonts w:ascii="Times New Roman" w:cs="Times New Roman" w:eastAsia="Times New Roman" w:hAnsi="Times New Roman"/>
          <w:sz w:val="18"/>
          <w:szCs w:val="18"/>
          <w:color w:val="auto"/>
        </w:rPr>
        <w:t>? As we mentioned, we expect the transaction to close roughly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second half of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Question – Michael Linenberg: </w:t>
      </w:r>
      <w:r>
        <w:rPr>
          <w:rFonts w:ascii="Times New Roman" w:cs="Times New Roman" w:eastAsia="Times New Roman" w:hAnsi="Times New Roman"/>
          <w:sz w:val="18"/>
          <w:szCs w:val="18"/>
          <w:color w:val="auto"/>
        </w:rPr>
        <w:t>Yes.</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Answer – Gregory Clark Anderson: </w:t>
      </w:r>
      <w:r>
        <w:rPr>
          <w:rFonts w:ascii="Times New Roman" w:cs="Times New Roman" w:eastAsia="Times New Roman" w:hAnsi="Times New Roman"/>
          <w:sz w:val="18"/>
          <w:szCs w:val="18"/>
          <w:color w:val="auto"/>
        </w:rPr>
        <w:t>This is obviously subject to shareholder approval and also the required regulatory approvals. Post-close, then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go to the integration process, which I think on average for airlines takes roughly 14 months, and that’s where we’d be working to get towards a single operating certificate.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Question – Michael Linenberg: </w:t>
      </w:r>
      <w:r>
        <w:rPr>
          <w:rFonts w:ascii="Times New Roman" w:cs="Times New Roman" w:eastAsia="Times New Roman" w:hAnsi="Times New Roman"/>
          <w:sz w:val="18"/>
          <w:szCs w:val="18"/>
          <w:color w:val="auto"/>
        </w:rPr>
        <w:t>Yes.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Gregory Clark Anderson: </w:t>
      </w:r>
      <w:r>
        <w:rPr>
          <w:rFonts w:ascii="Times New Roman" w:cs="Times New Roman" w:eastAsia="Times New Roman" w:hAnsi="Times New Roman"/>
          <w:sz w:val="18"/>
          <w:szCs w:val="18"/>
          <w:color w:val="auto"/>
        </w:rPr>
        <w:t>And then, was there any – did I miss anything on the question, Michael or – yeah.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Robert J. Neal: </w:t>
      </w:r>
      <w:r>
        <w:rPr>
          <w:rFonts w:ascii="Times New Roman" w:cs="Times New Roman" w:eastAsia="Times New Roman" w:hAnsi="Times New Roman"/>
          <w:sz w:val="18"/>
          <w:szCs w:val="18"/>
          <w:color w:val="auto"/>
        </w:rPr>
        <w:t>Yeah. I can add in here. We haven’t filed for the HSR yet.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Answer – Gregory Clark Anderson: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Robert J. Neal: </w:t>
      </w:r>
      <w:r>
        <w:rPr>
          <w:rFonts w:ascii="Times New Roman" w:cs="Times New Roman" w:eastAsia="Times New Roman" w:hAnsi="Times New Roman"/>
          <w:sz w:val="18"/>
          <w:szCs w:val="18"/>
          <w:color w:val="auto"/>
        </w:rPr>
        <w:t>Sorry, Mike. This is BJ.</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Question – Michael Linenberg: </w:t>
      </w:r>
      <w:r>
        <w:rPr>
          <w:rFonts w:ascii="Times New Roman" w:cs="Times New Roman" w:eastAsia="Times New Roman" w:hAnsi="Times New Roman"/>
          <w:sz w:val="18"/>
          <w:szCs w:val="18"/>
          <w:color w:val="auto"/>
        </w:rPr>
        <w:t>Hey, BJ.</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Answer – Robert J. Neal: </w:t>
      </w:r>
      <w:r>
        <w:rPr>
          <w:rFonts w:ascii="Times New Roman" w:cs="Times New Roman" w:eastAsia="Times New Roman" w:hAnsi="Times New Roman"/>
          <w:sz w:val="18"/>
          <w:szCs w:val="18"/>
          <w:color w:val="auto"/>
        </w:rPr>
        <w:t>We haven’t submitted the HSR filing yet. And then, I would just mention on the synergy capture, we were expecting some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to come in before there’s a single operating certificate. So, that would begin post-close.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Question – Michael Linenberg: </w:t>
      </w:r>
      <w:r>
        <w:rPr>
          <w:rFonts w:ascii="Times New Roman" w:cs="Times New Roman" w:eastAsia="Times New Roman" w:hAnsi="Times New Roman"/>
          <w:sz w:val="18"/>
          <w:szCs w:val="18"/>
          <w:color w:val="auto"/>
        </w:rPr>
        <w:t>Great. All right. Thank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Gregory Clark Anderson: </w:t>
      </w:r>
      <w:r>
        <w:rPr>
          <w:rFonts w:ascii="Times New Roman" w:cs="Times New Roman" w:eastAsia="Times New Roman" w:hAnsi="Times New Roman"/>
          <w:sz w:val="18"/>
          <w:szCs w:val="18"/>
          <w:color w:val="auto"/>
        </w:rPr>
        <w:t>Thanks, Michael.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next question comes from the line of Duane Pfennigwerth from Evercore. Your line is open.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w:t>
      </w:r>
      <w:r>
        <w:rPr>
          <w:rFonts w:ascii="Times New Roman" w:cs="Times New Roman" w:eastAsia="Times New Roman" w:hAnsi="Times New Roman"/>
          <w:sz w:val="18"/>
          <w:szCs w:val="18"/>
          <w:color w:val="auto"/>
        </w:rPr>
        <w:t>Duane Pfennigwerth</w:t>
      </w:r>
    </w:p>
    <w:p>
      <w:pPr>
        <w:spacing w:after="0" w:line="117"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Question – Duane Pfennigwerth: </w:t>
      </w:r>
      <w:r>
        <w:rPr>
          <w:rFonts w:ascii="Times New Roman" w:cs="Times New Roman" w:eastAsia="Times New Roman" w:hAnsi="Times New Roman"/>
          <w:sz w:val="18"/>
          <w:szCs w:val="18"/>
          <w:color w:val="auto"/>
        </w:rPr>
        <w:t>Hey. Thank you. Good morning. Maybe just a follow-up on timing. Maybe for each of you, if you could answer,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Allegiant and Sun Country, why now for this transaction? And then, for Jude, how did you think through the premium and what are your plans post-close? Thanks for taking the questions.</w:t>
      </w:r>
    </w:p>
    <w:p>
      <w:pPr>
        <w:spacing w:after="0" w:line="134" w:lineRule="exact"/>
        <w:rPr>
          <w:sz w:val="20"/>
          <w:szCs w:val="20"/>
          <w:color w:val="auto"/>
        </w:rPr>
      </w:pPr>
    </w:p>
    <w:p>
      <w:pPr>
        <w:jc w:val="both"/>
        <w:ind w:right="600"/>
        <w:spacing w:after="0" w:line="289" w:lineRule="auto"/>
        <w:rPr>
          <w:sz w:val="20"/>
          <w:szCs w:val="20"/>
          <w:color w:val="auto"/>
        </w:rPr>
      </w:pPr>
      <w:r>
        <w:rPr>
          <w:rFonts w:ascii="Times New Roman" w:cs="Times New Roman" w:eastAsia="Times New Roman" w:hAnsi="Times New Roman"/>
          <w:sz w:val="18"/>
          <w:szCs w:val="18"/>
          <w:b w:val="1"/>
          <w:bCs w:val="1"/>
          <w:color w:val="auto"/>
        </w:rPr>
        <w:t xml:space="preserve">Answer – Gregory Clark Anderson: </w:t>
      </w:r>
      <w:r>
        <w:rPr>
          <w:rFonts w:ascii="Times New Roman" w:cs="Times New Roman" w:eastAsia="Times New Roman" w:hAnsi="Times New Roman"/>
          <w:sz w:val="18"/>
          <w:szCs w:val="18"/>
          <w:color w:val="auto"/>
        </w:rPr>
        <w:t>Thanks, Duane. This is Greg. I’ll kick it o</w:t>
      </w:r>
      <w:r>
        <w:rPr>
          <w:rFonts w:ascii="Arial" w:cs="Arial" w:eastAsia="Arial" w:hAnsi="Arial"/>
          <w:sz w:val="18"/>
          <w:szCs w:val="18"/>
          <w:color w:val="auto"/>
        </w:rPr>
        <w:t>ﬀ</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then hand it over to Jude. I think for us on timing, there’s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multiple factors, but readiness played a big part. As I think everyone on the call is aware, we had several key initiatives that we’ve been working towards over the past year, and they’ve really helped reinforce our foundation.</w:t>
      </w:r>
    </w:p>
    <w:p>
      <w:pPr>
        <w:spacing w:after="0" w:line="15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And I think at Allegiant here, we are in a better position of operational and financial strength. As we talked a lot about organizationally, we’ve divested of Sunseeker to focus solely on the airline commercially. We’ve modernized our technology. We broadened product o</w:t>
      </w:r>
      <w:r>
        <w:rPr>
          <w:rFonts w:ascii="Arial" w:cs="Arial" w:eastAsia="Arial" w:hAnsi="Arial"/>
          <w:sz w:val="18"/>
          <w:szCs w:val="18"/>
          <w:color w:val="auto"/>
        </w:rPr>
        <w:t>ﬀ</w:t>
      </w:r>
      <w:r>
        <w:rPr>
          <w:rFonts w:ascii="Times New Roman" w:cs="Times New Roman" w:eastAsia="Times New Roman" w:hAnsi="Times New Roman"/>
          <w:sz w:val="18"/>
          <w:szCs w:val="18"/>
          <w:color w:val="auto"/>
        </w:rPr>
        <w:t>erings. Financially, we meaningfully improved our balance sheet. Operationally, we restored our peak utilization. We’ve introduced MAX aircraft, and we’re running the best operations in our company’s history.</w:t>
      </w:r>
    </w:p>
    <w:p>
      <w:pPr>
        <w:spacing w:after="0" w:line="18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And so, as we were going through this and really strengthening our foundation, we did a lot of internal work on what’s the right path forward, and it was clear that Sun Country was a great strategic fit with complementary business. And so, the bottom line is we think this combination should position us, as we put in our opening remarks, as the clear leader in the flexible leisure travel sector. It’s accretive, drives value to all stakeholders, and we think it’s good for the industry. So, with that, maybe I’ll just pass it to Jude for his thoughts.</w:t>
      </w:r>
    </w:p>
    <w:p>
      <w:pPr>
        <w:spacing w:after="0" w:line="1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Answer – Jude I. Bricker: </w:t>
      </w:r>
      <w:r>
        <w:rPr>
          <w:rFonts w:ascii="Times New Roman" w:cs="Times New Roman" w:eastAsia="Times New Roman" w:hAnsi="Times New Roman"/>
          <w:sz w:val="18"/>
          <w:szCs w:val="18"/>
          <w:color w:val="auto"/>
        </w:rPr>
        <w:t>Hey, Duane. Good morning. I mean, I don’t have much to add on timing. We obviously know each other for a long time,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businesses. I’ve felt for a long time that this combination will work. And timing tends to be a moment where both parties have the bandwidth to embark on the project and have the willingness. And so, it just kind of came together. When Greg approached us in November, it just happened where both parties, I think, at the same time were willing to kind of engage on this issue.</w:t>
      </w:r>
    </w:p>
    <w:p>
      <w:pPr>
        <w:sectPr>
          <w:pgSz w:w="11900" w:h="16838" w:orient="portrait"/>
          <w:cols w:equalWidth="0" w:num="1">
            <w:col w:w="11000"/>
          </w:cols>
          <w:pgMar w:left="440" w:top="266" w:right="459" w:bottom="632" w:gutter="0" w:footer="0" w:header="0"/>
        </w:sectPr>
      </w:pPr>
    </w:p>
    <w:bookmarkStart w:id="6" w:name="page7"/>
    <w:bookmarkEnd w:id="6"/>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Regarding the premium, what was important to us is that we continue to benefit from the strengths of our business. I think we have a great business here at Sun Country, diversified and with some of the highest margins in the industry. I also have tremendous respect for Allegiant’s core business with small city origination, really large moats around that business, its sustained profitability of a really long period of time. And then, we’re going to be able to grow Minneapolis a lot faster. So, it benefits our customer base here in the Twin Cities with access to Allegiant’s order book.</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So, there wasn’t a lot of downsides for us. So, as we were negotiating the deal, the main thing that we were pushing on is making sure that my shareholders were able to retain value in the ongoing entity, and we were able to do that and get them also a premium. So, it just kind of came together. You also asked about my plans, and I want to be clear, I’m focused on making sure that this deal works and is executed as best as we can. And so, no other thoughts than that.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Gregory Clark Anderson: </w:t>
      </w:r>
      <w:r>
        <w:rPr>
          <w:rFonts w:ascii="Times New Roman" w:cs="Times New Roman" w:eastAsia="Times New Roman" w:hAnsi="Times New Roman"/>
          <w:sz w:val="18"/>
          <w:szCs w:val="18"/>
          <w:color w:val="auto"/>
        </w:rPr>
        <w:t>Thanks, Duane.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Question – Duane Pfennigwerth: </w:t>
      </w:r>
      <w:r>
        <w:rPr>
          <w:rFonts w:ascii="Times New Roman" w:cs="Times New Roman" w:eastAsia="Times New Roman" w:hAnsi="Times New Roman"/>
          <w:sz w:val="18"/>
          <w:szCs w:val="18"/>
          <w:color w:val="auto"/>
        </w:rPr>
        <w:t>Okay. Really appreciate the thoughts. Thank you, both.</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next question comes from the line of Catherine O’Brien from Goldman Sachs. Your line is open.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w:t>
      </w:r>
      <w:r>
        <w:rPr>
          <w:rFonts w:ascii="Times New Roman" w:cs="Times New Roman" w:eastAsia="Times New Roman" w:hAnsi="Times New Roman"/>
          <w:sz w:val="18"/>
          <w:szCs w:val="18"/>
          <w:color w:val="auto"/>
        </w:rPr>
        <w:t>Catherine O’Brien</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Question – Catherine O’Brien: </w:t>
      </w:r>
      <w:r>
        <w:rPr>
          <w:rFonts w:ascii="Times New Roman" w:cs="Times New Roman" w:eastAsia="Times New Roman" w:hAnsi="Times New Roman"/>
          <w:sz w:val="18"/>
          <w:szCs w:val="18"/>
          <w:color w:val="auto"/>
        </w:rPr>
        <w:t>Hey. Good morning, everyone. Thanks so much for the time and congrats on the announcement. I just wanted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discuss how the fleet factored into the timing of the merger, if it did. Sun Country obviously, as you’ve noted, does not have an order book. Secondary market for used aircraft is very tight. Allegiant has that well-timed MAX order. Is there enough flexibility across Allegiant’s current fleet and order book for this combination to support greater growth than the two standalone companies, just from a fleet availability perspective? And then, Greg, what are the guardrails you’ll be using to actually decide what level of growth is appropriate on the combined fleet? Thanks for the time.</w:t>
      </w:r>
    </w:p>
    <w:p>
      <w:pPr>
        <w:spacing w:after="0" w:line="14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b w:val="1"/>
          <w:bCs w:val="1"/>
          <w:color w:val="auto"/>
        </w:rPr>
        <w:t xml:space="preserve">Answer – Gregory Clark Anderson: </w:t>
      </w:r>
      <w:r>
        <w:rPr>
          <w:rFonts w:ascii="Times New Roman" w:cs="Times New Roman" w:eastAsia="Times New Roman" w:hAnsi="Times New Roman"/>
          <w:sz w:val="18"/>
          <w:szCs w:val="18"/>
          <w:color w:val="auto"/>
        </w:rPr>
        <w:t>Hey, Catie. Thanks for the question. Let me kick it o</w:t>
      </w:r>
      <w:r>
        <w:rPr>
          <w:rFonts w:ascii="Arial" w:cs="Arial" w:eastAsia="Arial" w:hAnsi="Arial"/>
          <w:sz w:val="18"/>
          <w:szCs w:val="18"/>
          <w:color w:val="auto"/>
        </w:rPr>
        <w:t>ﬀ</w:t>
      </w:r>
      <w:r>
        <w:rPr>
          <w:rFonts w:ascii="Times New Roman" w:cs="Times New Roman" w:eastAsia="Times New Roman" w:hAnsi="Times New Roman"/>
          <w:sz w:val="18"/>
          <w:szCs w:val="18"/>
          <w:color w:val="auto"/>
        </w:rPr>
        <w:t>, and then I think BJ and Drew may add some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color around fleet. Look, it’s – both of us own our aircraft and we both have significant embedded equity value in the combined fleet. We have the lowest or near the lowest aircraft ownership cost in the industry. So, I think that really helps reinforce our low-utilization, flexible capacity approach as a combined company and will enable us, over time, to put the right aircraft in the right markets. But let me pass it to BJ and then perhaps Drew too on the growth.</w:t>
      </w:r>
    </w:p>
    <w:p>
      <w:pPr>
        <w:spacing w:after="0" w:line="17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Answer – Robert J. Neal: </w:t>
      </w:r>
      <w:r>
        <w:rPr>
          <w:rFonts w:ascii="Times New Roman" w:cs="Times New Roman" w:eastAsia="Times New Roman" w:hAnsi="Times New Roman"/>
          <w:sz w:val="18"/>
          <w:szCs w:val="18"/>
          <w:color w:val="auto"/>
        </w:rPr>
        <w:t>Yeah. Catie, I would just say, certainly, just fleet flexibility did play into the analysis here. Just – I think I’ve mentioned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prepared remarks, we really respect Sun Country. And honestly, from when Jude was back here at Allegiant, I think both of these carriers are sort of best-in-class when it comes to buying and selling airplanes, and there’s just really good opportunity between the two fleets.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did definitely think about how Sun Country is a business that produces strong free cash flow, but also doesn’t have a committed order book. And we’ve been investing in our committed order book, but we’ve been in that capital plan the last couple of years. So, fleet played a significant role. And then, when we think about the right way to grow the airline and whether that means exercising our options or buying aircraft in the used market or even liquidating some of the assets that are in our portfolio today, it’ll just be a function of how the business is performing and what our sort of – the next 12, 24, 36-month opportunities look like.</w:t>
      </w:r>
    </w:p>
    <w:p>
      <w:pPr>
        <w:spacing w:after="0" w:line="17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Answer – Drew A. Wells: </w:t>
      </w:r>
      <w:r>
        <w:rPr>
          <w:rFonts w:ascii="Times New Roman" w:cs="Times New Roman" w:eastAsia="Times New Roman" w:hAnsi="Times New Roman"/>
          <w:sz w:val="18"/>
          <w:szCs w:val="18"/>
          <w:color w:val="auto"/>
        </w:rPr>
        <w:t>Yeah. Maybe just – Drew here – talking growth, we’ve spent the last few years kind of mentioning the high single-digit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rate. It’s probably the right kind of run-rate as a mature entity. Obviously, we’ll bring some of the cargo flying into the fold, which we’ll have to get our head around a little bit when it comes to planning. But I still think that’s right, kind of looking 6% to 8%, something o</w:t>
      </w:r>
      <w:r>
        <w:rPr>
          <w:rFonts w:ascii="Arial" w:cs="Arial" w:eastAsia="Arial" w:hAnsi="Arial"/>
          <w:sz w:val="18"/>
          <w:szCs w:val="18"/>
          <w:color w:val="auto"/>
        </w:rPr>
        <w:t>ﬀ</w:t>
      </w:r>
      <w:r>
        <w:rPr>
          <w:rFonts w:ascii="Times New Roman" w:cs="Times New Roman" w:eastAsia="Times New Roman" w:hAnsi="Times New Roman"/>
          <w:sz w:val="18"/>
          <w:szCs w:val="18"/>
          <w:color w:val="auto"/>
        </w:rPr>
        <w:t xml:space="preserve"> our 10% historic rate a little bit. But we’re a little bit large now. I think that’s probably a prudent rate for us.</w:t>
      </w:r>
    </w:p>
    <w:p>
      <w:pPr>
        <w:spacing w:after="0" w:line="17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Answer – Jude I. Bricker: </w:t>
      </w:r>
      <w:r>
        <w:rPr>
          <w:rFonts w:ascii="Times New Roman" w:cs="Times New Roman" w:eastAsia="Times New Roman" w:hAnsi="Times New Roman"/>
          <w:sz w:val="18"/>
          <w:szCs w:val="18"/>
          <w:color w:val="auto"/>
        </w:rPr>
        <w:t>Catie, if I could just add, the fleet optimization opportunity is significant and also over and above the reported synergies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we’ve released this morning. Thanks.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next question comes from the line of Atul Maheswari from UBS. Your line is open.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w:t>
      </w:r>
      <w:r>
        <w:rPr>
          <w:rFonts w:ascii="Times New Roman" w:cs="Times New Roman" w:eastAsia="Times New Roman" w:hAnsi="Times New Roman"/>
          <w:sz w:val="18"/>
          <w:szCs w:val="18"/>
          <w:color w:val="auto"/>
        </w:rPr>
        <w:t>Atul Maheswari</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Question – Atul Maheswari: </w:t>
      </w:r>
      <w:r>
        <w:rPr>
          <w:rFonts w:ascii="Times New Roman" w:cs="Times New Roman" w:eastAsia="Times New Roman" w:hAnsi="Times New Roman"/>
          <w:sz w:val="18"/>
          <w:szCs w:val="18"/>
          <w:color w:val="auto"/>
        </w:rPr>
        <w:t>Good morning. Thanks a lot for taking my question. I had a question on integration. So, where do you see are the 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risks specific to this particular integration and how do you think you will manage that risk?</w:t>
      </w:r>
    </w:p>
    <w:p>
      <w:pPr>
        <w:spacing w:after="0" w:line="1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Answer – Gregory Clark Anderson: </w:t>
      </w:r>
      <w:r>
        <w:rPr>
          <w:rFonts w:ascii="Times New Roman" w:cs="Times New Roman" w:eastAsia="Times New Roman" w:hAnsi="Times New Roman"/>
          <w:sz w:val="18"/>
          <w:szCs w:val="18"/>
          <w:color w:val="auto"/>
        </w:rPr>
        <w:t>Atul, good morning. It’s Greg. It’s a great question. We’ve been focused on a very disciplined integration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approach where we’re going to preserve what we think makes sense on both sides and what’s successful between both companies. We recognize that the well-planned integration is incredibly important and to sequence these activities carefully. So, where integration creates value, we’re going to pursue that quickly. Where it doesn’t, we’ll keep what works and we’ll be really mindful about the risks. It’s key that we maintain operational stability and continuity.</w:t>
      </w:r>
    </w:p>
    <w:p>
      <w:pPr>
        <w:sectPr>
          <w:pgSz w:w="11900" w:h="16838" w:orient="portrait"/>
          <w:cols w:equalWidth="0" w:num="1">
            <w:col w:w="11000"/>
          </w:cols>
          <w:pgMar w:left="440" w:top="270" w:right="459" w:bottom="1440" w:gutter="0" w:footer="0" w:header="0"/>
        </w:sectPr>
      </w:pPr>
    </w:p>
    <w:bookmarkStart w:id="7" w:name="page8"/>
    <w:bookmarkEnd w:id="7"/>
    <w:p>
      <w:pPr>
        <w:ind w:right="40"/>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BJ and I have been working towards our integration o</w:t>
      </w:r>
      <w:r>
        <w:rPr>
          <w:rFonts w:ascii="Arial" w:cs="Arial" w:eastAsia="Arial" w:hAnsi="Arial"/>
          <w:sz w:val="18"/>
          <w:szCs w:val="18"/>
          <w:color w:val="auto"/>
        </w:rPr>
        <w:t>ﬃ</w:t>
      </w:r>
      <w:r>
        <w:rPr>
          <w:rFonts w:ascii="Times New Roman" w:cs="Times New Roman" w:eastAsia="Times New Roman" w:hAnsi="Times New Roman"/>
          <w:sz w:val="18"/>
          <w:szCs w:val="18"/>
          <w:color w:val="auto"/>
        </w:rPr>
        <w:t>ce for a number of weeks now as we were preparing for this announcement. There’s still a lot of work to do. We’ve named one of our Senior Vice President, Michael Broderick, as our Chief Integration O</w:t>
      </w:r>
      <w:r>
        <w:rPr>
          <w:rFonts w:ascii="Arial" w:cs="Arial" w:eastAsia="Arial" w:hAnsi="Arial"/>
          <w:sz w:val="18"/>
          <w:szCs w:val="18"/>
          <w:color w:val="auto"/>
        </w:rPr>
        <w:t>ﬃ</w:t>
      </w:r>
      <w:r>
        <w:rPr>
          <w:rFonts w:ascii="Times New Roman" w:cs="Times New Roman" w:eastAsia="Times New Roman" w:hAnsi="Times New Roman"/>
          <w:sz w:val="18"/>
          <w:szCs w:val="18"/>
          <w:color w:val="auto"/>
        </w:rPr>
        <w:t>cer. He’s going to oversee our integration management o</w:t>
      </w:r>
      <w:r>
        <w:rPr>
          <w:rFonts w:ascii="Arial" w:cs="Arial" w:eastAsia="Arial" w:hAnsi="Arial"/>
          <w:sz w:val="18"/>
          <w:szCs w:val="18"/>
          <w:color w:val="auto"/>
        </w:rPr>
        <w:t>ﬃ</w:t>
      </w:r>
      <w:r>
        <w:rPr>
          <w:rFonts w:ascii="Times New Roman" w:cs="Times New Roman" w:eastAsia="Times New Roman" w:hAnsi="Times New Roman"/>
          <w:sz w:val="18"/>
          <w:szCs w:val="18"/>
          <w:color w:val="auto"/>
        </w:rPr>
        <w:t>ce and put together a dedicated team. Additionally, we engaged BCG and their team to help support us through this process, and we did that a week or so ago. And they’re already out here assisting to make sure we hit the ground running, because this is – we haven’t done it before on either sides (00:36:45). And so, we want to make sure we’re getting ahead of it and well-planned to the best we can. But I have BJ and Michael in the room here as well. Anything that you want to post on that – any more details?</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Answer – Michael Broderick: </w:t>
      </w:r>
      <w:r>
        <w:rPr>
          <w:rFonts w:ascii="Times New Roman" w:cs="Times New Roman" w:eastAsia="Times New Roman" w:hAnsi="Times New Roman"/>
          <w:sz w:val="17"/>
          <w:szCs w:val="17"/>
          <w:color w:val="auto"/>
        </w:rPr>
        <w:t>Yeah. Thanks, Greg. We have typical risks that any of the mergers we’ve seen in the past phase (00:37:04). Greg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mentioned people and culture. That will be top of mind. Also, these naturally come with significant technological integration that will take careful planning. We have mentioned in previous questions around the PSS system. Both airlines are on Navitaire, which we think, while still a technical integration and taking a lot of coordination and planning, does ease some of that significant data migration risk and customer-facing risk.</w:t>
      </w:r>
    </w:p>
    <w:p>
      <w:pPr>
        <w:spacing w:after="0" w:line="16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Answer – Robert J. Neal: </w:t>
      </w:r>
      <w:r>
        <w:rPr>
          <w:rFonts w:ascii="Times New Roman" w:cs="Times New Roman" w:eastAsia="Times New Roman" w:hAnsi="Times New Roman"/>
          <w:sz w:val="18"/>
          <w:szCs w:val="18"/>
          <w:color w:val="auto"/>
        </w:rPr>
        <w:t>And then, Atul, this is BJ. I’ll just mention, in the one-time integration costs that we flashed in the deck there, I think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quite a conservative allowance for sort of unallocated costs that we might come across in the integration.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next question comes from the line of Scott Group from Wolfe Research. Your line is open.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w:t>
      </w:r>
      <w:r>
        <w:rPr>
          <w:rFonts w:ascii="Times New Roman" w:cs="Times New Roman" w:eastAsia="Times New Roman" w:hAnsi="Times New Roman"/>
          <w:sz w:val="18"/>
          <w:szCs w:val="18"/>
          <w:color w:val="auto"/>
        </w:rPr>
        <w:t>Scott H. Group</w:t>
      </w:r>
    </w:p>
    <w:p>
      <w:pPr>
        <w:spacing w:after="0" w:line="11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Question – Scott H. Group: </w:t>
      </w:r>
      <w:r>
        <w:rPr>
          <w:rFonts w:ascii="Times New Roman" w:cs="Times New Roman" w:eastAsia="Times New Roman" w:hAnsi="Times New Roman"/>
          <w:sz w:val="18"/>
          <w:szCs w:val="18"/>
          <w:color w:val="auto"/>
        </w:rPr>
        <w:t>Hey. Thanks. Good morning. Just mechanically, can you just discuss if this was a competitive process and what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breakup and reverse breakup fees are? And then, maybe just separately, if you could just talk about pro forma CapEx and CASM-ex for the combined airline the next few years.</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Answer – Gregory Clark Anderson: </w:t>
      </w:r>
      <w:r>
        <w:rPr>
          <w:rFonts w:ascii="Times New Roman" w:cs="Times New Roman" w:eastAsia="Times New Roman" w:hAnsi="Times New Roman"/>
          <w:sz w:val="18"/>
          <w:szCs w:val="18"/>
          <w:color w:val="auto"/>
        </w:rPr>
        <w:t>I think on the – some of those questions around the breakup fee, we’ll wait until the proxy is filed, Scott.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on the pro forma basis, I don’t know that we’re ready to give long-term guidance on that at this point. But we feel strongly that the combined entity will have healthy earnings. This is even before synergies. We’re going to continue to concentrate flying when and where it makes the most sense, the most profitable peak leisure periods. So, it’ll be more diversified with the contract flying, larger charter program and cargo, which, by the way, fuel pass-through on that. But both companies are very focused on keeping a low cost structure, and we’ll continue to maintain that discipline.</w:t>
      </w:r>
    </w:p>
    <w:p>
      <w:pPr>
        <w:spacing w:after="0" w:line="179"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Answer – Robert J. Neal: </w:t>
      </w:r>
      <w:r>
        <w:rPr>
          <w:rFonts w:ascii="Times New Roman" w:cs="Times New Roman" w:eastAsia="Times New Roman" w:hAnsi="Times New Roman"/>
          <w:sz w:val="18"/>
          <w:szCs w:val="18"/>
          <w:color w:val="auto"/>
        </w:rPr>
        <w:t>Hey, Scott. On CapEx, yeah, I guess we won’t go into unitized metrics out into the future. But on CapEx, I would tell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 think we’ve talked about 2026 being the peak of the CapEx from our firm committed Boeing order. And then, I think Sun Country’s been quite public that they don’t have any future fleet commitments. So, we don’t expect meaningful changes in the pro forma CapEx profile of the combined entity.</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Question – Scott H. Group: </w:t>
      </w:r>
      <w:r>
        <w:rPr>
          <w:rFonts w:ascii="Times New Roman" w:cs="Times New Roman" w:eastAsia="Times New Roman" w:hAnsi="Times New Roman"/>
          <w:sz w:val="18"/>
          <w:szCs w:val="18"/>
          <w:color w:val="auto"/>
        </w:rPr>
        <w:t>And if I could just sneak in one more. So, I know the slides say mid single-digit sort of earnings accretion. Just any high-level thoughts on how you guys are thinking about 2026, just so we can understand sort of baselines there?</w:t>
      </w:r>
    </w:p>
    <w:p>
      <w:pPr>
        <w:spacing w:after="0" w:line="155"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Answer – Robert J. Neal: </w:t>
      </w:r>
      <w:r>
        <w:rPr>
          <w:rFonts w:ascii="Times New Roman" w:cs="Times New Roman" w:eastAsia="Times New Roman" w:hAnsi="Times New Roman"/>
          <w:sz w:val="18"/>
          <w:szCs w:val="18"/>
          <w:color w:val="auto"/>
        </w:rPr>
        <w:t>So, when we say mid single-digit earnings accretion, that’s year one post-close. So, just with the timeline that we’ve kind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on the call, that’s really a 2027 number. We’ve got our 4Q earnings call coming up in a couple of weeks. But what we have shared about 2026 is that we would expect capacity to be flattish for the year and constrained by fleet on the Allegiant side.</w:t>
      </w:r>
    </w:p>
    <w:p>
      <w:pPr>
        <w:spacing w:after="0" w:line="171"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Answer – Jude I. Bricker: </w:t>
      </w:r>
      <w:r>
        <w:rPr>
          <w:rFonts w:ascii="Times New Roman" w:cs="Times New Roman" w:eastAsia="Times New Roman" w:hAnsi="Times New Roman"/>
          <w:sz w:val="18"/>
          <w:szCs w:val="18"/>
          <w:color w:val="auto"/>
        </w:rPr>
        <w:t>On the Sun Country side, Scott, we’re going to grow block hours by about 8%. Most of that’ll go into our cargo growth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lap the incremental eight airplanes that we took on in 2025. We’re also taking on two additional airplanes that’ll be introduced into the fleet this summer in the cargo side. So, our cargo growth will outpace pretty dramatically by our scheduled service growth. And we’re on pace to continue to march towards our run rate $300 million of EBITDA that we’ve been talking about, which should happen late-2027. And so, to the extent we’re operating as an independent company up until close, you could consider that kind of linear EBITDA growth between now and then. Thanks.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Question – Scott H. Group: </w:t>
      </w:r>
      <w:r>
        <w:rPr>
          <w:rFonts w:ascii="Times New Roman" w:cs="Times New Roman" w:eastAsia="Times New Roman" w:hAnsi="Times New Roman"/>
          <w:sz w:val="18"/>
          <w:szCs w:val="18"/>
          <w:color w:val="auto"/>
        </w:rPr>
        <w:t>Thank you, guys.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next question comes from the line of Tom Fitzgerald from TD Cowen. Your line is open.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w:t>
      </w:r>
      <w:r>
        <w:rPr>
          <w:rFonts w:ascii="Times New Roman" w:cs="Times New Roman" w:eastAsia="Times New Roman" w:hAnsi="Times New Roman"/>
          <w:sz w:val="18"/>
          <w:szCs w:val="18"/>
          <w:color w:val="auto"/>
        </w:rPr>
        <w:t>Thomas Fitzgerald</w:t>
      </w:r>
    </w:p>
    <w:p>
      <w:pPr>
        <w:spacing w:after="0" w:line="11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Question – Thomas Fitzgerald: </w:t>
      </w:r>
      <w:r>
        <w:rPr>
          <w:rFonts w:ascii="Times New Roman" w:cs="Times New Roman" w:eastAsia="Times New Roman" w:hAnsi="Times New Roman"/>
          <w:sz w:val="18"/>
          <w:szCs w:val="18"/>
          <w:color w:val="auto"/>
        </w:rPr>
        <w:t>Hi, everyone. Thanks very much and congratulations. I was just curious on Minneapolis. Jude, just based on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comments, I would have expected maybe Minne would see a little bit less growth from here and – as you guys move towards the Allegiant model. So, maybe you could just talk about how you’re thinking about the network broadly and one plus one equals three opportunities and the outlook for Minne. Thanks, again.</w:t>
      </w:r>
    </w:p>
    <w:p>
      <w:pPr>
        <w:sectPr>
          <w:pgSz w:w="11900" w:h="16838" w:orient="portrait"/>
          <w:cols w:equalWidth="0" w:num="1">
            <w:col w:w="11020"/>
          </w:cols>
          <w:pgMar w:left="440" w:top="229" w:right="439" w:bottom="1440" w:gutter="0" w:footer="0" w:header="0"/>
        </w:sectPr>
      </w:pPr>
    </w:p>
    <w:bookmarkStart w:id="8" w:name="page9"/>
    <w:bookmarkEnd w:id="8"/>
    <w:p>
      <w:pPr>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Answer – Jude I. Bricker: </w:t>
      </w:r>
      <w:r>
        <w:rPr>
          <w:rFonts w:ascii="Times New Roman" w:cs="Times New Roman" w:eastAsia="Times New Roman" w:hAnsi="Times New Roman"/>
          <w:sz w:val="18"/>
          <w:szCs w:val="18"/>
          <w:color w:val="auto"/>
        </w:rPr>
        <w:t>Sure. MSP is going to be a big beneficiary of this transaction. This is about growth. We’re going to see more seats and lower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fares here in our home market. And the reason is all our planes go to sleep here and then leave in the morning. And so, we’re maxed out capacity-wise kind of for two hours in the morning, and then we fly the planes out, come back in, do an afternoon turn. So, on peak days, our terminal sits idle for several hours in the midmorning and several hours in the midafternoon.</w:t>
      </w:r>
    </w:p>
    <w:p>
      <w:pPr>
        <w:spacing w:after="0" w:line="18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With planes based around the country on the Allegiant network, we’ll be able, as a combined company, to turn those planes into Minneapolis when the gates aren’t utilized. And they’re already paid for and they’re already sta</w:t>
      </w:r>
      <w:r>
        <w:rPr>
          <w:rFonts w:ascii="Arial" w:cs="Arial" w:eastAsia="Arial" w:hAnsi="Arial"/>
          <w:sz w:val="18"/>
          <w:szCs w:val="18"/>
          <w:color w:val="auto"/>
        </w:rPr>
        <w:t>ﬀ</w:t>
      </w:r>
      <w:r>
        <w:rPr>
          <w:rFonts w:ascii="Times New Roman" w:cs="Times New Roman" w:eastAsia="Times New Roman" w:hAnsi="Times New Roman"/>
          <w:sz w:val="18"/>
          <w:szCs w:val="18"/>
          <w:color w:val="auto"/>
        </w:rPr>
        <w:t>ed. So, that’s a significant synergy. And Minneapolis, as a major market in the country, has pretty long seasonal tails and can support a wide range of leisure destinations. So, there’s tremendous opportunity here in Minneapolis as a combined company.</w:t>
      </w:r>
    </w:p>
    <w:p>
      <w:pPr>
        <w:spacing w:after="0" w:line="17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Answer – Drew A. Wells: </w:t>
      </w:r>
      <w:r>
        <w:rPr>
          <w:rFonts w:ascii="Times New Roman" w:cs="Times New Roman" w:eastAsia="Times New Roman" w:hAnsi="Times New Roman"/>
          <w:sz w:val="18"/>
          <w:szCs w:val="18"/>
          <w:color w:val="auto"/>
        </w:rPr>
        <w:t>Yeah. Tom, Drew here. We have a pretty good history of this with Allegiant. As you think about the evolution of our basing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strategy, we ran into many of the same issues that Jude described in Vegas and Mesa and Orlando and so on. So, the development of the Mid-Continent base is getting us to 20-or-so domiciles, really help flatten that airport utilization in a really meaningful way. And we absolutely intend to do the same thing with Minneapolis and then take great advantage of those lulls that Jude mentioned.</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It’s really accretive to revenue, because you’re flying at much better times of day, as well as striking a great balance kind of across the network. And maybe one more thing that Jude was kind of aligning, if you look at our results, Sun Country has phenomenal 1Q margins. I think we tend to pull ahead a little bit in second and fourth quarters, and being able to kind of seasonally blend those together creates just a ton of power across both networks in a way that MSP will play a huge role alongside the rest of the combined network.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next question comes from the line of Conor Cunningham from Melius Research. Your line is open.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w:t>
      </w:r>
      <w:r>
        <w:rPr>
          <w:rFonts w:ascii="Times New Roman" w:cs="Times New Roman" w:eastAsia="Times New Roman" w:hAnsi="Times New Roman"/>
          <w:sz w:val="18"/>
          <w:szCs w:val="18"/>
          <w:color w:val="auto"/>
        </w:rPr>
        <w:t>Conor Cunningham</w:t>
      </w:r>
    </w:p>
    <w:p>
      <w:pPr>
        <w:spacing w:after="0" w:line="1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Question – Conor Cunningham: </w:t>
      </w:r>
      <w:r>
        <w:rPr>
          <w:rFonts w:ascii="Times New Roman" w:cs="Times New Roman" w:eastAsia="Times New Roman" w:hAnsi="Times New Roman"/>
          <w:sz w:val="18"/>
          <w:szCs w:val="18"/>
          <w:color w:val="auto"/>
        </w:rPr>
        <w:t>Hi, everyone. Thank you. Congratulations on the transaction. Just in the context of the 6% to 8% capacity growth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mentioned, I assume a lot of that growth is just connecting of the dots as you talked about. Can you just break down what actual percentage of that is? And then, maybe why isn’t the international growth from Allegiant assumed in the synergies? It just seems like that’s a real big opportunity. And does that mean it’s additive to that 6% to 8% growth assumption? Thank you.</w:t>
      </w:r>
    </w:p>
    <w:p>
      <w:pPr>
        <w:spacing w:after="0" w:line="176" w:lineRule="exact"/>
        <w:rPr>
          <w:sz w:val="20"/>
          <w:szCs w:val="20"/>
          <w:color w:val="auto"/>
        </w:rPr>
      </w:pPr>
    </w:p>
    <w:p>
      <w:pPr>
        <w:jc w:val="both"/>
        <w:ind w:right="8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Answer – Drew A. Wells: </w:t>
      </w:r>
      <w:r>
        <w:rPr>
          <w:rFonts w:ascii="Times New Roman" w:cs="Times New Roman" w:eastAsia="Times New Roman" w:hAnsi="Times New Roman"/>
          <w:sz w:val="18"/>
          <w:szCs w:val="18"/>
          <w:color w:val="auto"/>
        </w:rPr>
        <w:t>Thanks, Conor. So, I probably won’t break out the 6% to 8% today in terms of what I think that’s going to look like for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versus added frequencies. Both are going to play a role. As you think about blending Sun Country with a very, very strong origination presence in MSP and Allegiant that’s historically been a bit more destination ownership focused, I think it’s really powerful to bring those two mindsets together in a way that’s going to create bidirectional tra</w:t>
      </w:r>
      <w:r>
        <w:rPr>
          <w:rFonts w:ascii="Arial" w:cs="Arial" w:eastAsia="Arial" w:hAnsi="Arial"/>
          <w:sz w:val="18"/>
          <w:szCs w:val="18"/>
          <w:color w:val="auto"/>
        </w:rPr>
        <w:t>ﬃ</w:t>
      </w:r>
      <w:r>
        <w:rPr>
          <w:rFonts w:ascii="Times New Roman" w:cs="Times New Roman" w:eastAsia="Times New Roman" w:hAnsi="Times New Roman"/>
          <w:sz w:val="18"/>
          <w:szCs w:val="18"/>
          <w:color w:val="auto"/>
        </w:rPr>
        <w:t>c in a way that either carrier probably hasn’t had to the fullest extent.</w:t>
      </w:r>
    </w:p>
    <w:p>
      <w:pPr>
        <w:spacing w:after="0" w:line="14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And I think that’s going to lead to a lot of elevated demand on existing routes. It’s going to lend itself well to additive frequencies. So, maybe relative to Allegiant’s historical run-rate, maybe we’re slightly higher on added frequency to new routes. On the international, we absolutely think it’s a huge win across our network. We think it’s more a pull-forward. This is something we were going to get to. I mean, Lord knows we’ve talked about it for a better part of a decade. So, we didn’t necessarily view it as kind of an incremental synergy, if you will, but rather something we’ll pull forward and it’s absolutely part of that 6% to 8% as I see it today.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Question – Conor Cunningham: </w:t>
      </w:r>
      <w:r>
        <w:rPr>
          <w:rFonts w:ascii="Times New Roman" w:cs="Times New Roman" w:eastAsia="Times New Roman" w:hAnsi="Times New Roman"/>
          <w:sz w:val="18"/>
          <w:szCs w:val="18"/>
          <w:color w:val="auto"/>
        </w:rPr>
        <w:t>Okay. Thank you.</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next question comes from the line of (00:46:16). Your line is open.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w:t>
      </w:r>
      <w:r>
        <w:rPr>
          <w:rFonts w:ascii="Times New Roman" w:cs="Times New Roman" w:eastAsia="Times New Roman" w:hAnsi="Times New Roman"/>
          <w:sz w:val="18"/>
          <w:szCs w:val="18"/>
          <w:color w:val="auto"/>
        </w:rPr>
        <w:t>Savanthi Syth</w:t>
      </w:r>
    </w:p>
    <w:p>
      <w:pPr>
        <w:spacing w:after="0" w:line="1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Question – Savanthi Syth: </w:t>
      </w:r>
      <w:r>
        <w:rPr>
          <w:rFonts w:ascii="Times New Roman" w:cs="Times New Roman" w:eastAsia="Times New Roman" w:hAnsi="Times New Roman"/>
          <w:sz w:val="18"/>
          <w:szCs w:val="18"/>
          <w:color w:val="auto"/>
        </w:rPr>
        <w:t>Hey. Good morning. Thanks. I think it’s maybe (00:46:24) cutting out a little bit. For Drew, I wonder if you could just talk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little bit about the key synergy drivers that you – maybe this is for BJ – that you kind of laid out in that one slide, and maybe a little bit on like what steps that need to be done to kind of unlock those. I know, originally, I think Greg mentioned maybe not necessarily needing to have (00:46:48) for everything. So, just kind of curious as to what steps you need to do to kind of unlock some of those synergies that are called out.</w:t>
      </w:r>
    </w:p>
    <w:p>
      <w:pPr>
        <w:spacing w:after="0" w:line="1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Answer – Drew A. Wells: </w:t>
      </w:r>
      <w:r>
        <w:rPr>
          <w:rFonts w:ascii="Times New Roman" w:cs="Times New Roman" w:eastAsia="Times New Roman" w:hAnsi="Times New Roman"/>
          <w:sz w:val="18"/>
          <w:szCs w:val="18"/>
          <w:color w:val="auto"/>
        </w:rPr>
        <w:t>Sure. Yeah. I’ll kind of take some of a high level here. We’ve talked about a lot of it through the call. Jude hit on this, and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think it’s absolutely one of the biggest drivers. This is our ability to fill in those gaps alongside MSP’s, right. Filling in from our 20-plus bases, including now MSP, is really, really powerful to unlocking the right times of day, a more enhanced network. We talked about the blend of an origin focus and destination focus, driving more bidirectional tra</w:t>
      </w:r>
      <w:r>
        <w:rPr>
          <w:rFonts w:ascii="Arial" w:cs="Arial" w:eastAsia="Arial" w:hAnsi="Arial"/>
          <w:sz w:val="18"/>
          <w:szCs w:val="18"/>
          <w:color w:val="auto"/>
        </w:rPr>
        <w:t>ﬃ</w:t>
      </w:r>
      <w:r>
        <w:rPr>
          <w:rFonts w:ascii="Times New Roman" w:cs="Times New Roman" w:eastAsia="Times New Roman" w:hAnsi="Times New Roman"/>
          <w:sz w:val="18"/>
          <w:szCs w:val="18"/>
          <w:color w:val="auto"/>
        </w:rPr>
        <w:t>c, that I think is going to lend itself really nicely to low-hanging fruit and added frequency across a number of strong routes.</w:t>
      </w:r>
    </w:p>
    <w:p>
      <w:pPr>
        <w:sectPr>
          <w:pgSz w:w="11900" w:h="16838" w:orient="portrait"/>
          <w:cols w:equalWidth="0" w:num="1">
            <w:col w:w="11000"/>
          </w:cols>
          <w:pgMar w:left="440" w:top="266" w:right="459" w:bottom="1440" w:gutter="0" w:footer="0" w:header="0"/>
        </w:sectPr>
      </w:pPr>
    </w:p>
    <w:bookmarkStart w:id="9" w:name="page10"/>
    <w:bookmarkEnd w:id="9"/>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we think about where each of us has been strong historically, there’s a lot of Midwest and in particular Upper Midwest relevance. I think putting those two together through network through the distribution, we’ll be able to get it quite (00:47:53) powerful as well. And I’d be remiss not to talk a little bit about fixed fee and cargo as a part of this and just the e</w:t>
      </w:r>
      <w:r>
        <w:rPr>
          <w:rFonts w:ascii="Arial" w:cs="Arial" w:eastAsia="Arial" w:hAnsi="Arial"/>
          <w:sz w:val="18"/>
          <w:szCs w:val="18"/>
          <w:color w:val="auto"/>
        </w:rPr>
        <w:t>ﬃ</w:t>
      </w:r>
      <w:r>
        <w:rPr>
          <w:rFonts w:ascii="Times New Roman" w:cs="Times New Roman" w:eastAsia="Times New Roman" w:hAnsi="Times New Roman"/>
          <w:sz w:val="18"/>
          <w:szCs w:val="18"/>
          <w:color w:val="auto"/>
        </w:rPr>
        <w:t>ciencies we think we’ll get with a – again, coming back to that broader basing and domicile network, just being able to be a bit more e</w:t>
      </w:r>
      <w:r>
        <w:rPr>
          <w:rFonts w:ascii="Arial" w:cs="Arial" w:eastAsia="Arial" w:hAnsi="Arial"/>
          <w:sz w:val="18"/>
          <w:szCs w:val="18"/>
          <w:color w:val="auto"/>
        </w:rPr>
        <w:t>ﬃ</w:t>
      </w:r>
      <w:r>
        <w:rPr>
          <w:rFonts w:ascii="Times New Roman" w:cs="Times New Roman" w:eastAsia="Times New Roman" w:hAnsi="Times New Roman"/>
          <w:sz w:val="18"/>
          <w:szCs w:val="18"/>
          <w:color w:val="auto"/>
        </w:rPr>
        <w:t>cient with reducing ferry miles or deadhead miles that are the most ine</w:t>
      </w:r>
      <w:r>
        <w:rPr>
          <w:rFonts w:ascii="Arial" w:cs="Arial" w:eastAsia="Arial" w:hAnsi="Arial"/>
          <w:sz w:val="18"/>
          <w:szCs w:val="18"/>
          <w:color w:val="auto"/>
        </w:rPr>
        <w:t>ﬃ</w:t>
      </w:r>
      <w:r>
        <w:rPr>
          <w:rFonts w:ascii="Times New Roman" w:cs="Times New Roman" w:eastAsia="Times New Roman" w:hAnsi="Times New Roman"/>
          <w:sz w:val="18"/>
          <w:szCs w:val="18"/>
          <w:color w:val="auto"/>
        </w:rPr>
        <w:t>cient in a current set-up goes a long ways towards, one, lifting the floor on our o</w:t>
      </w:r>
      <w:r>
        <w:rPr>
          <w:rFonts w:ascii="Arial" w:cs="Arial" w:eastAsia="Arial" w:hAnsi="Arial"/>
          <w:sz w:val="18"/>
          <w:szCs w:val="18"/>
          <w:color w:val="auto"/>
        </w:rPr>
        <w:t>ﬀ</w:t>
      </w:r>
      <w:r>
        <w:rPr>
          <w:rFonts w:ascii="Times New Roman" w:cs="Times New Roman" w:eastAsia="Times New Roman" w:hAnsi="Times New Roman"/>
          <w:sz w:val="18"/>
          <w:szCs w:val="18"/>
          <w:color w:val="auto"/>
        </w:rPr>
        <w:t>-peak times, that we’re able to generate some flying – that is a fuel pass-through that can be an o</w:t>
      </w:r>
      <w:r>
        <w:rPr>
          <w:rFonts w:ascii="Arial" w:cs="Arial" w:eastAsia="Arial" w:hAnsi="Arial"/>
          <w:sz w:val="18"/>
          <w:szCs w:val="18"/>
          <w:color w:val="auto"/>
        </w:rPr>
        <w:t>ﬀ</w:t>
      </w:r>
      <w:r>
        <w:rPr>
          <w:rFonts w:ascii="Times New Roman" w:cs="Times New Roman" w:eastAsia="Times New Roman" w:hAnsi="Times New Roman"/>
          <w:sz w:val="18"/>
          <w:szCs w:val="18"/>
          <w:color w:val="auto"/>
        </w:rPr>
        <w:t>set to any kind of passenger demand downturn, I think, goes a long ways here. And maybe I’ll look to the team if there’s anything else they’d like to add.</w:t>
      </w:r>
    </w:p>
    <w:p>
      <w:pPr>
        <w:spacing w:after="0" w:line="145"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7"/>
          <w:szCs w:val="17"/>
          <w:b w:val="1"/>
          <w:bCs w:val="1"/>
          <w:color w:val="auto"/>
        </w:rPr>
        <w:t xml:space="preserve">Answer – Robert J. Neal: </w:t>
      </w:r>
      <w:r>
        <w:rPr>
          <w:rFonts w:ascii="Times New Roman" w:cs="Times New Roman" w:eastAsia="Times New Roman" w:hAnsi="Times New Roman"/>
          <w:sz w:val="17"/>
          <w:szCs w:val="17"/>
          <w:color w:val="auto"/>
        </w:rPr>
        <w:t>Savi, I’ll just share on the cost side and on timing. So, we gave the $140 million estimate. Some of the revenue stu</w:t>
      </w:r>
      <w:r>
        <w:rPr>
          <w:rFonts w:ascii="Arial" w:cs="Arial" w:eastAsia="Arial" w:hAnsi="Arial"/>
          <w:sz w:val="17"/>
          <w:szCs w:val="17"/>
          <w:color w:val="auto"/>
        </w:rPr>
        <w:t>ﬀ</w:t>
      </w:r>
      <w:r>
        <w:rPr>
          <w:rFonts w:ascii="Times New Roman" w:cs="Times New Roman" w:eastAsia="Times New Roman" w:hAnsi="Times New Roman"/>
          <w:sz w:val="17"/>
          <w:szCs w:val="17"/>
          <w:color w:val="auto"/>
        </w:rPr>
        <w: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drivers that Drew mentioned, can start coming in in year one. And then, Greg talked through sort of the sequencing of closing and then combined certificate. I would envision in the backdrop of that timeline that we could get close to – we could get close to half that synergy amount even in year one.</w:t>
      </w:r>
    </w:p>
    <w:p>
      <w:pPr>
        <w:spacing w:after="0" w:line="13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Question – Savanthi Syth: </w:t>
      </w:r>
      <w:r>
        <w:rPr>
          <w:rFonts w:ascii="Times New Roman" w:cs="Times New Roman" w:eastAsia="Times New Roman" w:hAnsi="Times New Roman"/>
          <w:sz w:val="18"/>
          <w:szCs w:val="18"/>
          <w:color w:val="auto"/>
        </w:rPr>
        <w:t>That’s helpful. In terms of unlocking though, it’s really just a matter of picking which one works, which one is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important and applying it to the network. Is that how I should think about at least on the revenue side?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Drew A. Wells: </w:t>
      </w:r>
      <w:r>
        <w:rPr>
          <w:rFonts w:ascii="Times New Roman" w:cs="Times New Roman" w:eastAsia="Times New Roman" w:hAnsi="Times New Roman"/>
          <w:sz w:val="18"/>
          <w:szCs w:val="18"/>
          <w:color w:val="auto"/>
        </w:rPr>
        <w:t>Sorry. Maybe picking which one is more important?</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Question – Savanthi Syth: </w:t>
      </w:r>
      <w:r>
        <w:rPr>
          <w:rFonts w:ascii="Times New Roman" w:cs="Times New Roman" w:eastAsia="Times New Roman" w:hAnsi="Times New Roman"/>
          <w:sz w:val="18"/>
          <w:szCs w:val="18"/>
          <w:color w:val="auto"/>
        </w:rPr>
        <w:t>In the sense that, I guess, what I’m really trying to understand, what are the gating factors to realizing these synergies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you kind of walk through that in a timing perspective?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Drew A. Wells: </w:t>
      </w:r>
      <w:r>
        <w:rPr>
          <w:rFonts w:ascii="Times New Roman" w:cs="Times New Roman" w:eastAsia="Times New Roman" w:hAnsi="Times New Roman"/>
          <w:sz w:val="18"/>
          <w:szCs w:val="18"/>
          <w:color w:val="auto"/>
        </w:rPr>
        <w:t>Yeah. I mean, for the kind of the scheduling bits, I think, yeah, that’s just taking a look post-close at how we can most</w:t>
      </w:r>
    </w:p>
    <w:p>
      <w:pPr>
        <w:spacing w:after="0" w:line="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w:t>
      </w:r>
      <w:r>
        <w:rPr>
          <w:rFonts w:ascii="Arial" w:cs="Arial" w:eastAsia="Arial" w:hAnsi="Arial"/>
          <w:sz w:val="18"/>
          <w:szCs w:val="18"/>
          <w:color w:val="auto"/>
        </w:rPr>
        <w:t>ﬀ</w:t>
      </w:r>
      <w:r>
        <w:rPr>
          <w:rFonts w:ascii="Times New Roman" w:cs="Times New Roman" w:eastAsia="Times New Roman" w:hAnsi="Times New Roman"/>
          <w:sz w:val="18"/>
          <w:szCs w:val="18"/>
          <w:color w:val="auto"/>
        </w:rPr>
        <w:t>ectively and e</w:t>
      </w:r>
      <w:r>
        <w:rPr>
          <w:rFonts w:ascii="Arial" w:cs="Arial" w:eastAsia="Arial" w:hAnsi="Arial"/>
          <w:sz w:val="18"/>
          <w:szCs w:val="18"/>
          <w:color w:val="auto"/>
        </w:rPr>
        <w:t>ﬃ</w:t>
      </w:r>
      <w:r>
        <w:rPr>
          <w:rFonts w:ascii="Times New Roman" w:cs="Times New Roman" w:eastAsia="Times New Roman" w:hAnsi="Times New Roman"/>
          <w:sz w:val="18"/>
          <w:szCs w:val="18"/>
          <w:color w:val="auto"/>
        </w:rPr>
        <w:t>ciently route, and again, continue to match the capacity with the demand that we see and that we forecast. So, I think to BJ’s point, that’s a pretty quick win post-close. For some of the other parts, right, I mean, establishing a code- share relationship early on post-close, I think, will be helpful from the distribution and just being able to get the full benefit from both customer bases as that comes available.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Question – Savanthi Syth: </w:t>
      </w:r>
      <w:r>
        <w:rPr>
          <w:rFonts w:ascii="Times New Roman" w:cs="Times New Roman" w:eastAsia="Times New Roman" w:hAnsi="Times New Roman"/>
          <w:sz w:val="18"/>
          <w:szCs w:val="18"/>
          <w:color w:val="auto"/>
        </w:rPr>
        <w:t>That’s all very helpful. Thank you.</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next question comes from the line of Ravi Shanker from Morgan Stanley. Your line is open.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w:t>
      </w:r>
      <w:r>
        <w:rPr>
          <w:rFonts w:ascii="Times New Roman" w:cs="Times New Roman" w:eastAsia="Times New Roman" w:hAnsi="Times New Roman"/>
          <w:sz w:val="18"/>
          <w:szCs w:val="18"/>
          <w:color w:val="auto"/>
        </w:rPr>
        <w:t>Ravi Shanker</w:t>
      </w:r>
    </w:p>
    <w:p>
      <w:pPr>
        <w:spacing w:after="0" w:line="11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Question – Ravi Shanker: </w:t>
      </w:r>
      <w:r>
        <w:rPr>
          <w:rFonts w:ascii="Times New Roman" w:cs="Times New Roman" w:eastAsia="Times New Roman" w:hAnsi="Times New Roman"/>
          <w:sz w:val="18"/>
          <w:szCs w:val="18"/>
          <w:color w:val="auto"/>
        </w:rPr>
        <w:t>Great. Thanks. Good morning, everyone. (00:50:27). Have you guys spoken with Amazon or any of the charter long-term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holders and do you know of any change of control clauses in any of those contracts? And also, do you see any reprioritization of growth between scheduled service, charter and cargo as a result of this deal? Thank you.</w:t>
      </w:r>
    </w:p>
    <w:p>
      <w:pPr>
        <w:spacing w:after="0" w:line="134" w:lineRule="exact"/>
        <w:rPr>
          <w:sz w:val="20"/>
          <w:szCs w:val="20"/>
          <w:color w:val="auto"/>
        </w:rPr>
      </w:pPr>
    </w:p>
    <w:p>
      <w:pPr>
        <w:jc w:val="both"/>
        <w:ind w:right="360"/>
        <w:spacing w:after="0" w:line="289" w:lineRule="auto"/>
        <w:rPr>
          <w:sz w:val="20"/>
          <w:szCs w:val="20"/>
          <w:color w:val="auto"/>
        </w:rPr>
      </w:pPr>
      <w:r>
        <w:rPr>
          <w:rFonts w:ascii="Times New Roman" w:cs="Times New Roman" w:eastAsia="Times New Roman" w:hAnsi="Times New Roman"/>
          <w:sz w:val="18"/>
          <w:szCs w:val="18"/>
          <w:b w:val="1"/>
          <w:bCs w:val="1"/>
          <w:color w:val="auto"/>
        </w:rPr>
        <w:t xml:space="preserve">Answer – Gregory Clark Anderson: </w:t>
      </w:r>
      <w:r>
        <w:rPr>
          <w:rFonts w:ascii="Times New Roman" w:cs="Times New Roman" w:eastAsia="Times New Roman" w:hAnsi="Times New Roman"/>
          <w:sz w:val="18"/>
          <w:szCs w:val="18"/>
          <w:color w:val="auto"/>
        </w:rPr>
        <w:t>Hey, Ravi. It’s Greg. Why don’t I kick it o</w:t>
      </w:r>
      <w:r>
        <w:rPr>
          <w:rFonts w:ascii="Arial" w:cs="Arial" w:eastAsia="Arial" w:hAnsi="Arial"/>
          <w:sz w:val="18"/>
          <w:szCs w:val="18"/>
          <w:color w:val="auto"/>
        </w:rPr>
        <w:t>ﬀ</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Amazon front? Jude, I’d ask him to come in perhaps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his perspective, and then we’ll follow up on the second question there. But the cargo part is very important to the Sun Country business. We expect that to continue on with the combined company.</w:t>
      </w:r>
    </w:p>
    <w:p>
      <w:pPr>
        <w:spacing w:after="0" w:line="15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We’ve had multiple discussions leading up to this announcement with Amazon, including Jude and BJ and I and Rose from Jude’s team. We visited them in person in Seattle. And Jude just mentioned, since those discussions, they’ve committed to add two more aircraft here in 2026. So, we’re confident in this partnership continuing, and we look forward to maintaining the same reliable service levels that are being provided today by the Sun Country team around the cargo flying. Jude, do you want to add any more perspective on it?</w:t>
      </w:r>
    </w:p>
    <w:p>
      <w:pPr>
        <w:spacing w:after="0" w:line="17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Answer – Jude I. Bricker: </w:t>
      </w:r>
      <w:r>
        <w:rPr>
          <w:rFonts w:ascii="Times New Roman" w:cs="Times New Roman" w:eastAsia="Times New Roman" w:hAnsi="Times New Roman"/>
          <w:sz w:val="18"/>
          <w:szCs w:val="18"/>
          <w:color w:val="auto"/>
        </w:rPr>
        <w:t>Yeah. Greg and I’ve been engaged with Amazon since we started this process. Through that process, they’ve added 2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cargo aircraft to our fleet of 20, taking it to 22, in the knowledge that this transaction is happening. Other than the Amazon agreement here at Sun Country, there aren’t any other material change of control considerations. Thanks.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Question – Ravi Shanker: </w:t>
      </w:r>
      <w:r>
        <w:rPr>
          <w:rFonts w:ascii="Times New Roman" w:cs="Times New Roman" w:eastAsia="Times New Roman" w:hAnsi="Times New Roman"/>
          <w:sz w:val="18"/>
          <w:szCs w:val="18"/>
          <w:color w:val="auto"/>
        </w:rPr>
        <w:t>Got it.</w:t>
      </w:r>
    </w:p>
    <w:p>
      <w:pPr>
        <w:spacing w:after="0" w:line="188"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Answer – Drew A. Wells: </w:t>
      </w:r>
      <w:r>
        <w:rPr>
          <w:rFonts w:ascii="Times New Roman" w:cs="Times New Roman" w:eastAsia="Times New Roman" w:hAnsi="Times New Roman"/>
          <w:sz w:val="18"/>
          <w:szCs w:val="18"/>
          <w:color w:val="auto"/>
        </w:rPr>
        <w:t>And maybe just quickly on kind of longer term growth, right, I don’t anticipate reprioritizing any di</w:t>
      </w:r>
      <w:r>
        <w:rPr>
          <w:rFonts w:ascii="Arial" w:cs="Arial" w:eastAsia="Arial" w:hAnsi="Arial"/>
          <w:sz w:val="18"/>
          <w:szCs w:val="18"/>
          <w:color w:val="auto"/>
        </w:rPr>
        <w:t>ﬀ</w:t>
      </w:r>
      <w:r>
        <w:rPr>
          <w:rFonts w:ascii="Times New Roman" w:cs="Times New Roman" w:eastAsia="Times New Roman" w:hAnsi="Times New Roman"/>
          <w:sz w:val="18"/>
          <w:szCs w:val="18"/>
          <w:color w:val="auto"/>
        </w:rPr>
        <w:t>erently than what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Like Greg and Jude have mentioned, the cargo program is going to continue to be an important part of what we do. We love the prospect of some of these long-term fixed fee contracts. So, as we kind of get into it, we’ll review profitability like we would do otherwise and kind of make sure that we’re continuing to grow in a prudent way across all three of the channels.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Question – Ravi Shanker: </w:t>
      </w:r>
      <w:r>
        <w:rPr>
          <w:rFonts w:ascii="Times New Roman" w:cs="Times New Roman" w:eastAsia="Times New Roman" w:hAnsi="Times New Roman"/>
          <w:sz w:val="18"/>
          <w:szCs w:val="18"/>
          <w:color w:val="auto"/>
        </w:rPr>
        <w:t>Very helpful. Thank you.</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next question comes from the line of Dan McKenzie from Seaport Global. Your line is open.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w:t>
      </w:r>
      <w:r>
        <w:rPr>
          <w:rFonts w:ascii="Times New Roman" w:cs="Times New Roman" w:eastAsia="Times New Roman" w:hAnsi="Times New Roman"/>
          <w:sz w:val="18"/>
          <w:szCs w:val="18"/>
          <w:color w:val="auto"/>
        </w:rPr>
        <w:t>Daniel McKenzie</w:t>
      </w:r>
    </w:p>
    <w:p>
      <w:pPr>
        <w:sectPr>
          <w:pgSz w:w="11900" w:h="16838" w:orient="portrait"/>
          <w:cols w:equalWidth="0" w:num="1">
            <w:col w:w="11020"/>
          </w:cols>
          <w:pgMar w:left="440" w:top="270" w:right="439" w:bottom="1440" w:gutter="0" w:footer="0" w:header="0"/>
        </w:sectPr>
      </w:pPr>
    </w:p>
    <w:bookmarkStart w:id="10" w:name="page11"/>
    <w:bookmarkEnd w:id="10"/>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Question – Daniel McKenzie: </w:t>
      </w:r>
      <w:r>
        <w:rPr>
          <w:rFonts w:ascii="Times New Roman" w:cs="Times New Roman" w:eastAsia="Times New Roman" w:hAnsi="Times New Roman"/>
          <w:sz w:val="18"/>
          <w:szCs w:val="18"/>
          <w:color w:val="auto"/>
        </w:rPr>
        <w:t>Oh, hey. Good morning. Congratulations, guys. Following up on a prior question and the commentary that you don’t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 a change in pro forma CapEx, I guess my question is, are there any conditions under which the deal could be renegotiated? So, JetBlue and Spirit are top of mind here, if this merger were to be challenged by the DOJ and the timeline extended for closing, business conditions changed, scenarios such as that. And I’m wondering if you can just provide some perspective. And then, I’m just curious a little bit about how loyalty contributes to synergies. I’m just wondering if you can elaborate a little bit more on that as well.</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Answer – Gregory Clark Anderson: </w:t>
      </w:r>
      <w:r>
        <w:rPr>
          <w:rFonts w:ascii="Times New Roman" w:cs="Times New Roman" w:eastAsia="Times New Roman" w:hAnsi="Times New Roman"/>
          <w:sz w:val="18"/>
          <w:szCs w:val="18"/>
          <w:color w:val="auto"/>
        </w:rPr>
        <w:t>Hey, Dan. On the first part, I don’t think we want to comment on hypotheticals. My attorneys are looking at 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saying no. So, sorry about that. But Drew could comment on that second part.</w:t>
      </w:r>
    </w:p>
    <w:p>
      <w:pPr>
        <w:spacing w:after="0" w:line="15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Answer – Drew A. Wells: </w:t>
      </w:r>
      <w:r>
        <w:rPr>
          <w:rFonts w:ascii="Times New Roman" w:cs="Times New Roman" w:eastAsia="Times New Roman" w:hAnsi="Times New Roman"/>
          <w:sz w:val="18"/>
          <w:szCs w:val="18"/>
          <w:color w:val="auto"/>
        </w:rPr>
        <w:t>Yeah. On the loyalty, some of it’s fairly straightforward. Opening up some of the international destinations to the Allegiant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base is going to be huge, especially from the burn side of it, as we just want to continue to give our customers the right products, the right destinations to be able to enjoy all their leisure experiences. And further, as we just kind of continue to grow the program, it’s great for the economics. As we think about spend, as we think about relevance, as we think about any interactions with banks going forward, there should just be kind of continued benefits on that side. So, we’ll get a lot of size, scale and benefits from the – on that.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Question – Daniel McKenzie: </w:t>
      </w:r>
      <w:r>
        <w:rPr>
          <w:rFonts w:ascii="Times New Roman" w:cs="Times New Roman" w:eastAsia="Times New Roman" w:hAnsi="Times New Roman"/>
          <w:sz w:val="18"/>
          <w:szCs w:val="18"/>
          <w:color w:val="auto"/>
        </w:rPr>
        <w:t>Thanks, guys.</w:t>
      </w:r>
    </w:p>
    <w:p>
      <w:pPr>
        <w:spacing w:after="0" w:line="225"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Answer – Jude I. Bricker: </w:t>
      </w:r>
      <w:r>
        <w:rPr>
          <w:rFonts w:ascii="Times New Roman" w:cs="Times New Roman" w:eastAsia="Times New Roman" w:hAnsi="Times New Roman"/>
          <w:sz w:val="18"/>
          <w:szCs w:val="18"/>
          <w:color w:val="auto"/>
        </w:rPr>
        <w:t>I just also want to add, from the customers’ perspective, the loyalty program will get a lot better. So, we have 1.6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loyalty members here in the – largely here in the Twin Cities, and they’ll have more destination opportunities, more frequency. The program will be enhanced for our current loyalty members. Thanks.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Question – Daniel McKenzie: </w:t>
      </w:r>
      <w:r>
        <w:rPr>
          <w:rFonts w:ascii="Times New Roman" w:cs="Times New Roman" w:eastAsia="Times New Roman" w:hAnsi="Times New Roman"/>
          <w:sz w:val="18"/>
          <w:szCs w:val="18"/>
          <w:color w:val="auto"/>
        </w:rPr>
        <w:t>Yeah, yeah. Perfect. Thanks.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next question comes from the line of John Godyn from Citi. Your line is open.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w:t>
      </w:r>
      <w:r>
        <w:rPr>
          <w:rFonts w:ascii="Times New Roman" w:cs="Times New Roman" w:eastAsia="Times New Roman" w:hAnsi="Times New Roman"/>
          <w:sz w:val="18"/>
          <w:szCs w:val="18"/>
          <w:color w:val="auto"/>
        </w:rPr>
        <w:t>John Godyn</w:t>
      </w:r>
    </w:p>
    <w:p>
      <w:pPr>
        <w:spacing w:after="0" w:line="117"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Question – John Godyn: </w:t>
      </w:r>
      <w:r>
        <w:rPr>
          <w:rFonts w:ascii="Times New Roman" w:cs="Times New Roman" w:eastAsia="Times New Roman" w:hAnsi="Times New Roman"/>
          <w:sz w:val="18"/>
          <w:szCs w:val="18"/>
          <w:color w:val="auto"/>
        </w:rPr>
        <w:t>Hey, guys. Thanks for taking my question and congratulations. I wanted to just unpack the synergies a bit, and there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a few questions. But in the slides, there was a note about dis-synergies for labor. I was hoping you could quantify the dis-synergy that’s in the $140 million, and are there any other dis-synergies that it’s net of?</w:t>
      </w:r>
    </w:p>
    <w:p>
      <w:pPr>
        <w:spacing w:after="0" w:line="1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Answer – Robert J. Neal: </w:t>
      </w:r>
      <w:r>
        <w:rPr>
          <w:rFonts w:ascii="Times New Roman" w:cs="Times New Roman" w:eastAsia="Times New Roman" w:hAnsi="Times New Roman"/>
          <w:sz w:val="18"/>
          <w:szCs w:val="18"/>
          <w:color w:val="auto"/>
        </w:rPr>
        <w:t>Hey, John. It’s BJ. I don’t want to give the exact estimate that we have in there for dis-synergies. I will tell you that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assumed those come in in sort of the second half of the three-year outline that we gave here, and really the lion’s – like nearly all of the dis-synergies are labor-related.</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Question – John Godyn: </w:t>
      </w:r>
      <w:r>
        <w:rPr>
          <w:rFonts w:ascii="Times New Roman" w:cs="Times New Roman" w:eastAsia="Times New Roman" w:hAnsi="Times New Roman"/>
          <w:sz w:val="18"/>
          <w:szCs w:val="18"/>
          <w:color w:val="auto"/>
        </w:rPr>
        <w:t>Yeah. Okay. Fair enough. And maybe we could just kind of brainstorm along each other on sensitizing the synergy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I think of like the last handful of deals in the industry, 3%, 4% of revenue is kind of a popular place to fall out.But when I go back and think about Delta-Northwest years ago, US Airways-America West, some of the deals that kind of really transformed the industry, back then, it was 6%. That was the buzz – that was sort of the number to hit. Is there any situation where you guys see the percentage of revenue –synergies as a percentage of revenue kind of expanding meaningfully and like what might that look like as a brainstorm, if it’s even possible?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Robert J. Neal: </w:t>
      </w:r>
      <w:r>
        <w:rPr>
          <w:rFonts w:ascii="Times New Roman" w:cs="Times New Roman" w:eastAsia="Times New Roman" w:hAnsi="Times New Roman"/>
          <w:sz w:val="18"/>
          <w:szCs w:val="18"/>
          <w:color w:val="auto"/>
        </w:rPr>
        <w:t>Yeah. I can – you do want to start, Greg?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Gregory Clark Anderson: </w:t>
      </w:r>
      <w:r>
        <w:rPr>
          <w:rFonts w:ascii="Times New Roman" w:cs="Times New Roman" w:eastAsia="Times New Roman" w:hAnsi="Times New Roman"/>
          <w:sz w:val="18"/>
          <w:szCs w:val="18"/>
          <w:color w:val="auto"/>
        </w:rPr>
        <w:t>No, you got it.</w:t>
      </w:r>
    </w:p>
    <w:p>
      <w:pPr>
        <w:spacing w:after="0" w:line="225"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Answer – Robert J. Neal: </w:t>
      </w:r>
      <w:r>
        <w:rPr>
          <w:rFonts w:ascii="Times New Roman" w:cs="Times New Roman" w:eastAsia="Times New Roman" w:hAnsi="Times New Roman"/>
          <w:sz w:val="18"/>
          <w:szCs w:val="18"/>
          <w:color w:val="auto"/>
        </w:rPr>
        <w:t>Yeah, sure. I’ll start. I mean, I think the drivers that we gave on the slide there are meaningful opportunities for upside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synergy capture.I think both Sun Country and Allegiant today have talked about how massive the opportunity is in just fleet optimization alone. And so, those ones are harder to quantify on the P&amp;L, but there’s significant opportunities there. And then, you just go down the list, the broader route network, our 20-plus bases across the US that can more optimally support the Amazon and cargo operation, the stronger combined balance sheet, the items we’ve talked about here on the call today.</w:t>
      </w:r>
    </w:p>
    <w:p>
      <w:pPr>
        <w:spacing w:after="0" w:line="179"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Answer – Gregory Clark Anderson: </w:t>
      </w:r>
      <w:r>
        <w:rPr>
          <w:rFonts w:ascii="Times New Roman" w:cs="Times New Roman" w:eastAsia="Times New Roman" w:hAnsi="Times New Roman"/>
          <w:sz w:val="18"/>
          <w:szCs w:val="18"/>
          <w:color w:val="auto"/>
        </w:rPr>
        <w:t>And the only other thing I would add to that is, to BJ’s point, we want to under-promise and over-deliver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synergy estimates.Both companies ran independent analysis on it and we came together. And I think it’s safe to say, and Jude can certainly add, that we both aligned on the synergies and we both feel confident that – with our ability to beat them.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Jude I. Bricker: </w:t>
      </w:r>
      <w:r>
        <w:rPr>
          <w:rFonts w:ascii="Times New Roman" w:cs="Times New Roman" w:eastAsia="Times New Roman" w:hAnsi="Times New Roman"/>
          <w:sz w:val="18"/>
          <w:szCs w:val="18"/>
          <w:color w:val="auto"/>
        </w:rPr>
        <w:t>Nothing to add from my side.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next question comes from the line of James Kirby from JPMorgan. Your line is open.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w:t>
      </w:r>
      <w:r>
        <w:rPr>
          <w:rFonts w:ascii="Times New Roman" w:cs="Times New Roman" w:eastAsia="Times New Roman" w:hAnsi="Times New Roman"/>
          <w:sz w:val="18"/>
          <w:szCs w:val="18"/>
          <w:color w:val="auto"/>
        </w:rPr>
        <w:t>James M. Kirby</w:t>
      </w:r>
    </w:p>
    <w:p>
      <w:pPr>
        <w:spacing w:after="0" w:line="11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Question – James M. Kirby: </w:t>
      </w:r>
      <w:r>
        <w:rPr>
          <w:rFonts w:ascii="Times New Roman" w:cs="Times New Roman" w:eastAsia="Times New Roman" w:hAnsi="Times New Roman"/>
          <w:sz w:val="18"/>
          <w:szCs w:val="18"/>
          <w:color w:val="auto"/>
        </w:rPr>
        <w:t>Hey. Good morning and thanks for the question. Jamie and I were (00:58:09) wondering – and maybe this will come 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proxy. But were there any other business combinations you were considering or was this really the only one, given the alignment of business models?</w:t>
      </w:r>
    </w:p>
    <w:p>
      <w:pPr>
        <w:sectPr>
          <w:pgSz w:w="11900" w:h="16838" w:orient="portrait"/>
          <w:cols w:equalWidth="0" w:num="1">
            <w:col w:w="11000"/>
          </w:cols>
          <w:pgMar w:left="440" w:top="266"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Answer – Jude I. Bricker: </w:t>
      </w:r>
      <w:r>
        <w:rPr>
          <w:rFonts w:ascii="Times New Roman" w:cs="Times New Roman" w:eastAsia="Times New Roman" w:hAnsi="Times New Roman"/>
          <w:sz w:val="18"/>
          <w:szCs w:val="18"/>
          <w:color w:val="auto"/>
        </w:rPr>
        <w:t>I think that’s for 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Answer – Gregory Clark Anderson: </w:t>
      </w:r>
      <w:r>
        <w:rPr>
          <w:rFonts w:ascii="Times New Roman" w:cs="Times New Roman" w:eastAsia="Times New Roman" w:hAnsi="Times New Roman"/>
          <w:sz w:val="18"/>
          <w:szCs w:val="18"/>
          <w:color w:val="auto"/>
        </w:rPr>
        <w:t>Yeah. (00:58:26)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Question – James M. Kirby: </w:t>
      </w:r>
      <w:r>
        <w:rPr>
          <w:rFonts w:ascii="Times New Roman" w:cs="Times New Roman" w:eastAsia="Times New Roman" w:hAnsi="Times New Roman"/>
          <w:sz w:val="18"/>
          <w:szCs w:val="18"/>
          <w:color w:val="auto"/>
        </w:rPr>
        <w:t>Sorry. Yeah. That goes to Greg, yeah.</w:t>
      </w:r>
    </w:p>
    <w:p>
      <w:pPr>
        <w:spacing w:after="0" w:line="225"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Answer – Jude I. Bricker: </w:t>
      </w:r>
      <w:r>
        <w:rPr>
          <w:rFonts w:ascii="Times New Roman" w:cs="Times New Roman" w:eastAsia="Times New Roman" w:hAnsi="Times New Roman"/>
          <w:sz w:val="17"/>
          <w:szCs w:val="17"/>
          <w:color w:val="auto"/>
        </w:rPr>
        <w:t>We didn’t set out to sell. So, we have a great standalone business. So, as a requirement, we would need to be able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outperform that standalone business, and further, we would need to have the stake in the outcome that would allow us to take advantage of where we think we’re in an inflection point with absorbing the cargo growth, all the things we’ve been talking about in the last several quarters. So, this deal allowed that to happen, and Allegiant’s a really unique airline and we’re a really unique airline. So, there wasn’t really that many fits quite frankly. So, as long as the economics worked for us and we were able to demonstrate benefit for our employees and customers, that’s where we kind of fell out.</w:t>
      </w:r>
    </w:p>
    <w:p>
      <w:pPr>
        <w:spacing w:after="0" w:line="16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Answer – Gregory Clark Anderson: </w:t>
      </w:r>
      <w:r>
        <w:rPr>
          <w:rFonts w:ascii="Times New Roman" w:cs="Times New Roman" w:eastAsia="Times New Roman" w:hAnsi="Times New Roman"/>
          <w:sz w:val="18"/>
          <w:szCs w:val="18"/>
          <w:color w:val="auto"/>
        </w:rPr>
        <w:t>And James, I’ll just add. It’s Greg. We – over here, we’re very familiar with the players and the dynamics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Just candidly, we don’t see another combination in our industry that can deliver the value this transaction can. We’ve talked a lot about Sun Country, their strategy, their capability, the cultural closeness that aligns with us. They’re the right partner, and we think the combined carrier can deliver greater value together.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Question – James M. Kirby: </w:t>
      </w:r>
      <w:r>
        <w:rPr>
          <w:rFonts w:ascii="Times New Roman" w:cs="Times New Roman" w:eastAsia="Times New Roman" w:hAnsi="Times New Roman"/>
          <w:sz w:val="18"/>
          <w:szCs w:val="18"/>
          <w:color w:val="auto"/>
        </w:rPr>
        <w:t>Great. Thanks.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final question comes from the line of Christopher Stathoulopoulos from Susquehanna. Your line is open.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w:t>
      </w:r>
      <w:r>
        <w:rPr>
          <w:rFonts w:ascii="Times New Roman" w:cs="Times New Roman" w:eastAsia="Times New Roman" w:hAnsi="Times New Roman"/>
          <w:sz w:val="18"/>
          <w:szCs w:val="18"/>
          <w:color w:val="auto"/>
        </w:rPr>
        <w:t>Christopher Stathoulopoulos</w:t>
      </w:r>
    </w:p>
    <w:p>
      <w:pPr>
        <w:spacing w:after="0" w:line="11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Question – Christopher Stathoulopoulos: </w:t>
      </w:r>
      <w:r>
        <w:rPr>
          <w:rFonts w:ascii="Times New Roman" w:cs="Times New Roman" w:eastAsia="Times New Roman" w:hAnsi="Times New Roman"/>
          <w:sz w:val="18"/>
          <w:szCs w:val="18"/>
          <w:color w:val="auto"/>
        </w:rPr>
        <w:t>Good morning. Thanks for taking my question. Going back to the comments around Amazon, so it sounds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 during the discussion, two more aircraft were added. That would put you to 22. Just looking at the map here on slide 14, are there any limiting factors to growing the combined network beyond that? And then B, on the loyalty side, you did give some color on an earlier question. But I believe, Greg, a few months ago, you were talking about potentially reevaluating the loyalty program. So, does this put that on hold? Just want to get a little bit more color on how combined co remuneration (01:00:47) might look like. Thanks.</w:t>
      </w:r>
    </w:p>
    <w:p>
      <w:pPr>
        <w:spacing w:after="0" w:line="179"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Answer – Drew A. Wells: </w:t>
      </w:r>
      <w:r>
        <w:rPr>
          <w:rFonts w:ascii="Times New Roman" w:cs="Times New Roman" w:eastAsia="Times New Roman" w:hAnsi="Times New Roman"/>
          <w:sz w:val="18"/>
          <w:szCs w:val="18"/>
          <w:color w:val="auto"/>
        </w:rPr>
        <w:t>Sure, yeah. Looking at the network map, there’s no meaningful or newly introduced constraints to being able to grow that.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think we look at the world fairly similarly in terms of what we’ll be able to generate. So, still just a ton of bullishness and upside on what we’ll be able to do with the sched service network. Obviously, as fleet allows that growth into the back half of the year, expect a ton of opportunity post-close. With the loyalty program, no, we’re still down the path of refreshing that program with or without this.We were a decade without doing anything there, and this is only going to serve to drive more scale and more opportunity and benefit here. So, I’m even more excited about the potential coming out of that program in light of this.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Question – Christopher Stathoulopoulos: </w:t>
      </w:r>
      <w:r>
        <w:rPr>
          <w:rFonts w:ascii="Times New Roman" w:cs="Times New Roman" w:eastAsia="Times New Roman" w:hAnsi="Times New Roman"/>
          <w:sz w:val="18"/>
          <w:szCs w:val="18"/>
          <w:color w:val="auto"/>
        </w:rPr>
        <w:t>Okay.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that reaches the end of our question-and-answer session.I will now turn the call back over to Sherry Wilson for some final closing comments.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all for joining us on such short notice this morning.We’ll chat again in a few short weeks.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concludes today’s conference call. Thank you for your participation. You may now disconnect.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Copyright © 2026 FactSet Research Systems Inc. All rights reserved.</w:t>
      </w:r>
    </w:p>
    <w:p>
      <w:pPr>
        <w:sectPr>
          <w:pgSz w:w="11900" w:h="16838" w:orient="portrait"/>
          <w:cols w:equalWidth="0" w:num="1">
            <w:col w:w="11000"/>
          </w:cols>
          <w:pgMar w:left="440" w:top="266"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w:t>
      </w:r>
      <w:r>
        <w:rPr>
          <w:rFonts w:ascii="Arial" w:cs="Arial" w:eastAsia="Arial" w:hAnsi="Arial"/>
          <w:sz w:val="18"/>
          <w:szCs w:val="18"/>
          <w:color w:val="auto"/>
        </w:rPr>
        <w:t>ﬀ</w:t>
      </w:r>
      <w:r>
        <w:rPr>
          <w:rFonts w:ascii="Times New Roman" w:cs="Times New Roman" w:eastAsia="Times New Roman" w:hAnsi="Times New Roman"/>
          <w:sz w:val="18"/>
          <w:szCs w:val="18"/>
          <w:color w:val="auto"/>
        </w:rPr>
        <w:t>er materially from those expressed in any forward-looking statements. Accordingly, there are or will be important factors that could cause actual results to di</w:t>
      </w:r>
      <w:r>
        <w:rPr>
          <w:rFonts w:ascii="Arial" w:cs="Arial" w:eastAsia="Arial" w:hAnsi="Arial"/>
          <w:sz w:val="18"/>
          <w:szCs w:val="18"/>
          <w:color w:val="auto"/>
        </w:rPr>
        <w:t>ﬀ</w:t>
      </w:r>
      <w:r>
        <w:rPr>
          <w:rFonts w:ascii="Times New Roman" w:cs="Times New Roman" w:eastAsia="Times New Roman" w:hAnsi="Times New Roman"/>
          <w:sz w:val="18"/>
          <w:szCs w:val="18"/>
          <w:color w:val="auto"/>
        </w:rPr>
        <w:t>er materially from those indicated in such statements and, therefore, you should not place undue reliance on any such statements and caution must be exercised in relying on forward-looking statements. Important risk factors that may cause such a di</w:t>
      </w:r>
      <w:r>
        <w:rPr>
          <w:rFonts w:ascii="Arial" w:cs="Arial" w:eastAsia="Arial" w:hAnsi="Arial"/>
          <w:sz w:val="18"/>
          <w:szCs w:val="18"/>
          <w:color w:val="auto"/>
        </w:rPr>
        <w:t>ﬀ</w:t>
      </w:r>
      <w:r>
        <w:rPr>
          <w:rFonts w:ascii="Times New Roman" w:cs="Times New Roman" w:eastAsia="Times New Roman" w:hAnsi="Times New Roman"/>
          <w:sz w:val="18"/>
          <w:szCs w:val="18"/>
          <w:color w:val="auto"/>
        </w:rPr>
        <w:t>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w:t>
      </w:r>
      <w:r>
        <w:rPr>
          <w:rFonts w:ascii="Arial" w:cs="Arial" w:eastAsia="Arial" w:hAnsi="Arial"/>
          <w:sz w:val="18"/>
          <w:szCs w:val="18"/>
          <w:color w:val="auto"/>
        </w:rPr>
        <w:t>ﬀ</w:t>
      </w:r>
      <w:r>
        <w:rPr>
          <w:rFonts w:ascii="Times New Roman" w:cs="Times New Roman" w:eastAsia="Times New Roman" w:hAnsi="Times New Roman"/>
          <w:sz w:val="18"/>
          <w:szCs w:val="18"/>
          <w:color w:val="auto"/>
        </w:rPr>
        <w:t>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or Sun Country’s respective management teams’ attention and time from ongoing business operations and opportunities on acquisition-related matters; the risk that the integration of Sun Country’s operations will be materially delayed or will be more costly or di</w:t>
      </w:r>
      <w:r>
        <w:rPr>
          <w:rFonts w:ascii="Arial" w:cs="Arial" w:eastAsia="Arial" w:hAnsi="Arial"/>
          <w:sz w:val="18"/>
          <w:szCs w:val="18"/>
          <w:color w:val="auto"/>
        </w:rPr>
        <w:t>ﬃ</w:t>
      </w:r>
      <w:r>
        <w:rPr>
          <w:rFonts w:ascii="Times New Roman" w:cs="Times New Roman" w:eastAsia="Times New Roman" w:hAnsi="Times New Roman"/>
          <w:sz w:val="18"/>
          <w:szCs w:val="18"/>
          <w:color w:val="auto"/>
        </w:rPr>
        <w:t>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ectPr>
          <w:pgSz w:w="11900" w:h="16838" w:orient="portrait"/>
          <w:cols w:equalWidth="0" w:num="1">
            <w:col w:w="11000"/>
          </w:cols>
          <w:pgMar w:left="440" w:top="266"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Additional Information and Where to Find It</w:t>
      </w:r>
    </w:p>
    <w:p>
      <w:pPr>
        <w:spacing w:after="0" w:line="12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these documents and other documents filed with the SEC by Allegiant or Sun Country through the website maintained by the SEC at http://www.sec.gov or from Allegiant at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from Sun Country at its website,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Documents filed with the SEC by Allegiant will be available free of charge by accessing Allegiant’s website at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alternatively by directing a request by mail to Allegiant’s Investor Relations department, 1201 North Town Center Drive, Las Vegas, NV 89144, and documents filed with the SEC by Sun Country will be available free of charge by accessing Sun Country’s website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or alternatively by directing a request by mail to Sun Country’s Investor Relations department, 2005 Cargo Road, Minneapolis, MN 55450.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80" w:lineRule="exact"/>
        <w:rPr>
          <w:sz w:val="20"/>
          <w:szCs w:val="20"/>
          <w:color w:val="auto"/>
        </w:rPr>
      </w:pPr>
    </w:p>
    <w:p>
      <w:pPr>
        <w:ind w:right="340"/>
        <w:spacing w:after="0" w:line="328"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w:t>
      </w:r>
      <w:r>
        <w:rPr>
          <w:rFonts w:ascii="Arial" w:cs="Arial" w:eastAsia="Arial" w:hAnsi="Arial"/>
          <w:sz w:val="18"/>
          <w:szCs w:val="18"/>
          <w:color w:val="auto"/>
        </w:rPr>
        <w:t>ﬃ</w:t>
      </w:r>
      <w:r>
        <w:rPr>
          <w:rFonts w:ascii="Times New Roman" w:cs="Times New Roman" w:eastAsia="Times New Roman" w:hAnsi="Times New Roman"/>
          <w:sz w:val="18"/>
          <w:szCs w:val="18"/>
          <w:color w:val="auto"/>
        </w:rPr>
        <w:t>cers may be deemed to be participants in the solicitation of proxies from the stockholders of Allegiant and Sun Country in connection with the proposed transaction under the rules of the SEC.</w:t>
      </w:r>
    </w:p>
    <w:p>
      <w:pPr>
        <w:spacing w:after="0" w:line="81"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w:t>
      </w:r>
      <w:r>
        <w:rPr>
          <w:rFonts w:ascii="Arial" w:cs="Arial" w:eastAsia="Arial" w:hAnsi="Arial"/>
          <w:sz w:val="17"/>
          <w:szCs w:val="17"/>
          <w:color w:val="auto"/>
        </w:rPr>
        <w:t>ﬃ</w:t>
      </w:r>
      <w:r>
        <w:rPr>
          <w:rFonts w:ascii="Times New Roman" w:cs="Times New Roman" w:eastAsia="Times New Roman" w:hAnsi="Times New Roman"/>
          <w:sz w:val="17"/>
          <w:szCs w:val="17"/>
          <w:color w:val="auto"/>
        </w:rPr>
        <w:t>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Information about the directors and executive o</w:t>
      </w:r>
      <w:r>
        <w:rPr>
          <w:rFonts w:ascii="Arial" w:cs="Arial" w:eastAsia="Arial" w:hAnsi="Arial"/>
          <w:sz w:val="18"/>
          <w:szCs w:val="18"/>
          <w:color w:val="auto"/>
        </w:rPr>
        <w:t>ﬃ</w:t>
      </w:r>
      <w:r>
        <w:rPr>
          <w:rFonts w:ascii="Times New Roman" w:cs="Times New Roman" w:eastAsia="Times New Roman" w:hAnsi="Times New Roman"/>
          <w:sz w:val="18"/>
          <w:szCs w:val="18"/>
          <w:color w:val="auto"/>
        </w:rPr>
        <w:t xml:space="preserve">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w:t>
      </w:r>
      <w:r>
        <w:rPr>
          <w:rFonts w:ascii="Arial" w:cs="Arial" w:eastAsia="Arial" w:hAnsi="Arial"/>
          <w:sz w:val="18"/>
          <w:szCs w:val="18"/>
          <w:color w:val="auto"/>
        </w:rPr>
        <w:t>ﬃ</w:t>
      </w:r>
      <w:r>
        <w:rPr>
          <w:rFonts w:ascii="Times New Roman" w:cs="Times New Roman" w:eastAsia="Times New Roman" w:hAnsi="Times New Roman"/>
          <w:sz w:val="18"/>
          <w:szCs w:val="18"/>
          <w:color w:val="auto"/>
        </w:rPr>
        <w:t>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4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Information about the directors and executive o</w:t>
      </w:r>
      <w:r>
        <w:rPr>
          <w:rFonts w:ascii="Arial" w:cs="Arial" w:eastAsia="Arial" w:hAnsi="Arial"/>
          <w:sz w:val="18"/>
          <w:szCs w:val="18"/>
          <w:color w:val="auto"/>
        </w:rPr>
        <w:t>ﬃ</w:t>
      </w:r>
      <w:r>
        <w:rPr>
          <w:rFonts w:ascii="Times New Roman" w:cs="Times New Roman" w:eastAsia="Times New Roman" w:hAnsi="Times New Roman"/>
          <w:sz w:val="18"/>
          <w:szCs w:val="18"/>
          <w:color w:val="auto"/>
        </w:rPr>
        <w:t xml:space="preserve">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and other documents subsequently filed by Sun Country with the SEC. Such information is set forth in the sections entitled “Proposal 1– Reelection of Directors”, “Proposal 2 – Non-binding (Advisory) Vote to Approve the Compensation of Our Named Executive O</w:t>
      </w:r>
      <w:r>
        <w:rPr>
          <w:rFonts w:ascii="Arial" w:cs="Arial" w:eastAsia="Arial" w:hAnsi="Arial"/>
          <w:sz w:val="18"/>
          <w:szCs w:val="18"/>
          <w:color w:val="auto"/>
        </w:rPr>
        <w:t>ﬃ</w:t>
      </w:r>
      <w:r>
        <w:rPr>
          <w:rFonts w:ascii="Times New Roman" w:cs="Times New Roman" w:eastAsia="Times New Roman" w:hAnsi="Times New Roman"/>
          <w:sz w:val="18"/>
          <w:szCs w:val="18"/>
          <w:color w:val="auto"/>
        </w:rPr>
        <w:t xml:space="preserve">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and on October 30, 2025, regarding subsequent changes to Sun Country’s Board of Directors and executive management following the filing of such definitive proxy statement. To the extent holdings of Sun Country common stock by the directors and executive o</w:t>
      </w:r>
      <w:r>
        <w:rPr>
          <w:rFonts w:ascii="Arial" w:cs="Arial" w:eastAsia="Arial" w:hAnsi="Arial"/>
          <w:sz w:val="18"/>
          <w:szCs w:val="18"/>
          <w:color w:val="auto"/>
        </w:rPr>
        <w:t>ﬃ</w:t>
      </w:r>
      <w:r>
        <w:rPr>
          <w:rFonts w:ascii="Times New Roman" w:cs="Times New Roman" w:eastAsia="Times New Roman" w:hAnsi="Times New Roman"/>
          <w:sz w:val="18"/>
          <w:szCs w:val="18"/>
          <w:color w:val="auto"/>
        </w:rPr>
        <w:t>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ectPr>
          <w:pgSz w:w="11900" w:h="16838" w:orient="portrait"/>
          <w:cols w:equalWidth="0" w:num="1">
            <w:col w:w="11020"/>
          </w:cols>
          <w:pgMar w:left="440" w:top="266"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w:t>
      </w:r>
      <w:r>
        <w:rPr>
          <w:rFonts w:ascii="Arial" w:cs="Arial" w:eastAsia="Arial" w:hAnsi="Arial"/>
          <w:sz w:val="18"/>
          <w:szCs w:val="18"/>
          <w:color w:val="auto"/>
          <w:highlight w:val="black"/>
        </w:rPr>
        <w:t>ﬀ</w:t>
      </w:r>
      <w:r>
        <w:rPr>
          <w:rFonts w:ascii="Times New Roman" w:cs="Times New Roman" w:eastAsia="Times New Roman" w:hAnsi="Times New Roman"/>
          <w:sz w:val="18"/>
          <w:szCs w:val="18"/>
          <w:b w:val="1"/>
          <w:bCs w:val="1"/>
          <w:color w:val="auto"/>
        </w:rPr>
        <w:t>er or Solicitation</w:t>
      </w:r>
    </w:p>
    <w:p>
      <w:pPr>
        <w:spacing w:after="0" w:line="1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w:t>
      </w:r>
      <w:r>
        <w:rPr>
          <w:rFonts w:ascii="Arial" w:cs="Arial" w:eastAsia="Arial" w:hAnsi="Arial"/>
          <w:sz w:val="18"/>
          <w:szCs w:val="18"/>
          <w:color w:val="auto"/>
        </w:rPr>
        <w:t>ﬀ</w:t>
      </w:r>
      <w:r>
        <w:rPr>
          <w:rFonts w:ascii="Times New Roman" w:cs="Times New Roman" w:eastAsia="Times New Roman" w:hAnsi="Times New Roman"/>
          <w:sz w:val="18"/>
          <w:szCs w:val="18"/>
          <w:color w:val="auto"/>
        </w:rPr>
        <w:t>er to sell or the solicitation of an o</w:t>
      </w:r>
      <w:r>
        <w:rPr>
          <w:rFonts w:ascii="Arial" w:cs="Arial" w:eastAsia="Arial" w:hAnsi="Arial"/>
          <w:sz w:val="18"/>
          <w:szCs w:val="18"/>
          <w:color w:val="auto"/>
        </w:rPr>
        <w:t>ﬀ</w:t>
      </w:r>
      <w:r>
        <w:rPr>
          <w:rFonts w:ascii="Times New Roman" w:cs="Times New Roman" w:eastAsia="Times New Roman" w:hAnsi="Times New Roman"/>
          <w:sz w:val="18"/>
          <w:szCs w:val="18"/>
          <w:color w:val="auto"/>
        </w:rPr>
        <w:t>er to sell or an o</w:t>
      </w:r>
      <w:r>
        <w:rPr>
          <w:rFonts w:ascii="Arial" w:cs="Arial" w:eastAsia="Arial" w:hAnsi="Arial"/>
          <w:sz w:val="18"/>
          <w:szCs w:val="18"/>
          <w:color w:val="auto"/>
        </w:rPr>
        <w:t>ﬀ</w:t>
      </w:r>
      <w:r>
        <w:rPr>
          <w:rFonts w:ascii="Times New Roman" w:cs="Times New Roman" w:eastAsia="Times New Roman" w:hAnsi="Times New Roman"/>
          <w:sz w:val="18"/>
          <w:szCs w:val="18"/>
          <w:color w:val="auto"/>
        </w:rPr>
        <w:t>er to buy or the solicitation of an o</w:t>
      </w:r>
      <w:r>
        <w:rPr>
          <w:rFonts w:ascii="Arial" w:cs="Arial" w:eastAsia="Arial" w:hAnsi="Arial"/>
          <w:sz w:val="18"/>
          <w:szCs w:val="18"/>
          <w:color w:val="auto"/>
        </w:rPr>
        <w:t>ﬀ</w:t>
      </w:r>
      <w:r>
        <w:rPr>
          <w:rFonts w:ascii="Times New Roman" w:cs="Times New Roman" w:eastAsia="Times New Roman" w:hAnsi="Times New Roman"/>
          <w:sz w:val="18"/>
          <w:szCs w:val="18"/>
          <w:color w:val="auto"/>
        </w:rPr>
        <w:t>er to buy any securities, and there shall be no sale of securities, in any jurisdiction in which such o</w:t>
      </w:r>
      <w:r>
        <w:rPr>
          <w:rFonts w:ascii="Arial" w:cs="Arial" w:eastAsia="Arial" w:hAnsi="Arial"/>
          <w:sz w:val="18"/>
          <w:szCs w:val="18"/>
          <w:color w:val="auto"/>
        </w:rPr>
        <w:t>ﬀ</w:t>
      </w:r>
      <w:r>
        <w:rPr>
          <w:rFonts w:ascii="Times New Roman" w:cs="Times New Roman" w:eastAsia="Times New Roman" w:hAnsi="Times New Roman"/>
          <w:sz w:val="18"/>
          <w:szCs w:val="18"/>
          <w:color w:val="auto"/>
        </w:rPr>
        <w:t>er, solicitation or sale would be unlawful prior to registration or qualification under the securities laws of any such jurisdiction. No o</w:t>
      </w:r>
      <w:r>
        <w:rPr>
          <w:rFonts w:ascii="Arial" w:cs="Arial" w:eastAsia="Arial" w:hAnsi="Arial"/>
          <w:sz w:val="18"/>
          <w:szCs w:val="18"/>
          <w:color w:val="auto"/>
        </w:rPr>
        <w:t>ﬀ</w:t>
      </w:r>
      <w:r>
        <w:rPr>
          <w:rFonts w:ascii="Times New Roman" w:cs="Times New Roman" w:eastAsia="Times New Roman" w:hAnsi="Times New Roman"/>
          <w:sz w:val="18"/>
          <w:szCs w:val="18"/>
          <w:color w:val="auto"/>
        </w:rPr>
        <w:t>er of securities shall be made except by means of a prospectus meeting the requirements of Section 10 of the Securities Act of 1933, as amended, and otherwise in accordance with applicable law.</w:t>
      </w:r>
    </w:p>
    <w:sectPr>
      <w:pgSz w:w="11900" w:h="16838" w:orient="portrait"/>
      <w:cols w:equalWidth="0" w:num="1">
        <w:col w:w="10880"/>
      </w:cols>
      <w:pgMar w:left="440" w:top="229"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2026-01-12T16:40:25Z</dcterms:created>
  <dcterms:modified xsi:type="dcterms:W3CDTF">2026-01-12T16:40:25Z</dcterms:modified>
</cp:coreProperties>
</file>