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2,615,047.00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2,637,036.00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2,637,036.00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2,615,047.00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2,637,036.00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2,637,036.00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160" w:firstLine="6"/>
        <w:spacing w:after="0" w:line="256" w:lineRule="auto"/>
        <w:tabs>
          <w:tab w:leader="none" w:pos="12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900" w:firstLine="6"/>
        <w:spacing w:after="0" w:line="256" w:lineRule="auto"/>
        <w:tabs>
          <w:tab w:leader="none" w:pos="12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740" w:firstLine="6"/>
        <w:spacing w:after="0" w:line="268" w:lineRule="auto"/>
        <w:tabs>
          <w:tab w:leader="none" w:pos="121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ectPr>
          <w:pgSz w:w="11900" w:h="16847" w:orient="portrait"/>
          <w:cols w:equalWidth="0" w:num="1">
            <w:col w:w="11060"/>
          </w:cols>
          <w:pgMar w:left="360" w:top="126" w:right="479" w:bottom="0" w:gutter="0" w:footer="0" w:header="0"/>
        </w:sectPr>
      </w:pPr>
    </w:p>
    <w:bookmarkStart w:id="3" w:name="page4"/>
    <w:bookmarkEnd w:id="3"/>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Contact Information Charles Chiesa VP Fund Treasurer Global Operations and Investor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Telephone: 617-385-9593 Exhibit Index Exhibit I Identification and Classification of the Subsidiaries which Acquired the Security Being Reported on by the Parent Holding Company. Exhibit II Joint Filing Agreement</w:t>
      </w:r>
    </w:p>
    <w:sectPr>
      <w:pgSz w:w="11900" w:h="16838" w:orient="portrait"/>
      <w:cols w:equalWidth="0" w:num="1">
        <w:col w:w="11120"/>
      </w:cols>
      <w:pgMar w:left="32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2025-11-14T08:45:40Z</dcterms:created>
  <dcterms:modified xsi:type="dcterms:W3CDTF">2025-11-14T08:45:40Z</dcterms:modified>
</cp:coreProperties>
</file>