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12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271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0000FF"/>
              </w:rPr>
              <w:t>VP-Fin. Plan. &amp; Anlys &amp; Treas.</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02/09/2023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7,436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23,793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02/09/2023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5,515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29,308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02/09/2023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12,951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20.5939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7,436</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02/09/2023</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7,436</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5,515</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5,515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02/09/2023</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5,515</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jc w:val="right"/>
              <w:ind w:right="10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$20.29 to $21.01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Rose Neale, attorney-in-fact </w:t>
      </w:r>
      <w:r>
        <w:rPr>
          <w:rFonts w:ascii="Times New Roman" w:cs="Times New Roman" w:eastAsia="Times New Roman" w:hAnsi="Times New Roman"/>
          <w:sz w:val="33"/>
          <w:szCs w:val="33"/>
          <w:color w:val="0000FF"/>
          <w:vertAlign w:val="subscript"/>
        </w:rPr>
        <w:t>02/10/2023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50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05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2023-02-14T08:44:16Z</dcterms:created>
  <dcterms:modified xsi:type="dcterms:W3CDTF">2023-02-14T08:44:16Z</dcterms:modified>
</cp:coreProperties>
</file>