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928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928870"/>
                    </a:xfrm>
                    <a:prstGeom prst="rect">
                      <a:avLst/>
                    </a:prstGeom>
                    <a:noFill/>
                  </pic:spPr>
                </pic:pic>
              </a:graphicData>
            </a:graphic>
          </wp:anchor>
        </w:drawing>
      </w:r>
    </w:p>
    <w:p>
      <w:pPr>
        <w:spacing w:after="0" w:line="1197" w:lineRule="exact"/>
        <w:rPr>
          <w:sz w:val="24"/>
          <w:szCs w:val="24"/>
          <w:color w:val="auto"/>
        </w:rPr>
      </w:pPr>
    </w:p>
    <w:p>
      <w:pPr>
        <w:sectPr>
          <w:pgSz w:w="11900" w:h="16838" w:orient="portrait"/>
          <w:cols w:equalWidth="0" w:num="2">
            <w:col w:w="2260" w:space="380"/>
            <w:col w:w="8440"/>
          </w:cols>
          <w:pgMar w:left="460" w:top="215" w:right="359" w:bottom="1032"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Coley Stephen Andrew</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00"/>
        <w:spacing w:after="0" w:line="366"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MINNEAPOLIS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55450</w:t>
            </w: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Sun Country Airlines Holdings, LLC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6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1"/>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2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6"/>
                <w:szCs w:val="16"/>
                <w:color w:val="0000FF"/>
              </w:rPr>
              <w:t>SVP, Chief Operating Officer</w:t>
            </w:r>
          </w:p>
        </w:tc>
        <w:tc>
          <w:tcPr>
            <w:tcW w:w="0" w:type="dxa"/>
            <w:vAlign w:val="bottom"/>
          </w:tcPr>
          <w:p>
            <w:pPr>
              <w:spacing w:after="0"/>
              <w:rPr>
                <w:sz w:val="1"/>
                <w:szCs w:val="1"/>
                <w:color w:val="auto"/>
              </w:rPr>
            </w:pPr>
          </w:p>
        </w:tc>
      </w:tr>
      <w:tr>
        <w:trPr>
          <w:trHeight w:val="214"/>
        </w:trPr>
        <w:tc>
          <w:tcPr>
            <w:tcW w:w="3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05/13/2026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2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00"/>
            <w:col w:w="7240"/>
          </w:cols>
          <w:pgMar w:left="460" w:top="215" w:right="359" w:bottom="103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40" w:type="dxa"/>
            <w:vAlign w:val="bottom"/>
            <w:gridSpan w:val="4"/>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96"/>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6"/>
                <w:szCs w:val="16"/>
                <w:color w:val="0000FF"/>
              </w:rPr>
              <w:t>05/13/2026</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D</w:t>
            </w: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40"/>
              <w:spacing w:after="0" w:line="301" w:lineRule="exact"/>
              <w:rPr>
                <w:sz w:val="20"/>
                <w:szCs w:val="20"/>
                <w:color w:val="auto"/>
              </w:rPr>
            </w:pPr>
            <w:r>
              <w:rPr>
                <w:rFonts w:ascii="Times New Roman" w:cs="Times New Roman" w:eastAsia="Times New Roman" w:hAnsi="Times New Roman"/>
                <w:sz w:val="32"/>
                <w:szCs w:val="32"/>
                <w:color w:val="0000FF"/>
                <w:w w:val="89"/>
                <w:vertAlign w:val="subscript"/>
              </w:rPr>
              <w:t>43,838</w:t>
            </w:r>
            <w:r>
              <w:rPr>
                <w:rFonts w:ascii="Times New Roman" w:cs="Times New Roman" w:eastAsia="Times New Roman" w:hAnsi="Times New Roman"/>
                <w:sz w:val="10"/>
                <w:szCs w:val="10"/>
                <w:color w:val="008000"/>
                <w:w w:val="89"/>
              </w:rPr>
              <w:t>(1)(2)(3)(4)</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0"/>
                <w:szCs w:val="10"/>
                <w:color w:val="008000"/>
              </w:rPr>
              <w:t>(1)(2)(3)(4)</w:t>
            </w:r>
          </w:p>
        </w:tc>
        <w:tc>
          <w:tcPr>
            <w:tcW w:w="6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6"/>
                <w:szCs w:val="16"/>
                <w:color w:val="0000FF"/>
                <w:w w:val="74"/>
              </w:rPr>
              <w:t>0</w:t>
            </w: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13"/>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Acquired (A) or</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(1)(2)(5)</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(1)(2)(5)</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(1)(2)(5)</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27,535</w:t>
            </w:r>
          </w:p>
        </w:tc>
        <w:tc>
          <w:tcPr>
            <w:tcW w:w="6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right"/>
              <w:ind w:right="141"/>
              <w:spacing w:after="0" w:line="126" w:lineRule="exact"/>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0"/>
                <w:szCs w:val="10"/>
                <w:color w:val="auto"/>
              </w:rPr>
            </w:pPr>
          </w:p>
        </w:tc>
        <w:tc>
          <w:tcPr>
            <w:tcW w:w="4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0"/>
                <w:szCs w:val="10"/>
                <w:color w:val="auto"/>
              </w:rPr>
            </w:pPr>
          </w:p>
        </w:tc>
        <w:tc>
          <w:tcPr>
            <w:tcW w:w="50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27,535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0000FF"/>
              </w:rPr>
              <w:t>27,535</w:t>
            </w:r>
          </w:p>
        </w:tc>
        <w:tc>
          <w:tcPr>
            <w:tcW w:w="26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16"/>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(1)(2)(5)</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(1)(2)(5)</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(1)(2)(5)</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27,535</w:t>
            </w:r>
          </w:p>
        </w:tc>
        <w:tc>
          <w:tcPr>
            <w:tcW w:w="6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right"/>
              <w:ind w:right="141"/>
              <w:spacing w:after="0" w:line="126" w:lineRule="exact"/>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0"/>
                <w:szCs w:val="10"/>
                <w:color w:val="auto"/>
              </w:rPr>
            </w:pPr>
          </w:p>
        </w:tc>
        <w:tc>
          <w:tcPr>
            <w:tcW w:w="4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27,535</w:t>
            </w: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right"/>
              <w:ind w:right="82"/>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16"/>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-2144395</wp:posOffset>
            </wp:positionV>
            <wp:extent cx="28575" cy="214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494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0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 (b)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39" w:lineRule="exact"/>
        <w:rPr>
          <w:rFonts w:ascii="Times New Roman" w:cs="Times New Roman" w:eastAsia="Times New Roman" w:hAnsi="Times New Roman"/>
          <w:sz w:val="13"/>
          <w:szCs w:val="13"/>
          <w:color w:val="008000"/>
        </w:rPr>
      </w:pPr>
    </w:p>
    <w:p>
      <w:pPr>
        <w:ind w:left="40" w:right="38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6,294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6" w:lineRule="exact"/>
        <w:rPr>
          <w:rFonts w:ascii="Times New Roman" w:cs="Times New Roman" w:eastAsia="Times New Roman" w:hAnsi="Times New Roman"/>
          <w:sz w:val="13"/>
          <w:szCs w:val="13"/>
          <w:color w:val="008000"/>
        </w:rPr>
      </w:pPr>
    </w:p>
    <w:p>
      <w:pPr>
        <w:ind w:left="40" w:right="16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37,544 restricted stock units previously granted to the reporting person, which, as of immediately prior to the First Effective Time, was assumed and converted into an Allegiant restricted stock unit award ("Parent RSU Award") covering a number of Parent Shares equal to the product of (x) the number of Company Shares underlying such Company RSU Award and (y) the quotient obtained by dividing the Merger Consideration Closing Value by the Parent Measurement Price, rounded down to the nearest whole share. The Parent RSU Awards will continue to have the same terms and conditions as the Company RSU Awards, including any double-trigger vesting protections.</w:t>
      </w:r>
    </w:p>
    <w:p>
      <w:pPr>
        <w:spacing w:after="0" w:line="25" w:lineRule="exact"/>
        <w:rPr>
          <w:rFonts w:ascii="Times New Roman" w:cs="Times New Roman" w:eastAsia="Times New Roman" w:hAnsi="Times New Roman"/>
          <w:sz w:val="13"/>
          <w:szCs w:val="13"/>
          <w:color w:val="008000"/>
        </w:rPr>
      </w:pPr>
    </w:p>
    <w:p>
      <w:pPr>
        <w:ind w:left="40" w:right="1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performance-based restricted stock unit award ("Company PRSU Award") previously granted to the reporting person, which, as of immediately prior to the First Effective Time, was assumed and converted into an Allegiant time-based restricted stock unit award ("Parent PRSU Award"), covering a number of Parent Shares equal to the quotient obtained by dividing (i) the product of (A) the number of Company Shares underlying such Company PRSU Award (deemed to be equal to 125% of the 'target' amount granted) and (B) the Merger Consideration Closing Value, by (ii) the Parent Measurement Price, rounded down to the nearest whole share. The Parent PRSU Awards will continue to have the same terms and conditions as the Company PRSU Awards, including any double-trigger vesting protections, but not any performance-based vesting conditions.</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Rose Neale, as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05/15/2026</w:t>
            </w:r>
          </w:p>
        </w:tc>
        <w:tc>
          <w:tcPr>
            <w:tcW w:w="0" w:type="dxa"/>
            <w:vAlign w:val="bottom"/>
          </w:tcPr>
          <w:p>
            <w:pPr>
              <w:spacing w:after="0"/>
              <w:rPr>
                <w:sz w:val="1"/>
                <w:szCs w:val="1"/>
                <w:color w:val="auto"/>
              </w:rPr>
            </w:pPr>
          </w:p>
        </w:tc>
      </w:tr>
      <w:tr>
        <w:trPr>
          <w:trHeight w:val="86"/>
        </w:trPr>
        <w:tc>
          <w:tcPr>
            <w:tcW w:w="196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Stephen Coley</w:t>
            </w: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0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894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2026-05-15T19:26:03Z</dcterms:created>
  <dcterms:modified xsi:type="dcterms:W3CDTF">2026-05-15T19:26:03Z</dcterms:modified>
</cp:coreProperties>
</file>