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64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489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Chief Revenue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09/01/2023</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09/01/2023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6,729</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18,832</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09/01/2023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6,729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15.1053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12,103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6,729</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09/01/2023</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right"/>
              <w:ind w:righ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6,729</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07/31/2029</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260"/>
              <w:spacing w:after="0" w:line="126" w:lineRule="exact"/>
              <w:rPr>
                <w:sz w:val="20"/>
                <w:szCs w:val="20"/>
                <w:color w:val="auto"/>
              </w:rPr>
            </w:pPr>
            <w:r>
              <w:rPr>
                <w:rFonts w:ascii="Arial" w:cs="Arial" w:eastAsia="Arial" w:hAnsi="Arial"/>
                <w:sz w:val="13"/>
                <w:szCs w:val="13"/>
                <w:color w:val="0000FF"/>
                <w:w w:val="89"/>
              </w:rPr>
              <w:t>216,123</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The 10b5-1 trading plan was adopted on May 5, 2023.</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$14.97 to $15.35,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Rose Neale, as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09/04/2023</w:t>
            </w:r>
          </w:p>
        </w:tc>
        <w:tc>
          <w:tcPr>
            <w:tcW w:w="0" w:type="dxa"/>
            <w:vAlign w:val="bottom"/>
          </w:tcPr>
          <w:p>
            <w:pPr>
              <w:spacing w:after="0"/>
              <w:rPr>
                <w:sz w:val="1"/>
                <w:szCs w:val="1"/>
                <w:color w:val="auto"/>
              </w:rPr>
            </w:pPr>
          </w:p>
        </w:tc>
      </w:tr>
      <w:tr>
        <w:trPr>
          <w:trHeight w:val="84"/>
        </w:trPr>
        <w:tc>
          <w:tcPr>
            <w:tcW w:w="212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Grant Whitney</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2023-09-06T15:36:05Z</dcterms:created>
  <dcterms:modified xsi:type="dcterms:W3CDTF">2023-09-06T15:36:05Z</dcterms:modified>
</cp:coreProperties>
</file>