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UNITED STATES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AND EXCHANGE COMMISSION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FORM 10-Q</w:t>
      </w:r>
    </w:p>
    <w:tbl>
      <w:tblPr>
        <w:tblW w:w="9657" w:type="dxa"/>
        <w:jc w:val="left"/>
        <w:tblInd w:w="0" w:type="dxa"/>
        <w:tblLayout w:type="fixed"/>
        <w:tblCellMar>
          <w:top w:w="28" w:type="dxa"/>
          <w:left w:w="28" w:type="dxa"/>
          <w:bottom w:w="28" w:type="dxa"/>
          <w:right w:w="28" w:type="dxa"/>
        </w:tblCellMar>
      </w:tblPr>
      <w:tblGrid>
        <w:gridCol w:w="124"/>
        <w:gridCol w:w="109"/>
        <w:gridCol w:w="109"/>
        <w:gridCol w:w="2726"/>
        <w:gridCol w:w="2726"/>
        <w:gridCol w:w="3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8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3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QUARTERLY REPORT PURSUANT TO SECTION 13 OR 15(d) OF THE SECURITIES EXCHANGE ACT OF 1934</w:t>
            </w:r>
          </w:p>
        </w:tc>
      </w:tr>
    </w:tbl>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 the quarterly period ended September 30, 2024</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Or</w:t>
      </w:r>
    </w:p>
    <w:tbl>
      <w:tblPr>
        <w:tblW w:w="9626" w:type="dxa"/>
        <w:jc w:val="left"/>
        <w:tblInd w:w="0" w:type="dxa"/>
        <w:tblLayout w:type="fixed"/>
        <w:tblCellMar>
          <w:top w:w="28" w:type="dxa"/>
          <w:left w:w="28" w:type="dxa"/>
          <w:bottom w:w="28" w:type="dxa"/>
          <w:right w:w="28" w:type="dxa"/>
        </w:tblCellMar>
      </w:tblPr>
      <w:tblGrid>
        <w:gridCol w:w="124"/>
        <w:gridCol w:w="109"/>
        <w:gridCol w:w="109"/>
        <w:gridCol w:w="2715"/>
        <w:gridCol w:w="2715"/>
        <w:gridCol w:w="38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2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TRANSITION REPORT PURSUANT TO SECTION 13 OR 15(d) OF THE SECURITIES EXCHANGE ACT OF 1934</w:t>
            </w:r>
          </w:p>
        </w:tc>
      </w:tr>
    </w:tbl>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Commission File Number 001-40217</w:t>
      </w:r>
    </w:p>
    <w:p>
      <w:pPr>
        <w:pStyle w:val="TextBody"/>
        <w:bidi w:val="0"/>
        <w:spacing w:before="120" w:after="283"/>
        <w:jc w:val="center"/>
        <w:rPr/>
      </w:pPr>
      <w:r>
        <w:rPr/>
        <w:drawing>
          <wp:inline distT="0" distB="0" distL="0" distR="0">
            <wp:extent cx="31432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43250" cy="428625"/>
                    </a:xfrm>
                    <a:prstGeom prst="rect">
                      <a:avLst/>
                    </a:prstGeom>
                  </pic:spPr>
                </pic:pic>
              </a:graphicData>
            </a:graphic>
          </wp:inline>
        </w:drawing>
      </w:r>
    </w:p>
    <w:p>
      <w:pPr>
        <w:pStyle w:val="TextBody"/>
        <w:bidi w:val="0"/>
        <w:spacing w:lineRule="auto" w:line="288" w:before="120" w:after="283"/>
        <w:jc w:val="center"/>
        <w:rPr>
          <w:rFonts w:ascii="Arial;sans-serif" w:hAnsi="Arial;sans-serif"/>
          <w:b/>
          <w:color w:val="000000"/>
          <w:sz w:val="40"/>
        </w:rPr>
      </w:pPr>
      <w:r>
        <w:rPr>
          <w:rFonts w:ascii="Arial;sans-serif" w:hAnsi="Arial;sans-serif"/>
          <w:b/>
          <w:color w:val="000000"/>
          <w:sz w:val="40"/>
        </w:rPr>
        <w:t>Sun Country Airlines Holdings,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6990" w:type="dxa"/>
        <w:jc w:val="left"/>
        <w:tblInd w:w="0" w:type="dxa"/>
        <w:tblLayout w:type="fixed"/>
        <w:tblCellMar>
          <w:top w:w="28" w:type="dxa"/>
          <w:left w:w="28" w:type="dxa"/>
          <w:bottom w:w="28" w:type="dxa"/>
          <w:right w:w="28" w:type="dxa"/>
        </w:tblCellMar>
      </w:tblPr>
      <w:tblGrid>
        <w:gridCol w:w="1570"/>
        <w:gridCol w:w="1378"/>
        <w:gridCol w:w="1387"/>
        <w:gridCol w:w="773"/>
        <w:gridCol w:w="773"/>
        <w:gridCol w:w="1109"/>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Delaware</w:t>
            </w:r>
          </w:p>
        </w:tc>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82-4092570</w:t>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2005 Cargo Road</w:t>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Minneapolis, Minnesota</w:t>
            </w:r>
          </w:p>
        </w:tc>
        <w:tc>
          <w:tcPr>
            <w:tcW w:w="265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55450</w:t>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6"/>
            <w:tcBorders/>
            <w:tcMar>
              <w:top w:w="0" w:type="dxa"/>
              <w:left w:w="0" w:type="dxa"/>
              <w:bottom w:w="0" w:type="dxa"/>
              <w:right w:w="0" w:type="dxa"/>
            </w:tcMar>
            <w:vAlign w:val="center"/>
          </w:tcPr>
          <w:p>
            <w:pPr>
              <w:pStyle w:val="TableContents"/>
              <w:bidi w:val="0"/>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 (651) 681-3900</w:t>
            </w:r>
          </w:p>
        </w:tc>
      </w:tr>
      <w:tr>
        <w:trPr/>
        <w:tc>
          <w:tcPr>
            <w:tcW w:w="69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511" w:type="dxa"/>
        <w:jc w:val="left"/>
        <w:tblInd w:w="0" w:type="dxa"/>
        <w:tblLayout w:type="fixed"/>
        <w:tblCellMar>
          <w:top w:w="28" w:type="dxa"/>
          <w:left w:w="28" w:type="dxa"/>
          <w:bottom w:w="28" w:type="dxa"/>
          <w:right w:w="28" w:type="dxa"/>
        </w:tblCellMar>
      </w:tblPr>
      <w:tblGrid>
        <w:gridCol w:w="1162"/>
        <w:gridCol w:w="1017"/>
        <w:gridCol w:w="1030"/>
        <w:gridCol w:w="109"/>
        <w:gridCol w:w="109"/>
        <w:gridCol w:w="109"/>
        <w:gridCol w:w="414"/>
        <w:gridCol w:w="414"/>
        <w:gridCol w:w="416"/>
        <w:gridCol w:w="109"/>
        <w:gridCol w:w="109"/>
        <w:gridCol w:w="109"/>
        <w:gridCol w:w="995"/>
        <w:gridCol w:w="995"/>
        <w:gridCol w:w="1414"/>
      </w:tblGrid>
      <w:tr>
        <w:trPr/>
        <w:tc>
          <w:tcPr>
            <w:tcW w:w="116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SNCY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lineRule="auto" w:line="288" w:before="120" w:after="283"/>
        <w:ind w:left="0" w:right="0" w:firstLine="360"/>
        <w:jc w:val="left"/>
        <w:rPr>
          <w:rFonts w:ascii="Arial;sans-serif" w:hAnsi="Arial;sans-serif"/>
          <w:b w:val="false"/>
          <w:color w:val="000000"/>
          <w:sz w:val="16"/>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120" w:after="283"/>
        <w:jc w:val="center"/>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120" w:after="283"/>
        <w:ind w:left="0" w:right="0" w:firstLine="360"/>
        <w:jc w:val="left"/>
        <w:rPr>
          <w:rFonts w:ascii="Arial;sans-serif" w:hAnsi="Arial;sans-serif"/>
          <w:b w:val="false"/>
          <w:color w:val="000000"/>
          <w:sz w:val="16"/>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120" w:after="283"/>
        <w:jc w:val="center"/>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120" w:after="283"/>
        <w:ind w:left="0" w:right="0" w:firstLine="36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925" w:type="dxa"/>
        <w:jc w:val="left"/>
        <w:tblInd w:w="0" w:type="dxa"/>
        <w:tblLayout w:type="fixed"/>
        <w:tblCellMar>
          <w:top w:w="28" w:type="dxa"/>
          <w:left w:w="28" w:type="dxa"/>
          <w:bottom w:w="28" w:type="dxa"/>
          <w:right w:w="28" w:type="dxa"/>
        </w:tblCellMar>
      </w:tblPr>
      <w:tblGrid>
        <w:gridCol w:w="124"/>
        <w:gridCol w:w="109"/>
        <w:gridCol w:w="109"/>
        <w:gridCol w:w="679"/>
        <w:gridCol w:w="679"/>
        <w:gridCol w:w="681"/>
        <w:gridCol w:w="749"/>
        <w:gridCol w:w="749"/>
        <w:gridCol w:w="752"/>
        <w:gridCol w:w="672"/>
        <w:gridCol w:w="672"/>
        <w:gridCol w:w="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Arial;sans-serif" w:hAnsi="Arial;sans-serif"/>
                <w:b w:val="false"/>
                <w:color w:val="000000"/>
                <w:sz w:val="16"/>
              </w:rPr>
              <w:t xml:space="preserve">Large accelerated Filer </w:t>
            </w:r>
            <w:r>
              <w:rPr>
                <w:color w:val="000000"/>
              </w:rPr>
              <w:t>☑</w:t>
            </w:r>
          </w:p>
        </w:tc>
        <w:tc>
          <w:tcPr>
            <w:tcW w:w="2250"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Arial;sans-serif" w:hAnsi="Arial;sans-serif"/>
                <w:b w:val="false"/>
                <w:color w:val="000000"/>
                <w:sz w:val="16"/>
              </w:rPr>
              <w:t xml:space="preserve">Accelerated Filer </w:t>
            </w:r>
            <w:r>
              <w:rPr>
                <w:color w:val="000000"/>
              </w:rPr>
              <w:t>☐</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Arial;sans-serif" w:hAnsi="Arial;sans-serif"/>
                <w:b w:val="false"/>
                <w:color w:val="000000"/>
                <w:sz w:val="16"/>
              </w:rPr>
              <w:t xml:space="preserve">Non-accelerated Filer </w:t>
            </w: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16"/>
              </w:rPr>
            </w:pPr>
            <w:r>
              <w:rPr>
                <w:rFonts w:ascii="Arial;sans-serif" w:hAnsi="Arial;sans-serif"/>
                <w:b w:val="false"/>
                <w:color w:val="000000"/>
                <w:sz w:val="16"/>
              </w:rPr>
              <w:t>Smaller reporting company ☐</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16"/>
              </w:rPr>
            </w:pPr>
            <w:r>
              <w:rPr>
                <w:rFonts w:ascii="Arial;sans-serif" w:hAnsi="Arial;sans-serif"/>
                <w:b w:val="false"/>
                <w:color w:val="000000"/>
                <w:sz w:val="16"/>
              </w:rPr>
              <w:t>Emerging growth company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36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shell company (as defined in Rule 12b-2 of the Exchange Act).</w:t>
      </w:r>
    </w:p>
    <w:p>
      <w:pPr>
        <w:pStyle w:val="TextBody"/>
        <w:bidi w:val="0"/>
        <w:spacing w:lineRule="auto" w:line="288" w:before="0" w:after="0"/>
        <w:jc w:val="center"/>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Number of shares outstanding by each class of common stock, as of September 30, 2024:</w:t>
      </w:r>
    </w:p>
    <w:p>
      <w:pPr>
        <w:pStyle w:val="TextBody"/>
        <w:bidi w:val="0"/>
        <w:spacing w:lineRule="auto" w:line="288" w:before="0" w:after="0"/>
        <w:jc w:val="center"/>
        <w:rPr/>
      </w:pPr>
      <w:r>
        <w:rPr>
          <w:rFonts w:ascii="Arial;sans-serif" w:hAnsi="Arial;sans-serif"/>
          <w:b w:val="false"/>
          <w:color w:val="000000"/>
          <w:sz w:val="16"/>
        </w:rPr>
        <w:t>Common Stock, $0.01 par value –</w:t>
      </w:r>
      <w:r>
        <w:rPr>
          <w:color w:val="000000"/>
          <w:shd w:fill="FFFFFF" w:val="clear"/>
        </w:rPr>
        <w:t xml:space="preserve"> </w:t>
      </w:r>
      <w:r>
        <w:rPr>
          <w:rFonts w:ascii="Arial;sans-serif" w:hAnsi="Arial;sans-serif"/>
          <w:b w:val="false"/>
          <w:color w:val="000000"/>
          <w:sz w:val="16"/>
          <w:shd w:fill="FFFFFF" w:val="clear"/>
        </w:rPr>
        <w:t>52,939,832 shares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80060"/>
                <wp:effectExtent l="0" t="0" r="0" b="0"/>
                <wp:wrapNone/>
                <wp:docPr id="2"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88" w:before="432" w:after="283"/>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9133" w:type="dxa"/>
        <w:jc w:val="left"/>
        <w:tblInd w:w="0" w:type="dxa"/>
        <w:tblLayout w:type="fixed"/>
        <w:tblCellMar>
          <w:top w:w="28" w:type="dxa"/>
          <w:left w:w="28" w:type="dxa"/>
          <w:bottom w:w="28" w:type="dxa"/>
          <w:right w:w="28" w:type="dxa"/>
        </w:tblCellMar>
      </w:tblPr>
      <w:tblGrid>
        <w:gridCol w:w="1576"/>
        <w:gridCol w:w="1386"/>
        <w:gridCol w:w="1386"/>
        <w:gridCol w:w="1386"/>
        <w:gridCol w:w="1386"/>
        <w:gridCol w:w="1412"/>
        <w:gridCol w:w="176"/>
        <w:gridCol w:w="176"/>
        <w:gridCol w:w="249"/>
      </w:tblGrid>
      <w:tr>
        <w:trPr/>
        <w:tc>
          <w:tcPr>
            <w:tcW w:w="157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10">
              <w:r>
                <w:rPr>
                  <w:rStyle w:val="InternetLink"/>
                  <w:rFonts w:ascii="Arial;sans-serif" w:hAnsi="Arial;sans-serif"/>
                  <w:b/>
                  <w:color w:val="0000FF"/>
                  <w:sz w:val="20"/>
                  <w:u w:val="single"/>
                </w:rPr>
                <w:t>Part I. Financial Information</w:t>
              </w:r>
            </w:hyperlink>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13">
              <w:r>
                <w:rPr>
                  <w:rStyle w:val="InternetLink"/>
                  <w:rFonts w:ascii="Arial;sans-serif" w:hAnsi="Arial;sans-serif"/>
                  <w:b w:val="false"/>
                  <w:color w:val="0000FF"/>
                  <w:sz w:val="20"/>
                  <w:u w:val="single"/>
                </w:rPr>
                <w:t>Item 1. Financial Statements</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16">
              <w:r>
                <w:rPr>
                  <w:rStyle w:val="InternetLink"/>
                  <w:rFonts w:ascii="Arial;sans-serif" w:hAnsi="Arial;sans-serif"/>
                  <w:b w:val="false"/>
                  <w:color w:val="0000FF"/>
                  <w:sz w:val="20"/>
                  <w:u w:val="single"/>
                </w:rPr>
                <w:t>Condensed Consolidated Balance Sheets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16">
              <w:r>
                <w:rPr>
                  <w:rStyle w:val="InternetLink"/>
                  <w:rFonts w:ascii="Arial;sans-serif" w:hAnsi="Arial;sans-serif"/>
                  <w:b w:val="false"/>
                  <w:strike w:val="false"/>
                  <w:dstrike w:val="false"/>
                  <w:color w:val="000000"/>
                  <w:sz w:val="20"/>
                  <w:u w:val="none"/>
                  <w:effect w:val="none"/>
                </w:rPr>
                <w:t>3</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19">
              <w:r>
                <w:rPr>
                  <w:rStyle w:val="InternetLink"/>
                  <w:rFonts w:ascii="Arial;sans-serif" w:hAnsi="Arial;sans-serif"/>
                  <w:b w:val="false"/>
                  <w:color w:val="0000FF"/>
                  <w:sz w:val="20"/>
                  <w:u w:val="single"/>
                </w:rPr>
                <w:t>Condensed Consolidated Statements of Operations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19">
              <w:r>
                <w:rPr>
                  <w:rStyle w:val="InternetLink"/>
                  <w:rFonts w:ascii="Arial;sans-serif" w:hAnsi="Arial;sans-serif"/>
                  <w:b w:val="false"/>
                  <w:strike w:val="false"/>
                  <w:dstrike w:val="false"/>
                  <w:color w:val="000000"/>
                  <w:sz w:val="20"/>
                  <w:u w:val="none"/>
                  <w:effect w:val="none"/>
                </w:rPr>
                <w:t>5</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22">
              <w:r>
                <w:rPr>
                  <w:rStyle w:val="InternetLink"/>
                  <w:rFonts w:ascii="Arial;sans-serif" w:hAnsi="Arial;sans-serif"/>
                  <w:b w:val="false"/>
                  <w:color w:val="0000FF"/>
                  <w:sz w:val="20"/>
                  <w:u w:val="single"/>
                </w:rPr>
                <w:t>Condensed Consolidated Statements of Comprehensive Income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22">
              <w:r>
                <w:rPr>
                  <w:rStyle w:val="InternetLink"/>
                  <w:rFonts w:ascii="Arial;sans-serif" w:hAnsi="Arial;sans-serif"/>
                  <w:b w:val="false"/>
                  <w:strike w:val="false"/>
                  <w:dstrike w:val="false"/>
                  <w:color w:val="000000"/>
                  <w:sz w:val="20"/>
                  <w:u w:val="none"/>
                  <w:effect w:val="none"/>
                </w:rPr>
                <w:t>6</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25">
              <w:r>
                <w:rPr>
                  <w:rStyle w:val="InternetLink"/>
                  <w:rFonts w:ascii="Arial;sans-serif" w:hAnsi="Arial;sans-serif"/>
                  <w:b w:val="false"/>
                  <w:color w:val="0000FF"/>
                  <w:sz w:val="20"/>
                  <w:u w:val="single"/>
                </w:rPr>
                <w:t>Condensed Consolidated Statements of Changes in Stockholders’ Equity</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25">
              <w:r>
                <w:rPr>
                  <w:rStyle w:val="InternetLink"/>
                  <w:rFonts w:ascii="Arial;sans-serif" w:hAnsi="Arial;sans-serif"/>
                  <w:b w:val="false"/>
                  <w:strike w:val="false"/>
                  <w:dstrike w:val="false"/>
                  <w:color w:val="000000"/>
                  <w:sz w:val="20"/>
                  <w:u w:val="none"/>
                  <w:effect w:val="none"/>
                </w:rPr>
                <w:t>7</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28">
              <w:r>
                <w:rPr>
                  <w:rStyle w:val="InternetLink"/>
                  <w:rFonts w:ascii="Arial;sans-serif" w:hAnsi="Arial;sans-serif"/>
                  <w:b w:val="false"/>
                  <w:color w:val="0000FF"/>
                  <w:sz w:val="20"/>
                  <w:u w:val="single"/>
                </w:rPr>
                <w:t>Condensed Consolidated Statements of Cash Flows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28">
              <w:r>
                <w:rPr>
                  <w:rStyle w:val="InternetLink"/>
                  <w:rFonts w:ascii="Arial;sans-serif" w:hAnsi="Arial;sans-serif"/>
                  <w:b w:val="false"/>
                  <w:strike w:val="false"/>
                  <w:dstrike w:val="false"/>
                  <w:color w:val="000000"/>
                  <w:sz w:val="20"/>
                  <w:u w:val="none"/>
                  <w:effect w:val="none"/>
                </w:rPr>
                <w:t>8</w:t>
              </w:r>
            </w:hyperlink>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31">
              <w:r>
                <w:rPr>
                  <w:rStyle w:val="InternetLink"/>
                  <w:rFonts w:ascii="Arial;sans-serif" w:hAnsi="Arial;sans-serif"/>
                  <w:b w:val="false"/>
                  <w:color w:val="0000FF"/>
                  <w:sz w:val="20"/>
                  <w:u w:val="single"/>
                </w:rPr>
                <w:t>Notes to the Condensed Consolidated Financial Statements</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4c189ddb00d4e19ac66c674081beae3_34">
              <w:r>
                <w:rPr>
                  <w:rStyle w:val="InternetLink"/>
                  <w:rFonts w:ascii="Arial;sans-serif" w:hAnsi="Arial;sans-serif"/>
                  <w:b w:val="false"/>
                  <w:color w:val="0000FF"/>
                  <w:sz w:val="20"/>
                  <w:u w:val="single"/>
                </w:rPr>
                <w:t>1</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34">
              <w:r>
                <w:rPr>
                  <w:rStyle w:val="InternetLink"/>
                  <w:rFonts w:ascii="Arial;sans-serif" w:hAnsi="Arial;sans-serif"/>
                  <w:b w:val="false"/>
                  <w:color w:val="0000FF"/>
                  <w:sz w:val="20"/>
                  <w:u w:val="single"/>
                </w:rPr>
                <w:t>Basis of Presentation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34">
              <w:r>
                <w:rPr>
                  <w:rStyle w:val="InternetLink"/>
                  <w:rFonts w:ascii="Arial;sans-serif" w:hAnsi="Arial;sans-serif"/>
                  <w:b w:val="false"/>
                  <w:strike w:val="false"/>
                  <w:dstrike w:val="false"/>
                  <w:color w:val="000000"/>
                  <w:sz w:val="20"/>
                  <w:u w:val="none"/>
                  <w:effect w:val="none"/>
                </w:rPr>
                <w:t>9</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189ddb00d4e19ac66c674081beae3_37">
              <w:r>
                <w:rPr>
                  <w:rStyle w:val="InternetLink"/>
                  <w:rFonts w:ascii="Arial;sans-serif" w:hAnsi="Arial;sans-serif"/>
                  <w:b w:val="false"/>
                  <w:color w:val="0000FF"/>
                  <w:sz w:val="20"/>
                  <w:u w:val="single"/>
                </w:rPr>
                <w:t>2</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37">
              <w:r>
                <w:rPr>
                  <w:rStyle w:val="InternetLink"/>
                  <w:rFonts w:ascii="Arial;sans-serif" w:hAnsi="Arial;sans-serif"/>
                  <w:b w:val="false"/>
                  <w:color w:val="0000FF"/>
                  <w:sz w:val="20"/>
                  <w:u w:val="single"/>
                </w:rPr>
                <w:t>Revenue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37">
              <w:r>
                <w:rPr>
                  <w:rStyle w:val="InternetLink"/>
                  <w:rFonts w:ascii="Arial;sans-serif" w:hAnsi="Arial;sans-serif"/>
                  <w:b w:val="false"/>
                  <w:strike w:val="false"/>
                  <w:dstrike w:val="false"/>
                  <w:color w:val="000000"/>
                  <w:sz w:val="20"/>
                  <w:u w:val="none"/>
                  <w:effect w:val="none"/>
                </w:rPr>
                <w:t>9</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189ddb00d4e19ac66c674081beae3_40">
              <w:r>
                <w:rPr>
                  <w:rStyle w:val="InternetLink"/>
                  <w:rFonts w:ascii="Arial;sans-serif" w:hAnsi="Arial;sans-serif"/>
                  <w:b w:val="false"/>
                  <w:color w:val="0000FF"/>
                  <w:sz w:val="20"/>
                  <w:u w:val="single"/>
                </w:rPr>
                <w:t>3</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40">
              <w:r>
                <w:rPr>
                  <w:rStyle w:val="InternetLink"/>
                  <w:rFonts w:ascii="Arial;sans-serif" w:hAnsi="Arial;sans-serif"/>
                  <w:b w:val="false"/>
                  <w:color w:val="0000FF"/>
                  <w:sz w:val="20"/>
                  <w:u w:val="single"/>
                </w:rPr>
                <w:t>Earnings per Share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40">
              <w:r>
                <w:rPr>
                  <w:rStyle w:val="InternetLink"/>
                  <w:rFonts w:ascii="Arial;sans-serif" w:hAnsi="Arial;sans-serif"/>
                  <w:b w:val="false"/>
                  <w:strike w:val="false"/>
                  <w:dstrike w:val="false"/>
                  <w:color w:val="000000"/>
                  <w:sz w:val="20"/>
                  <w:u w:val="none"/>
                  <w:effect w:val="none"/>
                </w:rPr>
                <w:t>12</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189ddb00d4e19ac66c674081beae3_43">
              <w:r>
                <w:rPr>
                  <w:rStyle w:val="InternetLink"/>
                  <w:rFonts w:ascii="Arial;sans-serif" w:hAnsi="Arial;sans-serif"/>
                  <w:b w:val="false"/>
                  <w:color w:val="0000FF"/>
                  <w:sz w:val="20"/>
                  <w:u w:val="single"/>
                </w:rPr>
                <w:t>4</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43">
              <w:r>
                <w:rPr>
                  <w:rStyle w:val="InternetLink"/>
                  <w:rFonts w:ascii="Arial;sans-serif" w:hAnsi="Arial;sans-serif"/>
                  <w:b w:val="false"/>
                  <w:color w:val="0000FF"/>
                  <w:sz w:val="20"/>
                  <w:u w:val="single"/>
                </w:rPr>
                <w:t>Aircraft</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43">
              <w:r>
                <w:rPr>
                  <w:rStyle w:val="InternetLink"/>
                  <w:rFonts w:ascii="Arial;sans-serif" w:hAnsi="Arial;sans-serif"/>
                  <w:b w:val="false"/>
                  <w:strike w:val="false"/>
                  <w:dstrike w:val="false"/>
                  <w:color w:val="000000"/>
                  <w:sz w:val="20"/>
                  <w:u w:val="none"/>
                  <w:effect w:val="none"/>
                </w:rPr>
                <w:t>13</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189ddb00d4e19ac66c674081beae3_46">
              <w:r>
                <w:rPr>
                  <w:rStyle w:val="InternetLink"/>
                  <w:rFonts w:ascii="Arial;sans-serif" w:hAnsi="Arial;sans-serif"/>
                  <w:b w:val="false"/>
                  <w:color w:val="0000FF"/>
                  <w:sz w:val="20"/>
                  <w:u w:val="single"/>
                </w:rPr>
                <w:t>5</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46">
              <w:r>
                <w:rPr>
                  <w:rStyle w:val="InternetLink"/>
                  <w:rFonts w:ascii="Arial;sans-serif" w:hAnsi="Arial;sans-serif"/>
                  <w:b w:val="false"/>
                  <w:color w:val="0000FF"/>
                  <w:sz w:val="20"/>
                  <w:u w:val="single"/>
                </w:rPr>
                <w:t>Debt</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46">
              <w:r>
                <w:rPr>
                  <w:rStyle w:val="InternetLink"/>
                  <w:rFonts w:ascii="Arial;sans-serif" w:hAnsi="Arial;sans-serif"/>
                  <w:b w:val="false"/>
                  <w:strike w:val="false"/>
                  <w:dstrike w:val="false"/>
                  <w:color w:val="000000"/>
                  <w:sz w:val="20"/>
                  <w:u w:val="none"/>
                  <w:effect w:val="none"/>
                </w:rPr>
                <w:t>14</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189ddb00d4e19ac66c674081beae3_49">
              <w:r>
                <w:rPr>
                  <w:rStyle w:val="InternetLink"/>
                  <w:rFonts w:ascii="Arial;sans-serif" w:hAnsi="Arial;sans-serif"/>
                  <w:b w:val="false"/>
                  <w:color w:val="0000FF"/>
                  <w:sz w:val="20"/>
                  <w:u w:val="single"/>
                </w:rPr>
                <w:t>6</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49">
              <w:r>
                <w:rPr>
                  <w:rStyle w:val="InternetLink"/>
                  <w:rFonts w:ascii="Arial;sans-serif" w:hAnsi="Arial;sans-serif"/>
                  <w:b w:val="false"/>
                  <w:color w:val="0000FF"/>
                  <w:sz w:val="20"/>
                  <w:u w:val="single"/>
                </w:rPr>
                <w:t>Investments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49">
              <w:r>
                <w:rPr>
                  <w:rStyle w:val="InternetLink"/>
                  <w:rFonts w:ascii="Arial;sans-serif" w:hAnsi="Arial;sans-serif"/>
                  <w:b w:val="false"/>
                  <w:strike w:val="false"/>
                  <w:dstrike w:val="false"/>
                  <w:color w:val="000000"/>
                  <w:sz w:val="20"/>
                  <w:u w:val="none"/>
                  <w:effect w:val="none"/>
                </w:rPr>
                <w:t>17</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189ddb00d4e19ac66c674081beae3_52">
              <w:r>
                <w:rPr>
                  <w:rStyle w:val="InternetLink"/>
                  <w:rFonts w:ascii="Arial;sans-serif" w:hAnsi="Arial;sans-serif"/>
                  <w:b w:val="false"/>
                  <w:color w:val="0000FF"/>
                  <w:sz w:val="20"/>
                  <w:u w:val="single"/>
                </w:rPr>
                <w:t>7</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52">
              <w:r>
                <w:rPr>
                  <w:rStyle w:val="InternetLink"/>
                  <w:rFonts w:ascii="Arial;sans-serif" w:hAnsi="Arial;sans-serif"/>
                  <w:b w:val="false"/>
                  <w:color w:val="0000FF"/>
                  <w:sz w:val="20"/>
                  <w:u w:val="single"/>
                </w:rPr>
                <w:t>Fair Value Measurements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52">
              <w:r>
                <w:rPr>
                  <w:rStyle w:val="InternetLink"/>
                  <w:rFonts w:ascii="Arial;sans-serif" w:hAnsi="Arial;sans-serif"/>
                  <w:b w:val="false"/>
                  <w:strike w:val="false"/>
                  <w:dstrike w:val="false"/>
                  <w:color w:val="000000"/>
                  <w:sz w:val="20"/>
                  <w:u w:val="none"/>
                  <w:effect w:val="none"/>
                </w:rPr>
                <w:t>17</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189ddb00d4e19ac66c674081beae3_55">
              <w:r>
                <w:rPr>
                  <w:rStyle w:val="InternetLink"/>
                  <w:rFonts w:ascii="Arial;sans-serif" w:hAnsi="Arial;sans-serif"/>
                  <w:b w:val="false"/>
                  <w:color w:val="0000FF"/>
                  <w:sz w:val="20"/>
                  <w:u w:val="single"/>
                </w:rPr>
                <w:t>8</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55">
              <w:r>
                <w:rPr>
                  <w:rStyle w:val="InternetLink"/>
                  <w:rFonts w:ascii="Arial;sans-serif" w:hAnsi="Arial;sans-serif"/>
                  <w:b w:val="false"/>
                  <w:color w:val="0000FF"/>
                  <w:sz w:val="20"/>
                  <w:u w:val="single"/>
                </w:rPr>
                <w:t>Income Taxes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55">
              <w:r>
                <w:rPr>
                  <w:rStyle w:val="InternetLink"/>
                  <w:rFonts w:ascii="Arial;sans-serif" w:hAnsi="Arial;sans-serif"/>
                  <w:b w:val="false"/>
                  <w:strike w:val="false"/>
                  <w:dstrike w:val="false"/>
                  <w:color w:val="000000"/>
                  <w:sz w:val="20"/>
                  <w:u w:val="none"/>
                  <w:effect w:val="none"/>
                </w:rPr>
                <w:t>18</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189ddb00d4e19ac66c674081beae3_58">
              <w:r>
                <w:rPr>
                  <w:rStyle w:val="InternetLink"/>
                  <w:rFonts w:ascii="Arial;sans-serif" w:hAnsi="Arial;sans-serif"/>
                  <w:b w:val="false"/>
                  <w:color w:val="0000FF"/>
                  <w:sz w:val="20"/>
                  <w:u w:val="single"/>
                </w:rPr>
                <w:t>9</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58">
              <w:r>
                <w:rPr>
                  <w:rStyle w:val="InternetLink"/>
                  <w:rFonts w:ascii="Arial;sans-serif" w:hAnsi="Arial;sans-serif"/>
                  <w:b w:val="false"/>
                  <w:color w:val="0000FF"/>
                  <w:sz w:val="20"/>
                  <w:u w:val="single"/>
                </w:rPr>
                <w:t>Stockholders' Equity</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58">
              <w:r>
                <w:rPr>
                  <w:rStyle w:val="InternetLink"/>
                  <w:rFonts w:ascii="Arial;sans-serif" w:hAnsi="Arial;sans-serif"/>
                  <w:b w:val="false"/>
                  <w:strike w:val="false"/>
                  <w:dstrike w:val="false"/>
                  <w:color w:val="000000"/>
                  <w:sz w:val="20"/>
                  <w:u w:val="none"/>
                  <w:effect w:val="none"/>
                </w:rPr>
                <w:t>18</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189ddb00d4e19ac66c674081beae3_61">
              <w:r>
                <w:rPr>
                  <w:rStyle w:val="InternetLink"/>
                  <w:rFonts w:ascii="Arial;sans-serif" w:hAnsi="Arial;sans-serif"/>
                  <w:b w:val="false"/>
                  <w:color w:val="0000FF"/>
                  <w:sz w:val="20"/>
                  <w:u w:val="single"/>
                </w:rPr>
                <w:t>10</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61">
              <w:r>
                <w:rPr>
                  <w:rStyle w:val="InternetLink"/>
                  <w:rFonts w:ascii="Arial;sans-serif" w:hAnsi="Arial;sans-serif"/>
                  <w:b w:val="false"/>
                  <w:color w:val="0000FF"/>
                  <w:sz w:val="20"/>
                  <w:u w:val="single"/>
                </w:rPr>
                <w:t>Commitments and Contingencies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61">
              <w:r>
                <w:rPr>
                  <w:rStyle w:val="InternetLink"/>
                  <w:rFonts w:ascii="Arial;sans-serif" w:hAnsi="Arial;sans-serif"/>
                  <w:b w:val="false"/>
                  <w:strike w:val="false"/>
                  <w:dstrike w:val="false"/>
                  <w:color w:val="000000"/>
                  <w:sz w:val="20"/>
                  <w:u w:val="none"/>
                  <w:effect w:val="none"/>
                </w:rPr>
                <w:t>19</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189ddb00d4e19ac66c674081beae3_64">
              <w:r>
                <w:rPr>
                  <w:rStyle w:val="InternetLink"/>
                  <w:rFonts w:ascii="Arial;sans-serif" w:hAnsi="Arial;sans-serif"/>
                  <w:b w:val="false"/>
                  <w:color w:val="0000FF"/>
                  <w:sz w:val="20"/>
                  <w:u w:val="single"/>
                </w:rPr>
                <w:t>11</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64">
              <w:r>
                <w:rPr>
                  <w:rStyle w:val="InternetLink"/>
                  <w:rFonts w:ascii="Arial;sans-serif" w:hAnsi="Arial;sans-serif"/>
                  <w:b w:val="false"/>
                  <w:color w:val="0000FF"/>
                  <w:sz w:val="20"/>
                  <w:u w:val="single"/>
                </w:rPr>
                <w:t>Operating Segments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64">
              <w:r>
                <w:rPr>
                  <w:rStyle w:val="InternetLink"/>
                  <w:rFonts w:ascii="Arial;sans-serif" w:hAnsi="Arial;sans-serif"/>
                  <w:b w:val="false"/>
                  <w:strike w:val="false"/>
                  <w:dstrike w:val="false"/>
                  <w:color w:val="000000"/>
                  <w:sz w:val="20"/>
                  <w:u w:val="none"/>
                  <w:effect w:val="none"/>
                </w:rPr>
                <w:t>20</w:t>
              </w:r>
            </w:hyperlink>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189ddb00d4e19ac66c674081beae3_67">
              <w:r>
                <w:rPr>
                  <w:rStyle w:val="InternetLink"/>
                  <w:rFonts w:ascii="Arial;sans-serif" w:hAnsi="Arial;sans-serif"/>
                  <w:b w:val="false"/>
                  <w:color w:val="0000FF"/>
                  <w:sz w:val="20"/>
                  <w:u w:val="single"/>
                </w:rPr>
                <w:t>12</w:t>
              </w:r>
            </w:hyperlink>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67">
              <w:r>
                <w:rPr>
                  <w:rStyle w:val="InternetLink"/>
                  <w:rFonts w:ascii="Arial;sans-serif" w:hAnsi="Arial;sans-serif"/>
                  <w:b w:val="false"/>
                  <w:color w:val="0000FF"/>
                  <w:sz w:val="20"/>
                  <w:u w:val="single"/>
                </w:rPr>
                <w:t>Subsequent Events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67">
              <w:r>
                <w:rPr>
                  <w:rStyle w:val="InternetLink"/>
                  <w:rFonts w:ascii="Arial;sans-serif" w:hAnsi="Arial;sans-serif"/>
                  <w:b w:val="false"/>
                  <w:strike w:val="false"/>
                  <w:dstrike w:val="false"/>
                  <w:color w:val="000000"/>
                  <w:sz w:val="20"/>
                  <w:u w:val="none"/>
                  <w:effect w:val="none"/>
                </w:rPr>
                <w:t>20</w:t>
              </w:r>
            </w:hyperlink>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70">
              <w:r>
                <w:rPr>
                  <w:rStyle w:val="InternetLink"/>
                  <w:rFonts w:ascii="Arial;sans-serif" w:hAnsi="Arial;sans-serif"/>
                  <w:b w:val="false"/>
                  <w:color w:val="0000FF"/>
                  <w:sz w:val="20"/>
                  <w:u w:val="single"/>
                </w:rPr>
                <w:t>Item 2. Management’s Discussion and Analysis of Financial Condition and Results of Operations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70">
              <w:r>
                <w:rPr>
                  <w:rStyle w:val="InternetLink"/>
                  <w:rFonts w:ascii="Arial;sans-serif" w:hAnsi="Arial;sans-serif"/>
                  <w:b w:val="false"/>
                  <w:strike w:val="false"/>
                  <w:dstrike w:val="false"/>
                  <w:color w:val="000000"/>
                  <w:sz w:val="20"/>
                  <w:u w:val="none"/>
                  <w:effect w:val="none"/>
                </w:rPr>
                <w:t>21</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109">
              <w:r>
                <w:rPr>
                  <w:rStyle w:val="InternetLink"/>
                  <w:rFonts w:ascii="Arial;sans-serif" w:hAnsi="Arial;sans-serif"/>
                  <w:b w:val="false"/>
                  <w:color w:val="0000FF"/>
                  <w:sz w:val="20"/>
                  <w:u w:val="single"/>
                </w:rPr>
                <w:t>Item 3. Quantitative and Qualitative Disclosures About Market Risk</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109">
              <w:r>
                <w:rPr>
                  <w:rStyle w:val="InternetLink"/>
                  <w:rFonts w:ascii="Arial;sans-serif" w:hAnsi="Arial;sans-serif"/>
                  <w:b w:val="false"/>
                  <w:strike w:val="false"/>
                  <w:dstrike w:val="false"/>
                  <w:color w:val="000000"/>
                  <w:sz w:val="20"/>
                  <w:u w:val="none"/>
                  <w:effect w:val="none"/>
                </w:rPr>
                <w:t>43</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112">
              <w:r>
                <w:rPr>
                  <w:rStyle w:val="InternetLink"/>
                  <w:rFonts w:ascii="Arial;sans-serif" w:hAnsi="Arial;sans-serif"/>
                  <w:b w:val="false"/>
                  <w:color w:val="0000FF"/>
                  <w:sz w:val="20"/>
                  <w:u w:val="single"/>
                </w:rPr>
                <w:t>Item 4. Controls and Procedures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112">
              <w:r>
                <w:rPr>
                  <w:rStyle w:val="InternetLink"/>
                  <w:rFonts w:ascii="Arial;sans-serif" w:hAnsi="Arial;sans-serif"/>
                  <w:b w:val="false"/>
                  <w:strike w:val="false"/>
                  <w:dstrike w:val="false"/>
                  <w:color w:val="000000"/>
                  <w:sz w:val="20"/>
                  <w:u w:val="none"/>
                  <w:effect w:val="none"/>
                </w:rPr>
                <w:t>43</w:t>
              </w:r>
            </w:hyperlink>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115">
              <w:r>
                <w:rPr>
                  <w:rStyle w:val="InternetLink"/>
                  <w:rFonts w:ascii="Arial;sans-serif" w:hAnsi="Arial;sans-serif"/>
                  <w:b/>
                  <w:color w:val="0000FF"/>
                  <w:sz w:val="20"/>
                  <w:u w:val="single"/>
                </w:rPr>
                <w:t>Part II. Other Information</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118">
              <w:r>
                <w:rPr>
                  <w:rStyle w:val="InternetLink"/>
                  <w:rFonts w:ascii="Arial;sans-serif" w:hAnsi="Arial;sans-serif"/>
                  <w:b w:val="false"/>
                  <w:color w:val="0000FF"/>
                  <w:sz w:val="20"/>
                  <w:u w:val="single"/>
                </w:rPr>
                <w:t>Item 1. Legal Proceedings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118">
              <w:r>
                <w:rPr>
                  <w:rStyle w:val="InternetLink"/>
                  <w:rFonts w:ascii="Arial;sans-serif" w:hAnsi="Arial;sans-serif"/>
                  <w:b w:val="false"/>
                  <w:strike w:val="false"/>
                  <w:dstrike w:val="false"/>
                  <w:color w:val="000000"/>
                  <w:sz w:val="20"/>
                  <w:u w:val="none"/>
                  <w:effect w:val="none"/>
                </w:rPr>
                <w:t>44</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121">
              <w:r>
                <w:rPr>
                  <w:rStyle w:val="InternetLink"/>
                  <w:rFonts w:ascii="Arial;sans-serif" w:hAnsi="Arial;sans-serif"/>
                  <w:b w:val="false"/>
                  <w:color w:val="0000FF"/>
                  <w:sz w:val="20"/>
                  <w:u w:val="single"/>
                </w:rPr>
                <w:t>Item 1A. Risk Factors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121">
              <w:r>
                <w:rPr>
                  <w:rStyle w:val="InternetLink"/>
                  <w:rFonts w:ascii="Arial;sans-serif" w:hAnsi="Arial;sans-serif"/>
                  <w:b w:val="false"/>
                  <w:strike w:val="false"/>
                  <w:dstrike w:val="false"/>
                  <w:color w:val="000000"/>
                  <w:sz w:val="20"/>
                  <w:u w:val="none"/>
                  <w:effect w:val="none"/>
                </w:rPr>
                <w:t>44</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124">
              <w:r>
                <w:rPr>
                  <w:rStyle w:val="InternetLink"/>
                  <w:rFonts w:ascii="Arial;sans-serif" w:hAnsi="Arial;sans-serif"/>
                  <w:b w:val="false"/>
                  <w:color w:val="0000FF"/>
                  <w:sz w:val="20"/>
                  <w:u w:val="single"/>
                </w:rPr>
                <w:t>Item 2. Unregistered Sales of Equity Securities and Use of Proceeds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124">
              <w:r>
                <w:rPr>
                  <w:rStyle w:val="InternetLink"/>
                  <w:rFonts w:ascii="Arial;sans-serif" w:hAnsi="Arial;sans-serif"/>
                  <w:b w:val="false"/>
                  <w:strike w:val="false"/>
                  <w:dstrike w:val="false"/>
                  <w:color w:val="000000"/>
                  <w:sz w:val="20"/>
                  <w:u w:val="none"/>
                  <w:effect w:val="none"/>
                </w:rPr>
                <w:t>44</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127">
              <w:r>
                <w:rPr>
                  <w:rStyle w:val="InternetLink"/>
                  <w:rFonts w:ascii="Arial;sans-serif" w:hAnsi="Arial;sans-serif"/>
                  <w:b w:val="false"/>
                  <w:color w:val="0000FF"/>
                  <w:sz w:val="20"/>
                  <w:u w:val="single"/>
                </w:rPr>
                <w:t>Item 3. Defaults Upon Senior Securities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127">
              <w:r>
                <w:rPr>
                  <w:rStyle w:val="InternetLink"/>
                  <w:rFonts w:ascii="Arial;sans-serif" w:hAnsi="Arial;sans-serif"/>
                  <w:b w:val="false"/>
                  <w:strike w:val="false"/>
                  <w:dstrike w:val="false"/>
                  <w:color w:val="000000"/>
                  <w:sz w:val="20"/>
                  <w:u w:val="none"/>
                  <w:effect w:val="none"/>
                </w:rPr>
                <w:t>44</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130">
              <w:r>
                <w:rPr>
                  <w:rStyle w:val="InternetLink"/>
                  <w:rFonts w:ascii="Arial;sans-serif" w:hAnsi="Arial;sans-serif"/>
                  <w:b w:val="false"/>
                  <w:color w:val="0000FF"/>
                  <w:sz w:val="20"/>
                  <w:u w:val="single"/>
                </w:rPr>
                <w:t>Item 4. Mine Safety Disclosures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130">
              <w:r>
                <w:rPr>
                  <w:rStyle w:val="InternetLink"/>
                  <w:rFonts w:ascii="Arial;sans-serif" w:hAnsi="Arial;sans-serif"/>
                  <w:b w:val="false"/>
                  <w:strike w:val="false"/>
                  <w:dstrike w:val="false"/>
                  <w:color w:val="000000"/>
                  <w:sz w:val="20"/>
                  <w:u w:val="none"/>
                  <w:effect w:val="none"/>
                </w:rPr>
                <w:t>44</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133">
              <w:r>
                <w:rPr>
                  <w:rStyle w:val="InternetLink"/>
                  <w:rFonts w:ascii="Arial;sans-serif" w:hAnsi="Arial;sans-serif"/>
                  <w:b w:val="false"/>
                  <w:color w:val="0000FF"/>
                  <w:sz w:val="20"/>
                  <w:u w:val="single"/>
                </w:rPr>
                <w:t>Item 5. Other Information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133">
              <w:r>
                <w:rPr>
                  <w:rStyle w:val="InternetLink"/>
                  <w:rFonts w:ascii="Arial;sans-serif" w:hAnsi="Arial;sans-serif"/>
                  <w:b w:val="false"/>
                  <w:strike w:val="false"/>
                  <w:dstrike w:val="false"/>
                  <w:color w:val="000000"/>
                  <w:sz w:val="20"/>
                  <w:u w:val="none"/>
                  <w:effect w:val="none"/>
                </w:rPr>
                <w:t>44</w:t>
              </w:r>
            </w:hyperlink>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139">
              <w:r>
                <w:rPr>
                  <w:rStyle w:val="InternetLink"/>
                  <w:rFonts w:ascii="Arial;sans-serif" w:hAnsi="Arial;sans-serif"/>
                  <w:b w:val="false"/>
                  <w:color w:val="0000FF"/>
                  <w:sz w:val="20"/>
                  <w:u w:val="single"/>
                </w:rPr>
                <w:t>Item 6. Exhibits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139">
              <w:r>
                <w:rPr>
                  <w:rStyle w:val="InternetLink"/>
                  <w:rFonts w:ascii="Arial;sans-serif" w:hAnsi="Arial;sans-serif"/>
                  <w:b w:val="false"/>
                  <w:strike w:val="false"/>
                  <w:dstrike w:val="false"/>
                  <w:color w:val="000000"/>
                  <w:sz w:val="20"/>
                  <w:u w:val="none"/>
                  <w:effect w:val="none"/>
                </w:rPr>
                <w:t>46</w:t>
              </w:r>
            </w:hyperlink>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c189ddb00d4e19ac66c674081beae3_142">
              <w:r>
                <w:rPr>
                  <w:rStyle w:val="InternetLink"/>
                  <w:rFonts w:ascii="Arial;sans-serif" w:hAnsi="Arial;sans-serif"/>
                  <w:b w:val="false"/>
                  <w:color w:val="0000FF"/>
                  <w:sz w:val="20"/>
                  <w:u w:val="single"/>
                </w:rPr>
                <w:t>Signatures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189ddb00d4e19ac66c674081beae3_142">
              <w:r>
                <w:rPr>
                  <w:rStyle w:val="InternetLink"/>
                  <w:rFonts w:ascii="Arial;sans-serif" w:hAnsi="Arial;sans-serif"/>
                  <w:b w:val="false"/>
                  <w:strike w:val="false"/>
                  <w:dstrike w:val="false"/>
                  <w:color w:val="000000"/>
                  <w:sz w:val="20"/>
                  <w:u w:val="none"/>
                  <w:effect w:val="non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432" w:after="283"/>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472"/>
        <w:gridCol w:w="2116"/>
        <w:gridCol w:w="2123"/>
        <w:gridCol w:w="257"/>
        <w:gridCol w:w="1190"/>
        <w:gridCol w:w="132"/>
        <w:gridCol w:w="109"/>
        <w:gridCol w:w="109"/>
        <w:gridCol w:w="109"/>
        <w:gridCol w:w="236"/>
        <w:gridCol w:w="1099"/>
        <w:gridCol w:w="253"/>
      </w:tblGrid>
      <w:tr>
        <w:trPr/>
        <w:tc>
          <w:tcPr>
            <w:tcW w:w="2472"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6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6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46,279 </w:t>
            </w:r>
          </w:p>
        </w:tc>
        <w:tc>
          <w:tcPr>
            <w:tcW w:w="25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17,401 </w:t>
            </w:r>
          </w:p>
        </w:tc>
        <w:tc>
          <w:tcPr>
            <w:tcW w:w="253"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141,127 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8"/>
              </w:rPr>
              <w:t>Accounts Receivable, net of an allowance for credit losses of $103 and $17, respectively</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38,166 </w:t>
            </w:r>
          </w:p>
        </w:tc>
        <w:tc>
          <w:tcPr>
            <w:tcW w:w="253"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Lessor Maintenance Deposits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8"/>
              </w:rPr>
              <w:t>Inventory, net of a reserve for obsolescence of $731 and $977, respectively</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7,793 </w:t>
            </w:r>
          </w:p>
        </w:tc>
        <w:tc>
          <w:tcPr>
            <w:tcW w:w="253"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15,823 </w:t>
            </w:r>
          </w:p>
        </w:tc>
        <w:tc>
          <w:tcPr>
            <w:tcW w:w="25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Current Assets</w:t>
            </w:r>
          </w:p>
        </w:tc>
        <w:tc>
          <w:tcPr>
            <w:tcW w:w="1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226,024 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271,351 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Property &amp; Equipment, net:</w:t>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Aircraft and Flight Equipment</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721,269 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685,559 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Aircraft and Flight Equipment Held for Operating Lease</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154,185 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Ground Equipment and Leasehold Improvements </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39,847 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Computer Hardware and Software</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17,875 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Assets</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338,875 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304,384 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Rotable Parts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19,848 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&amp; Equipment</w:t>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1,307,407 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1,221,698 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Depreciation &amp; Amortization</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(314,309)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(252,717)</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&amp; Equipment, net</w:t>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993,098 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968,981 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Assets:</w:t>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222,223 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Other Intangible Assets, net of accumulated amortization of $28,487 and $24,190, respectively</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83,551 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Aircraft Deposits</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9,564 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Lessor Maintenance Deposits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44,675 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1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390,740 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383,295 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1,609,862 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1,623,627 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432" w:after="283"/>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547"/>
        <w:gridCol w:w="2237"/>
        <w:gridCol w:w="2245"/>
        <w:gridCol w:w="229"/>
        <w:gridCol w:w="1063"/>
        <w:gridCol w:w="118"/>
        <w:gridCol w:w="109"/>
        <w:gridCol w:w="109"/>
        <w:gridCol w:w="109"/>
        <w:gridCol w:w="226"/>
        <w:gridCol w:w="1045"/>
        <w:gridCol w:w="168"/>
      </w:tblGrid>
      <w:tr>
        <w:trPr/>
        <w:tc>
          <w:tcPr>
            <w:tcW w:w="2547"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59,011 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Salaries, Wages, and Benefits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Transportation Taxes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 Traffic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131,538 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157,996 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Obligations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Loyalty Program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Obligations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Maturities of Long-term Debt,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74,177 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Receivable Agreement Liability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380,824 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418,582 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Long-term Liabilities: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Obligations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256,252 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232,546 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Loyalty Program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Obligations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275,864 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327,468 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Receivable Agreement Liability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676,492 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690,642 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1,057,316 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1,109,224 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Commitments and Contingencies (see </w:t>
            </w:r>
            <w:hyperlink w:anchor="i54c189ddb00d4e19ac66c674081beae3_61">
              <w:r>
                <w:rPr>
                  <w:rStyle w:val="InternetLink"/>
                  <w:rFonts w:ascii="Arial;sans-serif" w:hAnsi="Arial;sans-serif"/>
                  <w:b/>
                  <w:color w:val="0000FF"/>
                  <w:sz w:val="18"/>
                  <w:u w:val="single"/>
                </w:rPr>
                <w:t>Note 10</w:t>
              </w:r>
            </w:hyperlink>
            <w:r>
              <w:rPr>
                <w:rFonts w:ascii="Arial;sans-serif" w:hAnsi="Arial;sans-serif"/>
                <w:b/>
                <w:color w:val="000000"/>
                <w:sz w:val="18"/>
              </w:rPr>
              <w:t>)</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Stockholders' Equity:</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Arial;sans-serif" w:hAnsi="Arial;sans-serif"/>
                <w:b w:val="false"/>
                <w:color w:val="000000"/>
                <w:sz w:val="18"/>
              </w:rPr>
            </w:pPr>
            <w:r>
              <w:rPr>
                <w:rFonts w:ascii="Arial;sans-serif" w:hAnsi="Arial;sans-serif"/>
                <w:b w:val="false"/>
                <w:color w:val="000000"/>
                <w:sz w:val="18"/>
              </w:rPr>
              <w:t>Common stock, with $0.01 par value, 995,000,000 shares authorized, 59,282,838 and 58,878,723 issued and 52,939,832 and 53,291,001 outstanding at September 30, 2024 and December 31, 2023,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Arial;sans-serif" w:hAnsi="Arial;sans-serif"/>
                <w:b w:val="false"/>
                <w:color w:val="000000"/>
                <w:sz w:val="18"/>
              </w:rPr>
            </w:pPr>
            <w:r>
              <w:rPr>
                <w:rFonts w:ascii="Arial;sans-serif" w:hAnsi="Arial;sans-serif"/>
                <w:b w:val="false"/>
                <w:color w:val="000000"/>
                <w:sz w:val="18"/>
              </w:rPr>
              <w:t>Preferred stock, with $0.01 par value, 5,000,000 shares authorized, no shares issued and outstanding at September 30, 2024 and December 31, 2023,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Treasury stock, at cost, 6,343,006 and 5,587,722 shares held at September 30, 2024 and December 31, 2023,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(105,899)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(94,341)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524,138 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513,988 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Retained Earnings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133,696 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552,546 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514,403 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1,609,862 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1,623,627 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432" w:after="283"/>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352" w:type="dxa"/>
        <w:jc w:val="left"/>
        <w:tblInd w:w="0" w:type="dxa"/>
        <w:tblLayout w:type="fixed"/>
        <w:tblCellMar>
          <w:top w:w="28" w:type="dxa"/>
          <w:left w:w="28" w:type="dxa"/>
          <w:bottom w:w="28" w:type="dxa"/>
          <w:right w:w="28" w:type="dxa"/>
        </w:tblCellMar>
      </w:tblPr>
      <w:tblGrid>
        <w:gridCol w:w="1168"/>
        <w:gridCol w:w="1026"/>
        <w:gridCol w:w="1030"/>
        <w:gridCol w:w="230"/>
        <w:gridCol w:w="934"/>
        <w:gridCol w:w="119"/>
        <w:gridCol w:w="119"/>
        <w:gridCol w:w="119"/>
        <w:gridCol w:w="119"/>
        <w:gridCol w:w="230"/>
        <w:gridCol w:w="934"/>
        <w:gridCol w:w="119"/>
        <w:gridCol w:w="109"/>
        <w:gridCol w:w="109"/>
        <w:gridCol w:w="109"/>
        <w:gridCol w:w="223"/>
        <w:gridCol w:w="905"/>
        <w:gridCol w:w="115"/>
        <w:gridCol w:w="115"/>
        <w:gridCol w:w="115"/>
        <w:gridCol w:w="115"/>
        <w:gridCol w:w="223"/>
        <w:gridCol w:w="905"/>
        <w:gridCol w:w="162"/>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Revenues:</w:t>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207,764 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214,355 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698,823 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709,490 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249,470 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248,876 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815,334 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804,077 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187,229 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185,829 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242,516 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Ground Handling</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Landing Fees and Airport Rent</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net</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237,088 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229,870 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735,411 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693,702 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Operating Income</w:t>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12,382 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79,923 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110,375 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Income (Expense):</w:t>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(33,238)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(31,272)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(27,276)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(23,876)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Income Before Income Tax</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Income Tax Expense</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13,180 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Income</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39,467 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66,536 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share to common stockholders: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0.72 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for computation:</w:t>
            </w:r>
          </w:p>
        </w:tc>
        <w:tc>
          <w:tcPr>
            <w:tcW w:w="12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52,876,339 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55,435,386 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52,866,797 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56,051,173 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54,780,672 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58,595,646 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54,990,437 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59,281,819 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432" w:after="283"/>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STATEMENTS OF COMPREHENSIVE INCOME</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52"/>
        <w:gridCol w:w="1495"/>
        <w:gridCol w:w="1504"/>
        <w:gridCol w:w="232"/>
        <w:gridCol w:w="711"/>
        <w:gridCol w:w="120"/>
        <w:gridCol w:w="120"/>
        <w:gridCol w:w="120"/>
        <w:gridCol w:w="120"/>
        <w:gridCol w:w="232"/>
        <w:gridCol w:w="711"/>
        <w:gridCol w:w="120"/>
        <w:gridCol w:w="109"/>
        <w:gridCol w:w="109"/>
        <w:gridCol w:w="109"/>
        <w:gridCol w:w="221"/>
        <w:gridCol w:w="788"/>
        <w:gridCol w:w="114"/>
        <w:gridCol w:w="114"/>
        <w:gridCol w:w="114"/>
        <w:gridCol w:w="114"/>
        <w:gridCol w:w="221"/>
        <w:gridCol w:w="788"/>
        <w:gridCol w:w="167"/>
      </w:tblGrid>
      <w:tr>
        <w:trPr/>
        <w:tc>
          <w:tcPr>
            <w:tcW w:w="1752"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66,536 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w:t>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Net unrealized gains on Available-for-Sale securities, net of deferred tax expense of $77, $46, $24, and $90, respectively </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Comprehensive Income </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39,547 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66,837 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432" w:after="283"/>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432"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STATEMENTS OF CHANGES IN STOCKHOLDERS’ EQUITY</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639" w:type="dxa"/>
        <w:jc w:val="left"/>
        <w:tblInd w:w="0" w:type="dxa"/>
        <w:tblLayout w:type="fixed"/>
        <w:tblCellMar>
          <w:top w:w="28" w:type="dxa"/>
          <w:left w:w="28" w:type="dxa"/>
          <w:bottom w:w="28" w:type="dxa"/>
          <w:right w:w="28" w:type="dxa"/>
        </w:tblCellMar>
      </w:tblPr>
      <w:tblGrid>
        <w:gridCol w:w="493"/>
        <w:gridCol w:w="196"/>
        <w:gridCol w:w="197"/>
        <w:gridCol w:w="308"/>
        <w:gridCol w:w="308"/>
        <w:gridCol w:w="191"/>
        <w:gridCol w:w="109"/>
        <w:gridCol w:w="109"/>
        <w:gridCol w:w="109"/>
        <w:gridCol w:w="338"/>
        <w:gridCol w:w="338"/>
        <w:gridCol w:w="156"/>
        <w:gridCol w:w="109"/>
        <w:gridCol w:w="109"/>
        <w:gridCol w:w="109"/>
        <w:gridCol w:w="166"/>
        <w:gridCol w:w="316"/>
        <w:gridCol w:w="109"/>
        <w:gridCol w:w="109"/>
        <w:gridCol w:w="109"/>
        <w:gridCol w:w="109"/>
        <w:gridCol w:w="308"/>
        <w:gridCol w:w="308"/>
        <w:gridCol w:w="156"/>
        <w:gridCol w:w="109"/>
        <w:gridCol w:w="109"/>
        <w:gridCol w:w="109"/>
        <w:gridCol w:w="166"/>
        <w:gridCol w:w="526"/>
        <w:gridCol w:w="109"/>
        <w:gridCol w:w="109"/>
        <w:gridCol w:w="109"/>
        <w:gridCol w:w="109"/>
        <w:gridCol w:w="166"/>
        <w:gridCol w:w="526"/>
        <w:gridCol w:w="109"/>
        <w:gridCol w:w="109"/>
        <w:gridCol w:w="109"/>
        <w:gridCol w:w="109"/>
        <w:gridCol w:w="166"/>
        <w:gridCol w:w="526"/>
        <w:gridCol w:w="109"/>
        <w:gridCol w:w="109"/>
        <w:gridCol w:w="109"/>
        <w:gridCol w:w="109"/>
        <w:gridCol w:w="248"/>
        <w:gridCol w:w="473"/>
        <w:gridCol w:w="165"/>
        <w:gridCol w:w="109"/>
        <w:gridCol w:w="109"/>
        <w:gridCol w:w="109"/>
        <w:gridCol w:w="166"/>
        <w:gridCol w:w="526"/>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3" w:type="dxa"/>
            <w:gridSpan w:val="51"/>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0"/>
              </w:rPr>
            </w:pPr>
            <w:r>
              <w:rPr>
                <w:rFonts w:ascii="Arial;sans-serif" w:hAnsi="Arial;sans-serif"/>
                <w:b/>
                <w:color w:val="000000"/>
                <w:sz w:val="10"/>
              </w:rPr>
              <w:t>Nine Months Ended September 30, 2024</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Accumulated Other Comprehensive (Loss)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Total</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December 31, 2023</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3,224,093 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58,878,723 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5,587,722 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(94,341)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513,988 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94,229 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(62)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514,403 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Stock Issued for Stock-Based Awards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75,606 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Common Stock Repurchases and Excise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755,284 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(11,596)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(11,596)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35,313 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35,313 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Amazon Warrants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189,652 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Stock-based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1,514 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Other Comprehensive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(139)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March 31, 2024</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3,413,745 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58,954,329 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6,343,006 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(105,937)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517,012 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129,542 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(201)</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541,006 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Stock Issued for Stock-Based Awards</w:t>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195,760 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587 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589 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Common Stock Repurchases, Excise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Amazon 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252,869 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Stock-based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Other Comprehensive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June 30, 2024</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3,666,614 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59,150,089 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6,343,006 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(105,914)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521,036 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131,354 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(217)</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546,851 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Stock Issued for Stock-Based Awards</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132,749 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213 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Common Stock Repurchases, Excise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Amazon Warrants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189,652 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Stock-based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Other Comprehensive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235 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September 30, 2024</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3,856,266 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59,282,838 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6,343,006 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(105,899)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524,138 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133,696 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18 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552,546 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519" w:type="dxa"/>
        <w:jc w:val="left"/>
        <w:tblInd w:w="0" w:type="dxa"/>
        <w:tblLayout w:type="fixed"/>
        <w:tblCellMar>
          <w:top w:w="28" w:type="dxa"/>
          <w:left w:w="28" w:type="dxa"/>
          <w:bottom w:w="28" w:type="dxa"/>
          <w:right w:w="28" w:type="dxa"/>
        </w:tblCellMar>
      </w:tblPr>
      <w:tblGrid>
        <w:gridCol w:w="493"/>
        <w:gridCol w:w="196"/>
        <w:gridCol w:w="197"/>
        <w:gridCol w:w="308"/>
        <w:gridCol w:w="308"/>
        <w:gridCol w:w="191"/>
        <w:gridCol w:w="109"/>
        <w:gridCol w:w="109"/>
        <w:gridCol w:w="109"/>
        <w:gridCol w:w="338"/>
        <w:gridCol w:w="338"/>
        <w:gridCol w:w="156"/>
        <w:gridCol w:w="109"/>
        <w:gridCol w:w="109"/>
        <w:gridCol w:w="109"/>
        <w:gridCol w:w="166"/>
        <w:gridCol w:w="316"/>
        <w:gridCol w:w="109"/>
        <w:gridCol w:w="109"/>
        <w:gridCol w:w="109"/>
        <w:gridCol w:w="109"/>
        <w:gridCol w:w="308"/>
        <w:gridCol w:w="308"/>
        <w:gridCol w:w="156"/>
        <w:gridCol w:w="109"/>
        <w:gridCol w:w="109"/>
        <w:gridCol w:w="109"/>
        <w:gridCol w:w="166"/>
        <w:gridCol w:w="466"/>
        <w:gridCol w:w="109"/>
        <w:gridCol w:w="109"/>
        <w:gridCol w:w="109"/>
        <w:gridCol w:w="109"/>
        <w:gridCol w:w="166"/>
        <w:gridCol w:w="526"/>
        <w:gridCol w:w="109"/>
        <w:gridCol w:w="109"/>
        <w:gridCol w:w="109"/>
        <w:gridCol w:w="109"/>
        <w:gridCol w:w="166"/>
        <w:gridCol w:w="466"/>
        <w:gridCol w:w="109"/>
        <w:gridCol w:w="109"/>
        <w:gridCol w:w="109"/>
        <w:gridCol w:w="109"/>
        <w:gridCol w:w="248"/>
        <w:gridCol w:w="473"/>
        <w:gridCol w:w="165"/>
        <w:gridCol w:w="109"/>
        <w:gridCol w:w="109"/>
        <w:gridCol w:w="109"/>
        <w:gridCol w:w="166"/>
        <w:gridCol w:w="526"/>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51"/>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0"/>
              </w:rPr>
            </w:pPr>
            <w:r>
              <w:rPr>
                <w:rFonts w:ascii="Arial;sans-serif" w:hAnsi="Arial;sans-serif"/>
                <w:b/>
                <w:color w:val="000000"/>
                <w:sz w:val="10"/>
              </w:rPr>
              <w:t>Nine Months Ended September 30, 2023</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 xml:space="preserve">Common 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Retained</w:t>
              <w:br/>
              <w:t xml:space="preserve">Earnings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Accumulated Other Comprehensive (Loss)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Total</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0"/>
              </w:rPr>
            </w:pPr>
            <w:r>
              <w:rPr>
                <w:rFonts w:ascii="Arial;sans-serif" w:hAnsi="Arial;sans-serif"/>
                <w:b/>
                <w:color w:val="000000"/>
                <w:sz w:val="1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December 31, 2022</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2,402,268 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58,217,647 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892,409 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(17,605)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488,494 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22,048 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(807)</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492,712 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Stock Issued for Stock-Based Awards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147,105 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Net Stock Settlement of Stock-Based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406 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Common Stock Repurchases and Excise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1,230,932 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(22,549)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7,501 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(15,048)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38,328 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38,328 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Amazon 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189,652 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Stock-based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Other Comprehensive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389 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March 31, 2023</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2,591,920 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58,364,752 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2,123,747 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(40,162)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500,627 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60,376 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(418)</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521,007 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Stock Issued for Stock-Based Awards</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187,975 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613 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615 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Common Stock Repurchases and Excise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416,751 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(7,511)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(7,511)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20,618 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20,618 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Amazon Warrants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252,869 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Stock-based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4,415 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Other Comprehensive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(246)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June 30, 2023</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2,844,789 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58,552,727 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2,540,498 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(47,673)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507,522 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80,994 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(664)</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540,765 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Stock Issued for Stock-Based Awards</w:t>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262,412 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1,414 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1,416 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Common Stock Repurchases and Excise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2,140,790 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(33,008)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(33,008)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7,591 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7,591 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Amazon 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189,652 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Stock-based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1,039 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Other Comprehensive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158 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September 30, 2023</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3,034,441 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58,815,139 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4,681,288 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(80,681)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511,375 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88,585 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(506)</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1"/>
              </w:rPr>
            </w:pPr>
            <w:r>
              <w:rPr>
                <w:rFonts w:ascii="Arial;sans-serif" w:hAnsi="Arial;sans-serif"/>
                <w:b w:val="false"/>
                <w:color w:val="000000"/>
                <w:sz w:val="11"/>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1"/>
              </w:rPr>
            </w:pPr>
            <w:r>
              <w:rPr>
                <w:rFonts w:ascii="Arial;sans-serif" w:hAnsi="Arial;sans-serif"/>
                <w:b w:val="false"/>
                <w:color w:val="000000"/>
                <w:sz w:val="11"/>
              </w:rPr>
              <w:t>519,361 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432" w:after="283"/>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60"/>
        <w:gridCol w:w="1964"/>
        <w:gridCol w:w="1998"/>
        <w:gridCol w:w="268"/>
        <w:gridCol w:w="849"/>
        <w:gridCol w:w="161"/>
        <w:gridCol w:w="132"/>
        <w:gridCol w:w="132"/>
        <w:gridCol w:w="132"/>
        <w:gridCol w:w="268"/>
        <w:gridCol w:w="849"/>
        <w:gridCol w:w="161"/>
        <w:gridCol w:w="109"/>
        <w:gridCol w:w="109"/>
        <w:gridCol w:w="109"/>
        <w:gridCol w:w="109"/>
        <w:gridCol w:w="109"/>
        <w:gridCol w:w="109"/>
        <w:gridCol w:w="109"/>
        <w:gridCol w:w="109"/>
        <w:gridCol w:w="159"/>
      </w:tblGrid>
      <w:tr>
        <w:trPr/>
        <w:tc>
          <w:tcPr>
            <w:tcW w:w="2260"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39,467 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66,536 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Adjustments to reconcile Net Income to Cash from Operating Activities: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71,194 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64,577 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Income Taxes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net</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Changes in Operating Assets and Liabilities:</w:t>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Receivable</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Inventory</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Lessor Maintenance Deposits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(12,766)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(8,689)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Aircraft Deposits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(8,544)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(5,855)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Transportation Taxes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Air Traffic Liabilities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(26,458)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(27,542)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Loyalty Program Liabilities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Obligations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(3,858)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(5,649)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Cash Provided by Operating Activities</w:t>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74,303 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102,651 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Flows from Investing Activities:</w:t>
            </w:r>
          </w:p>
        </w:tc>
        <w:tc>
          <w:tcPr>
            <w:tcW w:w="12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Property &amp; Equipment</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(42,615)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(210,641)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Investments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(55,655)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(82,574)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the Maturities of Investments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107,750 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110,850 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net</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Cash Provided by (Used in) Investing Activities</w:t>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(178,278)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Flows from Financing Activities:</w:t>
            </w:r>
          </w:p>
        </w:tc>
        <w:tc>
          <w:tcPr>
            <w:tcW w:w="12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(11,493)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(55,051)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Borrowings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119,200 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Finance Lease Obligations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(26,249)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(16,390)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Borrowings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(60,776)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(35,475)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net</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(2,963)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Cash (Used in) Provided by Financing Activities</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(91,481)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10,619 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Increase (Decrease) in Cash, Cash Equivalents and Restricted Cash</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(65,008)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Cash Equivalents and Restricted Cash--Beginning of the Period</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63,680 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102,928 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Cash Equivalents and Restricted Cash--End of the Period</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67,440 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37,920 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Non-cash transactions: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Aircraft Acquired under Finance Lease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Aircraft Acquired from the Exercise of Finance Lease Purchase Option, net of Accumulated Depreciation</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Changes to Finance Lease Assets due to Lease Modifications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17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The following provides a reconciliation of Cash, Cash Equivalents and Restricted Cash to the amounts reported on the Condensed Consolidated Balance Sheets: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6"/>
            <w:tcBorders/>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2024</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56,791 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26,967 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Cash</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Cash, Cash Equivalents and Restricted Cash</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67,440 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37,920 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1.    BASIS OF PRESENTATION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Sun Country Airlines Holdings, Inc. (together with its consolidated subsidiaries, "Sun Country" or the "Company") is the parent company of Sun Country, Inc., which is a certificated air carrier providing scheduled passenger service, air cargo service, charter air transportation and related services.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has prepared the unaudited Condensed Consolidated Financial Statements according to U.S. Generally Accepted Accounting Principles (“GAAP”) and has included the accounts of Sun Country Airlines Holdings, Inc. and its subsidiaries. Certain information and footnote disclosures normally included in the audited annual financial statements prepared in accordance with GAAP have been condensed or omitted pursuant to the rules and regulations of the U.S. Securities and Exchange Commission ("SEC") for Form 10-Q. Therefore, the accompanying unaudited Condensed Consolidated Financial Statements of Sun Country Airlines Holdings, Inc. should be read in conjunction with the Consolidated Financial Statements contained in the Company's Annual Report on Form 10-K for the year ended December 31, 2023 as filed with the SEC ("2023 10-K"). Management believes that all adjustments necessary for the fair presentation of results, consisting of normally recurring items, have been included in the unaudited Condensed Consolidated Financial Statements for the interim periods presented. All material intercompany balances and transactions have been eliminated in consolidation.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Due to impacts from seasonal variations in the demand for air travel, the volatility of aircraft fuel prices, the impact of macroeconomic conditions, and other factors, operating results for the nine months ended September 30, 2024 are not necessarily indicative of operating results for other interim periods or for the full year ending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2.    REVENUE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Sun Country is a certificated air carrier generating Operating Revenues from Passenger (consisting of Scheduled Service, Charter, and Ancillary), Cargo and Other revenue. Scheduled Service revenue mainly consists of base fares. Charter revenue is primarily generated through service provided to the U.S. Department of Defense ("DoD"), collegiate and professional sports teams, and casinos. Ancillary revenues consist of revenue earned from air travel-related services, such as: baggage fees, seat selection fees, other fees and on-board sales. Cargo consists of revenue earned from flying cargo aircraft for Amazon.com Services, Inc. (together with its affiliates, “Amazon”) under the Amended and Restated Air Transportation Services Agreement (the “A&amp;R ATSA”). Other revenue consists primarily of revenue from services in connection with Sun Country Vacations products and rental revenue related to certain aircraft-related transactions where the Company serves as a lessor. The Company recognized rental revenue of $10,092 and $5,870, during the three months ended September 30, 2024 and 2023, respectively; and $29,240 and $11,742 during the nine months ended September 30, 2024 and 2023, respectively.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June 2024, the Company entered into the A&amp;R ATSA with Amazon that will increase the number of 737-800 cargo aircraft that Sun Country operates on behalf of Amazon from 12 to 20. The A&amp;R ATSA includes revised economics to reflect the higher-cost environment that has ensued since the original Air Transportation Services Agreement ("ATSA") was signed in December 2019. The A&amp;R ATSA contains three performance obligations: Flight Services, Heavy Maintenance and Fuel; all of which are unchanged from the original ATSA. The first additional aircraft is expected to begin service in the first quarter of 2025, and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eight aircraft are expected to be operational by the end of the third quarter of 2025. The A&amp;R ATSA includes an initial six-year term, which expires in October 2030. The agreement includes two additional, two-year renewal terms exercisable at Amazon's option, and a subsequent three-year renewal term subject to mutual written agreement, which, if not agreed to, will trigger a final two-year wind-down term. The Company did not receive any material financial reimbursements for start-up costs incurred in connection with the incremental aircraft. The warrant agreement was not amended in connection with the A&amp;R ATSA, Amazon did not receive any additional warrants in connection with the A&amp;R ATSA. Accordingly, warrants issued to Amazon will continue to vest in accordance with the terms of the warrant agreement executed in December 2019.</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significant categories comprising Operating Revenues are as follows:</w:t>
      </w:r>
    </w:p>
    <w:tbl>
      <w:tblPr>
        <w:tblW w:w="8512" w:type="dxa"/>
        <w:jc w:val="left"/>
        <w:tblInd w:w="0" w:type="dxa"/>
        <w:tblLayout w:type="fixed"/>
        <w:tblCellMar>
          <w:top w:w="28" w:type="dxa"/>
          <w:left w:w="28" w:type="dxa"/>
          <w:bottom w:w="28" w:type="dxa"/>
          <w:right w:w="28" w:type="dxa"/>
        </w:tblCellMar>
      </w:tblPr>
      <w:tblGrid>
        <w:gridCol w:w="863"/>
        <w:gridCol w:w="759"/>
        <w:gridCol w:w="762"/>
        <w:gridCol w:w="230"/>
        <w:gridCol w:w="934"/>
        <w:gridCol w:w="119"/>
        <w:gridCol w:w="119"/>
        <w:gridCol w:w="119"/>
        <w:gridCol w:w="119"/>
        <w:gridCol w:w="230"/>
        <w:gridCol w:w="934"/>
        <w:gridCol w:w="119"/>
        <w:gridCol w:w="109"/>
        <w:gridCol w:w="109"/>
        <w:gridCol w:w="109"/>
        <w:gridCol w:w="223"/>
        <w:gridCol w:w="905"/>
        <w:gridCol w:w="115"/>
        <w:gridCol w:w="115"/>
        <w:gridCol w:w="115"/>
        <w:gridCol w:w="115"/>
        <w:gridCol w:w="223"/>
        <w:gridCol w:w="905"/>
        <w:gridCol w:w="162"/>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Scheduled Service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83,784 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96,483 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313,056 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360,607 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Charter </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Ancillary</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236,677 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205,633 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Passenger</w:t>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207,764 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214,355 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698,823 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709,490 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249,470 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248,876 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815,334 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804,077 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attributes and measures its Operating Revenues by geographic region as defined by the United States Department of Transportation ("DOT") for airline reporting based upon the origin of each passenger and cargo flight segment.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operations are highly concentrated in the U.S., but include service to many international locations, primarily consisting of scheduled service to Latin America and military charter service to various international destinations.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Total Operating Revenues by geographic region are as follows:</w:t>
      </w:r>
    </w:p>
    <w:tbl>
      <w:tblPr>
        <w:tblW w:w="8513" w:type="dxa"/>
        <w:jc w:val="left"/>
        <w:tblInd w:w="0" w:type="dxa"/>
        <w:tblLayout w:type="fixed"/>
        <w:tblCellMar>
          <w:top w:w="28" w:type="dxa"/>
          <w:left w:w="28" w:type="dxa"/>
          <w:bottom w:w="28" w:type="dxa"/>
          <w:right w:w="28" w:type="dxa"/>
        </w:tblCellMar>
      </w:tblPr>
      <w:tblGrid>
        <w:gridCol w:w="862"/>
        <w:gridCol w:w="759"/>
        <w:gridCol w:w="764"/>
        <w:gridCol w:w="230"/>
        <w:gridCol w:w="934"/>
        <w:gridCol w:w="119"/>
        <w:gridCol w:w="119"/>
        <w:gridCol w:w="119"/>
        <w:gridCol w:w="119"/>
        <w:gridCol w:w="230"/>
        <w:gridCol w:w="934"/>
        <w:gridCol w:w="119"/>
        <w:gridCol w:w="109"/>
        <w:gridCol w:w="109"/>
        <w:gridCol w:w="109"/>
        <w:gridCol w:w="223"/>
        <w:gridCol w:w="905"/>
        <w:gridCol w:w="115"/>
        <w:gridCol w:w="115"/>
        <w:gridCol w:w="115"/>
        <w:gridCol w:w="115"/>
        <w:gridCol w:w="223"/>
        <w:gridCol w:w="905"/>
        <w:gridCol w:w="162"/>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Domestic</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245,722 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242,504 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783,834 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767,509 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36,078 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249,470 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248,876 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815,334 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804,077 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Contract Balances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contract assets relate to costs incurred to prepare the Amazon cargo aircraft for service under the original ATSA and the A&amp;R ATSA, as well as warrants that have vested and will be amortized against Cargo revenue over the remaining term of the A&amp;R ATSA. The balances are included in Other Current Assets and Other Assets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contract liabilities are comprised of: 1) ticket sales for transportation that have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and, 3) the Amazon Deferred Up-front Payment received under the original ATSA (reported within Other Current Liabilities and Other Long-term Liabilities on the Condensed Consolidated Balance Sheets).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Contract Assets and Liabilities are as follows:</w:t>
      </w:r>
    </w:p>
    <w:tbl>
      <w:tblPr>
        <w:tblW w:w="5995" w:type="dxa"/>
        <w:jc w:val="left"/>
        <w:tblInd w:w="0" w:type="dxa"/>
        <w:tblLayout w:type="fixed"/>
        <w:tblCellMar>
          <w:top w:w="28" w:type="dxa"/>
          <w:left w:w="28" w:type="dxa"/>
          <w:bottom w:w="28" w:type="dxa"/>
          <w:right w:w="28" w:type="dxa"/>
        </w:tblCellMar>
      </w:tblPr>
      <w:tblGrid>
        <w:gridCol w:w="874"/>
        <w:gridCol w:w="769"/>
        <w:gridCol w:w="771"/>
        <w:gridCol w:w="293"/>
        <w:gridCol w:w="1190"/>
        <w:gridCol w:w="151"/>
        <w:gridCol w:w="109"/>
        <w:gridCol w:w="109"/>
        <w:gridCol w:w="109"/>
        <w:gridCol w:w="280"/>
        <w:gridCol w:w="1136"/>
        <w:gridCol w:w="20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Contract Assets</w:t>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Amazon Contract</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Contract Assets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Contract Liabilities</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 Traffic Liabilities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131,538 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157,996 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Loyalty Program Liabilities</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Amazon Contract</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Contract Liabilities</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147,401 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173,958 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balance in the Air Traffic Liabilities fluctuates with seasonal travel patterns. Most tickets can be purchased no more than twelve months in advance, therefore any revenue associated with tickets sold for future travel will be recognized within that timeframe. For the nine months ended September 30, 2024, $153,708 of revenue was recognized in Passenger revenue that was included in the Air Traffic Liabilities as of December 31, 2023.</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Loyalty Program</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Sun Country Rewards program provides loyalty awards to program members based on accumulated loyalty points. The Company records a liability for loyalty points earned by passengers under the Sun Country Rewards program using two methods: 1) a liability for points that are earned by passengers on purchases of the Company’s services is established by deferring revenue based on the redemption value, net of estimated loyalty points that will expire unused, or breakage; and 2) a liability for points attributed to loyalty points issued to the Company’s Visa card holders is established by deferring a portion of payments received from the Company’s co-branded agreement. The balance of the Loyalty Program Liabilities fluctuates based on seasonal patterns, which impacts the volume of loyalty points awarded through travel or issued to co-branded credit card and other partners (deferral of revenue) and loyalty points redeemed (recognition of revenue). Due to these reasons, the timing of loyalty point redemptions can vary significantly.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Changes in the Loyalty Program Liabilities are as follows:</w:t>
      </w:r>
    </w:p>
    <w:tbl>
      <w:tblPr>
        <w:tblW w:w="5093" w:type="dxa"/>
        <w:jc w:val="left"/>
        <w:tblInd w:w="0" w:type="dxa"/>
        <w:tblLayout w:type="fixed"/>
        <w:tblCellMar>
          <w:top w:w="28" w:type="dxa"/>
          <w:left w:w="28" w:type="dxa"/>
          <w:bottom w:w="28" w:type="dxa"/>
          <w:right w:w="28" w:type="dxa"/>
        </w:tblCellMar>
      </w:tblPr>
      <w:tblGrid>
        <w:gridCol w:w="933"/>
        <w:gridCol w:w="822"/>
        <w:gridCol w:w="824"/>
        <w:gridCol w:w="211"/>
        <w:gridCol w:w="751"/>
        <w:gridCol w:w="109"/>
        <w:gridCol w:w="109"/>
        <w:gridCol w:w="109"/>
        <w:gridCol w:w="109"/>
        <w:gridCol w:w="211"/>
        <w:gridCol w:w="751"/>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Loyalty Points Earned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Loyalty Points Redeemed </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 September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Loyalty points are combined in one homogenous pool, which includes both air and non-air travel awards, and are not separately identifiable. As such, the revenue recognized is comprised of points that were part of the Loyalty Program Liabilities balance at the beginning of the period, as well as points that were earned during the period.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3.    EARNINGS PER SHARE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earnings per share:</w:t>
      </w:r>
    </w:p>
    <w:tbl>
      <w:tblPr>
        <w:tblW w:w="10205" w:type="dxa"/>
        <w:jc w:val="left"/>
        <w:tblInd w:w="0" w:type="dxa"/>
        <w:tblLayout w:type="fixed"/>
        <w:tblCellMar>
          <w:top w:w="28" w:type="dxa"/>
          <w:left w:w="28" w:type="dxa"/>
          <w:bottom w:w="28" w:type="dxa"/>
          <w:right w:w="28" w:type="dxa"/>
        </w:tblCellMar>
      </w:tblPr>
      <w:tblGrid>
        <w:gridCol w:w="1498"/>
        <w:gridCol w:w="1321"/>
        <w:gridCol w:w="1328"/>
        <w:gridCol w:w="279"/>
        <w:gridCol w:w="783"/>
        <w:gridCol w:w="151"/>
        <w:gridCol w:w="151"/>
        <w:gridCol w:w="151"/>
        <w:gridCol w:w="151"/>
        <w:gridCol w:w="279"/>
        <w:gridCol w:w="783"/>
        <w:gridCol w:w="151"/>
        <w:gridCol w:w="109"/>
        <w:gridCol w:w="109"/>
        <w:gridCol w:w="109"/>
        <w:gridCol w:w="248"/>
        <w:gridCol w:w="809"/>
        <w:gridCol w:w="135"/>
        <w:gridCol w:w="135"/>
        <w:gridCol w:w="135"/>
        <w:gridCol w:w="135"/>
        <w:gridCol w:w="248"/>
        <w:gridCol w:w="809"/>
        <w:gridCol w:w="198"/>
      </w:tblGrid>
      <w:tr>
        <w:trPr/>
        <w:tc>
          <w:tcPr>
            <w:tcW w:w="149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Numerator:</w:t>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Income</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39,467 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66,536 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Denominator:</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Weighted Average Common Shares Outstanding - Basic</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52,876,339 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55,435,386 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52,866,797 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56,051,173 </w:t>
            </w:r>
          </w:p>
        </w:tc>
        <w:tc>
          <w:tcPr>
            <w:tcW w:w="1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Dilutive effect of Stock Options, RSUs and Warrants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1,904,333 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3,160,260 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2,123,640 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3,230,646 </w:t>
            </w:r>
          </w:p>
        </w:tc>
        <w:tc>
          <w:tcPr>
            <w:tcW w:w="19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Weighted Average Common Shares Outstanding - Diluted</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54,780,672 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58,595,646 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54,990,437 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59,281,819 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earnings per share</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share</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Company has excluded 4,805,638 and 4,631,203</w:t>
      </w:r>
      <w:r>
        <w:rPr>
          <w:color w:val="000000"/>
        </w:rPr>
        <w:t xml:space="preserve"> </w:t>
      </w:r>
      <w:r>
        <w:rPr>
          <w:rFonts w:ascii="Arial;sans-serif" w:hAnsi="Arial;sans-serif"/>
          <w:b w:val="false"/>
          <w:color w:val="000000"/>
          <w:sz w:val="20"/>
        </w:rPr>
        <w:t>of stock options, RSUs and warrants that would have had an anti-dilutive effect on its diluted earnings per share calculation for the three and nine months ended September 30, 2024, respectively. The Company's anti-dilutive shares for the three and nine months ended September 30, 2023 were not material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4. AIRCRAFT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September 30, 2024, Sun Country's fleet consisted of 63 Boeing 737-NG aircraft, comprised of 58 Boeing 737-800s and five Boeing 737-900ERs.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summarize the Company’s aircraft fleet activity for the nine months ended September 30, 2024 and 2023, respectively:</w:t>
      </w:r>
    </w:p>
    <w:tbl>
      <w:tblPr>
        <w:tblW w:w="10205" w:type="dxa"/>
        <w:jc w:val="left"/>
        <w:tblInd w:w="0" w:type="dxa"/>
        <w:tblLayout w:type="fixed"/>
        <w:tblCellMar>
          <w:top w:w="28" w:type="dxa"/>
          <w:left w:w="28" w:type="dxa"/>
          <w:bottom w:w="28" w:type="dxa"/>
          <w:right w:w="28" w:type="dxa"/>
        </w:tblCellMar>
      </w:tblPr>
      <w:tblGrid>
        <w:gridCol w:w="979"/>
        <w:gridCol w:w="860"/>
        <w:gridCol w:w="864"/>
        <w:gridCol w:w="475"/>
        <w:gridCol w:w="475"/>
        <w:gridCol w:w="477"/>
        <w:gridCol w:w="109"/>
        <w:gridCol w:w="109"/>
        <w:gridCol w:w="109"/>
        <w:gridCol w:w="295"/>
        <w:gridCol w:w="295"/>
        <w:gridCol w:w="296"/>
        <w:gridCol w:w="109"/>
        <w:gridCol w:w="109"/>
        <w:gridCol w:w="109"/>
        <w:gridCol w:w="485"/>
        <w:gridCol w:w="485"/>
        <w:gridCol w:w="486"/>
        <w:gridCol w:w="109"/>
        <w:gridCol w:w="109"/>
        <w:gridCol w:w="109"/>
        <w:gridCol w:w="295"/>
        <w:gridCol w:w="295"/>
        <w:gridCol w:w="296"/>
        <w:gridCol w:w="109"/>
        <w:gridCol w:w="109"/>
        <w:gridCol w:w="109"/>
        <w:gridCol w:w="448"/>
        <w:gridCol w:w="448"/>
        <w:gridCol w:w="643"/>
      </w:tblGrid>
      <w:tr>
        <w:trPr/>
        <w:tc>
          <w:tcPr>
            <w:tcW w:w="97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Removals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6"/>
              </w:rPr>
            </w:pPr>
            <w:r>
              <w:rPr>
                <w:rFonts w:ascii="Arial;sans-serif" w:hAnsi="Arial;sans-serif"/>
                <w:b/>
                <w:color w:val="000000"/>
                <w:sz w:val="16"/>
              </w:rPr>
              <w:t>September 30, 2024</w:t>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14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Owned</w:t>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40"/>
              <w:jc w:val="left"/>
              <w:rPr/>
            </w:pPr>
            <w:r>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w:t>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w:t>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Sun Country Airlines’ Fleet</w:t>
            </w:r>
          </w:p>
        </w:tc>
        <w:tc>
          <w:tcPr>
            <w:tcW w:w="14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w:t>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Aircraft Operated for Amazon</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w:t>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Owned Aircraft Held for Operating Lease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w:t>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20"/>
              </w:rPr>
              <w:t xml:space="preserve">Subleased Aircraft </w:t>
            </w:r>
            <w:r>
              <w:rPr>
                <w:rFonts w:ascii="Arial;sans-serif" w:hAnsi="Arial;sans-serif"/>
                <w:b w:val="false"/>
                <w:color w:val="000000"/>
                <w:sz w:val="13"/>
              </w:rPr>
              <w:t>(1)</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w:t>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Total Aircraft </w:t>
            </w:r>
          </w:p>
        </w:tc>
        <w:tc>
          <w:tcPr>
            <w:tcW w:w="14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w:t>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Removals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Owned</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 Country Airlines’ Fleet</w:t>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Operated for Amazon</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Owned Aircraft Held for Operating Lease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Aircraft </w:t>
            </w:r>
          </w:p>
        </w:tc>
        <w:tc>
          <w:tcPr>
            <w:tcW w:w="9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92" w:type="dxa"/>
        <w:jc w:val="left"/>
        <w:tblInd w:w="0" w:type="dxa"/>
        <w:tblLayout w:type="fixed"/>
        <w:tblCellMar>
          <w:top w:w="28" w:type="dxa"/>
          <w:left w:w="28" w:type="dxa"/>
          <w:bottom w:w="28" w:type="dxa"/>
          <w:right w:w="28" w:type="dxa"/>
        </w:tblCellMar>
      </w:tblPr>
      <w:tblGrid>
        <w:gridCol w:w="124"/>
        <w:gridCol w:w="109"/>
        <w:gridCol w:w="109"/>
        <w:gridCol w:w="1801"/>
        <w:gridCol w:w="1801"/>
        <w:gridCol w:w="25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615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 head leases associated with these subleases are classified as finance leases.</w:t>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During the nine months ended September 30, 2024, the Company acquired one incremental owned aircraft and took control of two aircraft through finance lease arrangements, one of which was subsequently subleased to the same unaffiliated airline to whom we subleased another aircraft during the year ended December 31, 2023. During the nine months ended September 30, 2024, amendments were executed to extend the lease expiry terms for both subleased aircraft through the fourth quarter of 2025. Upon expiry of these subleases, both aircraft will be redelivered to the Company and are expected to be inducted into the Company's passenger fleet. Further, the Company purchased one aircraft previously classified as a finance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lease, which is now unencumbered. Of the 36 Owned aircraft and Owned Aircraft Held for Operating Lease as of September 30, 2024, 31 aircraft were financed and five aircraft were unencumbered. In October 2024, the Company purchased an aircraft previously classified as a finance lease, which is now unencumbered. </w:t>
      </w:r>
    </w:p>
    <w:p>
      <w:pPr>
        <w:pStyle w:val="TextBody"/>
        <w:bidi w:val="0"/>
        <w:spacing w:lineRule="auto" w:line="288" w:before="180" w:after="283"/>
        <w:jc w:val="both"/>
        <w:rPr/>
      </w:pPr>
      <w:r>
        <w:rPr>
          <w:rFonts w:ascii="Arial;sans-serif" w:hAnsi="Arial;sans-serif"/>
          <w:b w:val="false"/>
          <w:color w:val="000000"/>
          <w:sz w:val="20"/>
        </w:rPr>
        <w:t xml:space="preserve">During the nine months ended September 30, 2023, the Company acquired five 737-900ERs that are currently on lease to an unaffiliated airline ("Owned Aircraft Held for Operating Lease"). The Owned Aircraft Held for Operating Lease are financed through a term loan arrangement. See </w:t>
      </w:r>
      <w:r>
        <w:fldChar w:fldCharType="begin"/>
      </w:r>
      <w:r>
        <w:rPr>
          <w:rStyle w:val="InternetLink"/>
          <w:sz w:val="20"/>
          <w:u w:val="single"/>
          <w:b w:val="false"/>
          <w:rFonts w:ascii="Arial;sans-serif" w:hAnsi="Arial;sans-serif"/>
          <w:color w:val="0000FF"/>
        </w:rPr>
        <w:instrText xml:space="preserve"> HYPERLINK "https://www.sec.gov/Archives/edgar/data/1743907/000174390724000005/sncy-20231231.htm" \l "i42a5ae0bd2d24023a66a62469f4c25b4_46"</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Note 6</w:t>
      </w:r>
      <w:r>
        <w:rPr>
          <w:rStyle w:val="InternetLink"/>
          <w:sz w:val="20"/>
          <w:u w:val="single"/>
          <w:b w:val="false"/>
          <w:rFonts w:ascii="Arial;sans-serif" w:hAnsi="Arial;sans-serif"/>
          <w:color w:val="0000FF"/>
        </w:rPr>
        <w:fldChar w:fldCharType="end"/>
      </w:r>
      <w:r>
        <w:rPr>
          <w:color w:val="000000"/>
        </w:rPr>
        <w:t xml:space="preserve"> </w:t>
      </w:r>
      <w:r>
        <w:rPr>
          <w:rFonts w:ascii="Arial;sans-serif" w:hAnsi="Arial;sans-serif"/>
          <w:b w:val="false"/>
          <w:color w:val="000000"/>
          <w:sz w:val="20"/>
        </w:rPr>
        <w:t>within Part II, Item 8 in our 2023 10-K for more information on this transaction. Additionally, during the nine months ended September 30, 2023, the Company acquired an incremental aircraft and executed a lease amendment to purchase two aircraft at the end of its lease term. The lease amendment modified the classification of this lease from an operating lease to a finance lease and has an expiration date in fiscal year 2024. During the three months ended September 30, 2023, management approved a plan to retire an owned aircraft. Certain parts of the aircraft were maintained for future use by the Company or held for sale. The impact of the retirement and the assets held for sale were not material to the Company's Condensed Consolidated Financial Statements.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Depreciation, amortization, and rent expense on aircraft are as follows:</w:t>
      </w:r>
    </w:p>
    <w:tbl>
      <w:tblPr>
        <w:tblW w:w="9854" w:type="dxa"/>
        <w:jc w:val="left"/>
        <w:tblInd w:w="0" w:type="dxa"/>
        <w:tblLayout w:type="fixed"/>
        <w:tblCellMar>
          <w:top w:w="28" w:type="dxa"/>
          <w:left w:w="28" w:type="dxa"/>
          <w:bottom w:w="28" w:type="dxa"/>
          <w:right w:w="28" w:type="dxa"/>
        </w:tblCellMar>
      </w:tblPr>
      <w:tblGrid>
        <w:gridCol w:w="596"/>
        <w:gridCol w:w="526"/>
        <w:gridCol w:w="528"/>
        <w:gridCol w:w="109"/>
        <w:gridCol w:w="109"/>
        <w:gridCol w:w="109"/>
        <w:gridCol w:w="474"/>
        <w:gridCol w:w="474"/>
        <w:gridCol w:w="476"/>
        <w:gridCol w:w="109"/>
        <w:gridCol w:w="109"/>
        <w:gridCol w:w="109"/>
        <w:gridCol w:w="250"/>
        <w:gridCol w:w="890"/>
        <w:gridCol w:w="129"/>
        <w:gridCol w:w="129"/>
        <w:gridCol w:w="129"/>
        <w:gridCol w:w="129"/>
        <w:gridCol w:w="250"/>
        <w:gridCol w:w="890"/>
        <w:gridCol w:w="129"/>
        <w:gridCol w:w="109"/>
        <w:gridCol w:w="109"/>
        <w:gridCol w:w="109"/>
        <w:gridCol w:w="241"/>
        <w:gridCol w:w="860"/>
        <w:gridCol w:w="124"/>
        <w:gridCol w:w="124"/>
        <w:gridCol w:w="124"/>
        <w:gridCol w:w="124"/>
        <w:gridCol w:w="241"/>
        <w:gridCol w:w="860"/>
        <w:gridCol w:w="176"/>
      </w:tblGrid>
      <w:tr>
        <w:trPr/>
        <w:tc>
          <w:tcPr>
            <w:tcW w:w="59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Aircraft 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Expense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42,519 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40,709 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Aircraft Rent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19,677 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19,600 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59,352 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57,731 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Aircraft Rent expense includes credits for the amortization of over-market liabilities established on April 11, 2018 ("the Acquisition Date").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5.    DEBT</w:t>
      </w:r>
    </w:p>
    <w:p>
      <w:pPr>
        <w:pStyle w:val="TextBody"/>
        <w:bidi w:val="0"/>
        <w:spacing w:lineRule="auto" w:line="288" w:before="240" w:after="283"/>
        <w:jc w:val="both"/>
        <w:rPr/>
      </w:pPr>
      <w:r>
        <w:rPr>
          <w:rFonts w:ascii="Arial;sans-serif" w:hAnsi="Arial;sans-serif"/>
          <w:b/>
          <w:color w:val="000000"/>
          <w:sz w:val="20"/>
        </w:rPr>
        <w:t>Credit</w:t>
      </w:r>
      <w:r>
        <w:rPr>
          <w:color w:val="000000"/>
        </w:rPr>
        <w:t xml:space="preserve"> </w:t>
      </w:r>
      <w:r>
        <w:rPr>
          <w:rFonts w:ascii="Arial;sans-serif" w:hAnsi="Arial;sans-serif"/>
          <w:b/>
          <w:color w:val="000000"/>
          <w:sz w:val="20"/>
        </w:rPr>
        <w:t>Facilities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February 10, 2021, the Company executed a five-year credit agreement (the “Credit Agreement”) with a group of lenders. The Credit Agreement includes a $25,000 Revolving Credit Facility (the "Revolving Credit Facility") and a $90,000 Delayed Draw Term Loan Facility (“DDTL”), which are collectively referred to as the “Credit Facilities.” The Credit Agreement includes financial covenants that require a minimum trailing 12-month EBITDAR of $87,700 and minimum liquidity, as defined within the Credit Agreement, of $30,000 at the close of any business day. The Company was in compliance with these covenants as of September 30, 2024.</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Due to previous transactions which utilized the DDTL and the subsequent repayment, no amounts under the DDTL were available to the Company as of September 30, 2024. As of September 30, 2024, the Company had $24,743 of financing available through the Revolving Credit Facility, as $257 had been pledged to support letters of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color w:val="000000"/>
          <w:sz w:val="20"/>
        </w:rPr>
        <w:t>Long-term Debt</w:t>
      </w:r>
      <w:r>
        <w:rPr>
          <w:color w:val="000000"/>
        </w:rPr>
        <w:t xml:space="preserve"> </w:t>
      </w:r>
    </w:p>
    <w:p>
      <w:pPr>
        <w:pStyle w:val="TextBody"/>
        <w:bidi w:val="0"/>
        <w:spacing w:lineRule="auto" w:line="268" w:before="240" w:after="283"/>
        <w:jc w:val="both"/>
        <w:rPr>
          <w:rFonts w:ascii="Arial;sans-serif" w:hAnsi="Arial;sans-serif"/>
          <w:b w:val="false"/>
          <w:i/>
          <w:color w:val="000000"/>
          <w:sz w:val="20"/>
        </w:rPr>
      </w:pPr>
      <w:r>
        <w:rPr>
          <w:rFonts w:ascii="Arial;sans-serif" w:hAnsi="Arial;sans-serif"/>
          <w:b w:val="false"/>
          <w:i/>
          <w:color w:val="000000"/>
          <w:sz w:val="20"/>
        </w:rPr>
        <w:t>Term Loan Credit Facility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nine months ended September 30, 2023, the Company executed a term loan credit facility with a face amount of $119,200 for the purpose of financing the five Owned Aircraft Held for Operating Lease. The loan is repaid monthly through March 2030. During the lease term, payments collected from the lessee are applied directly to the repayment of principal and interest on the term loan credit facility. The Owned Aircraft Held for Operating Lease, as well as the related lease payments received from the lessee, are pledged as collateral.</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interest rate on the term loan credit facility is determined using a base rate, which resets monthly, plus an applicable margin, and a fixed credit spread adjustment of 0.1%. The applicable margin during the lease term is fixed at 3.75%, and is subsequently reduced to 3.25% once the aircraft have been redelivered to the Company and a Loan-to-Value ("LTV") ratio calculation is completed. The interest rate in effect as of September 30, 2024 was 8.8%. To the extent that the LTV ratio exceeds 75% at the end of the lease term, a principal prepayment will be required in order to reduce the ratio to 75%. If at any point within 12 months of the end of the lease term for each respective aircraft the Company deems it probable that a principal prepayment will be required in order to reduce the LTV ratio to 75%, and such amount can be reasonably estimated, the estimated principal prepayment amount will be reclassified from Long-term Debt, net to Current Maturities of Long-term Debt, net on the Company's Condensed Consolidated Balance Sheets. In the event a principal prepayment is required, amounts received under the end of lease maintenance compensation clause will be applied towards any prepayment obligation. No amounts related to an estimated principal prepayment have been reclassified from Long-term Debt, net to Current Maturities of Long-term Debt, net on the Company's Condensed Consolidated Balance Sheets as of September 30, 2024.</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Pass-Through Trust Certificates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March 2022, the Company arranged for the issuance of Class A and Class B certificates (the "2022-1 EETC") in an aggregate face amount of $188,277 for the purpose of financing or refinancing 13 aircraft. The Company is required to make bi-annual principal and interest payments each March and September, through March 2031. These notes bear interest at an annual rate between 4.84% and 5.75%. The weighted average interest rate was 4.30% as of September 30, 2024.</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December 2019, the Company arranged for the issuance of Class A, Class B and Class C trust certificates Series 2019-1 (the “2019-1 EETC”), in an aggregate face amount of $248,587 for the purpose of financing or refinancing 13 aircraft, which was completed in 2020. The Company is required to make bi-annual principal and interest payments each June and December, through December 2027. These notes bear interest at an annual rate between 4.13% and 6.95%. The weighted average interest rate was 5.05% as of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Long-term Debt includes the following:</w:t>
      </w:r>
    </w:p>
    <w:tbl>
      <w:tblPr>
        <w:tblW w:w="8845" w:type="dxa"/>
        <w:jc w:val="left"/>
        <w:tblInd w:w="0" w:type="dxa"/>
        <w:tblLayout w:type="fixed"/>
        <w:tblCellMar>
          <w:top w:w="28" w:type="dxa"/>
          <w:left w:w="28" w:type="dxa"/>
          <w:bottom w:w="28" w:type="dxa"/>
          <w:right w:w="28" w:type="dxa"/>
        </w:tblCellMar>
      </w:tblPr>
      <w:tblGrid>
        <w:gridCol w:w="1905"/>
        <w:gridCol w:w="1674"/>
        <w:gridCol w:w="1685"/>
        <w:gridCol w:w="293"/>
        <w:gridCol w:w="1190"/>
        <w:gridCol w:w="151"/>
        <w:gridCol w:w="109"/>
        <w:gridCol w:w="109"/>
        <w:gridCol w:w="109"/>
        <w:gridCol w:w="280"/>
        <w:gridCol w:w="1136"/>
        <w:gridCol w:w="204"/>
      </w:tblGrid>
      <w:tr>
        <w:trPr/>
        <w:tc>
          <w:tcPr>
            <w:tcW w:w="1905"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2019-1 EETC (see terms and conditions above)</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119,208 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138,423 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2022-1 EETC (see terms and conditions above)</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138,532 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158,775 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Credit Facility (see terms and conditions above)</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97,124 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108,442 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 Debt</w:t>
            </w:r>
          </w:p>
        </w:tc>
        <w:tc>
          <w:tcPr>
            <w:tcW w:w="1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354,864 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405,640 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Unamortized debt issuance costs</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Maturities of Long-term Debt, net</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(74,177)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 net</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275,864 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327,468 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Future maturities of the outstanding Debt are as follows:</w:t>
      </w:r>
    </w:p>
    <w:tbl>
      <w:tblPr>
        <w:tblW w:w="7725" w:type="dxa"/>
        <w:jc w:val="left"/>
        <w:tblInd w:w="0" w:type="dxa"/>
        <w:tblLayout w:type="fixed"/>
        <w:tblCellMar>
          <w:top w:w="28" w:type="dxa"/>
          <w:left w:w="28" w:type="dxa"/>
          <w:bottom w:w="28" w:type="dxa"/>
          <w:right w:w="28" w:type="dxa"/>
        </w:tblCellMar>
      </w:tblPr>
      <w:tblGrid>
        <w:gridCol w:w="1038"/>
        <w:gridCol w:w="911"/>
        <w:gridCol w:w="916"/>
        <w:gridCol w:w="218"/>
        <w:gridCol w:w="885"/>
        <w:gridCol w:w="112"/>
        <w:gridCol w:w="109"/>
        <w:gridCol w:w="109"/>
        <w:gridCol w:w="109"/>
        <w:gridCol w:w="386"/>
        <w:gridCol w:w="1184"/>
        <w:gridCol w:w="200"/>
        <w:gridCol w:w="109"/>
        <w:gridCol w:w="109"/>
        <w:gridCol w:w="109"/>
        <w:gridCol w:w="211"/>
        <w:gridCol w:w="85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Debt Principal</w:t>
              <w:b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 of Debt</w:t>
              <w:br/>
              <w:t>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Debt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Remainder of 2024</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87,479 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as of September 30, 2024</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354,864 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(3,085)</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351,779 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 of Debt was $338,425 as of September 30, 2024 and $383,061 as of December 31, 2023. The fair value of the Company’s debt was based on the discounted amount of future cash flows using the Company’s end-of-period estimated incremental borrowing rate for similar obligations. The estimates were primarily based on Level 3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6. INVESTMENTS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 summary of debt securities by major security type:</w:t>
      </w:r>
    </w:p>
    <w:tbl>
      <w:tblPr>
        <w:tblW w:w="10205" w:type="dxa"/>
        <w:jc w:val="left"/>
        <w:tblInd w:w="0" w:type="dxa"/>
        <w:tblLayout w:type="fixed"/>
        <w:tblCellMar>
          <w:top w:w="28" w:type="dxa"/>
          <w:left w:w="28" w:type="dxa"/>
          <w:bottom w:w="28" w:type="dxa"/>
          <w:right w:w="28" w:type="dxa"/>
        </w:tblCellMar>
      </w:tblPr>
      <w:tblGrid>
        <w:gridCol w:w="1081"/>
        <w:gridCol w:w="951"/>
        <w:gridCol w:w="952"/>
        <w:gridCol w:w="255"/>
        <w:gridCol w:w="911"/>
        <w:gridCol w:w="131"/>
        <w:gridCol w:w="109"/>
        <w:gridCol w:w="109"/>
        <w:gridCol w:w="109"/>
        <w:gridCol w:w="540"/>
        <w:gridCol w:w="967"/>
        <w:gridCol w:w="282"/>
        <w:gridCol w:w="109"/>
        <w:gridCol w:w="109"/>
        <w:gridCol w:w="109"/>
        <w:gridCol w:w="567"/>
        <w:gridCol w:w="1013"/>
        <w:gridCol w:w="295"/>
        <w:gridCol w:w="109"/>
        <w:gridCol w:w="109"/>
        <w:gridCol w:w="109"/>
        <w:gridCol w:w="211"/>
        <w:gridCol w:w="751"/>
        <w:gridCol w:w="317"/>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September 30, 2024</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Available-for-Sale Securities: </w:t>
            </w:r>
            <w:r>
              <w:rPr>
                <w:rFonts w:ascii="Arial;sans-serif" w:hAnsi="Arial;sans-serif"/>
                <w:b w:val="false"/>
                <w:color w:val="000000"/>
                <w:sz w:val="13"/>
              </w:rPr>
              <w:t>(1)</w:t>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52,960 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30,320 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83,257 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83,280 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63"/>
        <w:gridCol w:w="935"/>
        <w:gridCol w:w="936"/>
        <w:gridCol w:w="235"/>
        <w:gridCol w:w="955"/>
        <w:gridCol w:w="121"/>
        <w:gridCol w:w="109"/>
        <w:gridCol w:w="109"/>
        <w:gridCol w:w="109"/>
        <w:gridCol w:w="508"/>
        <w:gridCol w:w="983"/>
        <w:gridCol w:w="265"/>
        <w:gridCol w:w="109"/>
        <w:gridCol w:w="109"/>
        <w:gridCol w:w="109"/>
        <w:gridCol w:w="484"/>
        <w:gridCol w:w="1105"/>
        <w:gridCol w:w="250"/>
        <w:gridCol w:w="109"/>
        <w:gridCol w:w="109"/>
        <w:gridCol w:w="109"/>
        <w:gridCol w:w="211"/>
        <w:gridCol w:w="856"/>
        <w:gridCol w:w="317"/>
      </w:tblGrid>
      <w:tr>
        <w:trPr/>
        <w:tc>
          <w:tcPr>
            <w:tcW w:w="10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Available-for-Sale Securities: </w:t>
            </w:r>
            <w:r>
              <w:rPr>
                <w:rFonts w:ascii="Arial;sans-serif" w:hAnsi="Arial;sans-serif"/>
                <w:b w:val="false"/>
                <w:color w:val="000000"/>
                <w:sz w:val="13"/>
              </w:rPr>
              <w:t>(1)</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Municipal Debt Securities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6,976 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59,248 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68,016 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134,321 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134,240 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The Company also holds Certificates of Deposit that are included in Investments on the Condensed Consolidated Balance Sheets totaling $6,417 and $6,887 as of September 30, 2024 and December 31, 2023, respectively. </w:t>
            </w:r>
          </w:p>
        </w:tc>
      </w:tr>
    </w:tbl>
    <w:p>
      <w:pPr>
        <w:pStyle w:val="TextBody"/>
        <w:bidi w:val="0"/>
        <w:spacing w:lineRule="auto" w:line="268" w:before="240" w:after="283"/>
        <w:ind w:left="0" w:right="0" w:firstLine="360"/>
        <w:jc w:val="both"/>
        <w:rPr>
          <w:rFonts w:ascii="Arial;sans-serif" w:hAnsi="Arial;sans-serif"/>
          <w:b w:val="false"/>
          <w:color w:val="000000"/>
          <w:sz w:val="20"/>
        </w:rPr>
      </w:pPr>
      <w:r>
        <w:rPr>
          <w:rFonts w:ascii="Arial;sans-serif" w:hAnsi="Arial;sans-serif"/>
          <w:b w:val="false"/>
          <w:color w:val="000000"/>
          <w:sz w:val="20"/>
        </w:rPr>
        <w:t>As of September 30, 2024, the unrealized losses were the result of increases in market interest rates and were not the result of a deterioration in the credit quality of the securities. The Company believes that any unrealized losses are recoverable prior to the investment's conversion to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7.    FAIR VALUE MEASUREMENTS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summarizes the assets measured at fair value on a recurring basis:</w:t>
      </w:r>
    </w:p>
    <w:tbl>
      <w:tblPr>
        <w:tblW w:w="10205" w:type="dxa"/>
        <w:jc w:val="left"/>
        <w:tblInd w:w="0" w:type="dxa"/>
        <w:tblLayout w:type="fixed"/>
        <w:tblCellMar>
          <w:top w:w="28" w:type="dxa"/>
          <w:left w:w="28" w:type="dxa"/>
          <w:bottom w:w="28" w:type="dxa"/>
          <w:right w:w="28" w:type="dxa"/>
        </w:tblCellMar>
      </w:tblPr>
      <w:tblGrid>
        <w:gridCol w:w="1791"/>
        <w:gridCol w:w="1547"/>
        <w:gridCol w:w="1548"/>
        <w:gridCol w:w="211"/>
        <w:gridCol w:w="751"/>
        <w:gridCol w:w="109"/>
        <w:gridCol w:w="109"/>
        <w:gridCol w:w="109"/>
        <w:gridCol w:w="109"/>
        <w:gridCol w:w="211"/>
        <w:gridCol w:w="751"/>
        <w:gridCol w:w="109"/>
        <w:gridCol w:w="109"/>
        <w:gridCol w:w="109"/>
        <w:gridCol w:w="109"/>
        <w:gridCol w:w="211"/>
        <w:gridCol w:w="406"/>
        <w:gridCol w:w="109"/>
        <w:gridCol w:w="109"/>
        <w:gridCol w:w="109"/>
        <w:gridCol w:w="109"/>
        <w:gridCol w:w="211"/>
        <w:gridCol w:w="856"/>
        <w:gridCol w:w="403"/>
      </w:tblGrid>
      <w:tr>
        <w:trPr/>
        <w:tc>
          <w:tcPr>
            <w:tcW w:w="179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&amp;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56,791 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52,960 </w:t>
            </w:r>
          </w:p>
        </w:tc>
        <w:tc>
          <w:tcPr>
            <w:tcW w:w="40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30,320 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Securities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83,280 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Measured at Fair Value on a Recurring Basis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140,071 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761"/>
        <w:gridCol w:w="1511"/>
        <w:gridCol w:w="1510"/>
        <w:gridCol w:w="211"/>
        <w:gridCol w:w="751"/>
        <w:gridCol w:w="109"/>
        <w:gridCol w:w="109"/>
        <w:gridCol w:w="109"/>
        <w:gridCol w:w="109"/>
        <w:gridCol w:w="211"/>
        <w:gridCol w:w="856"/>
        <w:gridCol w:w="109"/>
        <w:gridCol w:w="109"/>
        <w:gridCol w:w="109"/>
        <w:gridCol w:w="109"/>
        <w:gridCol w:w="211"/>
        <w:gridCol w:w="406"/>
        <w:gridCol w:w="109"/>
        <w:gridCol w:w="109"/>
        <w:gridCol w:w="109"/>
        <w:gridCol w:w="109"/>
        <w:gridCol w:w="211"/>
        <w:gridCol w:w="856"/>
        <w:gridCol w:w="402"/>
      </w:tblGrid>
      <w:tr>
        <w:trPr/>
        <w:tc>
          <w:tcPr>
            <w:tcW w:w="176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&amp;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46,279 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Municipal Debt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6,976 </w:t>
            </w:r>
          </w:p>
        </w:tc>
        <w:tc>
          <w:tcPr>
            <w:tcW w:w="40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59,248 </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68,016 </w:t>
            </w:r>
          </w:p>
        </w:tc>
        <w:tc>
          <w:tcPr>
            <w:tcW w:w="4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Securities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134,240 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Measured at Fair Value on a Recurring Basis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180,519 </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Arial;sans-serif" w:hAnsi="Arial;sans-serif"/>
          <w:b/>
          <w:color w:val="000000"/>
          <w:sz w:val="20"/>
        </w:rPr>
      </w:pPr>
      <w:r>
        <w:rPr>
          <w:rFonts w:ascii="Arial;sans-serif" w:hAnsi="Arial;sans-serif"/>
          <w:b/>
          <w:color w:val="000000"/>
          <w:sz w:val="20"/>
        </w:rPr>
        <w:t>8.    INCOME TAXES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effective tax rate for the three and nine months ended September 30, 2024 was 22.0% and 25.0%, respectively. The Company's effective tax rate for the three and nine months ended September 30, 2023 was 24.6% and 23.1%, respectively. The effective tax rate represents a blend of federal and state taxes and includes the impact of certain nondeductible or nontaxable items. The change in the effective tax rate during the three and nine months ended September 30, 2024 was due to the impact of permanent stock compensation items on the effective rate.</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Tax Receivable Agreement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total Tax Receivable Agreement ("TRA") balance as of September 30, 2024 and December 31, 2023 was $97,694 and $101,044, of which $9,544 and $3,250 was current, respectively. The TRA liability is an estimate and actual amounts payable under the TRA could differ from this estimate. During the nine months ended September 30, 2024 and 2023, the Company made payments of $3,350 and $2,425, respectively, to the pre-IPO stockholders (the “TRA holders”), which includes certain members of the Company's management and certain members of the Company's Board of Directors. The payment is included within Financing Activities on the Condensed Consolidated Statements of Cash Flows. Payments will be made in future periods as attributes that existed at the time of the IPO (the “Pre-IPO Tax Attributes”) are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Arial;sans-serif" w:hAnsi="Arial;sans-serif"/>
          <w:b/>
          <w:color w:val="000000"/>
          <w:sz w:val="20"/>
        </w:rPr>
      </w:pPr>
      <w:r>
        <w:rPr>
          <w:rFonts w:ascii="Arial;sans-serif" w:hAnsi="Arial;sans-serif"/>
          <w:b/>
          <w:color w:val="000000"/>
          <w:sz w:val="20"/>
        </w:rPr>
        <w:t>9.    STOCKHOLDERS' EQUITY</w:t>
      </w:r>
    </w:p>
    <w:p>
      <w:pPr>
        <w:pStyle w:val="TextBody"/>
        <w:bidi w:val="0"/>
        <w:spacing w:lineRule="auto" w:line="268" w:before="240" w:after="283"/>
        <w:jc w:val="both"/>
        <w:rPr>
          <w:rFonts w:ascii="Arial;sans-serif" w:hAnsi="Arial;sans-serif"/>
          <w:b/>
          <w:color w:val="000000"/>
          <w:sz w:val="20"/>
        </w:rPr>
      </w:pPr>
      <w:r>
        <w:rPr>
          <w:rFonts w:ascii="Arial;sans-serif" w:hAnsi="Arial;sans-serif"/>
          <w:b/>
          <w:color w:val="000000"/>
          <w:sz w:val="20"/>
        </w:rPr>
        <w:t>Equity Transactions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Common Stock Repurchases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maintains a stock repurchase program, which has no expiration date and may be modified, suspended, or terminated by the Company's Board of Directors at any time. As of September 30, 2024, the Company did not have any remaining amount of Board authorization to repurchase shares of its Common Stock.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the nine months ended September 30, 2024, the Company completed open market repurchases for 755,284 shares of its Common Stock at a total cost of $11,493, or an average price of $15.22 per share. During the nine months ended September 30, 2023, the Company repurchased 3,307,541 shares of its Common Stock at an average price of $16.64 per share. The repurchases were part of a secondary public offering of the Company's shares by the Apollo Stockholder, as well as open market purchases.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settlement of a $25,000 Accelerated Share Repurchase Program occurred during January 2023, upon which the Company received an additional 480,932 shares.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Amazon Agreement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On December 13, 2019, the Company signed a six-year contract with Amazon to provide cargo services under the ATSA. In connection with the ATSA, the Company issued warrants to Amazon to purchase an aggregate of up to 9,482,606 shares of common stock at an exercise price of approximately $15.17 per share. During the nine months ended September 30, 2024 and 2023, 632,173 warrants vested in each period. As of September 30, 2024 and 2023, the cumulative vested warrants held by Amazon were 3,856,266 and 3,034,441, respectively. The exercise period of these warrants is through the eighth anniversary of the issue date. </w:t>
      </w:r>
    </w:p>
    <w:p>
      <w:pPr>
        <w:pStyle w:val="TextBody"/>
        <w:bidi w:val="0"/>
        <w:spacing w:lineRule="auto" w:line="288" w:before="240" w:after="283"/>
        <w:jc w:val="both"/>
        <w:rPr/>
      </w:pPr>
      <w:r>
        <w:rPr>
          <w:rFonts w:ascii="Arial;sans-serif" w:hAnsi="Arial;sans-serif"/>
          <w:b w:val="false"/>
          <w:color w:val="000000"/>
          <w:sz w:val="20"/>
        </w:rPr>
        <w:t xml:space="preserve">No incremental warrants were issued, nor was the original warrant agreement modified, upon the signing of the A&amp;R ATSA. For more information on the A&amp;R ATSA, see </w:t>
      </w:r>
      <w:hyperlink w:anchor="i54c189ddb00d4e19ac66c674081beae3_37">
        <w:r>
          <w:rPr>
            <w:rStyle w:val="InternetLink"/>
            <w:rFonts w:ascii="Arial;sans-serif" w:hAnsi="Arial;sans-serif"/>
            <w:b w:val="false"/>
            <w:color w:val="0000FF"/>
            <w:sz w:val="20"/>
            <w:u w:val="single"/>
          </w:rPr>
          <w:t>Note 2</w:t>
        </w:r>
      </w:hyperlink>
      <w:r>
        <w:rPr>
          <w:rFonts w:ascii="Arial;sans-serif" w:hAnsi="Arial;sans-serif"/>
          <w:b w:val="false"/>
          <w:color w:val="000000"/>
          <w:sz w:val="20"/>
        </w:rPr>
        <w:t xml:space="preserve">. </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Stock Compensation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first quarter of 2024, the Company issued performance-based restricted stock units (“PRSUs”) to certain employees. The PRSUs are long-term incentive opportunities that represent the right to receive shares of the Company’s Common Stock based on the achievement of certain performance conditions over a three-year period. Potential payouts range from 50%-150% of a target level. The maximum number of shares that may be issued on the PRSU vesting date is 255,057. The Company recognizes PRSU stock compensation expense to the extent it is probable the performance condition(s) will be satisfied.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Arial;sans-serif" w:hAnsi="Arial;sans-serif"/>
          <w:b/>
          <w:color w:val="000000"/>
          <w:sz w:val="20"/>
        </w:rPr>
      </w:pPr>
      <w:r>
        <w:rPr>
          <w:rFonts w:ascii="Arial;sans-serif" w:hAnsi="Arial;sans-serif"/>
          <w:b/>
          <w:color w:val="000000"/>
          <w:sz w:val="20"/>
        </w:rPr>
        <w:t>10.    COMMITMENTS AND CONTINGENCIES</w:t>
      </w:r>
    </w:p>
    <w:p>
      <w:pPr>
        <w:pStyle w:val="TextBody"/>
        <w:bidi w:val="0"/>
        <w:spacing w:lineRule="auto" w:line="288" w:before="240" w:after="283"/>
        <w:jc w:val="both"/>
        <w:rPr/>
      </w:pPr>
      <w:r>
        <w:rPr>
          <w:rFonts w:ascii="Arial;sans-serif" w:hAnsi="Arial;sans-serif"/>
          <w:b w:val="false"/>
          <w:color w:val="000000"/>
          <w:sz w:val="20"/>
        </w:rPr>
        <w:t xml:space="preserve">The Company has contractual obligations and commitments primarily with regard to lease arrangements, repayment of debt (see </w:t>
      </w:r>
      <w:hyperlink w:anchor="i54c189ddb00d4e19ac66c674081beae3_46">
        <w:r>
          <w:rPr>
            <w:rStyle w:val="InternetLink"/>
            <w:rFonts w:ascii="Arial;sans-serif" w:hAnsi="Arial;sans-serif"/>
            <w:b w:val="false"/>
            <w:color w:val="0000FF"/>
            <w:sz w:val="20"/>
            <w:u w:val="single"/>
          </w:rPr>
          <w:t>Note 5</w:t>
        </w:r>
      </w:hyperlink>
      <w:r>
        <w:rPr>
          <w:rFonts w:ascii="Arial;sans-serif" w:hAnsi="Arial;sans-serif"/>
          <w:b w:val="false"/>
          <w:color w:val="000000"/>
          <w:sz w:val="20"/>
        </w:rPr>
        <w:t xml:space="preserve">), payments under the TRA (see </w:t>
      </w:r>
      <w:hyperlink w:anchor="i54c189ddb00d4e19ac66c674081beae3_55">
        <w:r>
          <w:rPr>
            <w:rStyle w:val="InternetLink"/>
            <w:rFonts w:ascii="Arial;sans-serif" w:hAnsi="Arial;sans-serif"/>
            <w:b w:val="false"/>
            <w:color w:val="0000FF"/>
            <w:sz w:val="20"/>
            <w:u w:val="single"/>
          </w:rPr>
          <w:t>Note 8</w:t>
        </w:r>
      </w:hyperlink>
      <w:r>
        <w:rPr>
          <w:rFonts w:ascii="Arial;sans-serif" w:hAnsi="Arial;sans-serif"/>
          <w:b w:val="false"/>
          <w:color w:val="000000"/>
          <w:sz w:val="20"/>
        </w:rPr>
        <w:t>), and probable future purchases of aircraft.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is subject to an audit by the Internal Revenue Service (“IRS”) related to the collection of federal excise taxes on optional passenger seat selection charges covering the period of October 1, 2021 through June 30, 2023. During 2024, the Company received an assessment of approximately $2,700 from the IRS related to the results of the audit. The Company has appealed the results of the audit through a formal protest with the IRS. The Company believes a loss in this matter is not probable and has not recognized a loss contingency as of September 30, 2024.</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is subject to various legal proceedings in the normal course of business and expenses legal costs as incurred. Management does not believe these proceedings will have a materially adverse effect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16"/>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11.    OPERATING SEGMENTS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present financial information for the Company’s two operating segments: Passenger and Cargo.</w:t>
      </w:r>
    </w:p>
    <w:tbl>
      <w:tblPr>
        <w:tblW w:w="10205" w:type="dxa"/>
        <w:jc w:val="left"/>
        <w:tblInd w:w="0" w:type="dxa"/>
        <w:tblLayout w:type="fixed"/>
        <w:tblCellMar>
          <w:top w:w="28" w:type="dxa"/>
          <w:left w:w="28" w:type="dxa"/>
          <w:bottom w:w="28" w:type="dxa"/>
          <w:right w:w="28" w:type="dxa"/>
        </w:tblCellMar>
      </w:tblPr>
      <w:tblGrid>
        <w:gridCol w:w="608"/>
        <w:gridCol w:w="533"/>
        <w:gridCol w:w="536"/>
        <w:gridCol w:w="211"/>
        <w:gridCol w:w="856"/>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56"/>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2023</w:t>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Passenger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Passenger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Non-Fuel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61,179 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229,870 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8"/>
        <w:gridCol w:w="533"/>
        <w:gridCol w:w="536"/>
        <w:gridCol w:w="211"/>
        <w:gridCol w:w="856"/>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56"/>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2023</w:t>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Passenger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Passenger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804,077 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Non-Fuel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507,873 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185,829 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693,702 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86,499 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Arial;sans-serif" w:hAnsi="Arial;sans-serif"/>
          <w:b/>
          <w:color w:val="000000"/>
          <w:sz w:val="20"/>
        </w:rPr>
      </w:pPr>
      <w:r>
        <w:rPr>
          <w:rFonts w:ascii="Arial;sans-serif" w:hAnsi="Arial;sans-serif"/>
          <w:b/>
          <w:color w:val="000000"/>
          <w:sz w:val="20"/>
        </w:rPr>
        <w:t>12.    SUBSEQUENT EVENTS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evaluated subsequent events for the period from the Balance Sheet date through October 30, 2024, the date that the Condensed Consolidated Financial Statements were available to be issued.</w: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Unless otherwise indicated, the terms “Sun Country,” “we,” “us” and “our” refer to Sun Country Airlines Holdings,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240" w:after="283"/>
        <w:jc w:val="both"/>
        <w:rPr/>
      </w:pPr>
      <w:r>
        <w:rPr>
          <w:rFonts w:ascii="Arial;sans-serif" w:hAnsi="Arial;sans-serif"/>
          <w:b w:val="false"/>
          <w:i/>
          <w:color w:val="000000"/>
          <w:sz w:val="20"/>
        </w:rPr>
        <w:t>The following discussion and analysis presents factors that had a material effect on our results of operations during the nine months ended September 30, 2024 and 2023. Also discussed is our financial position as of September 30, 2024 and December 31, 2023. This section should be read in conjunction with our unaudited Condensed Consolidated Financial Statements and related notes appearing elsewhere in this Quarterly Report on Form 10-Q and our audited Consolidated Financial Statements and related notes and discussion under the heading, “Management’s Discussion and Analysis of Financial Condition and Results of Operations” in our 2023 10-K.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report titled, “Risk Factors” and elsewhere in this report. You should carefully read the “</w:t>
      </w:r>
      <w:hyperlink r:id="rId3">
        <w:r>
          <w:rPr>
            <w:rStyle w:val="InternetLink"/>
            <w:rFonts w:ascii="Arial;sans-serif" w:hAnsi="Arial;sans-serif"/>
            <w:b w:val="false"/>
            <w:i/>
            <w:color w:val="0000FF"/>
            <w:sz w:val="20"/>
            <w:u w:val="single"/>
          </w:rPr>
          <w:t>Risk Factors</w:t>
        </w:r>
      </w:hyperlink>
      <w:r>
        <w:rPr>
          <w:color w:val="000000"/>
        </w:rPr>
        <w:t xml:space="preserve">” </w:t>
      </w:r>
      <w:r>
        <w:rPr>
          <w:rFonts w:ascii="Arial;sans-serif" w:hAnsi="Arial;sans-serif"/>
          <w:b w:val="false"/>
          <w:i/>
          <w:color w:val="000000"/>
          <w:sz w:val="20"/>
        </w:rPr>
        <w:t>included in our 2023 10-K to gain an understanding of the important factors that could cause actual results to differ materially from our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Sun Country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Based in Minnesota, we focus on serving leisure and visiting friends and relatives ("VFR") passengers, Charter customers and providing crew, maintenance and insurance (“CMI”) service to Amazon, with flights throughout the U.S. and to destinations in Canada, Mexico, Central America and the Caribbean. We share resources, such as flight crews, across our Scheduled Service, Charter and Cargo business lines with the objective of generating high returns and margins and mitigating the seasonality of our route network. We optimize capacity using an agile peak demand scheduling strategy which aims to shift flying to markets during periods of peak demand and away from markets during periods of low demand. We believe this flexible business model provides greater resiliency to economic and industry downturns than a traditional scheduled service carrier. This strategy has been implemented and executed by an experienced management team with deep knowledge of the industry.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Scheduled Service business combines low costs with a high-quality product to generate higher Total Revenue per Available Seat Mile (“TRASM”) than Ultra Low-Cost Carriers (“ULCCs”) while maintaining lower Adjusted Cost per Available Seat Mile (“CASM”) than Low Cost Carriers (“LCCs”), resulting in best-in-class unit profitability. Our business includes many cost characteristics of ULCCs, such as an unbundled product (which means we offer a base fare and allow customers to purchase ancillary products and services for an additional fee), point-to-point service and a single-family fleet of Boeing 737-NG aircraft, which allow us to maintain a cost base comparable to ULCCs. However, we offer a high-quality product that we believe is superior to ULCCs and consistent with that of LCCs. For example, our product includes more average legroom than ULCCs, complimentary soft drinks and juices, complimentary in-flight entertainment, and in-seat power, none of which are offered by other ULCCs.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Charter business, which is one of the largest narrow body Charter operations in the United States, is synergistic with our other businesses and provides both inherent diversification and downside protection.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Charter business has several favorable characteristics, including: large repeat customers, more stable demand than Scheduled Service flying, and the ability to pass through certain costs, including fuel. Our diverse Charter customer base includes the DoD, collegiate and professional sports teams, and casino operators. Our Charter business includes ad hoc, repeat, short-term and long-term service contracts with pass through fuel arrangements and annual rate escalations. Most of our business is non-cyclical because the DoD and sports teams continue to fly during normal economic downturns and our casino contracts are long-term in nature. </w:t>
      </w:r>
    </w:p>
    <w:p>
      <w:pPr>
        <w:pStyle w:val="TextBody"/>
        <w:bidi w:val="0"/>
        <w:spacing w:lineRule="auto" w:line="288" w:before="240" w:after="283"/>
        <w:jc w:val="both"/>
        <w:rPr/>
      </w:pPr>
      <w:r>
        <w:rPr>
          <w:rFonts w:ascii="Arial;sans-serif" w:hAnsi="Arial;sans-serif"/>
          <w:b w:val="false"/>
          <w:color w:val="000000"/>
          <w:sz w:val="20"/>
        </w:rPr>
        <w:t xml:space="preserve">On December 13, 2019, we signed </w:t>
      </w:r>
      <w:r>
        <w:rPr>
          <w:rFonts w:ascii="Arial;sans-serif" w:hAnsi="Arial;sans-serif"/>
          <w:b w:val="false"/>
          <w:color w:val="231F20"/>
          <w:sz w:val="20"/>
        </w:rPr>
        <w:t xml:space="preserve">the </w:t>
      </w:r>
      <w:r>
        <w:rPr>
          <w:rFonts w:ascii="Arial;sans-serif" w:hAnsi="Arial;sans-serif"/>
          <w:b w:val="false"/>
          <w:color w:val="000000"/>
          <w:sz w:val="20"/>
        </w:rPr>
        <w:t xml:space="preserve">ATSA with Amazon to provide air cargo services. Flying under the ATSA began in May 2020 and we are currently operating 12 Boeing 737-800 cargo aircraft for Amazon. In June 2024, the Company entered into the A&amp;R ATSA with Amazon that will increase the number of 737-800 cargo aircraft that Sun Country operates on behalf of Amazon from 12 to 20. The A&amp;R ATSA includes revised economics to reflect the higher-cost environment that has ensued since the original ATSA was signed in December 2019. The first additional aircraft is expected to begin service in the first quarter of 2025, and all eight aircraft are expected to be operational by the end of the third quarter of 2025. The A&amp;R ATSA includes an initial six-year term, which expires in October 2030. The agreement includes two additional, two-year renewal terms exercisable at Amazon's option, and a subsequent three-year renewal term subject to mutual written agreement, which, if not agreed to, will trigger a final two-year wind-down term.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passenger businesses. Our cargo business also enables us to leverage certain assets, capabilities, and fixed costs to enhance profitability and promote growth across our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Operations in Review</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believe a key component of our success is establishing Sun Country as a high growth, low-cost carrier in the United States by attracting customers with low fares and garnering repeat business by delivering a high-quality passenger experience, offering state-of-the-art interiors, complimentary streaming of in-flight entertainment to passenger devices, seat reclining and seat-back power in all our aircraft.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Fuel price volatility, due to market conditions and geopolitical events and the impact of macroeconomic conditions, continue to impact the Company, as well as the industry. Our diversified business model, which includes a focus on leisure and VFR passengers, Charter and Cargo service, is unique in the airline sector and helps mitigate the impact of economic and industry downturns on our business when compared with other large U.S. passenger airlines. This strategy has allowed us to offset a majority of additional costs associated with fuel price volatility and the impact of macroeconomic conditions. Additionally, our Charter and Cargo businesses have the ability to pass on certain costs, including fuel. Our flexible business model gives us the ability to adjust our services in response to market conditions, which is targeted at producing the highest possible returns for Sun Country.</w:t>
      </w:r>
    </w:p>
    <w:p>
      <w:pPr>
        <w:pStyle w:val="TextBody"/>
        <w:bidi w:val="0"/>
        <w:spacing w:lineRule="auto" w:line="288" w:before="240" w:after="283"/>
        <w:jc w:val="both"/>
        <w:rPr/>
      </w:pPr>
      <w:r>
        <w:rPr>
          <w:rFonts w:ascii="Arial;sans-serif" w:hAnsi="Arial;sans-serif"/>
          <w:b w:val="false"/>
          <w:color w:val="000000"/>
          <w:sz w:val="20"/>
        </w:rPr>
        <w:t xml:space="preserve">For more information on our business and strategic advantages, see the "Business" and “Management’s Discussion and Analysis of Operations” sections within Part I, </w:t>
      </w:r>
      <w:hyperlink r:id="rId4">
        <w:r>
          <w:rPr>
            <w:rStyle w:val="InternetLink"/>
            <w:rFonts w:ascii="Arial;sans-serif" w:hAnsi="Arial;sans-serif"/>
            <w:b w:val="false"/>
            <w:color w:val="0000FF"/>
            <w:sz w:val="20"/>
            <w:u w:val="single"/>
          </w:rPr>
          <w:t>Item 1</w:t>
        </w:r>
      </w:hyperlink>
      <w:r>
        <w:rPr>
          <w:color w:val="000000"/>
        </w:rPr>
        <w:t xml:space="preserve"> </w:t>
      </w:r>
      <w:r>
        <w:rPr>
          <w:rFonts w:ascii="Arial;sans-serif" w:hAnsi="Arial;sans-serif"/>
          <w:b w:val="false"/>
          <w:color w:val="000000"/>
          <w:sz w:val="20"/>
        </w:rPr>
        <w:t xml:space="preserve">and Part II, </w:t>
      </w:r>
      <w:hyperlink r:id="rId5">
        <w:r>
          <w:rPr>
            <w:rStyle w:val="InternetLink"/>
            <w:rFonts w:ascii="Arial;sans-serif" w:hAnsi="Arial;sans-serif"/>
            <w:b w:val="false"/>
            <w:color w:val="0000FF"/>
            <w:sz w:val="20"/>
            <w:u w:val="single"/>
          </w:rPr>
          <w:t>Item 7</w:t>
        </w:r>
      </w:hyperlink>
      <w:r>
        <w:rPr>
          <w:rFonts w:ascii="Arial;sans-serif" w:hAnsi="Arial;sans-serif"/>
          <w:b w:val="false"/>
          <w:color w:val="000000"/>
          <w:sz w:val="20"/>
        </w:rPr>
        <w:t>, respectively, in our 2023 10-K.</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Components of Operations</w:t>
      </w:r>
    </w:p>
    <w:p>
      <w:pPr>
        <w:pStyle w:val="TextBody"/>
        <w:bidi w:val="0"/>
        <w:spacing w:lineRule="auto" w:line="288" w:before="240" w:after="283"/>
        <w:jc w:val="both"/>
        <w:rPr/>
      </w:pPr>
      <w:r>
        <w:rPr>
          <w:rFonts w:ascii="Arial;sans-serif" w:hAnsi="Arial;sans-serif"/>
          <w:b w:val="false"/>
          <w:color w:val="000000"/>
          <w:sz w:val="20"/>
        </w:rPr>
        <w:t xml:space="preserve">For a more detailed discussion on the nature of transactions included in the separate line items of our Condensed Consolidated Statement of Operations, see “Management’s Discussion and Analysis of Operations” in Part II, </w:t>
      </w:r>
      <w:hyperlink r:id="rId6">
        <w:r>
          <w:rPr>
            <w:rStyle w:val="InternetLink"/>
            <w:rFonts w:ascii="Arial;sans-serif" w:hAnsi="Arial;sans-serif"/>
            <w:b w:val="false"/>
            <w:color w:val="0000FF"/>
            <w:sz w:val="20"/>
            <w:u w:val="single"/>
          </w:rPr>
          <w:t>Item 7</w:t>
        </w:r>
      </w:hyperlink>
      <w:r>
        <w:rPr>
          <w:color w:val="000000"/>
        </w:rPr>
        <w:t xml:space="preserve"> </w:t>
      </w:r>
      <w:r>
        <w:rPr>
          <w:rFonts w:ascii="Arial;sans-serif" w:hAnsi="Arial;sans-serif"/>
          <w:b w:val="false"/>
          <w:color w:val="000000"/>
          <w:sz w:val="20"/>
        </w:rPr>
        <w:t>in our 2023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Operating Statistics</w:t>
      </w:r>
    </w:p>
    <w:tbl>
      <w:tblPr>
        <w:tblW w:w="10205" w:type="dxa"/>
        <w:jc w:val="left"/>
        <w:tblInd w:w="0" w:type="dxa"/>
        <w:tblLayout w:type="fixed"/>
        <w:tblCellMar>
          <w:top w:w="28" w:type="dxa"/>
          <w:left w:w="28" w:type="dxa"/>
          <w:bottom w:w="28" w:type="dxa"/>
          <w:right w:w="28" w:type="dxa"/>
        </w:tblCellMar>
      </w:tblPr>
      <w:tblGrid>
        <w:gridCol w:w="706"/>
        <w:gridCol w:w="611"/>
        <w:gridCol w:w="617"/>
        <w:gridCol w:w="236"/>
        <w:gridCol w:w="154"/>
        <w:gridCol w:w="301"/>
        <w:gridCol w:w="109"/>
        <w:gridCol w:w="109"/>
        <w:gridCol w:w="109"/>
        <w:gridCol w:w="178"/>
        <w:gridCol w:w="438"/>
        <w:gridCol w:w="109"/>
        <w:gridCol w:w="109"/>
        <w:gridCol w:w="109"/>
        <w:gridCol w:w="109"/>
        <w:gridCol w:w="308"/>
        <w:gridCol w:w="308"/>
        <w:gridCol w:w="151"/>
        <w:gridCol w:w="109"/>
        <w:gridCol w:w="109"/>
        <w:gridCol w:w="109"/>
        <w:gridCol w:w="219"/>
        <w:gridCol w:w="457"/>
        <w:gridCol w:w="109"/>
        <w:gridCol w:w="109"/>
        <w:gridCol w:w="109"/>
        <w:gridCol w:w="109"/>
        <w:gridCol w:w="236"/>
        <w:gridCol w:w="154"/>
        <w:gridCol w:w="301"/>
        <w:gridCol w:w="109"/>
        <w:gridCol w:w="109"/>
        <w:gridCol w:w="109"/>
        <w:gridCol w:w="178"/>
        <w:gridCol w:w="438"/>
        <w:gridCol w:w="109"/>
        <w:gridCol w:w="109"/>
        <w:gridCol w:w="109"/>
        <w:gridCol w:w="109"/>
        <w:gridCol w:w="308"/>
        <w:gridCol w:w="308"/>
        <w:gridCol w:w="151"/>
        <w:gridCol w:w="109"/>
        <w:gridCol w:w="109"/>
        <w:gridCol w:w="109"/>
        <w:gridCol w:w="219"/>
        <w:gridCol w:w="457"/>
        <w:gridCol w:w="155"/>
      </w:tblGrid>
      <w:tr>
        <w:trPr/>
        <w:tc>
          <w:tcPr>
            <w:tcW w:w="7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 xml:space="preserve">Three Months Ended September 30, 2024 </w:t>
            </w:r>
            <w:r>
              <w:rPr>
                <w:rFonts w:ascii="Arial;sans-serif" w:hAnsi="Arial;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 xml:space="preserve">Three Months Ended September 30, 2023 </w:t>
            </w:r>
            <w:r>
              <w:rPr>
                <w:rFonts w:ascii="Arial;sans-serif" w:hAnsi="Arial;sans-serif"/>
                <w:b/>
                <w:color w:val="000000"/>
                <w:sz w:val="8"/>
              </w:rPr>
              <w:t>(1)</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Scheduled</w:t>
              <w:br/>
              <w:t xml:space="preserve">Service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Charter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Scheduled</w:t>
              <w:br/>
              <w:t xml:space="preserve">Service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Charter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Departures </w:t>
            </w:r>
            <w:r>
              <w:rPr>
                <w:rFonts w:ascii="Arial;sans-serif" w:hAnsi="Arial;sans-serif"/>
                <w:b w:val="false"/>
                <w:color w:val="000000"/>
                <w:sz w:val="8"/>
              </w:rPr>
              <w:t>(2)</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3,519 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3,432 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13,128 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Block hours </w:t>
            </w:r>
            <w:r>
              <w:rPr>
                <w:rFonts w:ascii="Arial;sans-serif" w:hAnsi="Arial;sans-serif"/>
                <w:b w:val="false"/>
                <w:color w:val="000000"/>
                <w:sz w:val="8"/>
              </w:rPr>
              <w:t>(2)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8,957 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9,287 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34,874 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Aircraft miles </w:t>
            </w:r>
            <w:r>
              <w:rPr>
                <w:rFonts w:ascii="Arial;sans-serif" w:hAnsi="Arial;sans-serif"/>
                <w:b w:val="false"/>
                <w:color w:val="000000"/>
                <w:sz w:val="8"/>
              </w:rPr>
              <w:t>(2)</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8,226,118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1,849,230 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3,439,083 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13,661,813 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7,776,676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1,841,921 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3,599,149 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13,341,868 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Available seat miles (ASMs) (thousands) </w:t>
            </w:r>
            <w:r>
              <w:rPr>
                <w:rFonts w:ascii="Arial;sans-serif" w:hAnsi="Arial;sans-serif"/>
                <w:b w:val="false"/>
                <w:color w:val="000000"/>
                <w:sz w:val="8"/>
              </w:rPr>
              <w:t>(2)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1,530,058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328,142 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1,884,889 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1,446,462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322,722 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1,791,485 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Total revenue per ASM (TRASM) (cents)</w:t>
            </w:r>
            <w:r>
              <w:rPr>
                <w:color w:val="000000"/>
              </w:rPr>
              <w:t xml:space="preserve"> </w:t>
            </w:r>
            <w:r>
              <w:rPr>
                <w:rFonts w:ascii="Arial;sans-serif" w:hAnsi="Arial;sans-serif"/>
                <w:b w:val="false"/>
                <w:color w:val="000000"/>
                <w:sz w:val="8"/>
              </w:rPr>
              <w:t>(3)</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Average passenger aircraft during the period </w:t>
            </w:r>
            <w:r>
              <w:rPr>
                <w:rFonts w:ascii="Arial;sans-serif" w:hAnsi="Arial;sans-serif"/>
                <w:b w:val="false"/>
                <w:color w:val="000000"/>
                <w:sz w:val="8"/>
              </w:rPr>
              <w:t>(4)</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Passenger aircraft at end of period </w:t>
            </w:r>
            <w:r>
              <w:rPr>
                <w:rFonts w:ascii="Arial;sans-serif" w:hAnsi="Arial;sans-serif"/>
                <w:b w:val="false"/>
                <w:color w:val="000000"/>
                <w:sz w:val="8"/>
              </w:rPr>
              <w:t>(4)</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Cargo aircraft at end of period</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Leased Aircraft </w:t>
            </w:r>
            <w:r>
              <w:rPr>
                <w:rFonts w:ascii="Arial;sans-serif" w:hAnsi="Arial;sans-serif"/>
                <w:b w:val="false"/>
                <w:color w:val="000000"/>
                <w:sz w:val="8"/>
              </w:rPr>
              <w:t>(5)</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Average daily aircraft utilization (hours) </w:t>
            </w:r>
            <w:r>
              <w:rPr>
                <w:rFonts w:ascii="Arial;sans-serif" w:hAnsi="Arial;sans-serif"/>
                <w:b w:val="false"/>
                <w:color w:val="000000"/>
                <w:sz w:val="8"/>
              </w:rPr>
              <w:t>(4)</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stage length (miles)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Revenue passengers carried </w:t>
            </w:r>
            <w:r>
              <w:rPr>
                <w:rFonts w:ascii="Arial;sans-serif" w:hAnsi="Arial;sans-serif"/>
                <w:b w:val="false"/>
                <w:color w:val="000000"/>
                <w:sz w:val="8"/>
              </w:rPr>
              <w:t>(6)</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1,112,455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1,090,172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Revenue passenger miles (RPMs) (thousands) </w:t>
            </w:r>
            <w:r>
              <w:rPr>
                <w:rFonts w:ascii="Arial;sans-serif" w:hAnsi="Arial;sans-serif"/>
                <w:b w:val="false"/>
                <w:color w:val="000000"/>
                <w:sz w:val="8"/>
              </w:rPr>
              <w:t>(6)</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1,288,460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1,252,583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Load factor </w:t>
            </w:r>
            <w:r>
              <w:rPr>
                <w:rFonts w:ascii="Arial;sans-serif" w:hAnsi="Arial;sans-serif"/>
                <w:b w:val="false"/>
                <w:color w:val="000000"/>
                <w:sz w:val="8"/>
              </w:rPr>
              <w:t>(6)</w:t>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84.2 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86.6 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Average base fare per passenger </w:t>
            </w:r>
            <w:r>
              <w:rPr>
                <w:rFonts w:ascii="Arial;sans-serif" w:hAnsi="Arial;sans-serif"/>
                <w:b w:val="false"/>
                <w:color w:val="000000"/>
                <w:sz w:val="8"/>
              </w:rPr>
              <w:t>(6)</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Ancillary revenue per passenger </w:t>
            </w:r>
            <w:r>
              <w:rPr>
                <w:rFonts w:ascii="Arial;sans-serif" w:hAnsi="Arial;sans-serif"/>
                <w:b w:val="false"/>
                <w:color w:val="000000"/>
                <w:sz w:val="8"/>
              </w:rPr>
              <w:t>(6)</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Total fare per passenger </w:t>
            </w:r>
            <w:r>
              <w:rPr>
                <w:rFonts w:ascii="Arial;sans-serif" w:hAnsi="Arial;sans-serif"/>
                <w:b w:val="false"/>
                <w:color w:val="000000"/>
                <w:sz w:val="8"/>
              </w:rPr>
              <w:t>(6)</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Charter revenue per block hour</w:t>
            </w:r>
            <w:r>
              <w:rPr>
                <w:color w:val="000000"/>
              </w:rPr>
              <w:t xml:space="preserve"> </w:t>
            </w:r>
            <w:r>
              <w:rPr>
                <w:rFonts w:ascii="Arial;sans-serif" w:hAnsi="Arial;sans-serif"/>
                <w:b w:val="false"/>
                <w:color w:val="000000"/>
                <w:sz w:val="8"/>
              </w:rPr>
              <w:t>(6)</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Fuel gallons consumed (thousands) </w:t>
            </w:r>
            <w:r>
              <w:rPr>
                <w:rFonts w:ascii="Arial;sans-serif" w:hAnsi="Arial;sans-serif"/>
                <w:b w:val="false"/>
                <w:color w:val="000000"/>
                <w:sz w:val="8"/>
              </w:rPr>
              <w:t>(2)</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19,262 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Fuel cost per gallon, excluding indirect fuel credits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Employees at end of period</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Cost per available seat mile (CASM) (cents) </w:t>
            </w:r>
            <w:r>
              <w:rPr>
                <w:rFonts w:ascii="Arial;sans-serif" w:hAnsi="Arial;sans-serif"/>
                <w:b w:val="false"/>
                <w:color w:val="000000"/>
                <w:sz w:val="8"/>
              </w:rPr>
              <w:t>(7)</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Adjusted CASM (cents) </w:t>
            </w:r>
            <w:r>
              <w:rPr>
                <w:rFonts w:ascii="Arial;sans-serif" w:hAnsi="Arial;sans-serif"/>
                <w:b w:val="false"/>
                <w:color w:val="000000"/>
                <w:sz w:val="8"/>
              </w:rPr>
              <w:t>(8)</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(1)Certain operating statistics and metrics are not presented as they are not calculable or are not utilized by management.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(2)Total System operating statistics for Departures, Block hours, Aircraft miles, ASMs and Fuel gallons consumed include amounts related to flights operated for maintenance; therefore, the Total System amounts are higher than the sum of Scheduled Service, Charter and Cargo amounts.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(3)Scheduled Service TRASM includes Schedule Service revenue, Ancillary revenue, and ASM generating revenue classified within Other Revenue on the Condensed Consolidated Statements of Operations.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(4)Scheduled Service and Charter utilize the same fleet of aircraft. Aircraft counts and utilization metrics are shown on a system basis only.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(5)Includes both the Company's Owned Aircraft Held for Operating Lease as well as subleased aircraft. These aircraft are leased to unaffiliated third parties.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(6)Passenger-related statistics and metrics are shown only for Scheduled Service. Charter revenue is driven by flight statistics.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(7)CASM is a key airline cost metric. CASM is defined as operating expenses divided by total available seat miles.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(8)Adjusted CASM is a non-GAAP measure derived from CASM by excluding fuel costs, costs related to our cargo operations, and certain other costs that are unrelated to our airline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06"/>
        <w:gridCol w:w="611"/>
        <w:gridCol w:w="617"/>
        <w:gridCol w:w="236"/>
        <w:gridCol w:w="154"/>
        <w:gridCol w:w="301"/>
        <w:gridCol w:w="109"/>
        <w:gridCol w:w="109"/>
        <w:gridCol w:w="109"/>
        <w:gridCol w:w="178"/>
        <w:gridCol w:w="438"/>
        <w:gridCol w:w="109"/>
        <w:gridCol w:w="109"/>
        <w:gridCol w:w="109"/>
        <w:gridCol w:w="109"/>
        <w:gridCol w:w="308"/>
        <w:gridCol w:w="308"/>
        <w:gridCol w:w="151"/>
        <w:gridCol w:w="109"/>
        <w:gridCol w:w="109"/>
        <w:gridCol w:w="109"/>
        <w:gridCol w:w="218"/>
        <w:gridCol w:w="458"/>
        <w:gridCol w:w="109"/>
        <w:gridCol w:w="109"/>
        <w:gridCol w:w="109"/>
        <w:gridCol w:w="109"/>
        <w:gridCol w:w="236"/>
        <w:gridCol w:w="154"/>
        <w:gridCol w:w="301"/>
        <w:gridCol w:w="109"/>
        <w:gridCol w:w="109"/>
        <w:gridCol w:w="109"/>
        <w:gridCol w:w="178"/>
        <w:gridCol w:w="438"/>
        <w:gridCol w:w="109"/>
        <w:gridCol w:w="109"/>
        <w:gridCol w:w="109"/>
        <w:gridCol w:w="109"/>
        <w:gridCol w:w="308"/>
        <w:gridCol w:w="308"/>
        <w:gridCol w:w="151"/>
        <w:gridCol w:w="109"/>
        <w:gridCol w:w="109"/>
        <w:gridCol w:w="109"/>
        <w:gridCol w:w="218"/>
        <w:gridCol w:w="458"/>
        <w:gridCol w:w="155"/>
      </w:tblGrid>
      <w:tr>
        <w:trPr/>
        <w:tc>
          <w:tcPr>
            <w:tcW w:w="7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 xml:space="preserve">Nine Months Ended September 30, 2024 </w:t>
            </w:r>
            <w:r>
              <w:rPr>
                <w:rFonts w:ascii="Arial;sans-serif" w:hAnsi="Arial;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 xml:space="preserve">Nine Months Ended September 30, 2023 </w:t>
            </w:r>
            <w:r>
              <w:rPr>
                <w:rFonts w:ascii="Arial;sans-serif" w:hAnsi="Arial;sans-serif"/>
                <w:b/>
                <w:color w:val="000000"/>
                <w:sz w:val="8"/>
              </w:rPr>
              <w:t>(1)</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Scheduled</w:t>
              <w:br/>
              <w:t xml:space="preserve">Service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Charter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Scheduled</w:t>
              <w:br/>
              <w:t xml:space="preserve">Service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Charter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Cargo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Departures </w:t>
            </w:r>
            <w:r>
              <w:rPr>
                <w:rFonts w:ascii="Arial;sans-serif" w:hAnsi="Arial;sans-serif"/>
                <w:b w:val="false"/>
                <w:color w:val="000000"/>
                <w:sz w:val="8"/>
              </w:rPr>
              <w:t>(2)</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9,726 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9,643 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37,295 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Block hours </w:t>
            </w:r>
            <w:r>
              <w:rPr>
                <w:rFonts w:ascii="Arial;sans-serif" w:hAnsi="Arial;sans-serif"/>
                <w:b w:val="false"/>
                <w:color w:val="000000"/>
                <w:sz w:val="8"/>
              </w:rPr>
              <w:t>(2)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25,008 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25,633 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104,188 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Aircraft miles </w:t>
            </w:r>
            <w:r>
              <w:rPr>
                <w:rFonts w:ascii="Arial;sans-serif" w:hAnsi="Arial;sans-serif"/>
                <w:b w:val="false"/>
                <w:color w:val="000000"/>
                <w:sz w:val="8"/>
              </w:rPr>
              <w:t>(2)</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27,413,311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5,300,705 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9,465,884 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42,579,400 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24,139,614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5,522,791 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9,732,308 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39,758,210 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Available seat miles (ASMs) (thousands) </w:t>
            </w:r>
            <w:r>
              <w:rPr>
                <w:rFonts w:ascii="Arial;sans-serif" w:hAnsi="Arial;sans-serif"/>
                <w:b w:val="false"/>
                <w:color w:val="000000"/>
                <w:sz w:val="8"/>
              </w:rPr>
              <w:t>(2)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5,098,876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937,057 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6,108,695 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4,489,968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961,953 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5,516,826 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Total revenue per ASM (TRASM) (cents)</w:t>
            </w:r>
            <w:r>
              <w:rPr>
                <w:color w:val="000000"/>
              </w:rPr>
              <w:t xml:space="preserve"> </w:t>
            </w:r>
            <w:r>
              <w:rPr>
                <w:rFonts w:ascii="Arial;sans-serif" w:hAnsi="Arial;sans-serif"/>
                <w:b w:val="false"/>
                <w:color w:val="000000"/>
                <w:sz w:val="8"/>
              </w:rPr>
              <w:t>(3)</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Average passenger aircraft during the period </w:t>
            </w:r>
            <w:r>
              <w:rPr>
                <w:rFonts w:ascii="Arial;sans-serif" w:hAnsi="Arial;sans-serif"/>
                <w:b w:val="false"/>
                <w:color w:val="000000"/>
                <w:sz w:val="8"/>
              </w:rPr>
              <w:t>(4)</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Passenger aircraft at end of period </w:t>
            </w:r>
            <w:r>
              <w:rPr>
                <w:rFonts w:ascii="Arial;sans-serif" w:hAnsi="Arial;sans-serif"/>
                <w:b w:val="false"/>
                <w:color w:val="000000"/>
                <w:sz w:val="8"/>
              </w:rPr>
              <w:t>(4)</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Cargo aircraft at end of period</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Leased Aircraft </w:t>
            </w:r>
            <w:r>
              <w:rPr>
                <w:rFonts w:ascii="Arial;sans-serif" w:hAnsi="Arial;sans-serif"/>
                <w:b w:val="false"/>
                <w:color w:val="000000"/>
                <w:sz w:val="8"/>
              </w:rPr>
              <w:t>(5)</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Average daily aircraft utilization (hours) </w:t>
            </w:r>
            <w:r>
              <w:rPr>
                <w:rFonts w:ascii="Arial;sans-serif" w:hAnsi="Arial;sans-serif"/>
                <w:b w:val="false"/>
                <w:color w:val="000000"/>
                <w:sz w:val="8"/>
              </w:rPr>
              <w:t>(4)</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stage length (miles)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Revenue passengers carried </w:t>
            </w:r>
            <w:r>
              <w:rPr>
                <w:rFonts w:ascii="Arial;sans-serif" w:hAnsi="Arial;sans-serif"/>
                <w:b w:val="false"/>
                <w:color w:val="000000"/>
                <w:sz w:val="8"/>
              </w:rPr>
              <w:t>(6)</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3,437,005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3,093,536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Revenue passenger miles (RPMs) (thousands) </w:t>
            </w:r>
            <w:r>
              <w:rPr>
                <w:rFonts w:ascii="Arial;sans-serif" w:hAnsi="Arial;sans-serif"/>
                <w:b w:val="false"/>
                <w:color w:val="000000"/>
                <w:sz w:val="8"/>
              </w:rPr>
              <w:t>(6)</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4,335,623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3,900,975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Load factor </w:t>
            </w:r>
            <w:r>
              <w:rPr>
                <w:rFonts w:ascii="Arial;sans-serif" w:hAnsi="Arial;sans-serif"/>
                <w:b w:val="false"/>
                <w:color w:val="000000"/>
                <w:sz w:val="8"/>
              </w:rPr>
              <w:t>(6)</w:t>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86.9 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Average base fare per passenger </w:t>
            </w:r>
            <w:r>
              <w:rPr>
                <w:rFonts w:ascii="Arial;sans-serif" w:hAnsi="Arial;sans-serif"/>
                <w:b w:val="false"/>
                <w:color w:val="000000"/>
                <w:sz w:val="8"/>
              </w:rPr>
              <w:t>(6)</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Ancillary revenue per passenger </w:t>
            </w:r>
            <w:r>
              <w:rPr>
                <w:rFonts w:ascii="Arial;sans-serif" w:hAnsi="Arial;sans-serif"/>
                <w:b w:val="false"/>
                <w:color w:val="000000"/>
                <w:sz w:val="8"/>
              </w:rPr>
              <w:t>(6)</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Total fare per passenger </w:t>
            </w:r>
            <w:r>
              <w:rPr>
                <w:rFonts w:ascii="Arial;sans-serif" w:hAnsi="Arial;sans-serif"/>
                <w:b w:val="false"/>
                <w:color w:val="000000"/>
                <w:sz w:val="8"/>
              </w:rPr>
              <w:t>(6)</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Charter revenue per block hour</w:t>
            </w:r>
            <w:r>
              <w:rPr>
                <w:color w:val="000000"/>
              </w:rPr>
              <w:t xml:space="preserve"> </w:t>
            </w:r>
            <w:r>
              <w:rPr>
                <w:rFonts w:ascii="Arial;sans-serif" w:hAnsi="Arial;sans-serif"/>
                <w:b w:val="false"/>
                <w:color w:val="000000"/>
                <w:sz w:val="8"/>
              </w:rPr>
              <w:t>(6)</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Fuel gallons consumed (thousands) </w:t>
            </w:r>
            <w:r>
              <w:rPr>
                <w:rFonts w:ascii="Arial;sans-serif" w:hAnsi="Arial;sans-serif"/>
                <w:b w:val="false"/>
                <w:color w:val="000000"/>
                <w:sz w:val="8"/>
              </w:rPr>
              <w:t>(2)</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59,734 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Fuel cost per gallon, excluding indirect fuel credits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Employees at end of period</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Cost per available seat mile (CASM) (cents) </w:t>
            </w:r>
            <w:r>
              <w:rPr>
                <w:rFonts w:ascii="Arial;sans-serif" w:hAnsi="Arial;sans-serif"/>
                <w:b w:val="false"/>
                <w:color w:val="000000"/>
                <w:sz w:val="8"/>
              </w:rPr>
              <w:t>(7)</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Adjusted CASM (cents) </w:t>
            </w:r>
            <w:r>
              <w:rPr>
                <w:rFonts w:ascii="Arial;sans-serif" w:hAnsi="Arial;sans-serif"/>
                <w:b w:val="false"/>
                <w:color w:val="000000"/>
                <w:sz w:val="8"/>
              </w:rPr>
              <w:t>(8)</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(1)Certain operating statistics and metrics are not presented as they are not calculable or are not utilized by management.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(2)Total System operating statistics for Departures, Block hours, Aircraft miles, ASMs and Fuel gallons consumed include amounts related to flights operated for maintenance; therefore, the Total System amounts are higher than the sum of Scheduled Service, Charter and Cargo amounts.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(3)Scheduled Service TRASM includes Schedule Service revenue, Ancillary revenue, and ASM generating revenue classified within Other Revenue on the Condensed Consolidated Statements of Operations.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(4)Scheduled Service and Charter utilize the same fleet of aircraft. Aircraft counts and utilization metrics are shown on a system basis only.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(5)Includes both the Company's Owned Aircraft Held for Operating Lease as well as subleased aircraft. These aircraft are leased to unaffiliated third parties.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(6)Passenger-related statistics and metrics are shown only for Scheduled Service. Charter revenue is driven by flight statistics.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(7)CASM is a key airline cost metric. CASM is defined as operating expenses divided by total available seat miles.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(8)Adjusted CASM is a non-GAAP measure derived from CASM by excluding fuel costs, costs related to our cargo operations, and certain other costs that are unrelated to our airline operations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 the Three Months Ended September 30, 2024 and 2023</w:t>
      </w:r>
    </w:p>
    <w:p>
      <w:pPr>
        <w:pStyle w:val="TextBody"/>
        <w:bidi w:val="0"/>
        <w:spacing w:before="0" w:after="0"/>
        <w:jc w:val="both"/>
        <w:rPr/>
      </w:pPr>
      <w:r>
        <w:rPr/>
      </w:r>
    </w:p>
    <w:tbl>
      <w:tblPr>
        <w:tblW w:w="7554" w:type="dxa"/>
        <w:jc w:val="left"/>
        <w:tblInd w:w="0" w:type="dxa"/>
        <w:tblLayout w:type="fixed"/>
        <w:tblCellMar>
          <w:top w:w="28" w:type="dxa"/>
          <w:left w:w="28" w:type="dxa"/>
          <w:bottom w:w="28" w:type="dxa"/>
          <w:right w:w="28" w:type="dxa"/>
        </w:tblCellMar>
      </w:tblPr>
      <w:tblGrid>
        <w:gridCol w:w="1168"/>
        <w:gridCol w:w="1026"/>
        <w:gridCol w:w="1030"/>
        <w:gridCol w:w="250"/>
        <w:gridCol w:w="890"/>
        <w:gridCol w:w="129"/>
        <w:gridCol w:w="129"/>
        <w:gridCol w:w="129"/>
        <w:gridCol w:w="129"/>
        <w:gridCol w:w="250"/>
        <w:gridCol w:w="890"/>
        <w:gridCol w:w="129"/>
        <w:gridCol w:w="109"/>
        <w:gridCol w:w="109"/>
        <w:gridCol w:w="109"/>
        <w:gridCol w:w="290"/>
        <w:gridCol w:w="250"/>
        <w:gridCol w:w="538"/>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Revenues:</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Scheduled Service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83,784 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96,483 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Charter</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Ancillary</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Passenger </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207,764 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214,355 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249,470 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248,876 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Maintenance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Ground Handling</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Landing Fees and Airport Rent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237,088 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229,870 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Operating Income </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12,382 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Non-operating Income (Expense):</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both"/>
        <w:rPr>
          <w:color w:val="000000"/>
        </w:rPr>
      </w:pPr>
      <w:r>
        <w:rPr>
          <w:color w:val="000000"/>
        </w:rPr>
        <w:t>“</w:t>
      </w:r>
      <w:r>
        <w:rPr>
          <w:rFonts w:ascii="Arial;sans-serif" w:hAnsi="Arial;sans-serif"/>
          <w:b w:val="false"/>
          <w:color w:val="000000"/>
          <w:sz w:val="12"/>
        </w:rPr>
        <w:t>NM” stands for not meaningful</w:t>
      </w:r>
    </w:p>
    <w:p>
      <w:pPr>
        <w:pStyle w:val="TextBody"/>
        <w:bidi w:val="0"/>
        <w:spacing w:lineRule="auto" w:line="276" w:before="180" w:after="283"/>
        <w:jc w:val="both"/>
        <w:rPr>
          <w:rFonts w:ascii="Arial;sans-serif" w:hAnsi="Arial;sans-serif"/>
          <w:b w:val="false"/>
          <w:color w:val="000000"/>
          <w:sz w:val="20"/>
        </w:rPr>
      </w:pPr>
      <w:r>
        <w:rPr>
          <w:rFonts w:ascii="Arial;sans-serif" w:hAnsi="Arial;sans-serif"/>
          <w:b w:val="false"/>
          <w:color w:val="000000"/>
          <w:sz w:val="20"/>
        </w:rPr>
        <w:t xml:space="preserve">Total Operating Revenues were $249,470 for the three months ended September 30, 2024. The quarter-over-quarter change in Total Operating Revenues was nominal. The increase in rental revenue included within Other revenue, as well as the increase in Cargo revenue due to the A&amp;R ATSA, were largely offset by a decrease in Passenger revenue as a result of an 8% decrease in total fare per passenger. These items are discussed in further detail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i/>
          <w:color w:val="000000"/>
          <w:sz w:val="20"/>
        </w:rPr>
        <w:t xml:space="preserve">Passenger. </w:t>
      </w:r>
      <w:r>
        <w:rPr>
          <w:rFonts w:ascii="Arial;sans-serif" w:hAnsi="Arial;sans-serif"/>
          <w:b w:val="false"/>
          <w:color w:val="000000"/>
          <w:sz w:val="20"/>
        </w:rPr>
        <w:t>Passenger revenue decreased $6,591, or 3%, to $207,764 for the three months ended September 30, 2024 as compared to the three months ended September 30, 2023. The table below presents select operating data for lines of revenue within Passenger, expressed as quarter-over-quarter changes:</w:t>
      </w:r>
    </w:p>
    <w:tbl>
      <w:tblPr>
        <w:tblW w:w="9344" w:type="dxa"/>
        <w:jc w:val="left"/>
        <w:tblInd w:w="0" w:type="dxa"/>
        <w:tblLayout w:type="fixed"/>
        <w:tblCellMar>
          <w:top w:w="28" w:type="dxa"/>
          <w:left w:w="28" w:type="dxa"/>
          <w:bottom w:w="28" w:type="dxa"/>
          <w:right w:w="28" w:type="dxa"/>
        </w:tblCellMar>
      </w:tblPr>
      <w:tblGrid>
        <w:gridCol w:w="761"/>
        <w:gridCol w:w="672"/>
        <w:gridCol w:w="672"/>
        <w:gridCol w:w="993"/>
        <w:gridCol w:w="993"/>
        <w:gridCol w:w="998"/>
        <w:gridCol w:w="223"/>
        <w:gridCol w:w="798"/>
        <w:gridCol w:w="296"/>
        <w:gridCol w:w="112"/>
        <w:gridCol w:w="112"/>
        <w:gridCol w:w="112"/>
        <w:gridCol w:w="223"/>
        <w:gridCol w:w="798"/>
        <w:gridCol w:w="296"/>
        <w:gridCol w:w="109"/>
        <w:gridCol w:w="109"/>
        <w:gridCol w:w="109"/>
        <w:gridCol w:w="248"/>
        <w:gridCol w:w="248"/>
        <w:gridCol w:w="462"/>
      </w:tblGrid>
      <w:tr>
        <w:trPr/>
        <w:tc>
          <w:tcPr>
            <w:tcW w:w="76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8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Scheduled Service and Ancillary Statistics:</w:t>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21,416 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19,935 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1,112,455 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1,090,172 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base fare per passenger</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Ancillary revenue per passenger</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fare per passenger</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153.11 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RPMs (thousands)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1,288,460 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1,252,583 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ASMs (thousands)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1,530,058 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1,446,462 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TRASM (cents)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load factor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Charter Statistics:</w:t>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Charter revenue per block hour</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decreases in both total fare per passenger and TRASM were impacted by increased capacity across the industry. The increase in capacity by the Company and across the industry also had an impact on the 2.4% reduction in load factor. Volume increases due to operational growth partially offset the quarter-over-quarter decreases in both total fare per passenger, TRASM, and load factor. As a result of the operational growth, both Scheduled Service departures and ASMs increased by 6%, which drove the 2% increase in passengers. The 2% increase in Schedule Service passengers during the period also resulted in greater sales of ancillary products.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Passenger revenue benefited from the $3,332, or 7%, increase in Charter revenue during the three months ended September 30, 2024, as compared to the three months ended September 30, 2023. This increase was the result of a 5% improvement in Charter revenue per block hour and a 2% increase in block hours. The improvement in Charter revenue per block hour was due to rate increases and management initiatives to reduce the number of ferry flights.</w:t>
      </w:r>
    </w:p>
    <w:p>
      <w:pPr>
        <w:pStyle w:val="TextBody"/>
        <w:bidi w:val="0"/>
        <w:spacing w:lineRule="auto" w:line="288" w:before="240" w:after="283"/>
        <w:jc w:val="both"/>
        <w:rPr/>
      </w:pPr>
      <w:r>
        <w:rPr>
          <w:rFonts w:ascii="Arial;sans-serif" w:hAnsi="Arial;sans-serif"/>
          <w:b/>
          <w:i/>
          <w:color w:val="000000"/>
          <w:sz w:val="20"/>
        </w:rPr>
        <w:t>Cargo</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Revenue from cargo services increased $3,106, or 12%, to $29,165 for the three months ended September 30, 2024, as compared to the three months ended September 30, 2023. The increase was primarily driven by rate escalations as a result of the A&amp;R ATSA, partially offset by a 4% quarter-over-quarter decrease in block hours. </w:t>
      </w:r>
    </w:p>
    <w:p>
      <w:pPr>
        <w:pStyle w:val="TextBody"/>
        <w:bidi w:val="0"/>
        <w:spacing w:lineRule="auto" w:line="288" w:before="240" w:after="283"/>
        <w:jc w:val="both"/>
        <w:rPr/>
      </w:pPr>
      <w:r>
        <w:rPr>
          <w:rFonts w:ascii="Arial;sans-serif" w:hAnsi="Arial;sans-serif"/>
          <w:b/>
          <w:i/>
          <w:color w:val="000000"/>
          <w:sz w:val="20"/>
        </w:rPr>
        <w:t>Other</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Other revenue increased $4,079, or 48%, to $12,541 for the three months ended September 30, 2024, as compared to the three months ended September 30, 2023. Other revenue benefited from the $10,092 of rental revenue primarily associated with seven leased aircraft during the three months ended September 30, 2024, as compared to $5,870 of rental revenue associated with five leased aircraft during the three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Operating Expenses</w:t>
      </w:r>
    </w:p>
    <w:p>
      <w:pPr>
        <w:pStyle w:val="TextBody"/>
        <w:bidi w:val="0"/>
        <w:spacing w:lineRule="auto" w:line="288" w:before="240" w:after="283"/>
        <w:jc w:val="both"/>
        <w:rPr/>
      </w:pPr>
      <w:r>
        <w:rPr>
          <w:rFonts w:ascii="Arial;sans-serif" w:hAnsi="Arial;sans-serif"/>
          <w:b/>
          <w:i/>
          <w:color w:val="000000"/>
          <w:sz w:val="20"/>
        </w:rPr>
        <w:t>Aircraft Fuel</w:t>
      </w:r>
      <w:r>
        <w:rPr>
          <w:rFonts w:ascii="Arial;sans-serif" w:hAnsi="Arial;sans-serif"/>
          <w:b w:val="false"/>
          <w:color w:val="000000"/>
          <w:sz w:val="20"/>
        </w:rPr>
        <w:t>. We believe Aircraft Fuel expense, excluding indirect fuel credits, is the best measure of the effect of fuel prices on our business as it consists solely of direct fuel expenses that are related to our operations and is consistent with how management analyzes our operating performance. This measure is defined as GAAP Aircraft Fuel expense, excluding indirect fuel credits that are recognized within Aircraft Fuel expense, but are not directly related to our Fuel Cost per Gallon.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primary components of Aircraft Fuel expense are shown in the following table:</w:t>
      </w:r>
    </w:p>
    <w:p>
      <w:pPr>
        <w:pStyle w:val="TextBody"/>
        <w:bidi w:val="0"/>
        <w:spacing w:before="0" w:after="0"/>
        <w:jc w:val="both"/>
        <w:rPr/>
      </w:pPr>
      <w:r>
        <w:rPr/>
      </w:r>
    </w:p>
    <w:tbl>
      <w:tblPr>
        <w:tblW w:w="8950" w:type="dxa"/>
        <w:jc w:val="left"/>
        <w:tblInd w:w="0" w:type="dxa"/>
        <w:tblLayout w:type="fixed"/>
        <w:tblCellMar>
          <w:top w:w="28" w:type="dxa"/>
          <w:left w:w="28" w:type="dxa"/>
          <w:bottom w:w="28" w:type="dxa"/>
          <w:right w:w="28" w:type="dxa"/>
        </w:tblCellMar>
      </w:tblPr>
      <w:tblGrid>
        <w:gridCol w:w="1739"/>
        <w:gridCol w:w="1528"/>
        <w:gridCol w:w="1533"/>
        <w:gridCol w:w="250"/>
        <w:gridCol w:w="890"/>
        <w:gridCol w:w="129"/>
        <w:gridCol w:w="129"/>
        <w:gridCol w:w="129"/>
        <w:gridCol w:w="129"/>
        <w:gridCol w:w="250"/>
        <w:gridCol w:w="890"/>
        <w:gridCol w:w="129"/>
        <w:gridCol w:w="109"/>
        <w:gridCol w:w="109"/>
        <w:gridCol w:w="109"/>
        <w:gridCol w:w="218"/>
        <w:gridCol w:w="218"/>
        <w:gridCol w:w="462"/>
      </w:tblGrid>
      <w:tr>
        <w:trPr/>
        <w:tc>
          <w:tcPr>
            <w:tcW w:w="173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Aircraft Fuel Expense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54,737 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61,179 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Indirect Fuel Credits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Expense, Excluding Indirect Fuel Credits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54,805 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61,354 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Consumed (thousands)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20,344 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19,262 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Cost per Gallon, Excluding Indirect Fuel Credits</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Aircraft Fuel expense decreased 11% quarter-over-quarter due to a 16% decrease in the average fuel cost per gallon. This was partially offset by a 6% increase in consumption as a result of our operational growth. </w:t>
      </w:r>
    </w:p>
    <w:p>
      <w:pPr>
        <w:pStyle w:val="TextBody"/>
        <w:bidi w:val="0"/>
        <w:spacing w:lineRule="auto" w:line="288" w:before="240" w:after="283"/>
        <w:jc w:val="both"/>
        <w:rPr/>
      </w:pPr>
      <w:r>
        <w:rPr>
          <w:rFonts w:ascii="Arial;sans-serif" w:hAnsi="Arial;sans-serif"/>
          <w:b/>
          <w:i/>
          <w:color w:val="000000"/>
          <w:sz w:val="20"/>
        </w:rPr>
        <w:t>Salaries</w:t>
      </w:r>
      <w:r>
        <w:rPr>
          <w:rFonts w:ascii="Arial;sans-serif" w:hAnsi="Arial;sans-serif"/>
          <w:b/>
          <w:color w:val="000000"/>
          <w:sz w:val="20"/>
        </w:rPr>
        <w:t xml:space="preserve">, </w:t>
      </w:r>
      <w:r>
        <w:rPr>
          <w:rFonts w:ascii="Arial;sans-serif" w:hAnsi="Arial;sans-serif"/>
          <w:b/>
          <w:i/>
          <w:color w:val="000000"/>
          <w:sz w:val="20"/>
        </w:rPr>
        <w:t>Wages, and Benefits</w:t>
      </w:r>
      <w:r>
        <w:rPr>
          <w:rFonts w:ascii="Arial;sans-serif" w:hAnsi="Arial;sans-serif"/>
          <w:b w:val="false"/>
          <w:color w:val="000000"/>
          <w:sz w:val="20"/>
        </w:rPr>
        <w:t>. Salaries, Wages, and Benefits expense increased $8,378, or 12%, to $80,919 for the three months ended September 30, 2024, as compared to the three months ended September 30, 2023. The quarter-over-quarter increase in Salaries, Wages, and Benefits was impacted by a 10% increase in employee headcount, an increase in total system block hours as a result of operational growth, and contractual rate increases for our pilots.</w:t>
      </w:r>
    </w:p>
    <w:p>
      <w:pPr>
        <w:pStyle w:val="TextBody"/>
        <w:bidi w:val="0"/>
        <w:spacing w:lineRule="auto" w:line="288" w:before="240" w:after="283"/>
        <w:jc w:val="both"/>
        <w:rPr/>
      </w:pPr>
      <w:r>
        <w:rPr>
          <w:rFonts w:ascii="Arial;sans-serif" w:hAnsi="Arial;sans-serif"/>
          <w:b/>
          <w:i/>
          <w:color w:val="000000"/>
          <w:sz w:val="20"/>
        </w:rPr>
        <w:t>Aircraft Rent</w:t>
      </w:r>
      <w:r>
        <w:rPr>
          <w:rFonts w:ascii="Arial;sans-serif" w:hAnsi="Arial;sans-serif"/>
          <w:b w:val="false"/>
          <w:color w:val="000000"/>
          <w:sz w:val="20"/>
        </w:rPr>
        <w:t xml:space="preserve">. Aircraft Rent expense was nominal for both periods presented as a result of our aircraft fleet shifting from aircraft under operating leases to all owned aircraft or aircraft under finance leases. </w:t>
      </w:r>
    </w:p>
    <w:p>
      <w:pPr>
        <w:pStyle w:val="TextBody"/>
        <w:bidi w:val="0"/>
        <w:spacing w:lineRule="auto" w:line="288" w:before="240" w:after="283"/>
        <w:jc w:val="both"/>
        <w:rPr/>
      </w:pPr>
      <w:r>
        <w:rPr>
          <w:rFonts w:ascii="Arial;sans-serif" w:hAnsi="Arial;sans-serif"/>
          <w:b/>
          <w:i/>
          <w:color w:val="000000"/>
          <w:sz w:val="20"/>
        </w:rPr>
        <w:t>Maintenance</w:t>
      </w:r>
      <w:r>
        <w:rPr>
          <w:rFonts w:ascii="Arial;sans-serif" w:hAnsi="Arial;sans-serif"/>
          <w:b w:val="false"/>
          <w:color w:val="000000"/>
          <w:sz w:val="20"/>
        </w:rPr>
        <w:t xml:space="preserve">. Maintenance expense increased $643, or 4%, to $15,973 for the three months ended September 30, 2024, as compared to the three months ended September 30, 2023. The quarter-over-quarter increase in Maintenance expense was primarily driven by an increase in landing gear events as well as an increase in the size of our fleet and operations. These were partially offset by a decrease in routine, time-based heavy maintenance events. </w:t>
      </w:r>
    </w:p>
    <w:p>
      <w:pPr>
        <w:pStyle w:val="TextBody"/>
        <w:bidi w:val="0"/>
        <w:spacing w:lineRule="auto" w:line="288" w:before="240" w:after="283"/>
        <w:jc w:val="both"/>
        <w:rPr/>
      </w:pPr>
      <w:r>
        <w:rPr>
          <w:rFonts w:ascii="Arial;sans-serif" w:hAnsi="Arial;sans-serif"/>
          <w:b/>
          <w:i/>
          <w:color w:val="000000"/>
          <w:sz w:val="20"/>
        </w:rPr>
        <w:t>Sales and Marketing</w:t>
      </w:r>
      <w:r>
        <w:rPr>
          <w:rFonts w:ascii="Arial;sans-serif" w:hAnsi="Arial;sans-serif"/>
          <w:b w:val="false"/>
          <w:color w:val="000000"/>
          <w:sz w:val="20"/>
        </w:rPr>
        <w:t>. Sales and Marketing expense increased $179, or 2%, to $7,748 for the three months ended September 30, 2024, as compared to the three months ended September 30, 2023. The quarter-over-quarter increase was driven by a rise in Global Distribution System ("GDS") fees as a result of an increase in sales through indirect distribution channels, as well as increases in advertising and other expenses. These were partially offset by a reduction in credit card fees as a result of the decrease in total fare per passenger.</w:t>
      </w:r>
    </w:p>
    <w:p>
      <w:pPr>
        <w:pStyle w:val="TextBody"/>
        <w:bidi w:val="0"/>
        <w:spacing w:lineRule="auto" w:line="288" w:before="240" w:after="283"/>
        <w:jc w:val="both"/>
        <w:rPr/>
      </w:pPr>
      <w:r>
        <w:rPr>
          <w:rFonts w:ascii="Arial;sans-serif" w:hAnsi="Arial;sans-serif"/>
          <w:b/>
          <w:i/>
          <w:color w:val="000000"/>
          <w:sz w:val="20"/>
        </w:rPr>
        <w:t>Depreciation and Amortization</w:t>
      </w:r>
      <w:r>
        <w:rPr>
          <w:rFonts w:ascii="Arial;sans-serif" w:hAnsi="Arial;sans-serif"/>
          <w:b w:val="false"/>
          <w:color w:val="000000"/>
          <w:sz w:val="20"/>
        </w:rPr>
        <w:t>. Depreciation and Amortization expense increased $992, or 4%, to $23,754 for the three months ended September 30, 2024, as compared to the three months ended September 30, 2023. The increase was due to the impact of a change in the composition of our aircraft fleet that resulted in an increased number of owned aircraft and aircraft under finance leases. As of September 30, 2024 and 2023, there were 51 and 47 aircraft that were owned or under finance leases,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i/>
          <w:color w:val="000000"/>
          <w:sz w:val="20"/>
        </w:rPr>
        <w:t>Ground Handling</w:t>
      </w:r>
      <w:r>
        <w:rPr>
          <w:rFonts w:ascii="Arial;sans-serif" w:hAnsi="Arial;sans-serif"/>
          <w:b w:val="false"/>
          <w:color w:val="000000"/>
          <w:sz w:val="20"/>
        </w:rPr>
        <w:t>. Ground Handling expense increased $2,186, or 23%,</w:t>
      </w:r>
      <w:r>
        <w:rPr>
          <w:color w:val="000000"/>
        </w:rPr>
        <w:t xml:space="preserve"> </w:t>
      </w:r>
      <w:r>
        <w:rPr>
          <w:rFonts w:ascii="Arial;sans-serif" w:hAnsi="Arial;sans-serif"/>
          <w:b w:val="false"/>
          <w:color w:val="000000"/>
          <w:sz w:val="20"/>
        </w:rPr>
        <w:t>to $11,568, for the three months ended September 30, 2024, as compared to the three months ended September 30, 2023. This quarter-over-quarter increase was the result of a 5% increase in Passenger segment departures as a result of our expanding operations, as well as rate increases due to market pressures.</w:t>
      </w:r>
    </w:p>
    <w:p>
      <w:pPr>
        <w:pStyle w:val="TextBody"/>
        <w:bidi w:val="0"/>
        <w:spacing w:lineRule="auto" w:line="288" w:before="240" w:after="283"/>
        <w:jc w:val="both"/>
        <w:rPr/>
      </w:pPr>
      <w:r>
        <w:rPr>
          <w:rFonts w:ascii="Arial;sans-serif" w:hAnsi="Arial;sans-serif"/>
          <w:b/>
          <w:i/>
          <w:color w:val="000000"/>
          <w:sz w:val="20"/>
        </w:rPr>
        <w:t>Landing Fees and Airport Rent</w:t>
      </w:r>
      <w:r>
        <w:rPr>
          <w:rFonts w:ascii="Arial;sans-serif" w:hAnsi="Arial;sans-serif"/>
          <w:b w:val="false"/>
          <w:color w:val="000000"/>
          <w:sz w:val="20"/>
        </w:rPr>
        <w:t>. Landing Fees and Airport Rent increased $2,021, or 14%, to $15,979 for the three months ended September 30, 2024, as compared to the three months ended September 30, 2023. This quarter-over-quarter increase was the result of a 5% increase in Passenger segment departures as a result of our expanding operations, as well as rate increases due to market pressures.</w:t>
      </w:r>
    </w:p>
    <w:p>
      <w:pPr>
        <w:pStyle w:val="TextBody"/>
        <w:bidi w:val="0"/>
        <w:spacing w:lineRule="auto" w:line="288" w:before="240" w:after="283"/>
        <w:jc w:val="both"/>
        <w:rPr/>
      </w:pPr>
      <w:r>
        <w:rPr>
          <w:rFonts w:ascii="Arial;sans-serif" w:hAnsi="Arial;sans-serif"/>
          <w:b/>
          <w:i/>
          <w:color w:val="000000"/>
          <w:sz w:val="20"/>
        </w:rPr>
        <w:t>Other Operating, net</w:t>
      </w:r>
      <w:r>
        <w:rPr>
          <w:rFonts w:ascii="Arial;sans-serif" w:hAnsi="Arial;sans-serif"/>
          <w:b w:val="false"/>
          <w:color w:val="000000"/>
          <w:sz w:val="20"/>
        </w:rPr>
        <w:t xml:space="preserve">. Other operating, net decreased $717, or 3%, to $26,410 for the three months ended September 30, 2024, as compared to the three months ended September 30, 2023. The decrease was primarily the result of our part sales programs, partially offset by an increase in operations. </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Non-operating Income (Expense)</w:t>
      </w:r>
    </w:p>
    <w:p>
      <w:pPr>
        <w:pStyle w:val="TextBody"/>
        <w:bidi w:val="0"/>
        <w:spacing w:lineRule="auto" w:line="288" w:before="240" w:after="283"/>
        <w:jc w:val="both"/>
        <w:rPr/>
      </w:pPr>
      <w:r>
        <w:rPr>
          <w:rFonts w:ascii="Arial;sans-serif" w:hAnsi="Arial;sans-serif"/>
          <w:b/>
          <w:i/>
          <w:color w:val="000000"/>
          <w:sz w:val="20"/>
        </w:rPr>
        <w:t>Interest Income</w:t>
      </w:r>
      <w:r>
        <w:rPr>
          <w:rFonts w:ascii="Arial;sans-serif" w:hAnsi="Arial;sans-serif"/>
          <w:b w:val="false"/>
          <w:color w:val="000000"/>
          <w:sz w:val="20"/>
        </w:rPr>
        <w:t>. Interest income decreased $821, or 33%, to $1,659 for the three months ended September 30, 2024, as compared to the three months ended September 30, 2023. The decrease was primarily due to the reduction in the Company's average investment balance quarter-over-quarter.</w:t>
      </w:r>
    </w:p>
    <w:p>
      <w:pPr>
        <w:pStyle w:val="TextBody"/>
        <w:bidi w:val="0"/>
        <w:spacing w:lineRule="auto" w:line="288" w:before="240" w:after="283"/>
        <w:jc w:val="both"/>
        <w:rPr/>
      </w:pPr>
      <w:r>
        <w:rPr>
          <w:rFonts w:ascii="Arial;sans-serif" w:hAnsi="Arial;sans-serif"/>
          <w:b/>
          <w:i/>
          <w:color w:val="000000"/>
          <w:sz w:val="20"/>
        </w:rPr>
        <w:t>Interest Expense</w:t>
      </w:r>
      <w:r>
        <w:rPr>
          <w:rFonts w:ascii="Arial;sans-serif" w:hAnsi="Arial;sans-serif"/>
          <w:b w:val="false"/>
          <w:color w:val="000000"/>
          <w:sz w:val="20"/>
        </w:rPr>
        <w:t>. Interest expense decreased</w:t>
      </w:r>
      <w:r>
        <w:rPr>
          <w:color w:val="000000"/>
        </w:rPr>
        <w:t xml:space="preserve"> </w:t>
      </w:r>
      <w:r>
        <w:rPr>
          <w:rFonts w:ascii="Arial;sans-serif" w:hAnsi="Arial;sans-serif"/>
          <w:b w:val="false"/>
          <w:color w:val="000000"/>
          <w:sz w:val="20"/>
        </w:rPr>
        <w:t>$354, or 3%, to $11,049</w:t>
      </w:r>
      <w:r>
        <w:rPr>
          <w:color w:val="000000"/>
        </w:rPr>
        <w:t xml:space="preserve"> </w:t>
      </w:r>
      <w:r>
        <w:rPr>
          <w:rFonts w:ascii="Arial;sans-serif" w:hAnsi="Arial;sans-serif"/>
          <w:b w:val="false"/>
          <w:color w:val="000000"/>
          <w:sz w:val="20"/>
        </w:rPr>
        <w:t xml:space="preserve">for the three months ended September 30, 2024, as compared to the three months ended September 30, 2023. The decrease was primarily due to decreasing debt balances and aircraft purchased with operating cash, partially offset by an increase in aircraft under finance leases. For more information on the Company's Debt, see </w:t>
      </w:r>
      <w:hyperlink w:anchor="i54c189ddb00d4e19ac66c674081beae3_46">
        <w:r>
          <w:rPr>
            <w:rStyle w:val="InternetLink"/>
            <w:rFonts w:ascii="Arial;sans-serif" w:hAnsi="Arial;sans-serif"/>
            <w:b w:val="false"/>
            <w:color w:val="0000FF"/>
            <w:sz w:val="20"/>
            <w:u w:val="single"/>
          </w:rPr>
          <w:t>Note 5</w:t>
        </w:r>
      </w:hyperlink>
      <w:r>
        <w:rPr>
          <w:color w:val="000000"/>
        </w:rPr>
        <w:t xml:space="preserve"> </w:t>
      </w:r>
      <w:r>
        <w:rPr>
          <w:rFonts w:ascii="Arial;sans-serif" w:hAnsi="Arial;sans-serif"/>
          <w:b w:val="false"/>
          <w:color w:val="000000"/>
          <w:sz w:val="20"/>
        </w:rPr>
        <w:t xml:space="preserve">of the Condensed Consolidated Financial Statements included in Part I, Item I of this report. </w:t>
      </w:r>
    </w:p>
    <w:p>
      <w:pPr>
        <w:pStyle w:val="TextBody"/>
        <w:bidi w:val="0"/>
        <w:spacing w:lineRule="auto" w:line="288" w:before="240" w:after="283"/>
        <w:jc w:val="both"/>
        <w:rPr/>
      </w:pPr>
      <w:r>
        <w:rPr>
          <w:rFonts w:ascii="Arial;sans-serif" w:hAnsi="Arial;sans-serif"/>
          <w:b/>
          <w:i/>
          <w:color w:val="000000"/>
          <w:sz w:val="20"/>
        </w:rPr>
        <w:t>Other, net</w:t>
      </w:r>
      <w:r>
        <w:rPr>
          <w:rFonts w:ascii="Arial;sans-serif" w:hAnsi="Arial;sans-serif"/>
          <w:b w:val="false"/>
          <w:color w:val="000000"/>
          <w:sz w:val="20"/>
        </w:rPr>
        <w:t xml:space="preserve">. Other, net did not change by a material amount for the three months ended September 30, 2024, as compared to the three months ended September 30, 2023. </w:t>
      </w:r>
    </w:p>
    <w:p>
      <w:pPr>
        <w:pStyle w:val="TextBody"/>
        <w:bidi w:val="0"/>
        <w:spacing w:lineRule="auto" w:line="288" w:before="240" w:after="283"/>
        <w:jc w:val="both"/>
        <w:rPr/>
      </w:pPr>
      <w:r>
        <w:rPr>
          <w:rFonts w:ascii="Arial;sans-serif" w:hAnsi="Arial;sans-serif"/>
          <w:b/>
          <w:i/>
          <w:color w:val="000000"/>
          <w:sz w:val="20"/>
        </w:rPr>
        <w:t>Income Tax.</w:t>
      </w:r>
      <w:r>
        <w:rPr>
          <w:color w:val="000000"/>
        </w:rPr>
        <w:t xml:space="preserve"> </w:t>
      </w:r>
      <w:r>
        <w:rPr>
          <w:rFonts w:ascii="Arial;sans-serif" w:hAnsi="Arial;sans-serif"/>
          <w:b w:val="false"/>
          <w:color w:val="000000"/>
          <w:sz w:val="20"/>
        </w:rPr>
        <w:t xml:space="preserve">The Company's effective tax rate for the three months ended September 30, 2024 was 22.0% compared to 24.6% for the three months ended September 30, 2023. The decrease in the effective tax rate was due to a reduction in the impact of permanent stock compensation items.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 the Nine Months Ended September 30, 2024 and 2023</w:t>
      </w:r>
    </w:p>
    <w:p>
      <w:pPr>
        <w:pStyle w:val="TextBody"/>
        <w:bidi w:val="0"/>
        <w:spacing w:before="0" w:after="0"/>
        <w:jc w:val="both"/>
        <w:rPr/>
      </w:pPr>
      <w:r>
        <w:rPr/>
      </w:r>
    </w:p>
    <w:tbl>
      <w:tblPr>
        <w:tblW w:w="7462" w:type="dxa"/>
        <w:jc w:val="left"/>
        <w:tblInd w:w="0" w:type="dxa"/>
        <w:tblLayout w:type="fixed"/>
        <w:tblCellMar>
          <w:top w:w="28" w:type="dxa"/>
          <w:left w:w="28" w:type="dxa"/>
          <w:bottom w:w="28" w:type="dxa"/>
          <w:right w:w="28" w:type="dxa"/>
        </w:tblCellMar>
      </w:tblPr>
      <w:tblGrid>
        <w:gridCol w:w="1168"/>
        <w:gridCol w:w="1026"/>
        <w:gridCol w:w="1030"/>
        <w:gridCol w:w="223"/>
        <w:gridCol w:w="906"/>
        <w:gridCol w:w="115"/>
        <w:gridCol w:w="115"/>
        <w:gridCol w:w="115"/>
        <w:gridCol w:w="115"/>
        <w:gridCol w:w="223"/>
        <w:gridCol w:w="906"/>
        <w:gridCol w:w="115"/>
        <w:gridCol w:w="109"/>
        <w:gridCol w:w="109"/>
        <w:gridCol w:w="109"/>
        <w:gridCol w:w="269"/>
        <w:gridCol w:w="271"/>
        <w:gridCol w:w="538"/>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Revenues: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Scheduled Service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313,056 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360,607 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Charter</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Ancillary</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236,677 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205,633 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Passenger </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698,823 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709,490 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815,334 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804,077 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187,229 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185,829 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242,516 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Maintenance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Ground Handling</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Landing Fees and Airport Rent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net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735,411 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693,702 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Operating Income </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110,375 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Non-operating Income (Expense):</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(31,272)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(27,276)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(23,876)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13,180 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39,467 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66,536 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left"/>
        <w:rPr>
          <w:color w:val="000000"/>
        </w:rPr>
      </w:pPr>
      <w:r>
        <w:rPr>
          <w:color w:val="000000"/>
        </w:rPr>
        <w:t>“</w:t>
      </w:r>
      <w:r>
        <w:rPr>
          <w:rFonts w:ascii="Arial;sans-serif" w:hAnsi="Arial;sans-serif"/>
          <w:b w:val="false"/>
          <w:color w:val="000000"/>
          <w:sz w:val="12"/>
        </w:rPr>
        <w:t>NM” stands for not meaningful</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Total Operating Revenues increased $11,257, or 1%, to $815,334 for the nine months ended September 30, 2024 as compared to the nine months ended September 30, 2023. The revenue growth was driven by an increase in rental revenue included within Other revenue, as well as an increase in Cargo revenue due to the A&amp;R ATSA, partially offset by a decrease in Passenger revenue as a result of a 13% decrease in total fare per passenger which was impacted by increased industry capacity. These items are discussed in further detail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i/>
          <w:color w:val="000000"/>
          <w:sz w:val="20"/>
        </w:rPr>
        <w:t xml:space="preserve">Passenger. </w:t>
      </w:r>
      <w:r>
        <w:rPr>
          <w:rFonts w:ascii="Arial;sans-serif" w:hAnsi="Arial;sans-serif"/>
          <w:b w:val="false"/>
          <w:color w:val="000000"/>
          <w:sz w:val="20"/>
        </w:rPr>
        <w:t>Passenger revenue decreased $10,667, or 2%, to $698,823 for the nine months ended September 30, 2024 as compared to the nine months ended September 30, 2023. The table below presents select operating data for lines of revenue within Passenger, expressed as year-over-year changes:</w:t>
      </w:r>
    </w:p>
    <w:tbl>
      <w:tblPr>
        <w:tblW w:w="9317" w:type="dxa"/>
        <w:jc w:val="left"/>
        <w:tblInd w:w="0" w:type="dxa"/>
        <w:tblLayout w:type="fixed"/>
        <w:tblCellMar>
          <w:top w:w="28" w:type="dxa"/>
          <w:left w:w="28" w:type="dxa"/>
          <w:bottom w:w="28" w:type="dxa"/>
          <w:right w:w="28" w:type="dxa"/>
        </w:tblCellMar>
      </w:tblPr>
      <w:tblGrid>
        <w:gridCol w:w="761"/>
        <w:gridCol w:w="672"/>
        <w:gridCol w:w="672"/>
        <w:gridCol w:w="993"/>
        <w:gridCol w:w="993"/>
        <w:gridCol w:w="998"/>
        <w:gridCol w:w="223"/>
        <w:gridCol w:w="798"/>
        <w:gridCol w:w="287"/>
        <w:gridCol w:w="109"/>
        <w:gridCol w:w="109"/>
        <w:gridCol w:w="109"/>
        <w:gridCol w:w="223"/>
        <w:gridCol w:w="798"/>
        <w:gridCol w:w="287"/>
        <w:gridCol w:w="109"/>
        <w:gridCol w:w="109"/>
        <w:gridCol w:w="109"/>
        <w:gridCol w:w="248"/>
        <w:gridCol w:w="248"/>
        <w:gridCol w:w="462"/>
      </w:tblGrid>
      <w:tr>
        <w:trPr/>
        <w:tc>
          <w:tcPr>
            <w:tcW w:w="76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8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Scheduled Service and Ancillary Statistics: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19,456 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70,312 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61,438 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3,437,005 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3,093,536 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base fare per passenger</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Ancillary revenue per passenger</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Fare per passenger</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RPMs (thousands)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4,335,623 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3,900,975 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ASMs (thousands)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5,098,876 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4,489,968 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TRASM (cents)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load factor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Charter Statistics: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Charter revenue per block hour</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year-over-year decreases in both total fare per passenger and TRASM were impacted by increased capacity across the industry. The increase in capacity by the Company and across the industry also had an impact on the 1.9% reduction in load factor. The fare decreases were offset by a 7% increase in average daily aircraft utilization and growth in the passenger fleet, which supported an increase in volume. As a result, Scheduled Service departures and ASMs increased by 14%, which drove the 11% increase in Scheduled Service passengers. The 11% increase in Scheduled Service passengers during the period also resulted in greater sales of ancillary products.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Passenger revenue benefited from the $5,840, or 4%, increase in Charter revenue during the nine months ended September 30, 2024, as compared to the nine months ended September 30, 2023. The increase was primarily due to the 8% increase in Charter revenue per block hour. The improvement in Charter revenue per block hour was due to rate increases and management initiatives to reduce the number of ferry flights.</w:t>
      </w:r>
    </w:p>
    <w:p>
      <w:pPr>
        <w:pStyle w:val="TextBody"/>
        <w:bidi w:val="0"/>
        <w:spacing w:lineRule="auto" w:line="288" w:before="240" w:after="283"/>
        <w:jc w:val="both"/>
        <w:rPr/>
      </w:pPr>
      <w:r>
        <w:rPr>
          <w:rFonts w:ascii="Arial;sans-serif" w:hAnsi="Arial;sans-serif"/>
          <w:b/>
          <w:i/>
          <w:color w:val="000000"/>
          <w:sz w:val="20"/>
        </w:rPr>
        <w:t>Cargo</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Revenue from cargo services increased $4,123, or 6%, to $78,560 for the nine months ended September 30, 2024, as compared to the nine months ended September 30, 2023. The increase was primarily driven by rate escalations as a result of the A&amp;R ATSA, partially offset by a 2% year-over-year decrease in block hours. </w:t>
      </w:r>
    </w:p>
    <w:p>
      <w:pPr>
        <w:pStyle w:val="TextBody"/>
        <w:bidi w:val="0"/>
        <w:spacing w:lineRule="auto" w:line="288" w:before="240" w:after="283"/>
        <w:jc w:val="both"/>
        <w:rPr/>
      </w:pPr>
      <w:r>
        <w:rPr>
          <w:rFonts w:ascii="Arial;sans-serif" w:hAnsi="Arial;sans-serif"/>
          <w:b/>
          <w:i/>
          <w:color w:val="000000"/>
          <w:sz w:val="20"/>
        </w:rPr>
        <w:t>Other</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Other revenue increased $17,801, or 88%, to $37,951 for the nine months ended September 30, 2024, as compared to the nine months ended September 30, 2023. Other revenue benefited from the $29,240 of rental revenue primarily associated with seven leased aircraft during the nine months ended September 30, 2024, as compared to $11,742 in rental revenue associated with five leased aircraft during the nine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Operating Expenses</w:t>
      </w:r>
    </w:p>
    <w:p>
      <w:pPr>
        <w:pStyle w:val="TextBody"/>
        <w:bidi w:val="0"/>
        <w:spacing w:lineRule="auto" w:line="288" w:before="240" w:after="283"/>
        <w:jc w:val="both"/>
        <w:rPr/>
      </w:pPr>
      <w:r>
        <w:rPr>
          <w:rFonts w:ascii="Arial;sans-serif" w:hAnsi="Arial;sans-serif"/>
          <w:b/>
          <w:i/>
          <w:color w:val="000000"/>
          <w:sz w:val="20"/>
        </w:rPr>
        <w:t>Aircraft Fuel</w:t>
      </w:r>
      <w:r>
        <w:rPr>
          <w:rFonts w:ascii="Arial;sans-serif" w:hAnsi="Arial;sans-serif"/>
          <w:b w:val="false"/>
          <w:color w:val="000000"/>
          <w:sz w:val="20"/>
        </w:rPr>
        <w:t>. We believe Aircraft Fuel expense, excluding indirect fuel credits, is the best measure of the effect of fuel prices on our business as it consists solely of direct fuel expenses that are related to our operations and is consistent with how management analyzes our operating performance. This measure is defined as GAAP Aircraft Fuel expense, excluding indirect fuel credits that are recognized within Aircraft Fuel expense, but are not directly related to our Fuel Cost per Gallon.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primary components of Aircraft Fuel expense are shown in the following table:</w:t>
      </w:r>
    </w:p>
    <w:p>
      <w:pPr>
        <w:pStyle w:val="TextBody"/>
        <w:bidi w:val="0"/>
        <w:spacing w:before="0" w:after="0"/>
        <w:jc w:val="both"/>
        <w:rPr/>
      </w:pPr>
      <w:r>
        <w:rPr/>
      </w:r>
    </w:p>
    <w:tbl>
      <w:tblPr>
        <w:tblW w:w="8798" w:type="dxa"/>
        <w:jc w:val="left"/>
        <w:tblInd w:w="0" w:type="dxa"/>
        <w:tblLayout w:type="fixed"/>
        <w:tblCellMar>
          <w:top w:w="28" w:type="dxa"/>
          <w:left w:w="28" w:type="dxa"/>
          <w:bottom w:w="28" w:type="dxa"/>
          <w:right w:w="28" w:type="dxa"/>
        </w:tblCellMar>
      </w:tblPr>
      <w:tblGrid>
        <w:gridCol w:w="1739"/>
        <w:gridCol w:w="1528"/>
        <w:gridCol w:w="1533"/>
        <w:gridCol w:w="223"/>
        <w:gridCol w:w="906"/>
        <w:gridCol w:w="115"/>
        <w:gridCol w:w="115"/>
        <w:gridCol w:w="115"/>
        <w:gridCol w:w="115"/>
        <w:gridCol w:w="223"/>
        <w:gridCol w:w="906"/>
        <w:gridCol w:w="115"/>
        <w:gridCol w:w="109"/>
        <w:gridCol w:w="109"/>
        <w:gridCol w:w="109"/>
        <w:gridCol w:w="188"/>
        <w:gridCol w:w="188"/>
        <w:gridCol w:w="462"/>
      </w:tblGrid>
      <w:tr>
        <w:trPr/>
        <w:tc>
          <w:tcPr>
            <w:tcW w:w="173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Aircraft Fuel Expense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187,229 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185,829 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Indirect Fuel Credits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Expense, Excluding Indirect Fuel Credits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188,519 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186,656 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Consumed (thousands)</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65,884 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59,734 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Cost per Gallon, Excluding Indirect Fuel Credits</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Aircraft Fuel expense increased 1% year-over-year primarily due to a 10% increase in consumption, partially offset by an 8% decrease in the average fuel cost per gallon. </w:t>
      </w:r>
    </w:p>
    <w:p>
      <w:pPr>
        <w:pStyle w:val="TextBody"/>
        <w:bidi w:val="0"/>
        <w:spacing w:lineRule="auto" w:line="288" w:before="240" w:after="283"/>
        <w:jc w:val="both"/>
        <w:rPr/>
      </w:pPr>
      <w:r>
        <w:rPr>
          <w:rFonts w:ascii="Arial;sans-serif" w:hAnsi="Arial;sans-serif"/>
          <w:b/>
          <w:i/>
          <w:color w:val="000000"/>
          <w:sz w:val="20"/>
        </w:rPr>
        <w:t>Salaries</w:t>
      </w:r>
      <w:r>
        <w:rPr>
          <w:rFonts w:ascii="Arial;sans-serif" w:hAnsi="Arial;sans-serif"/>
          <w:b/>
          <w:color w:val="000000"/>
          <w:sz w:val="20"/>
        </w:rPr>
        <w:t xml:space="preserve">, </w:t>
      </w:r>
      <w:r>
        <w:rPr>
          <w:rFonts w:ascii="Arial;sans-serif" w:hAnsi="Arial;sans-serif"/>
          <w:b/>
          <w:i/>
          <w:color w:val="000000"/>
          <w:sz w:val="20"/>
        </w:rPr>
        <w:t>Wages, and Benefits</w:t>
      </w:r>
      <w:r>
        <w:rPr>
          <w:rFonts w:ascii="Arial;sans-serif" w:hAnsi="Arial;sans-serif"/>
          <w:b w:val="false"/>
          <w:color w:val="000000"/>
          <w:sz w:val="20"/>
        </w:rPr>
        <w:t>. Salaries, Wages, and Benefits expense increased $18,626, or 8%, to $242,516 for the nine months ended September 30, 2024, as compared to the nine months ended September 30, 2023. The year-over-year increase in Salaries, Wages, and Benefits was impacted by a 10% increase in employee headcount, an increase in total system block hours as a result of operational growth, and contractual rate increases for our pilots.</w:t>
      </w:r>
    </w:p>
    <w:p>
      <w:pPr>
        <w:pStyle w:val="TextBody"/>
        <w:bidi w:val="0"/>
        <w:spacing w:lineRule="auto" w:line="288" w:before="240" w:after="283"/>
        <w:jc w:val="both"/>
        <w:rPr/>
      </w:pPr>
      <w:r>
        <w:rPr>
          <w:rFonts w:ascii="Arial;sans-serif" w:hAnsi="Arial;sans-serif"/>
          <w:b/>
          <w:i/>
          <w:color w:val="000000"/>
          <w:sz w:val="20"/>
        </w:rPr>
        <w:t>Aircraft Rent</w:t>
      </w:r>
      <w:r>
        <w:rPr>
          <w:rFonts w:ascii="Arial;sans-serif" w:hAnsi="Arial;sans-serif"/>
          <w:b w:val="false"/>
          <w:color w:val="000000"/>
          <w:sz w:val="20"/>
        </w:rPr>
        <w:t>. Aircraft Rent expense decreased by $2,281 to $0 for the nine months ended September 30, 2024, as compared to the nine months ended September 30, 2023. Aircraft Rent expense decreased due to the composition of our aircraft fleet shifting from aircraft under operating leases to all owned aircraft or aircraft under finance leases.</w:t>
      </w:r>
    </w:p>
    <w:p>
      <w:pPr>
        <w:pStyle w:val="TextBody"/>
        <w:bidi w:val="0"/>
        <w:spacing w:lineRule="auto" w:line="288" w:before="240" w:after="283"/>
        <w:jc w:val="both"/>
        <w:rPr/>
      </w:pPr>
      <w:r>
        <w:rPr>
          <w:rFonts w:ascii="Arial;sans-serif" w:hAnsi="Arial;sans-serif"/>
          <w:b/>
          <w:i/>
          <w:color w:val="000000"/>
          <w:sz w:val="20"/>
        </w:rPr>
        <w:t>Maintenance</w:t>
      </w:r>
      <w:r>
        <w:rPr>
          <w:rFonts w:ascii="Arial;sans-serif" w:hAnsi="Arial;sans-serif"/>
          <w:b w:val="false"/>
          <w:color w:val="000000"/>
          <w:sz w:val="20"/>
        </w:rPr>
        <w:t>. Maintenance expense increased $5,818, or 13%, to $50,129 for the nine months ended September 30, 2024, as compared to the nine months ended September 30, 2023. The year-over-year increase in Maintenance expense was primarily driven by an increase in routine, time-based heavy maintenance and landing gear events, as well as the increase in the size of our fleet and operations.</w:t>
      </w:r>
    </w:p>
    <w:p>
      <w:pPr>
        <w:pStyle w:val="TextBody"/>
        <w:bidi w:val="0"/>
        <w:spacing w:lineRule="auto" w:line="288" w:before="240" w:after="283"/>
        <w:jc w:val="both"/>
        <w:rPr/>
      </w:pPr>
      <w:r>
        <w:rPr>
          <w:rFonts w:ascii="Arial;sans-serif" w:hAnsi="Arial;sans-serif"/>
          <w:b/>
          <w:i/>
          <w:color w:val="000000"/>
          <w:sz w:val="20"/>
        </w:rPr>
        <w:t>Sales and Marketing</w:t>
      </w:r>
      <w:r>
        <w:rPr>
          <w:rFonts w:ascii="Arial;sans-serif" w:hAnsi="Arial;sans-serif"/>
          <w:b w:val="false"/>
          <w:color w:val="000000"/>
          <w:sz w:val="20"/>
        </w:rPr>
        <w:t xml:space="preserve">. Sales and Marketing expense increased $814, or 3%, to $26,819 for the nine months ended September 30, 2024, as compared to the nine months ended September 30, 2023. The change year-over-year was primarily driven by an increase in advertising and other costs, partially offset by a reduction in credit card fees as a result of the year-over-year decrease in total fare per passenger. </w:t>
      </w:r>
    </w:p>
    <w:p>
      <w:pPr>
        <w:pStyle w:val="TextBody"/>
        <w:bidi w:val="0"/>
        <w:spacing w:lineRule="auto" w:line="288" w:before="240" w:after="283"/>
        <w:jc w:val="both"/>
        <w:rPr/>
      </w:pPr>
      <w:r>
        <w:rPr>
          <w:rFonts w:ascii="Arial;sans-serif" w:hAnsi="Arial;sans-serif"/>
          <w:b/>
          <w:i/>
          <w:color w:val="000000"/>
          <w:sz w:val="20"/>
        </w:rPr>
        <w:t>Depreciation and Amortization</w:t>
      </w:r>
      <w:r>
        <w:rPr>
          <w:rFonts w:ascii="Arial;sans-serif" w:hAnsi="Arial;sans-serif"/>
          <w:b w:val="false"/>
          <w:color w:val="000000"/>
          <w:sz w:val="20"/>
        </w:rPr>
        <w:t>. Depreciation and Amortization expense increased $6,617, or 10%, to $71,194 for the nine months ended September 30, 2024, as compared to the nine months ended September 30, 2023. The increase was due to the impact of a change in the composition of our aircraft fleet that resulted in an increased number of owned aircraft and aircraft under finance leases. As of September 30, 2024 and 2023, there were 51 and 47 aircraft that were owned or under finance leases,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i/>
          <w:color w:val="000000"/>
          <w:sz w:val="20"/>
        </w:rPr>
        <w:t>Ground Handling</w:t>
      </w:r>
      <w:r>
        <w:rPr>
          <w:rFonts w:ascii="Arial;sans-serif" w:hAnsi="Arial;sans-serif"/>
          <w:b w:val="false"/>
          <w:color w:val="000000"/>
          <w:sz w:val="20"/>
        </w:rPr>
        <w:t>. Ground Handling expense increased $3,791, or 13%</w:t>
      </w:r>
      <w:r>
        <w:rPr>
          <w:rFonts w:ascii="Arial;sans-serif" w:hAnsi="Arial;sans-serif"/>
          <w:b w:val="false"/>
          <w:color w:val="000000"/>
          <w:sz w:val="24"/>
        </w:rPr>
        <w:t>,</w:t>
      </w:r>
      <w:r>
        <w:rPr>
          <w:color w:val="000000"/>
        </w:rPr>
        <w:t xml:space="preserve"> </w:t>
      </w:r>
      <w:r>
        <w:rPr>
          <w:rFonts w:ascii="Arial;sans-serif" w:hAnsi="Arial;sans-serif"/>
          <w:b w:val="false"/>
          <w:color w:val="000000"/>
          <w:sz w:val="20"/>
        </w:rPr>
        <w:t xml:space="preserve">to $32,090, for the nine months ended September 30, 2024, as compared to the nine months ended September 30, 2023. The year-over-year increase was primarily the result of an 9% increase in Passenger segment departures as a result of our expanding operations, as well as rate increases due to market pressures. </w:t>
      </w:r>
    </w:p>
    <w:p>
      <w:pPr>
        <w:pStyle w:val="TextBody"/>
        <w:bidi w:val="0"/>
        <w:spacing w:lineRule="auto" w:line="288" w:before="240" w:after="283"/>
        <w:jc w:val="both"/>
        <w:rPr/>
      </w:pPr>
      <w:r>
        <w:rPr>
          <w:rFonts w:ascii="Arial;sans-serif" w:hAnsi="Arial;sans-serif"/>
          <w:b/>
          <w:i/>
          <w:color w:val="000000"/>
          <w:sz w:val="20"/>
        </w:rPr>
        <w:t>Landing Fees and Airport Rent</w:t>
      </w:r>
      <w:r>
        <w:rPr>
          <w:rFonts w:ascii="Arial;sans-serif" w:hAnsi="Arial;sans-serif"/>
          <w:b w:val="false"/>
          <w:color w:val="000000"/>
          <w:sz w:val="20"/>
        </w:rPr>
        <w:t xml:space="preserve">. Landing Fees and Airport Rent increased $7,584, or 21%, to $44,431 for the nine months ended September 30, 2024, as compared to the nine months ended September 30, 2023. The increase was a result of airports exhausting their remaining Coronavirus Aid, Relief, and Economic Security Act funding, which increased rates. The increase was also impacted by rate increases due to market pressures and the 9% increase in Passenger segment departures as a result of our expanding operations. </w:t>
      </w:r>
    </w:p>
    <w:p>
      <w:pPr>
        <w:pStyle w:val="TextBody"/>
        <w:bidi w:val="0"/>
        <w:spacing w:lineRule="auto" w:line="288" w:before="240" w:after="283"/>
        <w:jc w:val="both"/>
        <w:rPr/>
      </w:pPr>
      <w:r>
        <w:rPr>
          <w:rFonts w:ascii="Arial;sans-serif" w:hAnsi="Arial;sans-serif"/>
          <w:b/>
          <w:i/>
          <w:color w:val="000000"/>
          <w:sz w:val="20"/>
        </w:rPr>
        <w:t>Other Operating, net</w:t>
      </w:r>
      <w:r>
        <w:rPr>
          <w:rFonts w:ascii="Arial;sans-serif" w:hAnsi="Arial;sans-serif"/>
          <w:b w:val="false"/>
          <w:color w:val="000000"/>
          <w:sz w:val="20"/>
        </w:rPr>
        <w:t xml:space="preserve">. Other operating, net for the nine months ended September 30, 2024 was materially unchanged year-over-year. This was primarily the result of our part sales programs, mostly offset by an increase in operations. </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Non-operating Income (Expense)</w:t>
      </w:r>
    </w:p>
    <w:p>
      <w:pPr>
        <w:pStyle w:val="TextBody"/>
        <w:bidi w:val="0"/>
        <w:spacing w:lineRule="auto" w:line="288" w:before="240" w:after="283"/>
        <w:jc w:val="both"/>
        <w:rPr/>
      </w:pPr>
      <w:r>
        <w:rPr>
          <w:rFonts w:ascii="Arial;sans-serif" w:hAnsi="Arial;sans-serif"/>
          <w:b/>
          <w:i/>
          <w:color w:val="000000"/>
          <w:sz w:val="20"/>
        </w:rPr>
        <w:t>Interest Income</w:t>
      </w:r>
      <w:r>
        <w:rPr>
          <w:rFonts w:ascii="Arial;sans-serif" w:hAnsi="Arial;sans-serif"/>
          <w:b w:val="false"/>
          <w:color w:val="000000"/>
          <w:sz w:val="20"/>
        </w:rPr>
        <w:t>. Interest income decreased $1,859, or 24%, to $5,907 for the nine months ended September 30, 2024, as compared to the nine months ended September 30, 2023. The decrease was primarily due to the reduction in the Company's average investment balance year-over-year.</w:t>
      </w:r>
    </w:p>
    <w:p>
      <w:pPr>
        <w:pStyle w:val="TextBody"/>
        <w:bidi w:val="0"/>
        <w:spacing w:lineRule="auto" w:line="288" w:before="240" w:after="283"/>
        <w:jc w:val="both"/>
        <w:rPr/>
      </w:pPr>
      <w:r>
        <w:rPr>
          <w:rFonts w:ascii="Arial;sans-serif" w:hAnsi="Arial;sans-serif"/>
          <w:b/>
          <w:i/>
          <w:color w:val="000000"/>
          <w:sz w:val="20"/>
        </w:rPr>
        <w:t>Interest Expense</w:t>
      </w:r>
      <w:r>
        <w:rPr>
          <w:rFonts w:ascii="Arial;sans-serif" w:hAnsi="Arial;sans-serif"/>
          <w:b w:val="false"/>
          <w:color w:val="000000"/>
          <w:sz w:val="20"/>
        </w:rPr>
        <w:t xml:space="preserve">. Interest expense increased $1,966, or 6%, to $33,238 for the nine months ended September 30, 2024, as compared to the nine months ended September 30, 2023. The increase was due to the change in our aircraft fleet that resulted in an increase of aircraft under finance leases and owned aircraft that were financed with debt proceeds. For more information on the Company's Debt, see </w:t>
      </w:r>
      <w:hyperlink w:anchor="i54c189ddb00d4e19ac66c674081beae3_46">
        <w:r>
          <w:rPr>
            <w:rStyle w:val="InternetLink"/>
            <w:rFonts w:ascii="Arial;sans-serif" w:hAnsi="Arial;sans-serif"/>
            <w:b w:val="false"/>
            <w:color w:val="0000FF"/>
            <w:sz w:val="20"/>
            <w:u w:val="single"/>
          </w:rPr>
          <w:t>Note 5</w:t>
        </w:r>
      </w:hyperlink>
      <w:r>
        <w:rPr>
          <w:color w:val="000000"/>
        </w:rPr>
        <w:t xml:space="preserve"> </w:t>
      </w:r>
      <w:r>
        <w:rPr>
          <w:rFonts w:ascii="Arial;sans-serif" w:hAnsi="Arial;sans-serif"/>
          <w:b w:val="false"/>
          <w:color w:val="000000"/>
          <w:sz w:val="20"/>
        </w:rPr>
        <w:t xml:space="preserve">of the Condensed Consolidated Financial Statements included in Part I, Item I of this report. </w:t>
      </w:r>
    </w:p>
    <w:p>
      <w:pPr>
        <w:pStyle w:val="TextBody"/>
        <w:bidi w:val="0"/>
        <w:spacing w:lineRule="auto" w:line="288" w:before="240" w:after="283"/>
        <w:jc w:val="both"/>
        <w:rPr/>
      </w:pPr>
      <w:r>
        <w:rPr>
          <w:rFonts w:ascii="Arial;sans-serif" w:hAnsi="Arial;sans-serif"/>
          <w:b/>
          <w:i/>
          <w:color w:val="000000"/>
          <w:sz w:val="20"/>
        </w:rPr>
        <w:t>Other, net</w:t>
      </w:r>
      <w:r>
        <w:rPr>
          <w:rFonts w:ascii="Arial;sans-serif" w:hAnsi="Arial;sans-serif"/>
          <w:b w:val="false"/>
          <w:color w:val="000000"/>
          <w:sz w:val="20"/>
        </w:rPr>
        <w:t xml:space="preserve">. Other, net changed by $425 to a net benefit of $55 for the nine months ended September 30, 2024, as compared to a net expense of $370 for the nine months ended September 30, 2023. The change is a result of secondary offering costs incurred during the nine months ended September 30, 2023. </w:t>
      </w:r>
    </w:p>
    <w:p>
      <w:pPr>
        <w:pStyle w:val="TextBody"/>
        <w:bidi w:val="0"/>
        <w:spacing w:lineRule="auto" w:line="288" w:before="240" w:after="283"/>
        <w:jc w:val="both"/>
        <w:rPr/>
      </w:pPr>
      <w:r>
        <w:rPr>
          <w:rFonts w:ascii="Arial;sans-serif" w:hAnsi="Arial;sans-serif"/>
          <w:b/>
          <w:i/>
          <w:color w:val="000000"/>
          <w:sz w:val="20"/>
        </w:rPr>
        <w:t>Income Tax.</w:t>
      </w:r>
      <w:r>
        <w:rPr>
          <w:color w:val="000000"/>
        </w:rPr>
        <w:t xml:space="preserve"> </w:t>
      </w:r>
      <w:r>
        <w:rPr>
          <w:rFonts w:ascii="Arial;sans-serif" w:hAnsi="Arial;sans-serif"/>
          <w:b w:val="false"/>
          <w:color w:val="000000"/>
          <w:sz w:val="20"/>
        </w:rPr>
        <w:t>The Company's effective tax rate for the nine months ended September 30, 2024 was 25.0% compared to 23.1% for the nine months ended September 30, 2023. The increase in the effective tax rate was due to the impact of permanent stock compensation items.</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Segments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 the Three Months Ended September 30, 2024 and 2023</w:t>
      </w:r>
    </w:p>
    <w:tbl>
      <w:tblPr>
        <w:tblW w:w="10205" w:type="dxa"/>
        <w:jc w:val="left"/>
        <w:tblInd w:w="0" w:type="dxa"/>
        <w:tblLayout w:type="fixed"/>
        <w:tblCellMar>
          <w:top w:w="28" w:type="dxa"/>
          <w:left w:w="28" w:type="dxa"/>
          <w:bottom w:w="28" w:type="dxa"/>
          <w:right w:w="28" w:type="dxa"/>
        </w:tblCellMar>
      </w:tblPr>
      <w:tblGrid>
        <w:gridCol w:w="808"/>
        <w:gridCol w:w="608"/>
        <w:gridCol w:w="611"/>
        <w:gridCol w:w="324"/>
        <w:gridCol w:w="218"/>
        <w:gridCol w:w="578"/>
        <w:gridCol w:w="128"/>
        <w:gridCol w:w="128"/>
        <w:gridCol w:w="128"/>
        <w:gridCol w:w="265"/>
        <w:gridCol w:w="190"/>
        <w:gridCol w:w="501"/>
        <w:gridCol w:w="128"/>
        <w:gridCol w:w="128"/>
        <w:gridCol w:w="128"/>
        <w:gridCol w:w="251"/>
        <w:gridCol w:w="219"/>
        <w:gridCol w:w="577"/>
        <w:gridCol w:w="109"/>
        <w:gridCol w:w="109"/>
        <w:gridCol w:w="109"/>
        <w:gridCol w:w="324"/>
        <w:gridCol w:w="218"/>
        <w:gridCol w:w="578"/>
        <w:gridCol w:w="128"/>
        <w:gridCol w:w="128"/>
        <w:gridCol w:w="128"/>
        <w:gridCol w:w="272"/>
        <w:gridCol w:w="194"/>
        <w:gridCol w:w="501"/>
        <w:gridCol w:w="128"/>
        <w:gridCol w:w="128"/>
        <w:gridCol w:w="128"/>
        <w:gridCol w:w="256"/>
        <w:gridCol w:w="208"/>
        <w:gridCol w:w="641"/>
      </w:tblGrid>
      <w:tr>
        <w:trPr/>
        <w:tc>
          <w:tcPr>
            <w:tcW w:w="8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2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September 30, 2023</w:t>
            </w:r>
          </w:p>
        </w:tc>
      </w:tr>
      <w:tr>
        <w:trPr/>
        <w:tc>
          <w:tcPr>
            <w:tcW w:w="2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Passenger</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Cargo</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Passenger</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Cargo </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Total </w:t>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Revenues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220,305</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29,165</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222,817</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26,059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248,876</w:t>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54,701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61,157</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61,179</w:t>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62,317</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18,602</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54,527</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18,014</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72,541</w:t>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w:t>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Maintenance</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12,171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3,802</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11,679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3,651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15,330</w:t>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7,748</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7,569</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7,569</w:t>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23,749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22,756</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22,762</w:t>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Ground Handling</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11,563</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9,382</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9,382</w:t>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Landing Fees and Airport Rent</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15,829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13,858</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13,958</w:t>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net</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21,534</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4,876</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22,252</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4,875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27,127</w:t>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209,612</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27,476</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237,088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203,202</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26,668</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229,870</w:t>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10,693</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1,689</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19,615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(609)</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19,006</w:t>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Margin %</w:t>
            </w:r>
          </w:p>
        </w:tc>
        <w:tc>
          <w:tcPr>
            <w:tcW w:w="54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5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5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5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5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5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6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both"/>
        <w:rPr/>
      </w:pPr>
      <w:r>
        <w:rPr>
          <w:rFonts w:ascii="Arial;sans-serif" w:hAnsi="Arial;sans-serif"/>
          <w:b/>
          <w:i/>
          <w:color w:val="000000"/>
          <w:sz w:val="20"/>
        </w:rPr>
        <w:t>Passenger.</w:t>
      </w:r>
      <w:r>
        <w:rPr>
          <w:color w:val="000000"/>
        </w:rPr>
        <w:t xml:space="preserve"> </w:t>
      </w:r>
      <w:r>
        <w:rPr>
          <w:rFonts w:ascii="Arial;sans-serif" w:hAnsi="Arial;sans-serif"/>
          <w:b w:val="false"/>
          <w:color w:val="000000"/>
          <w:sz w:val="20"/>
        </w:rPr>
        <w:t>Passenger Operating Income decreased $8,922 to $10,693 for the three months ended September 30, 2024, as compared to the three months ended September 30, 2023. The Operating Margin Percentage for the three months ended September 30, 2024 decreased by 3.9 percentage points, as compared to the three months ended September 30, 2023. The quarter-over-quarter decreases in Passenger Operating Income and Operating Margin Percentage were primarily driven by an 8% reduction in total fare per passenger which was impacted by increased capacity across the industry, partially offset by a 5% increase in Passenger segment departures. Operating Income and Operating Margin Percentage were also pressured by increased expenses as a result of contractual rate increases for our pilots, an increase in landing gear events, and rate increases for Landing Fees and Airport Rent; partially offset by a 16% decrease in the average fuel cost per gallon. For more information on the changes in the components of Operating Income for the Passenger segment, refer to the Results of Operations discussion above</w:t>
      </w:r>
      <w:r>
        <w:rPr>
          <w:rFonts w:ascii="Arial;sans-serif" w:hAnsi="Arial;sans-serif"/>
          <w:b w:val="false"/>
          <w:color w:val="000000"/>
          <w:sz w:val="22"/>
        </w:rPr>
        <w:t>.</w:t>
      </w:r>
    </w:p>
    <w:p>
      <w:pPr>
        <w:pStyle w:val="TextBody"/>
        <w:bidi w:val="0"/>
        <w:spacing w:lineRule="auto" w:line="288" w:before="240" w:after="283"/>
        <w:jc w:val="both"/>
        <w:rPr/>
      </w:pPr>
      <w:r>
        <w:rPr>
          <w:rFonts w:ascii="Arial;sans-serif" w:hAnsi="Arial;sans-serif"/>
          <w:b/>
          <w:i/>
          <w:color w:val="000000"/>
          <w:sz w:val="20"/>
        </w:rPr>
        <w:t xml:space="preserve">Cargo. </w:t>
      </w:r>
      <w:r>
        <w:rPr>
          <w:rFonts w:ascii="Arial;sans-serif" w:hAnsi="Arial;sans-serif"/>
          <w:b w:val="false"/>
          <w:color w:val="000000"/>
          <w:sz w:val="20"/>
        </w:rPr>
        <w:t>Cargo Operating Income increased by $2,298, to $1,689, for the three months ended September 30, 2024, as compared to the three months ended September 30, 2023. Operating Margin Percentage for the three months ended September 30, 2024 improved by 8.1 percentage points, as compared to the three months ended September 30, 2023. The changes in both Operating Income and Operating Margin Percentage were driven by rate escalations due to the A&amp;R ATSA and scheduling efficiency improvements between our segments, which offset the contractual rate increases for our pilots. For more information on the components of Operating Income for the Cargo segment, refer to the Results of Operations discussion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Segments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 the Nine Months Ended September 30, 2024 and 2023</w:t>
      </w:r>
    </w:p>
    <w:tbl>
      <w:tblPr>
        <w:tblW w:w="10205" w:type="dxa"/>
        <w:jc w:val="left"/>
        <w:tblInd w:w="0" w:type="dxa"/>
        <w:tblLayout w:type="fixed"/>
        <w:tblCellMar>
          <w:top w:w="28" w:type="dxa"/>
          <w:left w:w="28" w:type="dxa"/>
          <w:bottom w:w="28" w:type="dxa"/>
          <w:right w:w="28" w:type="dxa"/>
        </w:tblCellMar>
      </w:tblPr>
      <w:tblGrid>
        <w:gridCol w:w="799"/>
        <w:gridCol w:w="594"/>
        <w:gridCol w:w="598"/>
        <w:gridCol w:w="324"/>
        <w:gridCol w:w="218"/>
        <w:gridCol w:w="578"/>
        <w:gridCol w:w="125"/>
        <w:gridCol w:w="125"/>
        <w:gridCol w:w="125"/>
        <w:gridCol w:w="260"/>
        <w:gridCol w:w="190"/>
        <w:gridCol w:w="501"/>
        <w:gridCol w:w="125"/>
        <w:gridCol w:w="125"/>
        <w:gridCol w:w="125"/>
        <w:gridCol w:w="246"/>
        <w:gridCol w:w="219"/>
        <w:gridCol w:w="577"/>
        <w:gridCol w:w="109"/>
        <w:gridCol w:w="109"/>
        <w:gridCol w:w="109"/>
        <w:gridCol w:w="324"/>
        <w:gridCol w:w="218"/>
        <w:gridCol w:w="578"/>
        <w:gridCol w:w="125"/>
        <w:gridCol w:w="125"/>
        <w:gridCol w:w="125"/>
        <w:gridCol w:w="267"/>
        <w:gridCol w:w="197"/>
        <w:gridCol w:w="505"/>
        <w:gridCol w:w="125"/>
        <w:gridCol w:w="125"/>
        <w:gridCol w:w="125"/>
        <w:gridCol w:w="273"/>
        <w:gridCol w:w="269"/>
        <w:gridCol w:w="643"/>
      </w:tblGrid>
      <w:tr>
        <w:trPr/>
        <w:tc>
          <w:tcPr>
            <w:tcW w:w="79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 September 30, 2023</w:t>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Passenger</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Cargo</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Passenger</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Cargo </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Total </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Revenues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736,774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78,560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815,334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729,640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74,437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804,077</w:t>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187,185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185,770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185,829</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190,413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52,103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171,080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52,810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223,890</w:t>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2,281</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Maintenance</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39,428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10,701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33,339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10,972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44,311</w:t>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26,819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26,005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26,005</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71,179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64,527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64,577</w:t>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Ground Handling</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32,076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28,299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28,299</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Landing Fees and Airport Rent</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43,980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36,545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36,847</w:t>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net</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65,929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15,074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66,813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14,850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81,663</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657,009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78,402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735,411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614,659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79,043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693,702</w:t>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79,765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79,923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114,981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(4,606)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110,375</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Margin %</w:t>
            </w:r>
          </w:p>
        </w:tc>
        <w:tc>
          <w:tcPr>
            <w:tcW w:w="54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5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5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5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5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50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6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both"/>
        <w:rPr/>
      </w:pPr>
      <w:r>
        <w:rPr>
          <w:rFonts w:ascii="Arial;sans-serif" w:hAnsi="Arial;sans-serif"/>
          <w:b/>
          <w:i/>
          <w:color w:val="000000"/>
          <w:sz w:val="20"/>
        </w:rPr>
        <w:t>Passenger.</w:t>
      </w:r>
      <w:r>
        <w:rPr>
          <w:color w:val="000000"/>
        </w:rPr>
        <w:t xml:space="preserve"> </w:t>
      </w:r>
      <w:r>
        <w:rPr>
          <w:rFonts w:ascii="Arial;sans-serif" w:hAnsi="Arial;sans-serif"/>
          <w:b w:val="false"/>
          <w:color w:val="000000"/>
          <w:sz w:val="20"/>
        </w:rPr>
        <w:t>Passenger Operating Income decreased $35,216 to $79,765 for the nine months ended September 30, 2024, as compared to the nine months ended September 30, 2023. The Operating Margin Percentage for the nine months ended September 30, 2024 decreased by 5.0 percentage points, as compared to the nine months ended September 30, 2023. The year-over-year decreases in Passenger Operating Income and Operating Margin Percentage were primarily driven by a 13% decrease in total fare per passenger as a result of increased capacity across the industry, partially offset by a 9% increase in Passenger segment departures. Operating Income and Operating Margin Percentage were further impacted by increased expenses as a result of contractual rate increases for our pilots, an increase in heavy maintenance and landing gear events, and rate increases for Landing Fees and Airport Rent; partially offset by an 8% decrease in the average fuel cost per gallon. For more information on the changes in the components of Operating Income for the Passenger segment, refer to the Results of Operations discussion above</w:t>
      </w:r>
      <w:r>
        <w:rPr>
          <w:rFonts w:ascii="Arial;sans-serif" w:hAnsi="Arial;sans-serif"/>
          <w:b w:val="false"/>
          <w:color w:val="000000"/>
          <w:sz w:val="22"/>
        </w:rPr>
        <w:t>.</w:t>
      </w:r>
    </w:p>
    <w:p>
      <w:pPr>
        <w:pStyle w:val="TextBody"/>
        <w:bidi w:val="0"/>
        <w:spacing w:lineRule="auto" w:line="288" w:before="240" w:after="283"/>
        <w:jc w:val="both"/>
        <w:rPr/>
      </w:pPr>
      <w:r>
        <w:rPr>
          <w:rFonts w:ascii="Arial;sans-serif" w:hAnsi="Arial;sans-serif"/>
          <w:b/>
          <w:i/>
          <w:color w:val="000000"/>
          <w:sz w:val="20"/>
        </w:rPr>
        <w:t xml:space="preserve">Cargo. </w:t>
      </w:r>
      <w:r>
        <w:rPr>
          <w:rFonts w:ascii="Arial;sans-serif" w:hAnsi="Arial;sans-serif"/>
          <w:b w:val="false"/>
          <w:color w:val="000000"/>
          <w:sz w:val="20"/>
        </w:rPr>
        <w:t>Cargo Operating Income increased by $4,764, to $158, for the nine months ended September 30, 2024, as compared to the nine months ended September 30, 2023. Operating Margin Percentage for the nine months ended September 30, 2024 improved by 6.4 percentage points, as compared to the nine months ended September 30, 2023. The changes in both Operating Income and Operating Margin Percentage were driven by rate escalations due to the A&amp;R ATSA and scheduling efficiency improvements between our segments, which offset the contractual rate increases for our pilots and resulted in materially consistent year-over-year Operating Expenses. For more information on the components of Operating Income for the Cargo segment, refer to the Results of Operations discussion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Non-GAAP Financial Measures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report to the most directly comparable GAAP financial measures.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Adjusted Operating Income, Adjusted Operating Income Margin, Adjusted Net Income and Adjusted EBITDA</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Adjusted Operating Income, Adjusted Operating Income Margin, Adjusted Net Income, and Adjusted EBITDA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pStyle w:val="TextBody"/>
        <w:bidi w:val="0"/>
        <w:spacing w:lineRule="auto" w:line="288" w:before="240" w:after="283"/>
        <w:jc w:val="both"/>
        <w:rPr/>
      </w:pPr>
      <w:r>
        <w:rPr>
          <w:rFonts w:ascii="Arial;sans-serif" w:hAnsi="Arial;sans-serif"/>
          <w:b w:val="false"/>
          <w:color w:val="000000"/>
          <w:sz w:val="20"/>
        </w:rPr>
        <w:t>For the foregoing reasons, Adjusted Operating Income, Adjusted Operating Income Margin, Adjusted Net Income and Adjusted EBITDA have significant limitations which affect their use as indicators of our profitability. Accordingly, readers are cautioned not to place undue reliance on this information</w:t>
      </w:r>
      <w:r>
        <w:rPr>
          <w:rFonts w:ascii="Arial;sans-serif" w:hAnsi="Arial;sans-serif"/>
          <w:b w:val="false"/>
          <w:color w:val="000000"/>
          <w:sz w:val="24"/>
        </w:rPr>
        <w:t xml:space="preserve">. </w:t>
      </w:r>
    </w:p>
    <w:p>
      <w:pPr>
        <w:pStyle w:val="TextBody"/>
        <w:bidi w:val="0"/>
        <w:spacing w:lineRule="auto" w:line="276" w:before="240" w:after="283"/>
        <w:jc w:val="left"/>
        <w:rPr>
          <w:rFonts w:ascii="Arial;sans-serif" w:hAnsi="Arial;sans-serif"/>
          <w:b w:val="false"/>
          <w:color w:val="000000"/>
          <w:sz w:val="20"/>
        </w:rPr>
      </w:pPr>
      <w:r>
        <w:rPr>
          <w:rFonts w:ascii="Arial;sans-serif" w:hAnsi="Arial;sans-serif"/>
          <w:b w:val="false"/>
          <w:color w:val="000000"/>
          <w:sz w:val="20"/>
        </w:rPr>
        <w:t>The following table presents the reconciliation of Operating Income to Adjusted Operating Income, and Adjusted Operating Income Margin for the periods presented below.</w:t>
      </w:r>
    </w:p>
    <w:tbl>
      <w:tblPr>
        <w:tblW w:w="10205" w:type="dxa"/>
        <w:jc w:val="left"/>
        <w:tblInd w:w="0" w:type="dxa"/>
        <w:tblLayout w:type="fixed"/>
        <w:tblCellMar>
          <w:top w:w="28" w:type="dxa"/>
          <w:left w:w="28" w:type="dxa"/>
          <w:bottom w:w="28" w:type="dxa"/>
          <w:right w:w="28" w:type="dxa"/>
        </w:tblCellMar>
      </w:tblPr>
      <w:tblGrid>
        <w:gridCol w:w="1458"/>
        <w:gridCol w:w="1276"/>
        <w:gridCol w:w="1282"/>
        <w:gridCol w:w="374"/>
        <w:gridCol w:w="219"/>
        <w:gridCol w:w="577"/>
        <w:gridCol w:w="192"/>
        <w:gridCol w:w="192"/>
        <w:gridCol w:w="192"/>
        <w:gridCol w:w="374"/>
        <w:gridCol w:w="219"/>
        <w:gridCol w:w="577"/>
        <w:gridCol w:w="109"/>
        <w:gridCol w:w="109"/>
        <w:gridCol w:w="109"/>
        <w:gridCol w:w="374"/>
        <w:gridCol w:w="219"/>
        <w:gridCol w:w="577"/>
        <w:gridCol w:w="185"/>
        <w:gridCol w:w="185"/>
        <w:gridCol w:w="185"/>
        <w:gridCol w:w="375"/>
        <w:gridCol w:w="208"/>
        <w:gridCol w:w="638"/>
      </w:tblGrid>
      <w:tr>
        <w:trPr/>
        <w:tc>
          <w:tcPr>
            <w:tcW w:w="145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4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2023</w:t>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Income Margin Reconciliation:</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249,470</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815,334</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804,077</w:t>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12,382</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79,923</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110,375</w:t>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4,574</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8,132</w:t>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Adjusted Operating Income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13,872</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84,497</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118,507</w:t>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Margin</w:t>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Adjusted Operating Income Margin </w:t>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reconciliation of Net Income to Adjusted Net Income for the periods presented below.</w:t>
      </w:r>
    </w:p>
    <w:tbl>
      <w:tblPr>
        <w:tblW w:w="9994" w:type="dxa"/>
        <w:jc w:val="left"/>
        <w:tblInd w:w="0" w:type="dxa"/>
        <w:tblLayout w:type="fixed"/>
        <w:tblCellMar>
          <w:top w:w="28" w:type="dxa"/>
          <w:left w:w="28" w:type="dxa"/>
          <w:bottom w:w="28" w:type="dxa"/>
          <w:right w:w="28" w:type="dxa"/>
        </w:tblCellMar>
      </w:tblPr>
      <w:tblGrid>
        <w:gridCol w:w="1402"/>
        <w:gridCol w:w="1231"/>
        <w:gridCol w:w="1237"/>
        <w:gridCol w:w="273"/>
        <w:gridCol w:w="836"/>
        <w:gridCol w:w="141"/>
        <w:gridCol w:w="141"/>
        <w:gridCol w:w="141"/>
        <w:gridCol w:w="141"/>
        <w:gridCol w:w="273"/>
        <w:gridCol w:w="836"/>
        <w:gridCol w:w="141"/>
        <w:gridCol w:w="109"/>
        <w:gridCol w:w="109"/>
        <w:gridCol w:w="109"/>
        <w:gridCol w:w="241"/>
        <w:gridCol w:w="860"/>
        <w:gridCol w:w="124"/>
        <w:gridCol w:w="124"/>
        <w:gridCol w:w="124"/>
        <w:gridCol w:w="124"/>
        <w:gridCol w:w="241"/>
        <w:gridCol w:w="860"/>
        <w:gridCol w:w="176"/>
      </w:tblGrid>
      <w:tr>
        <w:trPr/>
        <w:tc>
          <w:tcPr>
            <w:tcW w:w="140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Net Income Reconciliation:</w:t>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7,591 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39,467 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66,536 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TRA adjustment </w:t>
            </w:r>
            <w:r>
              <w:rPr>
                <w:rFonts w:ascii="Arial;sans-serif" w:hAnsi="Arial;sans-serif"/>
                <w:b w:val="false"/>
                <w:color w:val="000000"/>
                <w:sz w:val="13"/>
              </w:rPr>
              <w:t>(1)</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Income tax effect of adjusting items, net </w:t>
            </w:r>
            <w:r>
              <w:rPr>
                <w:rFonts w:ascii="Arial;sans-serif" w:hAnsi="Arial;sans-serif"/>
                <w:b w:val="false"/>
                <w:color w:val="000000"/>
                <w:sz w:val="13"/>
              </w:rPr>
              <w:t>(2)</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Net Income</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3,489 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8,391 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42,989 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72,933 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283"/>
              <w:jc w:val="both"/>
              <w:rPr>
                <w:rFonts w:ascii="Arial;sans-serif" w:hAnsi="Arial;sans-serif"/>
                <w:b w:val="false"/>
                <w:color w:val="000000"/>
                <w:sz w:val="16"/>
              </w:rPr>
            </w:pPr>
            <w:r>
              <w:rPr>
                <w:rFonts w:ascii="Arial;sans-serif" w:hAnsi="Arial;sans-serif"/>
                <w:b w:val="false"/>
                <w:color w:val="000000"/>
                <w:sz w:val="16"/>
              </w:rPr>
              <w:t>This represents the adjustment to the TRA for the period, which is recorded in Non-Operating Income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283"/>
              <w:jc w:val="both"/>
              <w:rPr>
                <w:rFonts w:ascii="Arial;sans-serif" w:hAnsi="Arial;sans-serif"/>
                <w:b w:val="false"/>
                <w:color w:val="000000"/>
                <w:sz w:val="16"/>
              </w:rPr>
            </w:pPr>
            <w:r>
              <w:rPr>
                <w:rFonts w:ascii="Arial;sans-serif" w:hAnsi="Arial;sans-serif"/>
                <w:b w:val="false"/>
                <w:color w:val="000000"/>
                <w:sz w:val="16"/>
              </w:rPr>
              <w:t>The tax effect of adjusting items, net is calculated at the Company's statutory rate for the applicable period. The TRA adjustment is not included within the income tax effect calculation.</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reconciliation of Net Income to Adjusted EBITDA for the periods presented below.</w:t>
      </w:r>
    </w:p>
    <w:tbl>
      <w:tblPr>
        <w:tblW w:w="9130" w:type="dxa"/>
        <w:jc w:val="left"/>
        <w:tblInd w:w="0" w:type="dxa"/>
        <w:tblLayout w:type="fixed"/>
        <w:tblCellMar>
          <w:top w:w="28" w:type="dxa"/>
          <w:left w:w="28" w:type="dxa"/>
          <w:bottom w:w="28" w:type="dxa"/>
          <w:right w:w="28" w:type="dxa"/>
        </w:tblCellMar>
      </w:tblPr>
      <w:tblGrid>
        <w:gridCol w:w="1087"/>
        <w:gridCol w:w="954"/>
        <w:gridCol w:w="959"/>
        <w:gridCol w:w="250"/>
        <w:gridCol w:w="890"/>
        <w:gridCol w:w="129"/>
        <w:gridCol w:w="129"/>
        <w:gridCol w:w="129"/>
        <w:gridCol w:w="129"/>
        <w:gridCol w:w="250"/>
        <w:gridCol w:w="890"/>
        <w:gridCol w:w="129"/>
        <w:gridCol w:w="109"/>
        <w:gridCol w:w="109"/>
        <w:gridCol w:w="109"/>
        <w:gridCol w:w="223"/>
        <w:gridCol w:w="905"/>
        <w:gridCol w:w="115"/>
        <w:gridCol w:w="115"/>
        <w:gridCol w:w="115"/>
        <w:gridCol w:w="115"/>
        <w:gridCol w:w="223"/>
        <w:gridCol w:w="905"/>
        <w:gridCol w:w="162"/>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 Reconciliation:</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39,467 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66,536 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TRA adjustment </w:t>
            </w:r>
            <w:r>
              <w:rPr>
                <w:rFonts w:ascii="Arial;sans-serif" w:hAnsi="Arial;sans-serif"/>
                <w:b w:val="false"/>
                <w:color w:val="000000"/>
                <w:sz w:val="13"/>
              </w:rPr>
              <w:t>(1)</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(7,766)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11,403 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31,272 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22,762 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71,194 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64,577 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37,638 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42,792 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155,746 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182,997 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w:t>
      </w:r>
    </w:p>
    <w:tbl>
      <w:tblPr>
        <w:tblW w:w="8696" w:type="dxa"/>
        <w:jc w:val="left"/>
        <w:tblInd w:w="0" w:type="dxa"/>
        <w:tblLayout w:type="fixed"/>
        <w:tblCellMar>
          <w:top w:w="28" w:type="dxa"/>
          <w:left w:w="28" w:type="dxa"/>
          <w:bottom w:w="28" w:type="dxa"/>
          <w:right w:w="28" w:type="dxa"/>
        </w:tblCellMar>
      </w:tblPr>
      <w:tblGrid>
        <w:gridCol w:w="124"/>
        <w:gridCol w:w="109"/>
        <w:gridCol w:w="109"/>
        <w:gridCol w:w="2443"/>
        <w:gridCol w:w="2443"/>
        <w:gridCol w:w="34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34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8354" w:type="dxa"/>
            <w:gridSpan w:val="3"/>
            <w:tcBorders/>
            <w:tcMar>
              <w:top w:w="0" w:type="dxa"/>
              <w:left w:w="0" w:type="dxa"/>
              <w:bottom w:w="0" w:type="dxa"/>
              <w:right w:w="0" w:type="dxa"/>
            </w:tcMar>
            <w:vAlign w:val="center"/>
          </w:tcPr>
          <w:p>
            <w:pPr>
              <w:pStyle w:val="TableContents"/>
              <w:bidi w:val="0"/>
              <w:spacing w:lineRule="auto" w:line="256" w:before="0" w:after="283"/>
              <w:jc w:val="both"/>
              <w:rPr>
                <w:rFonts w:ascii="Arial;sans-serif" w:hAnsi="Arial;sans-serif"/>
                <w:b w:val="false"/>
                <w:color w:val="000000"/>
                <w:sz w:val="16"/>
              </w:rPr>
            </w:pPr>
            <w:r>
              <w:rPr>
                <w:rFonts w:ascii="Arial;sans-serif" w:hAnsi="Arial;sans-serif"/>
                <w:b w:val="false"/>
                <w:color w:val="000000"/>
                <w:sz w:val="16"/>
              </w:rPr>
              <w:t>This represents the adjustment to the TRA for the period, which is recorded in Non-Operating Income (Expense).</w:t>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CASM and Adjusted CASM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CASM is a key airline cost metric defined as operating expenses divided by total available seat miles. Adjusted CASM is a non-GAAP measure derived from CASM by excluding fuel costs, costs related to our cargo operations, depreciation and amortization recognized on certain assets that generate lease income, stock-based compensation, certain commissions and other costs of selling our vacation products from this measure as these costs are unrelated to our airline operations and improve comparability to our peers. Adjusted CASM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have excluded costs related to the Cargo operations, as well as depreciation and amortization recognized on certain assets that generate lease income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We have entered into a series of aircraft-related transactions where we serve as an aircraft lessor. As of September 30, 2024, we leased or subleased seven aircraft. Depreciation and Amortization expense on these aircraft materially began during the three months ended June 30, 2023.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long-term employee retention, rather than to motivate or reward operational performance for any period. Thus, stock-based compensation expense varies for reasons that are generally unrelated to operational decisions and performance in any period.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present the reconciliation of CASM to Adjusted CASM:</w:t>
      </w:r>
    </w:p>
    <w:tbl>
      <w:tblPr>
        <w:tblW w:w="10205" w:type="dxa"/>
        <w:jc w:val="left"/>
        <w:tblInd w:w="0" w:type="dxa"/>
        <w:tblLayout w:type="fixed"/>
        <w:tblCellMar>
          <w:top w:w="28" w:type="dxa"/>
          <w:left w:w="28" w:type="dxa"/>
          <w:bottom w:w="28" w:type="dxa"/>
          <w:right w:w="28" w:type="dxa"/>
        </w:tblCellMar>
      </w:tblPr>
      <w:tblGrid>
        <w:gridCol w:w="1777"/>
        <w:gridCol w:w="1568"/>
        <w:gridCol w:w="1589"/>
        <w:gridCol w:w="211"/>
        <w:gridCol w:w="856"/>
        <w:gridCol w:w="109"/>
        <w:gridCol w:w="109"/>
        <w:gridCol w:w="109"/>
        <w:gridCol w:w="109"/>
        <w:gridCol w:w="323"/>
        <w:gridCol w:w="323"/>
        <w:gridCol w:w="278"/>
        <w:gridCol w:w="109"/>
        <w:gridCol w:w="109"/>
        <w:gridCol w:w="109"/>
        <w:gridCol w:w="211"/>
        <w:gridCol w:w="856"/>
        <w:gridCol w:w="109"/>
        <w:gridCol w:w="109"/>
        <w:gridCol w:w="109"/>
        <w:gridCol w:w="109"/>
        <w:gridCol w:w="323"/>
        <w:gridCol w:w="323"/>
        <w:gridCol w:w="368"/>
      </w:tblGrid>
      <w:tr>
        <w:trPr/>
        <w:tc>
          <w:tcPr>
            <w:tcW w:w="177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w:t>
              <w:br/>
              <w:t>(in cents)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w:t>
              <w:br/>
              <w:t>(in cents)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Cargo expenses, not already adjusted above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Sun Country Vacations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20"/>
              </w:rPr>
              <w:t xml:space="preserve">Leased Aircraft, Depreciation and Amortization Expense </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CASM</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8.04 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7.75 </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ASM (thousands)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1,884,889 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77"/>
        <w:gridCol w:w="1568"/>
        <w:gridCol w:w="1589"/>
        <w:gridCol w:w="211"/>
        <w:gridCol w:w="856"/>
        <w:gridCol w:w="109"/>
        <w:gridCol w:w="109"/>
        <w:gridCol w:w="109"/>
        <w:gridCol w:w="109"/>
        <w:gridCol w:w="323"/>
        <w:gridCol w:w="323"/>
        <w:gridCol w:w="278"/>
        <w:gridCol w:w="109"/>
        <w:gridCol w:w="109"/>
        <w:gridCol w:w="109"/>
        <w:gridCol w:w="211"/>
        <w:gridCol w:w="856"/>
        <w:gridCol w:w="109"/>
        <w:gridCol w:w="109"/>
        <w:gridCol w:w="109"/>
        <w:gridCol w:w="109"/>
        <w:gridCol w:w="323"/>
        <w:gridCol w:w="323"/>
        <w:gridCol w:w="368"/>
      </w:tblGrid>
      <w:tr>
        <w:trPr/>
        <w:tc>
          <w:tcPr>
            <w:tcW w:w="177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w:t>
              <w:br/>
              <w:t>(in cents)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w:t>
              <w:br/>
              <w:t>(in cents)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735,411 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693,702 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Cargo expenses, not already adjusted above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Sun Country Vacations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Arial;sans-serif" w:hAnsi="Arial;sans-serif"/>
                <w:b w:val="false"/>
                <w:color w:val="000000"/>
                <w:sz w:val="20"/>
              </w:rPr>
              <w:t xml:space="preserve">Leased Aircraft, Depreciation and Amortization Expense </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CASM</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458,930 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7.51 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7.56 </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ASM (thousands)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6,108,695 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5,516,826 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79"/>
        <w:gridCol w:w="2879"/>
        <w:gridCol w:w="41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1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283"/>
              <w:jc w:val="both"/>
              <w:rPr>
                <w:rFonts w:ascii="Arial;sans-serif" w:hAnsi="Arial;sans-serif"/>
                <w:b w:val="false"/>
                <w:color w:val="000000"/>
                <w:sz w:val="16"/>
              </w:rPr>
            </w:pPr>
            <w:r>
              <w:rPr>
                <w:rFonts w:ascii="Arial;sans-serif" w:hAnsi="Arial;sans-serif"/>
                <w:b w:val="false"/>
                <w:color w:val="000000"/>
                <w:sz w:val="16"/>
              </w:rPr>
              <w:t>Includes both the Company's Owned Aircraft Held for Operating Lease as well as subleased aircraft. These aircraft are leased to unaffiliated third parties.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primary sources of liquidity as of September 30, 2024 included our existing cash and cash equivalents of $56,791 and short-term investments of $89,697, our expected cash generated from operations, and the $24,743 of available funds from the Revolving Credit Facility. In addition, we had restricted cash of $10,649 as of September 30, 2024, which generally consists of cash received as prepayment for chartered flights that is maintained in separate escrow accounts prior to the date of transportation in accordance with DOT regulations. The restrictions are released once the charter transportation is provided.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believe our unrestricted cash and cash equivalents, short-term investments, and availability under our Revolving Credit Facility, combined with expected future cash flows from operations, will be sufficient to fund our operations and meet our debt payment obligations for at least the next twelve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regulations, or acts of terrorism. </w:t>
      </w:r>
    </w:p>
    <w:p>
      <w:pPr>
        <w:pStyle w:val="TextBody"/>
        <w:bidi w:val="0"/>
        <w:spacing w:lineRule="auto" w:line="288" w:before="240" w:after="283"/>
        <w:jc w:val="both"/>
        <w:rPr/>
      </w:pPr>
      <w:r>
        <w:rPr>
          <w:rFonts w:ascii="Arial;sans-serif" w:hAnsi="Arial;sans-serif"/>
          <w:b w:val="false"/>
          <w:color w:val="000000"/>
          <w:sz w:val="20"/>
        </w:rPr>
        <w:t xml:space="preserve">For a more detailed discussion on our Liquidity and Capital Resources, see “Management’s Discussion and Analysis of Operations” in Part II, </w:t>
      </w:r>
      <w:hyperlink r:id="rId7">
        <w:r>
          <w:rPr>
            <w:rStyle w:val="InternetLink"/>
            <w:rFonts w:ascii="Arial;sans-serif" w:hAnsi="Arial;sans-serif"/>
            <w:b w:val="false"/>
            <w:color w:val="0000FF"/>
            <w:sz w:val="20"/>
            <w:u w:val="single"/>
          </w:rPr>
          <w:t>Item 7</w:t>
        </w:r>
      </w:hyperlink>
      <w:r>
        <w:rPr>
          <w:color w:val="000000"/>
        </w:rPr>
        <w:t xml:space="preserve"> </w:t>
      </w:r>
      <w:r>
        <w:rPr>
          <w:rFonts w:ascii="Arial;sans-serif" w:hAnsi="Arial;sans-serif"/>
          <w:b w:val="false"/>
          <w:color w:val="000000"/>
          <w:sz w:val="20"/>
        </w:rPr>
        <w:t>in our 2023 10-K.</w:t>
      </w:r>
    </w:p>
    <w:p>
      <w:pPr>
        <w:pStyle w:val="TextBody"/>
        <w:bidi w:val="0"/>
        <w:spacing w:lineRule="auto" w:line="288" w:before="240" w:after="283"/>
        <w:jc w:val="both"/>
        <w:rPr/>
      </w:pPr>
      <w:r>
        <w:rPr>
          <w:rFonts w:ascii="Arial;sans-serif" w:hAnsi="Arial;sans-serif"/>
          <w:b/>
          <w:color w:val="000000"/>
          <w:sz w:val="20"/>
        </w:rPr>
        <w:t>Aircraft</w:t>
      </w:r>
      <w:r>
        <w:rPr>
          <w:color w:val="000000"/>
        </w:rPr>
        <w:t xml:space="preserve"> – </w:t>
      </w:r>
      <w:r>
        <w:rPr>
          <w:rFonts w:ascii="Arial;sans-serif" w:hAnsi="Arial;sans-serif"/>
          <w:b w:val="false"/>
          <w:color w:val="000000"/>
          <w:sz w:val="20"/>
        </w:rPr>
        <w:t xml:space="preserve">As of September 30, 2024, our fleet consisted of 63 Boeing 737-NG aircraft. This includes 44 aircraft in the passenger fleet, 12 cargo operated aircraft through the ATSA, and seven aircraft currently on lease to unaffiliated airlines. For more information on our fleet, see </w:t>
      </w:r>
      <w:hyperlink w:anchor="i54c189ddb00d4e19ac66c674081beae3_43">
        <w:r>
          <w:rPr>
            <w:rStyle w:val="InternetLink"/>
            <w:rFonts w:ascii="Arial;sans-serif" w:hAnsi="Arial;sans-serif"/>
            <w:b w:val="false"/>
            <w:color w:val="0000FF"/>
            <w:sz w:val="20"/>
            <w:u w:val="single"/>
          </w:rPr>
          <w:t>Note 4</w:t>
        </w:r>
      </w:hyperlink>
      <w:r>
        <w:rPr>
          <w:color w:val="000000"/>
        </w:rPr>
        <w:t xml:space="preserve"> </w:t>
      </w:r>
      <w:r>
        <w:rPr>
          <w:rFonts w:ascii="Arial;sans-serif" w:hAnsi="Arial;sans-serif"/>
          <w:b w:val="false"/>
          <w:color w:val="000000"/>
          <w:sz w:val="20"/>
        </w:rPr>
        <w:t>of the Condensed Consolidated Financial Statements included in Part I, Item I of this report.</w:t>
      </w:r>
    </w:p>
    <w:p>
      <w:pPr>
        <w:pStyle w:val="TextBody"/>
        <w:bidi w:val="0"/>
        <w:spacing w:lineRule="auto" w:line="288" w:before="240" w:after="283"/>
        <w:jc w:val="both"/>
        <w:rPr/>
      </w:pPr>
      <w:r>
        <w:rPr>
          <w:rFonts w:ascii="Arial;sans-serif" w:hAnsi="Arial;sans-serif"/>
          <w:b/>
          <w:color w:val="000000"/>
          <w:sz w:val="20"/>
        </w:rPr>
        <w:t>Maintenance Deposits</w:t>
      </w:r>
      <w:r>
        <w:rPr>
          <w:color w:val="000000"/>
        </w:rPr>
        <w:t xml:space="preserve"> </w:t>
      </w:r>
      <w:r>
        <w:rPr>
          <w:rFonts w:ascii="Arial;sans-serif" w:hAnsi="Arial;sans-serif"/>
          <w:b w:val="false"/>
          <w:color w:val="000000"/>
          <w:sz w:val="20"/>
        </w:rPr>
        <w:t>- In addition to funding the acquisition of aircraft, we are required by certain of our aircraft lessors to fund cash reserves in advance for scheduled maintenance to act as collateral for the benefit of the lessors. Qualifying payments that are expected to be recovered from lessors are recorded as Lessor Maintenance Deposits on our Condensed Consolidated Balance Sheets. As of September 30, 2024, we had $57,658 of total Lessor Maintenance Deposits. All maintenance deposits as of September 30, 2024 are estimated to be recoverable either through reimbursable maintenance events or through application towards the purchase of the aircraft.</w:t>
      </w:r>
    </w:p>
    <w:p>
      <w:pPr>
        <w:pStyle w:val="TextBody"/>
        <w:bidi w:val="0"/>
        <w:spacing w:lineRule="auto" w:line="288" w:before="240" w:after="283"/>
        <w:jc w:val="both"/>
        <w:rPr/>
      </w:pPr>
      <w:r>
        <w:rPr>
          <w:rFonts w:ascii="Arial;sans-serif" w:hAnsi="Arial;sans-serif"/>
          <w:b/>
          <w:color w:val="000000"/>
          <w:sz w:val="20"/>
        </w:rPr>
        <w:t xml:space="preserve">Investments </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We invest our cash and cash equivalents in highly liquid securities with strong credit ratings. As of September 30, 2024, the Company held $83,280 of debt securities, all of which are classified as current assets because of their highly liquid nature and availability to be converted into cash to fund current operations. Given the significant portion of our portfolio held in cash and cash equivalents and the high credit quality of our debt security investments, we do not anticipate fluctuations in the aggregate fair value of our investments to have a material impact on our liquidity or capital position.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also hold $6,417 of Certificates of Deposit that are included in Investments on the Condensed Consolidated Balance Sheets as of September 30, 2024. </w:t>
      </w:r>
    </w:p>
    <w:p>
      <w:pPr>
        <w:pStyle w:val="TextBody"/>
        <w:bidi w:val="0"/>
        <w:spacing w:lineRule="auto" w:line="288" w:before="240" w:after="283"/>
        <w:jc w:val="both"/>
        <w:rPr/>
      </w:pPr>
      <w:r>
        <w:rPr>
          <w:rFonts w:ascii="Arial;sans-serif" w:hAnsi="Arial;sans-serif"/>
          <w:b/>
          <w:color w:val="000000"/>
          <w:sz w:val="20"/>
        </w:rPr>
        <w:t>Credit Facilities</w:t>
      </w:r>
      <w:r>
        <w:rPr>
          <w:color w:val="000000"/>
        </w:rPr>
        <w:t xml:space="preserve"> </w:t>
      </w:r>
      <w:r>
        <w:rPr>
          <w:rFonts w:ascii="Arial;sans-serif" w:hAnsi="Arial;sans-serif"/>
          <w:b w:val="false"/>
          <w:color w:val="000000"/>
          <w:sz w:val="20"/>
        </w:rPr>
        <w:t>- We use our Credit Facilities to provide liquidity support for general corporate purposes and to finance the acquisition of aircraft. As of September 30, 2024, the Company had $24,743 of the $25,000 Revolving Credit Facility available due to $257 being pledged to support letters of credit, and no balance drawn. The Company was in compliance with the covenants within the Credit Facility as of September 30, 2024.</w:t>
      </w:r>
    </w:p>
    <w:p>
      <w:pPr>
        <w:pStyle w:val="TextBody"/>
        <w:bidi w:val="0"/>
        <w:spacing w:lineRule="auto" w:line="288" w:before="240" w:after="283"/>
        <w:jc w:val="both"/>
        <w:rPr/>
      </w:pPr>
      <w:r>
        <w:rPr>
          <w:rFonts w:ascii="Arial;sans-serif" w:hAnsi="Arial;sans-serif"/>
          <w:b/>
          <w:color w:val="000000"/>
          <w:sz w:val="20"/>
        </w:rPr>
        <w:t>Debt</w:t>
      </w:r>
      <w:r>
        <w:rPr>
          <w:color w:val="000000"/>
        </w:rPr>
        <w:t xml:space="preserve"> </w:t>
      </w:r>
      <w:r>
        <w:rPr>
          <w:rFonts w:ascii="Arial;sans-serif" w:hAnsi="Arial;sans-serif"/>
          <w:b w:val="false"/>
          <w:color w:val="000000"/>
          <w:sz w:val="20"/>
        </w:rPr>
        <w:t>- At our discretion, we obtain debt financing in order to purchase, or refinance aircraft. The Company has not entered into a debt financing arrangement during the nine months ended September 30, 2024.</w:t>
      </w:r>
    </w:p>
    <w:p>
      <w:pPr>
        <w:pStyle w:val="TextBody"/>
        <w:bidi w:val="0"/>
        <w:spacing w:lineRule="auto" w:line="288" w:before="240" w:after="283"/>
        <w:jc w:val="both"/>
        <w:rPr/>
      </w:pPr>
      <w:r>
        <w:rPr>
          <w:rFonts w:ascii="Arial;sans-serif" w:hAnsi="Arial;sans-serif"/>
          <w:b w:val="false"/>
          <w:color w:val="000000"/>
          <w:sz w:val="20"/>
        </w:rPr>
        <w:t xml:space="preserve">For more information on our credit facilities or debt, see </w:t>
      </w:r>
      <w:hyperlink w:anchor="i54c189ddb00d4e19ac66c674081beae3_46">
        <w:r>
          <w:rPr>
            <w:rStyle w:val="InternetLink"/>
            <w:rFonts w:ascii="Arial;sans-serif" w:hAnsi="Arial;sans-serif"/>
            <w:b w:val="false"/>
            <w:color w:val="0000FF"/>
            <w:sz w:val="20"/>
            <w:u w:val="single"/>
          </w:rPr>
          <w:t>Note 5</w:t>
        </w:r>
      </w:hyperlink>
      <w:r>
        <w:rPr>
          <w:color w:val="000000"/>
        </w:rPr>
        <w:t xml:space="preserve"> </w:t>
      </w:r>
      <w:r>
        <w:rPr>
          <w:rFonts w:ascii="Arial;sans-serif" w:hAnsi="Arial;sans-serif"/>
          <w:b w:val="false"/>
          <w:color w:val="000000"/>
          <w:sz w:val="20"/>
        </w:rPr>
        <w:t xml:space="preserve">of the Condensed Consolidated Financial Statements included in Part I, Item I of this report. </w:t>
      </w:r>
    </w:p>
    <w:p>
      <w:pPr>
        <w:pStyle w:val="TextBody"/>
        <w:bidi w:val="0"/>
        <w:spacing w:lineRule="auto" w:line="288" w:before="240" w:after="283"/>
        <w:jc w:val="both"/>
        <w:rPr/>
      </w:pPr>
      <w:r>
        <w:rPr>
          <w:rFonts w:ascii="Arial;sans-serif" w:hAnsi="Arial;sans-serif"/>
          <w:b/>
          <w:color w:val="000000"/>
          <w:sz w:val="20"/>
        </w:rPr>
        <w:t xml:space="preserve">TRA Liability - </w:t>
      </w:r>
      <w:r>
        <w:rPr>
          <w:rFonts w:ascii="Arial;sans-serif" w:hAnsi="Arial;sans-serif"/>
          <w:b w:val="false"/>
          <w:color w:val="000000"/>
          <w:sz w:val="20"/>
        </w:rPr>
        <w:t xml:space="preserve">During the nine months ended September 30, 2024 and 2023, we made a payment of $3,350 and $2,425 to the TRA holders, respectively. Payments will be made in future periods as Pre-IPO Tax Attributes are utilized. For more information on the TRA liability, see </w:t>
      </w:r>
      <w:hyperlink w:anchor="i54c189ddb00d4e19ac66c674081beae3_55">
        <w:r>
          <w:rPr>
            <w:rStyle w:val="InternetLink"/>
            <w:rFonts w:ascii="Arial;sans-serif" w:hAnsi="Arial;sans-serif"/>
            <w:b w:val="false"/>
            <w:color w:val="0000FF"/>
            <w:sz w:val="20"/>
            <w:u w:val="single"/>
          </w:rPr>
          <w:t>Note 8</w:t>
        </w:r>
      </w:hyperlink>
      <w:r>
        <w:rPr>
          <w:color w:val="000000"/>
        </w:rPr>
        <w:t xml:space="preserve"> </w:t>
      </w:r>
      <w:r>
        <w:rPr>
          <w:rFonts w:ascii="Arial;sans-serif" w:hAnsi="Arial;sans-serif"/>
          <w:b w:val="false"/>
          <w:color w:val="000000"/>
          <w:sz w:val="20"/>
        </w:rPr>
        <w:t>of the Condensed Consolidated Financial Statements included in Part I, Item I of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Liquidity and Financial Condition Indicators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table below presents the major indicators of financial condition and liquidity:</w:t>
      </w:r>
    </w:p>
    <w:tbl>
      <w:tblPr>
        <w:tblW w:w="7977" w:type="dxa"/>
        <w:jc w:val="left"/>
        <w:tblInd w:w="0" w:type="dxa"/>
        <w:tblLayout w:type="fixed"/>
        <w:tblCellMar>
          <w:top w:w="28" w:type="dxa"/>
          <w:left w:w="28" w:type="dxa"/>
          <w:bottom w:w="28" w:type="dxa"/>
          <w:right w:w="28" w:type="dxa"/>
        </w:tblCellMar>
      </w:tblPr>
      <w:tblGrid>
        <w:gridCol w:w="1591"/>
        <w:gridCol w:w="1397"/>
        <w:gridCol w:w="1407"/>
        <w:gridCol w:w="257"/>
        <w:gridCol w:w="1246"/>
        <w:gridCol w:w="132"/>
        <w:gridCol w:w="109"/>
        <w:gridCol w:w="109"/>
        <w:gridCol w:w="109"/>
        <w:gridCol w:w="246"/>
        <w:gridCol w:w="1194"/>
        <w:gridCol w:w="180"/>
      </w:tblGrid>
      <w:tr>
        <w:trPr/>
        <w:tc>
          <w:tcPr>
            <w:tcW w:w="159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56,791 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46,279 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83,280 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134,240 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Amount Available Under Revolving Credit Facility</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Liquidity</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164,814 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205,169 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 net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351,779 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401,645 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 Obligations</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298,464 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277,302 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Obligations</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18,830 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 net, and Lease Obligations</w:t>
            </w:r>
          </w:p>
        </w:tc>
        <w:tc>
          <w:tcPr>
            <w:tcW w:w="15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671,618 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697,777 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552,546 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514,403 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Invested Capital</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1,224,164 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1,212,180 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Debt-to-Capital </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Sources and Uses of Liquidity</w:t>
      </w:r>
    </w:p>
    <w:tbl>
      <w:tblPr>
        <w:tblW w:w="8109" w:type="dxa"/>
        <w:jc w:val="left"/>
        <w:tblInd w:w="0" w:type="dxa"/>
        <w:tblLayout w:type="fixed"/>
        <w:tblCellMar>
          <w:top w:w="28" w:type="dxa"/>
          <w:left w:w="28" w:type="dxa"/>
          <w:bottom w:w="28" w:type="dxa"/>
          <w:right w:w="28" w:type="dxa"/>
        </w:tblCellMar>
      </w:tblPr>
      <w:tblGrid>
        <w:gridCol w:w="1451"/>
        <w:gridCol w:w="1275"/>
        <w:gridCol w:w="1279"/>
        <w:gridCol w:w="232"/>
        <w:gridCol w:w="827"/>
        <w:gridCol w:w="120"/>
        <w:gridCol w:w="120"/>
        <w:gridCol w:w="120"/>
        <w:gridCol w:w="120"/>
        <w:gridCol w:w="232"/>
        <w:gridCol w:w="943"/>
        <w:gridCol w:w="120"/>
        <w:gridCol w:w="109"/>
        <w:gridCol w:w="109"/>
        <w:gridCol w:w="109"/>
        <w:gridCol w:w="240"/>
        <w:gridCol w:w="241"/>
        <w:gridCol w:w="462"/>
      </w:tblGrid>
      <w:tr>
        <w:trP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Activities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74,303 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102,651 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Investing Activities: </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Purchases of Property &amp; Equipment</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(42,615)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(210,641)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Purchases of Investments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(55,655)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(82,574)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the Maturities of Investments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107,750 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110,850 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Investing Activities</w:t>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20,938 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(178,278)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Financing Activities: </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Repurchases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(11,493)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(55,051)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Borrowings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119,200 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Repayment of Finance Lease Obligations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(26,249)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(16,390)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Repayment of Borrowings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(60,776)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(35,475)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Financing Activities</w:t>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(91,481)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10,619 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Increase (Decrease) in Cash</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(65,008)</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both"/>
        <w:rPr>
          <w:color w:val="000000"/>
        </w:rPr>
      </w:pPr>
      <w:r>
        <w:rPr>
          <w:color w:val="000000"/>
        </w:rPr>
        <w:t>“</w:t>
      </w:r>
      <w:r>
        <w:rPr>
          <w:rFonts w:ascii="Arial;sans-serif" w:hAnsi="Arial;sans-serif"/>
          <w:b w:val="false"/>
          <w:color w:val="000000"/>
          <w:sz w:val="12"/>
        </w:rPr>
        <w:t>NM” stands for not meaningful</w:t>
      </w:r>
    </w:p>
    <w:p>
      <w:pPr>
        <w:pStyle w:val="TextBody"/>
        <w:bidi w:val="0"/>
        <w:spacing w:lineRule="auto" w:line="288" w:before="0" w:after="0"/>
        <w:jc w:val="both"/>
        <w:rPr>
          <w:rFonts w:ascii="Arial;sans-serif" w:hAnsi="Arial;sans-serif"/>
          <w:b w:val="false"/>
          <w:i/>
          <w:color w:val="000000"/>
          <w:sz w:val="12"/>
        </w:rPr>
      </w:pPr>
      <w:r>
        <w:rPr>
          <w:rFonts w:ascii="Arial;sans-serif" w:hAnsi="Arial;sans-serif"/>
          <w:b w:val="false"/>
          <w:i/>
          <w:color w:val="000000"/>
          <w:sz w:val="12"/>
        </w:rPr>
        <w:t>"Cash" consists of Cash, Cash Equivalents and Restricted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Operating Cash Flow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Operating activities in the nine months ended September 30, 2024 provided $74,303, as compared to $102,651 during the nine months ended September 30, 2023. During the nine months ended September 30, 2024, our Net Income was $39,467, as compared to $66,536 during the nine months ended September 30, 2023.</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operating cash flow is primarily impacted by the following factors:</w:t>
      </w:r>
    </w:p>
    <w:p>
      <w:pPr>
        <w:pStyle w:val="TextBody"/>
        <w:bidi w:val="0"/>
        <w:spacing w:lineRule="auto" w:line="288" w:before="240" w:after="283"/>
        <w:jc w:val="both"/>
        <w:rPr/>
      </w:pPr>
      <w:r>
        <w:rPr>
          <w:rFonts w:ascii="Arial;sans-serif" w:hAnsi="Arial;sans-serif"/>
          <w:b w:val="false"/>
          <w:i/>
          <w:color w:val="000000"/>
          <w:sz w:val="20"/>
        </w:rPr>
        <w:t>Seasonality of Advance Ticket Sales.</w:t>
      </w:r>
      <w:r>
        <w:rPr>
          <w:color w:val="000000"/>
        </w:rPr>
        <w:t xml:space="preserve"> </w:t>
      </w:r>
      <w:r>
        <w:rPr>
          <w:rFonts w:ascii="Arial;sans-serif" w:hAnsi="Arial;sans-serif"/>
          <w:b w:val="false"/>
          <w:color w:val="000000"/>
          <w:sz w:val="20"/>
        </w:rPr>
        <w:t>We sell tickets for air travel in advance of the customer's travel date. When we receive a cash payment at the time of sale, we record the cash received on advance sales as deferred revenue in Air Traffic Liabilities. Air Traffic Liabilities typically increase during the fall and early winter months as advanced ticket sales grow prior to the late winter and spring peak travel season and decrease during the summer months.</w:t>
      </w:r>
      <w:r>
        <w:rPr>
          <w:color w:val="000000"/>
        </w:rPr>
        <w:t xml:space="preserve"> </w:t>
      </w:r>
      <w:r>
        <w:rPr>
          <w:rFonts w:ascii="Arial;sans-serif" w:hAnsi="Arial;sans-serif"/>
          <w:b w:val="false"/>
          <w:color w:val="000000"/>
          <w:sz w:val="20"/>
        </w:rPr>
        <w:t xml:space="preserve">Most tickets can be purchased no more than twelve months in advance, therefore any revenue associated with tickets sold for future travel will be recognized within that timeframe. For the nine months ended September 30, 2024, $153,708 of revenue recognized in Passenger revenue was included in the $157,996 of Air Traffic Liabilities as of December 31, 2023. </w:t>
      </w:r>
    </w:p>
    <w:p>
      <w:pPr>
        <w:pStyle w:val="TextBody"/>
        <w:bidi w:val="0"/>
        <w:spacing w:lineRule="auto" w:line="288" w:before="240" w:after="283"/>
        <w:jc w:val="both"/>
        <w:rPr/>
      </w:pPr>
      <w:r>
        <w:rPr>
          <w:rFonts w:ascii="Arial;sans-serif" w:hAnsi="Arial;sans-serif"/>
          <w:b w:val="false"/>
          <w:i/>
          <w:color w:val="000000"/>
          <w:sz w:val="20"/>
        </w:rPr>
        <w:t>Aircraft Fuel.</w:t>
      </w:r>
      <w:r>
        <w:rPr>
          <w:color w:val="000000"/>
        </w:rPr>
        <w:t xml:space="preserve"> </w:t>
      </w:r>
      <w:r>
        <w:rPr>
          <w:rFonts w:ascii="Arial;sans-serif" w:hAnsi="Arial;sans-serif"/>
          <w:b w:val="false"/>
          <w:color w:val="000000"/>
          <w:sz w:val="20"/>
        </w:rPr>
        <w:t>Aircraft Fuel expense represented approximately 25% of our total operating expense for the nine months ended September 30, 2024 and 2023, respectively. The market price for jet fuel is volatile, which can impact the comparability of our periodic cash flows from operations. Fuel cost per gallon decreased by 8% year-over-year. Fuel consumption increased by 10% during the nine months ended September 30, 2024, compared to the prior year as a result of the increase in fleet size and total operations. We expect volatility in Aircraft Fuel prices per gallon due to market conditions and global geopolitical events.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Investing Cash Flow Activities</w:t>
      </w:r>
    </w:p>
    <w:p>
      <w:pPr>
        <w:pStyle w:val="TextBody"/>
        <w:bidi w:val="0"/>
        <w:spacing w:lineRule="auto" w:line="288" w:before="240" w:after="283"/>
        <w:jc w:val="both"/>
        <w:rPr/>
      </w:pPr>
      <w:r>
        <w:rPr>
          <w:rFonts w:ascii="Arial;sans-serif" w:hAnsi="Arial;sans-serif"/>
          <w:b w:val="false"/>
          <w:i/>
          <w:color w:val="000000"/>
          <w:sz w:val="20"/>
        </w:rPr>
        <w:t>Capital</w:t>
      </w:r>
      <w:r>
        <w:rPr>
          <w:color w:val="000000"/>
        </w:rPr>
        <w:t xml:space="preserve"> </w:t>
      </w:r>
      <w:r>
        <w:rPr>
          <w:rFonts w:ascii="Arial;sans-serif" w:hAnsi="Arial;sans-serif"/>
          <w:b w:val="false"/>
          <w:i/>
          <w:color w:val="000000"/>
          <w:sz w:val="20"/>
        </w:rPr>
        <w:t>Expenditures.</w:t>
      </w:r>
      <w:r>
        <w:rPr>
          <w:color w:val="000000"/>
        </w:rPr>
        <w:t xml:space="preserve"> </w:t>
      </w:r>
      <w:r>
        <w:rPr>
          <w:rFonts w:ascii="Arial;sans-serif" w:hAnsi="Arial;sans-serif"/>
          <w:b w:val="false"/>
          <w:color w:val="000000"/>
          <w:sz w:val="20"/>
        </w:rPr>
        <w:t xml:space="preserve">Our capital expenditures were $42,615 and $210,641 for the nine months ended September 30, 2024 and 2023, respectively. Our capital expenditures during the nine months ended September 30, 2024 included the acquisition of one aircraft and other items not individually material. Our capital expenditures during the nine months ended September 30, 2023 primarily included the purchase of five Owned Aircraft Held for Operating Lease and one incremental aircraft for our passenger fleet. </w:t>
      </w:r>
    </w:p>
    <w:p>
      <w:pPr>
        <w:pStyle w:val="TextBody"/>
        <w:bidi w:val="0"/>
        <w:spacing w:lineRule="auto" w:line="288" w:before="240" w:after="283"/>
        <w:jc w:val="both"/>
        <w:rPr/>
      </w:pPr>
      <w:r>
        <w:rPr>
          <w:rFonts w:ascii="Arial;sans-serif" w:hAnsi="Arial;sans-serif"/>
          <w:b w:val="false"/>
          <w:i/>
          <w:color w:val="000000"/>
          <w:sz w:val="20"/>
        </w:rPr>
        <w:t>Investments.</w:t>
      </w:r>
      <w:r>
        <w:rPr>
          <w:color w:val="000000"/>
        </w:rPr>
        <w:t xml:space="preserve"> </w:t>
      </w:r>
      <w:r>
        <w:rPr>
          <w:rFonts w:ascii="Arial;sans-serif" w:hAnsi="Arial;sans-serif"/>
          <w:b w:val="false"/>
          <w:color w:val="000000"/>
          <w:sz w:val="20"/>
        </w:rPr>
        <w:t xml:space="preserve">The Company's net investment activity resulted in cash inflows of $52,095 and $28,276 during the nine months ended September 30, 2024 and 2023, respectively, due to maturing debt securities exceeding purchases of investments.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Financing Cash Flow Activities</w:t>
      </w:r>
    </w:p>
    <w:p>
      <w:pPr>
        <w:pStyle w:val="TextBody"/>
        <w:bidi w:val="0"/>
        <w:spacing w:lineRule="auto" w:line="288" w:before="240" w:after="283"/>
        <w:jc w:val="both"/>
        <w:rPr/>
      </w:pPr>
      <w:r>
        <w:rPr>
          <w:rFonts w:ascii="Arial;sans-serif" w:hAnsi="Arial;sans-serif"/>
          <w:b w:val="false"/>
          <w:i/>
          <w:color w:val="000000"/>
          <w:sz w:val="20"/>
        </w:rPr>
        <w:t>Debt</w:t>
      </w:r>
      <w:r>
        <w:rPr>
          <w:rFonts w:ascii="Arial;sans-serif" w:hAnsi="Arial;sans-serif"/>
          <w:b w:val="false"/>
          <w:color w:val="000000"/>
          <w:sz w:val="20"/>
        </w:rPr>
        <w:t xml:space="preserve">. During the nine months ended September 30, 2023, the Company executed a term loan credit facility with a face amount of $119,200 for the purpose of financing the five Owned Aircraft Held for Operating Lease. The term loan credit facility is repaid monthly through March 2030. For more information on our debt financings and future repayment schedules, see </w:t>
      </w:r>
      <w:hyperlink w:anchor="i54c189ddb00d4e19ac66c674081beae3_46">
        <w:r>
          <w:rPr>
            <w:rStyle w:val="InternetLink"/>
            <w:rFonts w:ascii="Arial;sans-serif" w:hAnsi="Arial;sans-serif"/>
            <w:b w:val="false"/>
            <w:color w:val="0000FF"/>
            <w:sz w:val="20"/>
            <w:u w:val="single"/>
          </w:rPr>
          <w:t>Note 5</w:t>
        </w:r>
      </w:hyperlink>
      <w:r>
        <w:rPr>
          <w:color w:val="000000"/>
        </w:rPr>
        <w:t xml:space="preserve"> </w:t>
      </w:r>
      <w:r>
        <w:rPr>
          <w:rFonts w:ascii="Arial;sans-serif" w:hAnsi="Arial;sans-serif"/>
          <w:b w:val="false"/>
          <w:color w:val="000000"/>
          <w:sz w:val="20"/>
        </w:rPr>
        <w:t xml:space="preserve">of the Condensed Consolidated Financial Statements included in Part I, Item I of this report. </w:t>
      </w:r>
    </w:p>
    <w:p>
      <w:pPr>
        <w:pStyle w:val="TextBody"/>
        <w:bidi w:val="0"/>
        <w:spacing w:lineRule="auto" w:line="288" w:before="240" w:after="283"/>
        <w:jc w:val="both"/>
        <w:rPr/>
      </w:pPr>
      <w:r>
        <w:rPr>
          <w:rFonts w:ascii="Arial;sans-serif" w:hAnsi="Arial;sans-serif"/>
          <w:b w:val="false"/>
          <w:i/>
          <w:color w:val="000000"/>
          <w:sz w:val="20"/>
        </w:rPr>
        <w:t>Finance Leases</w:t>
      </w:r>
      <w:r>
        <w:rPr>
          <w:rFonts w:ascii="Arial;sans-serif" w:hAnsi="Arial;sans-serif"/>
          <w:b w:val="false"/>
          <w:color w:val="000000"/>
          <w:sz w:val="20"/>
        </w:rPr>
        <w:t xml:space="preserve">. Our repayments of finance lease obligations were $26,249 and $16,390 for the nine months ended September 30, 2024 and 2023, respectively. During the nine months ended September 30, 2024, the Company purchased an aircraft previously classified as a finance lease. The resulting cash outflows were recorded as payments for finance lease obligations. As of September 30, 2024 and 2023, the Company had 15 and 13 aircraft finance leases,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Arial;sans-serif" w:hAnsi="Arial;sans-serif"/>
          <w:b w:val="false"/>
          <w:i/>
          <w:color w:val="000000"/>
          <w:sz w:val="20"/>
        </w:rPr>
        <w:t xml:space="preserve">Common Stock Repurchases. </w:t>
      </w:r>
      <w:r>
        <w:rPr>
          <w:rFonts w:ascii="Arial;sans-serif" w:hAnsi="Arial;sans-serif"/>
          <w:b w:val="false"/>
          <w:color w:val="000000"/>
          <w:sz w:val="20"/>
        </w:rPr>
        <w:t xml:space="preserve">During the nine months ended September 30, 2024, the Company repurchased 755,284 shares of its Common Stock at a total cost of $11,493, or $15.22 per share. During the nine months ended September 30, 2023, the Company repurchased 3,307,541 shares of its Common Stock at $16.64 per share. For more information on the stock repurchase program, see </w:t>
      </w:r>
      <w:hyperlink w:anchor="i54c189ddb00d4e19ac66c674081beae3_58">
        <w:r>
          <w:rPr>
            <w:rStyle w:val="InternetLink"/>
            <w:rFonts w:ascii="Arial;sans-serif" w:hAnsi="Arial;sans-serif"/>
            <w:b w:val="false"/>
            <w:color w:val="0000FF"/>
            <w:sz w:val="20"/>
            <w:u w:val="single"/>
          </w:rPr>
          <w:t>Note 9</w:t>
        </w:r>
      </w:hyperlink>
      <w:r>
        <w:rPr>
          <w:color w:val="000000"/>
        </w:rPr>
        <w:t xml:space="preserve"> </w:t>
      </w:r>
      <w:r>
        <w:rPr>
          <w:rFonts w:ascii="Arial;sans-serif" w:hAnsi="Arial;sans-serif"/>
          <w:b w:val="false"/>
          <w:color w:val="000000"/>
          <w:sz w:val="20"/>
        </w:rPr>
        <w:t>of the Condensed Consolidated Financial Statements included in Part I, Item I of this report.</w:t>
      </w:r>
    </w:p>
    <w:p>
      <w:pPr>
        <w:pStyle w:val="TextBody"/>
        <w:bidi w:val="0"/>
        <w:spacing w:lineRule="auto" w:line="288" w:before="240" w:after="283"/>
        <w:jc w:val="both"/>
        <w:rPr/>
      </w:pPr>
      <w:r>
        <w:rPr>
          <w:rFonts w:ascii="Arial;sans-serif" w:hAnsi="Arial;sans-serif"/>
          <w:b w:val="false"/>
          <w:i/>
          <w:color w:val="000000"/>
          <w:sz w:val="20"/>
        </w:rPr>
        <w:t>Other.</w:t>
      </w:r>
      <w:r>
        <w:rPr>
          <w:color w:val="000000"/>
        </w:rPr>
        <w:t xml:space="preserve"> </w:t>
      </w:r>
      <w:r>
        <w:rPr>
          <w:rFonts w:ascii="Arial;sans-serif" w:hAnsi="Arial;sans-serif"/>
          <w:b w:val="false"/>
          <w:color w:val="000000"/>
          <w:sz w:val="20"/>
        </w:rPr>
        <w:t xml:space="preserve">During the nine months ended September 30, 2024 and 2023, the Company made payments of $3,350 and $2,425 to the TRA holders, respectively. For more information on the payment of the TRA, see </w:t>
      </w:r>
      <w:hyperlink w:anchor="i54c189ddb00d4e19ac66c674081beae3_55">
        <w:r>
          <w:rPr>
            <w:rStyle w:val="InternetLink"/>
            <w:rFonts w:ascii="Arial;sans-serif" w:hAnsi="Arial;sans-serif"/>
            <w:b w:val="false"/>
            <w:color w:val="0000FF"/>
            <w:sz w:val="20"/>
            <w:u w:val="single"/>
          </w:rPr>
          <w:t>Note 8</w:t>
        </w:r>
      </w:hyperlink>
      <w:r>
        <w:rPr>
          <w:color w:val="000000"/>
        </w:rPr>
        <w:t xml:space="preserve"> </w:t>
      </w:r>
      <w:r>
        <w:rPr>
          <w:rFonts w:ascii="Arial;sans-serif" w:hAnsi="Arial;sans-serif"/>
          <w:b w:val="false"/>
          <w:color w:val="000000"/>
          <w:sz w:val="20"/>
        </w:rPr>
        <w:t>of the Condensed Consolidated Financial Statements included in Part I, Item I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Off Balance Sheet Arrangements </w:t>
      </w:r>
    </w:p>
    <w:p>
      <w:pPr>
        <w:pStyle w:val="TextBody"/>
        <w:bidi w:val="0"/>
        <w:spacing w:lineRule="auto" w:line="288" w:before="240" w:after="283"/>
        <w:jc w:val="both"/>
        <w:rPr/>
      </w:pPr>
      <w:r>
        <w:rPr>
          <w:rFonts w:ascii="Arial;sans-serif" w:hAnsi="Arial;sans-serif"/>
          <w:b w:val="false"/>
          <w:color w:val="000000"/>
          <w:sz w:val="20"/>
        </w:rPr>
        <w:t xml:space="preserve">For a detailed discussion on the nature of the Company's Off Balance Sheet Arrangements, see “Management’s Discussion and Analysis of Operations” in Part II, </w:t>
      </w:r>
      <w:hyperlink r:id="rId8">
        <w:r>
          <w:rPr>
            <w:rStyle w:val="InternetLink"/>
            <w:rFonts w:ascii="Arial;sans-serif" w:hAnsi="Arial;sans-serif"/>
            <w:b w:val="false"/>
            <w:color w:val="0000FF"/>
            <w:sz w:val="20"/>
            <w:u w:val="single"/>
          </w:rPr>
          <w:t>Item 7</w:t>
        </w:r>
      </w:hyperlink>
      <w:r>
        <w:rPr>
          <w:color w:val="000000"/>
        </w:rPr>
        <w:t xml:space="preserve"> </w:t>
      </w:r>
      <w:r>
        <w:rPr>
          <w:rFonts w:ascii="Arial;sans-serif" w:hAnsi="Arial;sans-serif"/>
          <w:b w:val="false"/>
          <w:color w:val="000000"/>
          <w:sz w:val="20"/>
        </w:rPr>
        <w:t>in our 2023 10-K. There have been no material changes to the Company's Off Balance Sheet Arrangements as compared to the 2023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Commitments and Contractual Obligations </w:t>
      </w:r>
    </w:p>
    <w:p>
      <w:pPr>
        <w:pStyle w:val="TextBody"/>
        <w:bidi w:val="0"/>
        <w:spacing w:lineRule="auto" w:line="288" w:before="240" w:after="283"/>
        <w:jc w:val="both"/>
        <w:rPr/>
      </w:pPr>
      <w:r>
        <w:rPr>
          <w:rFonts w:ascii="Arial;sans-serif" w:hAnsi="Arial;sans-serif"/>
          <w:b w:val="false"/>
          <w:color w:val="000000"/>
          <w:sz w:val="20"/>
        </w:rPr>
        <w:t xml:space="preserve">See </w:t>
      </w:r>
      <w:hyperlink w:anchor="i54c189ddb00d4e19ac66c674081beae3_61">
        <w:r>
          <w:rPr>
            <w:rStyle w:val="InternetLink"/>
            <w:rFonts w:ascii="Arial;sans-serif" w:hAnsi="Arial;sans-serif"/>
            <w:b w:val="false"/>
            <w:color w:val="0000FF"/>
            <w:sz w:val="20"/>
            <w:u w:val="single"/>
          </w:rPr>
          <w:t>Note 10</w:t>
        </w:r>
      </w:hyperlink>
      <w:r>
        <w:rPr>
          <w:color w:val="000000"/>
        </w:rPr>
        <w:t xml:space="preserve"> </w:t>
      </w:r>
      <w:r>
        <w:rPr>
          <w:rFonts w:ascii="Arial;sans-serif" w:hAnsi="Arial;sans-serif"/>
          <w:b w:val="false"/>
          <w:color w:val="000000"/>
          <w:sz w:val="20"/>
        </w:rPr>
        <w:t>to our Condensed Consolidated Financial Statements included elsewhere in this Quarterly Report on Form 10-Q for more information regarding commitments and contractual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Recently Adopted Accounting Pronouncements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nine months ended September 30, 2024, there were no recently adopted accounting standards that had a material impact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240" w:after="283"/>
        <w:jc w:val="both"/>
        <w:rPr/>
      </w:pPr>
      <w:r>
        <w:rPr>
          <w:rFonts w:ascii="Arial;sans-serif" w:hAnsi="Arial;sans-serif"/>
          <w:b w:val="false"/>
          <w:color w:val="000000"/>
          <w:sz w:val="20"/>
        </w:rPr>
        <w:t xml:space="preserve">Our unaudited Condensed Consolidated Financial Statements and the accompanying notes thereto included elsewhere in this Quarterly Report on Form 10-Q are prepared in accordance with GAAP. The preparation of the Condensed Consolidated Financial Statements requires us to make estimates and assumptions that affect the reported amounts of assets, liabilities, revenue, expenses, and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For more information on our critical accounting policies, see “Management’s Discussion and Analysis of Operations” sections within Part II, </w:t>
      </w:r>
      <w:hyperlink r:id="rId9">
        <w:r>
          <w:rPr>
            <w:rStyle w:val="InternetLink"/>
            <w:rFonts w:ascii="Arial;sans-serif" w:hAnsi="Arial;sans-serif"/>
            <w:b w:val="false"/>
            <w:color w:val="0000FF"/>
            <w:sz w:val="20"/>
            <w:u w:val="single"/>
          </w:rPr>
          <w:t>Item 7</w:t>
        </w:r>
      </w:hyperlink>
      <w:r>
        <w:rPr>
          <w:rFonts w:ascii="Arial;sans-serif" w:hAnsi="Arial;sans-serif"/>
          <w:b w:val="false"/>
          <w:color w:val="000000"/>
          <w:sz w:val="20"/>
        </w:rPr>
        <w:t>, respectively, in our 2023 10-K.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There have been no material changes to our critical accounting policies and estimates as compared to the 2023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Accordingly, actual results may differ from the information provided below.</w:t>
      </w:r>
    </w:p>
    <w:p>
      <w:pPr>
        <w:pStyle w:val="TextBody"/>
        <w:bidi w:val="0"/>
        <w:spacing w:lineRule="auto" w:line="288" w:before="240" w:after="283"/>
        <w:jc w:val="both"/>
        <w:rPr/>
      </w:pPr>
      <w:r>
        <w:rPr>
          <w:rFonts w:ascii="Arial;sans-serif" w:hAnsi="Arial;sans-serif"/>
          <w:b w:val="false"/>
          <w:i/>
          <w:color w:val="000000"/>
          <w:sz w:val="20"/>
        </w:rPr>
        <w:t>Aircraft Fuel</w:t>
      </w:r>
      <w:r>
        <w:rPr>
          <w:rFonts w:ascii="Arial;sans-serif" w:hAnsi="Arial;sans-serif"/>
          <w:b w:val="false"/>
          <w:color w:val="000000"/>
          <w:sz w:val="20"/>
        </w:rPr>
        <w:t>. Unexpected pricing changes of aircraft fuel could have a material adverse effect on our business, results of operations and financial condition. For example, based on our forecasted Aircraft Fuel expense for the fourth quarter of 2024, we estimate that a one cent per gallon increase in the average aircraft fuel price would increase Aircraft Fuel expense by approximately $203. Aircraft Fuel expense does not include amounts where we are considered the customer's agent for procuring fuel. We had no fuel option and swap contracts in place to hedge the economic risk associated with volatile fuel prices as of September 30, 2024. We currently do not expect to enter into these types of contracts prospectively, although significant changes in market conditions could affect our decisions.</w:t>
      </w:r>
    </w:p>
    <w:p>
      <w:pPr>
        <w:pStyle w:val="TextBody"/>
        <w:bidi w:val="0"/>
        <w:spacing w:lineRule="auto" w:line="288" w:before="240" w:after="283"/>
        <w:jc w:val="both"/>
        <w:rPr/>
      </w:pPr>
      <w:r>
        <w:rPr>
          <w:rFonts w:ascii="Arial;sans-serif" w:hAnsi="Arial;sans-serif"/>
          <w:b w:val="false"/>
          <w:i/>
          <w:color w:val="000000"/>
          <w:sz w:val="20"/>
        </w:rPr>
        <w:t xml:space="preserve">Interest Rates. </w:t>
      </w:r>
      <w:r>
        <w:rPr>
          <w:rFonts w:ascii="Arial;sans-serif" w:hAnsi="Arial;sans-serif"/>
          <w:b w:val="false"/>
          <w:color w:val="000000"/>
          <w:sz w:val="20"/>
        </w:rPr>
        <w:t xml:space="preserve">We have exposure to market risk associated with changes in interest rates related to the interest expense from our variable-rate debt and our short-term investment securities. A change in market interest rates would impact interest expense under the $119,200 term loan credit facility used to finance the Owned Aircraft Held for Operating Lease. A 100 basis point increase in interest rates on the September 30, 2024 balance of the term loan would result in a corresponding increase in interest expense of approximately $971 annually. As of the date of this filing, the entire term loan credit facility had been drawn. The Company also maintains a $25,000 Revolving Credit Facility with a variable interest rate that is impacted by market conditions. As of September 30, 2024, the Company had $24,743 of financing available through the Revolving Credit Facility, as $257 had been pledged to support letters of credit. As of September 30, 2024, no amounts on the Revolving Credit Facility were outstanding.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short-term investment securities are primarily comprised of fixed-rate debt investments. An increase in market interest rates decreases the market value of fixed-rate investments. Conversely, a decrease in market interest rates increases the market value. The fair market value of our short-term investments with exposure to interest rate risk was $83,280 as of September 30, 2024. The Company limits its investments to investment grade quality securities. Given these factors and that a significant portion of our portfolio is held in cash and cash equivalents, we do not anticipate fluctuations in the aggregate fair value of our financial assets to have a material impact on our liquidity or capital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Disclosure controls and procedures represent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preparation of this Form 10-Q, pursuant to Rule 13a-15(b) of the Exchange Act, our management, with the participation of our Chief Executive Officer and Chief Financial Officer, has evaluated the effectiveness of the design and operation of our disclosure controls and procedures (as defined in Rules 13a-15(e) and 15d-15(e) under the Exchange Act) as of September 30,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Based on the evaluation of our disclosure controls and procedures as of September 30, 2024, our Chief Executive Officer and Chief Financial Officer have concluded that our disclosure controls and procedures were effective as of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rPr>
      </w:pPr>
      <w:r>
        <w:rPr>
          <w:rFonts w:ascii="Arial;sans-serif" w:hAnsi="Arial;sans-serif"/>
          <w:b w:val="false"/>
          <w:i/>
          <w:color w:val="000000"/>
          <w:sz w:val="20"/>
        </w:rPr>
        <w:t>Changes in Internal Control Over Financial Reporting</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There have been no changes in the Company’s internal control over financial reporting (as defined in Rules 13a-15(f) and 15d-15(f) under the Exchange Act) that occurred during the quarter ended September 30,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240" w:after="283"/>
        <w:jc w:val="both"/>
        <w:rPr/>
      </w:pPr>
      <w:r>
        <w:rPr>
          <w:rFonts w:ascii="Arial;sans-serif" w:hAnsi="Arial;sans-serif"/>
          <w:b w:val="false"/>
          <w:color w:val="000000"/>
          <w:sz w:val="20"/>
        </w:rPr>
        <w:t>We have disclosed under the heading “</w:t>
      </w:r>
      <w:hyperlink r:id="rId10">
        <w:r>
          <w:rPr>
            <w:rStyle w:val="InternetLink"/>
            <w:rFonts w:ascii="Arial;sans-serif" w:hAnsi="Arial;sans-serif"/>
            <w:b w:val="false"/>
            <w:color w:val="0000FF"/>
            <w:sz w:val="20"/>
            <w:u w:val="single"/>
          </w:rPr>
          <w:t>Risk Factors</w:t>
        </w:r>
      </w:hyperlink>
      <w:r>
        <w:rPr>
          <w:color w:val="000000"/>
        </w:rPr>
        <w:t xml:space="preserve">” </w:t>
      </w:r>
      <w:r>
        <w:rPr>
          <w:rFonts w:ascii="Arial;sans-serif" w:hAnsi="Arial;sans-serif"/>
          <w:b w:val="false"/>
          <w:color w:val="000000"/>
          <w:sz w:val="20"/>
        </w:rPr>
        <w:t>in our 2023 10-K the risk factors which materially affect our business, financial condition or results of operations. There have been no material changes from the risk factors previously disclosed. You should carefully consider the risk factors set forth in our 2023 10-K.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directors and executive officers may purchase or sell shares of our common stock in the market from time to time, including pursuant to equity trading plans adopted in accordance with Rule 10b5-1 under the Exchange Act ("Rule 10b5-1") and in compliance with guidelines specified by the Company. In accordance with Rule 10b5-1 and the Company’s insider trading policy, directors, officers and certain employees who, at such time, are not in possession of material non-public information about the Company are permitted to enter into written plans that pre-establish amounts, prices and dates (or formula for determining the amounts, prices and dates) of future purchases or sales of the Company’s stock, including shares acquired pursuant to the Company’s equity plans ("Rule 10b5-1 Trading Plans"). Under a Rule 10b5-1 Trading Plan, a broker executes trades pursuant to parameters established by the director or executive officer when entering into the plan, without further direction from them. The following table describes contracts, instructions or written plans for the sale or purchase of our securities adopted, terminated or modified by our directors and executive officers during the three months ended September 30, 2024, each of which is intended to satisfy the affirmative defense conditions of Rule 10b5-1(c).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71"/>
        <w:gridCol w:w="520"/>
        <w:gridCol w:w="526"/>
        <w:gridCol w:w="109"/>
        <w:gridCol w:w="109"/>
        <w:gridCol w:w="109"/>
        <w:gridCol w:w="525"/>
        <w:gridCol w:w="525"/>
        <w:gridCol w:w="527"/>
        <w:gridCol w:w="109"/>
        <w:gridCol w:w="109"/>
        <w:gridCol w:w="109"/>
        <w:gridCol w:w="574"/>
        <w:gridCol w:w="574"/>
        <w:gridCol w:w="575"/>
        <w:gridCol w:w="109"/>
        <w:gridCol w:w="109"/>
        <w:gridCol w:w="109"/>
        <w:gridCol w:w="589"/>
        <w:gridCol w:w="589"/>
        <w:gridCol w:w="591"/>
        <w:gridCol w:w="109"/>
        <w:gridCol w:w="109"/>
        <w:gridCol w:w="109"/>
        <w:gridCol w:w="557"/>
        <w:gridCol w:w="557"/>
        <w:gridCol w:w="797"/>
      </w:tblGrid>
      <w:tr>
        <w:trPr/>
        <w:tc>
          <w:tcPr>
            <w:tcW w:w="87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1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Adoption, Termination or Modification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of Adoption, Termination or Modification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Duration of Plan (Scheduled Expiration Date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Securities to be Purchased (Sold) under the Plan</w:t>
            </w:r>
          </w:p>
        </w:tc>
      </w:tr>
      <w:tr>
        <w:trPr/>
        <w:tc>
          <w:tcPr>
            <w:tcW w:w="1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Dave Davis, President and 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September 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September 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(580,033)</w:t>
            </w:r>
          </w:p>
        </w:tc>
      </w:tr>
      <w:tr>
        <w:trPr/>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John Gyurci, Vice President Finance and Chief Accounting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Termination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September 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February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(90,000)</w:t>
            </w:r>
          </w:p>
        </w:tc>
      </w:tr>
      <w:tr>
        <w:trPr/>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John Gyurci, Vice President Finance and Chief Accounting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September 10,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(120,000)</w:t>
            </w:r>
          </w:p>
        </w:tc>
      </w:tr>
      <w:tr>
        <w:trPr/>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Gregory Mays, Executive Vice President and Chief Operating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Termination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August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(268,000)</w:t>
            </w:r>
          </w:p>
        </w:tc>
      </w:tr>
      <w:tr>
        <w:trPr/>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Gregory Mays, Executive Vice President and 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August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(268,000)</w:t>
            </w:r>
          </w:p>
        </w:tc>
      </w:tr>
      <w:tr>
        <w:trPr/>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Erin Rose Neale, General Counsel and Senior Vice President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September 12,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(17,983)</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4c189ddb00d4e19ac66c674081beae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(a)Exhibits</w:t>
      </w:r>
    </w:p>
    <w:tbl>
      <w:tblPr>
        <w:tblW w:w="10205" w:type="dxa"/>
        <w:jc w:val="left"/>
        <w:tblInd w:w="0" w:type="dxa"/>
        <w:tblLayout w:type="fixed"/>
        <w:tblCellMar>
          <w:top w:w="28" w:type="dxa"/>
          <w:left w:w="28" w:type="dxa"/>
          <w:bottom w:w="28" w:type="dxa"/>
          <w:right w:w="28" w:type="dxa"/>
        </w:tblCellMar>
      </w:tblPr>
      <w:tblGrid>
        <w:gridCol w:w="255"/>
        <w:gridCol w:w="207"/>
        <w:gridCol w:w="208"/>
        <w:gridCol w:w="2818"/>
        <w:gridCol w:w="2777"/>
        <w:gridCol w:w="3940"/>
      </w:tblGrid>
      <w:tr>
        <w:trPr/>
        <w:tc>
          <w:tcPr>
            <w:tcW w:w="25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3940" w:type="dxa"/>
            <w:tcBorders/>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cy-20240930x10qexhibit311.htm">
              <w:r>
                <w:rPr>
                  <w:rStyle w:val="InternetLink"/>
                  <w:rFonts w:ascii="Arial;sans-serif" w:hAnsi="Arial;sans-serif"/>
                  <w:b w:val="false"/>
                  <w:color w:val="0000FF"/>
                  <w:sz w:val="20"/>
                  <w:u w:val="single"/>
                </w:rPr>
                <w:t>Certification by Sun Country's Chief Executive Officer with respect to Sun Country's Quarterly Report on Form 10-Q for the quarterly period ended September 30, 2024</w:t>
              </w:r>
            </w:hyperlink>
          </w:p>
        </w:tc>
      </w:tr>
      <w:tr>
        <w:trPr/>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cy-20240930x10qexhibit312.htm">
              <w:r>
                <w:rPr>
                  <w:rStyle w:val="InternetLink"/>
                  <w:rFonts w:ascii="Arial;sans-serif" w:hAnsi="Arial;sans-serif"/>
                  <w:b w:val="false"/>
                  <w:color w:val="0000FF"/>
                  <w:sz w:val="20"/>
                  <w:u w:val="single"/>
                </w:rPr>
                <w:t>Certification by Sun Country’s President and Chief Financial Officer with respect to Sun Country's Quarterly Report on Form 10-Q for the quarterly period ended September 30, 2024</w:t>
              </w:r>
            </w:hyperlink>
          </w:p>
        </w:tc>
      </w:tr>
      <w:tr>
        <w:trPr/>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cy-20240930x10qexhibit32.htm">
              <w:r>
                <w:rPr>
                  <w:rStyle w:val="InternetLink"/>
                  <w:rFonts w:ascii="Arial;sans-serif" w:hAnsi="Arial;sans-serif"/>
                  <w:b w:val="false"/>
                  <w:color w:val="0000FF"/>
                  <w:sz w:val="20"/>
                  <w:u w:val="single"/>
                </w:rPr>
                <w:t>Certification pursuant to Section 1350 of Chapter 63 of Title 18 of the United States Code by Sun Country Airlines Holdings, Inc.’s Chief Executive Officer and President and Chief Financial Officer with respect to Sun Country's Quarterly Report on Form 10-Q for the quarterly period ended September 30, 2024</w:t>
              </w:r>
            </w:hyperlink>
          </w:p>
        </w:tc>
      </w:tr>
      <w:tr>
        <w:trPr/>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the Inline XBRL document</w:t>
            </w:r>
          </w:p>
        </w:tc>
      </w:tr>
      <w:tr>
        <w:trPr/>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Labels Linkbase Document</w:t>
            </w:r>
          </w:p>
        </w:tc>
      </w:tr>
      <w:tr>
        <w:trPr/>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Files (formatted as inline XBRL and contained in Exhibit 101)</w:t>
            </w:r>
          </w:p>
        </w:tc>
      </w:tr>
    </w:tbl>
    <w:tbl>
      <w:tblPr>
        <w:tblW w:w="1495" w:type="dxa"/>
        <w:jc w:val="left"/>
        <w:tblInd w:w="0" w:type="dxa"/>
        <w:tblLayout w:type="fixed"/>
        <w:tblCellMar>
          <w:top w:w="28" w:type="dxa"/>
          <w:left w:w="28" w:type="dxa"/>
          <w:bottom w:w="28" w:type="dxa"/>
          <w:right w:w="28" w:type="dxa"/>
        </w:tblCellMar>
      </w:tblPr>
      <w:tblGrid>
        <w:gridCol w:w="124"/>
        <w:gridCol w:w="109"/>
        <w:gridCol w:w="109"/>
        <w:gridCol w:w="179"/>
        <w:gridCol w:w="179"/>
        <w:gridCol w:w="179"/>
        <w:gridCol w:w="179"/>
        <w:gridCol w:w="179"/>
        <w:gridCol w:w="2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w:t>
            </w:r>
          </w:p>
        </w:tc>
        <w:tc>
          <w:tcPr>
            <w:tcW w:w="11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5534" w:type="dxa"/>
        <w:jc w:val="left"/>
        <w:tblInd w:w="0" w:type="dxa"/>
        <w:tblLayout w:type="fixed"/>
        <w:tblCellMar>
          <w:top w:w="28" w:type="dxa"/>
          <w:left w:w="28" w:type="dxa"/>
          <w:bottom w:w="28" w:type="dxa"/>
          <w:right w:w="28" w:type="dxa"/>
        </w:tblCellMar>
      </w:tblPr>
      <w:tblGrid>
        <w:gridCol w:w="587"/>
        <w:gridCol w:w="515"/>
        <w:gridCol w:w="517"/>
        <w:gridCol w:w="1147"/>
        <w:gridCol w:w="1147"/>
        <w:gridCol w:w="1621"/>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 Country Airlines Holdings, Inc.</w:t>
              <w:br/>
              <w:t>(Registrant)</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Dave Davis</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Dave Davis</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Financial Officer</w:t>
              <w:br/>
              <w:t>(Principal Financial and Accounting Officer)</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30, 2024</w:t>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OR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Jude Bricker,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Sun Country Airlines Holdings, Inc. ("Sun Country") for the nine month period ended September 30, 2024;</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4.Sun Country's other certifying officer and I are responsible for establishing and maintaining disclosure controls and procedures (as defined in Exchange Act Rules 13a-15(e) and 15d-15(e)) and internal control over financial reporting (as defined in Exchange Act Rules 13a-15(f) and 15d-15(f)) for Sun Country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Sun Country's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Sun Country's internal control over financial reporting.</w:t>
      </w:r>
    </w:p>
    <w:tbl>
      <w:tblPr>
        <w:tblW w:w="3598" w:type="dxa"/>
        <w:jc w:val="left"/>
        <w:tblInd w:w="0" w:type="dxa"/>
        <w:tblLayout w:type="fixed"/>
        <w:tblCellMar>
          <w:top w:w="28" w:type="dxa"/>
          <w:left w:w="28" w:type="dxa"/>
          <w:bottom w:w="28" w:type="dxa"/>
          <w:right w:w="28" w:type="dxa"/>
        </w:tblCellMar>
      </w:tblPr>
      <w:tblGrid>
        <w:gridCol w:w="553"/>
        <w:gridCol w:w="487"/>
        <w:gridCol w:w="489"/>
        <w:gridCol w:w="606"/>
        <w:gridCol w:w="606"/>
        <w:gridCol w:w="857"/>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30, 2024</w:t>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Jude Bricker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Jude Bricker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OR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Dave Davis,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Sun Country Airlines Holdings, Inc. ("Sun Country") for the nine month period ended September 30, 2024;</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4.Sun Country's other certifying officer and I are responsible for establishing and maintaining disclosure controls and procedures (as defined in Exchange Act Rules 13a-15(e) and 15d-15(e)) and internal control over financial reporting (as defined in Exchange Act Rules 13a-15(f) and 15d-15(f)) for Sun Country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Sun Country's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Sun Country's internal control over financial reporting.</w:t>
      </w:r>
    </w:p>
    <w:tbl>
      <w:tblPr>
        <w:tblW w:w="4679" w:type="dxa"/>
        <w:jc w:val="left"/>
        <w:tblInd w:w="0" w:type="dxa"/>
        <w:tblLayout w:type="fixed"/>
        <w:tblCellMar>
          <w:top w:w="28" w:type="dxa"/>
          <w:left w:w="28" w:type="dxa"/>
          <w:bottom w:w="28" w:type="dxa"/>
          <w:right w:w="28" w:type="dxa"/>
        </w:tblCellMar>
      </w:tblPr>
      <w:tblGrid>
        <w:gridCol w:w="553"/>
        <w:gridCol w:w="487"/>
        <w:gridCol w:w="489"/>
        <w:gridCol w:w="921"/>
        <w:gridCol w:w="921"/>
        <w:gridCol w:w="1308"/>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30, 2024</w:t>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Dave Davis</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Dave Davis</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30,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quarterly report on Form 10-Q of Sun Country Airlines Holdings, Inc. ("Sun Country") for the quarterly period ended September 30, 2024 (the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of the undersigned, the Chief Executive Officer and the President and Chief Financial Officer, respectively, of Sun Country, hereby certifies that, as of the end of the period covered by the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1.such Report fully complies with the requirements of Section 13(a) of the Securities Exchange Act of 1934;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Sun Country.</w:t>
      </w:r>
    </w:p>
    <w:tbl>
      <w:tblPr>
        <w:tblW w:w="3491" w:type="dxa"/>
        <w:jc w:val="left"/>
        <w:tblInd w:w="0" w:type="dxa"/>
        <w:tblLayout w:type="fixed"/>
        <w:tblCellMar>
          <w:top w:w="28" w:type="dxa"/>
          <w:left w:w="28" w:type="dxa"/>
          <w:bottom w:w="28" w:type="dxa"/>
          <w:right w:w="28" w:type="dxa"/>
        </w:tblCellMar>
      </w:tblPr>
      <w:tblGrid>
        <w:gridCol w:w="124"/>
        <w:gridCol w:w="109"/>
        <w:gridCol w:w="109"/>
        <w:gridCol w:w="922"/>
        <w:gridCol w:w="922"/>
        <w:gridCol w:w="13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Jude Bricker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Jude Bricker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Dave Davis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Dave Davis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43907/000174390724000005/sncy-20231231.htm" TargetMode="External"/><Relationship Id="rId4" Type="http://schemas.openxmlformats.org/officeDocument/2006/relationships/hyperlink" Target="https://www.sec.gov/ix?doc=/Archives/edgar/data/1743907/000174390724000005/sncy-20231231.htm" TargetMode="External"/><Relationship Id="rId5" Type="http://schemas.openxmlformats.org/officeDocument/2006/relationships/hyperlink" Target="https://www.sec.gov/ix?doc=/Archives/edgar/data/1743907/000174390724000005/sncy-20231231.htm" TargetMode="External"/><Relationship Id="rId6" Type="http://schemas.openxmlformats.org/officeDocument/2006/relationships/hyperlink" Target="https://www.sec.gov/ix?doc=/Archives/edgar/data/1743907/000174390724000005/sncy-20231231.htm" TargetMode="External"/><Relationship Id="rId7" Type="http://schemas.openxmlformats.org/officeDocument/2006/relationships/hyperlink" Target="https://www.sec.gov/ix?doc=/Archives/edgar/data/1743907/000174390724000005/sncy-20231231.htm" TargetMode="External"/><Relationship Id="rId8" Type="http://schemas.openxmlformats.org/officeDocument/2006/relationships/hyperlink" Target="https://www.sec.gov/ix?doc=/Archives/edgar/data/1743907/000174390724000005/sncy-20231231.htm" TargetMode="External"/><Relationship Id="rId9" Type="http://schemas.openxmlformats.org/officeDocument/2006/relationships/hyperlink" Target="https://www.sec.gov/ix?doc=/Archives/edgar/data/1743907/000174390724000005/sncy-20231231.htm" TargetMode="External"/><Relationship Id="rId10" Type="http://schemas.openxmlformats.org/officeDocument/2006/relationships/hyperlink" Target="https://www.sec.gov/ix?doc=/Archives/edgar/data/1743907/000174390724000005/sncy-2023123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19937</Words>
  <Characters>110967</Characters>
  <CharactersWithSpaces>129107</CharactersWithSpaces>
  <Paragraphs>3972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