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58" w:lineRule="exact"/>
        <w:rPr>
          <w:sz w:val="24"/>
          <w:szCs w:val="24"/>
          <w:color w:val="auto"/>
        </w:rPr>
      </w:pPr>
    </w:p>
    <w:p>
      <w:pPr>
        <w:jc w:val="right"/>
        <w:ind w:right="559"/>
        <w:spacing w:after="0"/>
        <w:rPr>
          <w:sz w:val="20"/>
          <w:szCs w:val="20"/>
          <w:color w:val="auto"/>
        </w:rPr>
      </w:pPr>
      <w:r>
        <w:rPr>
          <w:rFonts w:ascii="Arial" w:cs="Arial" w:eastAsia="Arial" w:hAnsi="Arial"/>
          <w:sz w:val="13"/>
          <w:szCs w:val="13"/>
          <w:b w:val="1"/>
          <w:bCs w:val="1"/>
          <w:color w:val="auto"/>
        </w:rPr>
        <w:t>Filed Pursuant to Rule 424(b)(4)</w:t>
      </w:r>
    </w:p>
    <w:p>
      <w:pPr>
        <w:jc w:val="right"/>
        <w:ind w:right="559"/>
        <w:spacing w:after="0" w:line="211" w:lineRule="auto"/>
        <w:rPr>
          <w:sz w:val="20"/>
          <w:szCs w:val="20"/>
          <w:color w:val="auto"/>
        </w:rPr>
      </w:pPr>
      <w:r>
        <w:rPr>
          <w:rFonts w:ascii="Arial" w:cs="Arial" w:eastAsia="Arial" w:hAnsi="Arial"/>
          <w:sz w:val="13"/>
          <w:szCs w:val="13"/>
          <w:b w:val="1"/>
          <w:bCs w:val="1"/>
          <w:color w:val="auto"/>
        </w:rPr>
        <w:t>Registration No. 333-256201</w:t>
      </w:r>
    </w:p>
    <w:p>
      <w:pPr>
        <w:jc w:val="right"/>
        <w:ind w:right="559"/>
        <w:spacing w:after="0"/>
        <w:rPr>
          <w:sz w:val="20"/>
          <w:szCs w:val="20"/>
          <w:color w:val="auto"/>
        </w:rPr>
      </w:pPr>
      <w:r>
        <w:rPr>
          <w:rFonts w:ascii="Arial" w:cs="Arial" w:eastAsia="Arial" w:hAnsi="Arial"/>
          <w:sz w:val="13"/>
          <w:szCs w:val="13"/>
          <w:b w:val="1"/>
          <w:bCs w:val="1"/>
          <w:color w:val="auto"/>
        </w:rPr>
        <w:t>Registration No. 333-256309</w:t>
      </w:r>
    </w:p>
    <w:p>
      <w:pPr>
        <w:spacing w:after="0" w:line="211" w:lineRule="exact"/>
        <w:rPr>
          <w:sz w:val="24"/>
          <w:szCs w:val="24"/>
          <w:color w:val="auto"/>
        </w:rPr>
      </w:pPr>
    </w:p>
    <w:p>
      <w:pPr>
        <w:ind w:left="540"/>
        <w:spacing w:after="0"/>
        <w:rPr>
          <w:sz w:val="20"/>
          <w:szCs w:val="20"/>
          <w:color w:val="auto"/>
        </w:rPr>
      </w:pPr>
      <w:r>
        <w:rPr>
          <w:rFonts w:ascii="Arial" w:cs="Arial" w:eastAsia="Arial" w:hAnsi="Arial"/>
          <w:sz w:val="15"/>
          <w:szCs w:val="15"/>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30480</wp:posOffset>
            </wp:positionV>
            <wp:extent cx="5036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7,250,000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1953260</wp:posOffset>
            </wp:positionH>
            <wp:positionV relativeFrom="paragraph">
              <wp:posOffset>67310</wp:posOffset>
            </wp:positionV>
            <wp:extent cx="1814195" cy="230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Sun Country Airlines Holdings, Inc.</w:t>
      </w:r>
    </w:p>
    <w:p>
      <w:pPr>
        <w:spacing w:after="0" w:line="102"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74295</wp:posOffset>
            </wp:positionV>
            <wp:extent cx="50368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274" w:lineRule="exact"/>
        <w:rPr>
          <w:sz w:val="24"/>
          <w:szCs w:val="24"/>
          <w:color w:val="auto"/>
        </w:rPr>
      </w:pPr>
    </w:p>
    <w:p>
      <w:pPr>
        <w:jc w:val="both"/>
        <w:ind w:left="540" w:right="559"/>
        <w:spacing w:after="0" w:line="253" w:lineRule="auto"/>
        <w:rPr>
          <w:sz w:val="20"/>
          <w:szCs w:val="20"/>
          <w:color w:val="auto"/>
        </w:rPr>
      </w:pPr>
      <w:r>
        <w:rPr>
          <w:rFonts w:ascii="Arial" w:cs="Arial" w:eastAsia="Arial" w:hAnsi="Arial"/>
          <w:sz w:val="13"/>
          <w:szCs w:val="13"/>
          <w:color w:val="auto"/>
        </w:rPr>
        <w:t>The selling stockholder identified in this prospectus is selling 7,250,000 shares of common stock of Sun Country Airlines Holdings, Inc., a Delaware corporation. We are not selling any shares of our common stock, and we will not receive any of the proceeds from the sale of shares of our common stock offered by the selling stockholder.</w:t>
      </w:r>
    </w:p>
    <w:p>
      <w:pPr>
        <w:spacing w:after="0" w:line="39" w:lineRule="exact"/>
        <w:rPr>
          <w:sz w:val="24"/>
          <w:szCs w:val="24"/>
          <w:color w:val="auto"/>
        </w:rPr>
      </w:pPr>
    </w:p>
    <w:p>
      <w:pPr>
        <w:jc w:val="both"/>
        <w:ind w:left="540" w:right="559"/>
        <w:spacing w:after="0" w:line="285" w:lineRule="auto"/>
        <w:rPr>
          <w:sz w:val="20"/>
          <w:szCs w:val="20"/>
          <w:color w:val="auto"/>
        </w:rPr>
      </w:pPr>
      <w:r>
        <w:rPr>
          <w:rFonts w:ascii="Arial" w:cs="Arial" w:eastAsia="Arial" w:hAnsi="Arial"/>
          <w:sz w:val="13"/>
          <w:szCs w:val="13"/>
          <w:color w:val="auto"/>
        </w:rPr>
        <w:t>Our common stock is listed on the Nasdaq Global Select Market (</w:t>
      </w:r>
      <w:r>
        <w:rPr>
          <w:rFonts w:ascii="Arial" w:cs="Arial" w:eastAsia="Arial" w:hAnsi="Arial"/>
          <w:sz w:val="13"/>
          <w:szCs w:val="13"/>
          <w:b w:val="1"/>
          <w:bCs w:val="1"/>
          <w:color w:val="auto"/>
        </w:rPr>
        <w:t>“</w:t>
      </w:r>
      <w:r>
        <w:rPr>
          <w:rFonts w:ascii="Arial" w:cs="Arial" w:eastAsia="Arial" w:hAnsi="Arial"/>
          <w:sz w:val="13"/>
          <w:szCs w:val="13"/>
          <w:color w:val="auto"/>
        </w:rPr>
        <w:t>Nasdaq</w:t>
      </w:r>
      <w:r>
        <w:rPr>
          <w:rFonts w:ascii="Arial" w:cs="Arial" w:eastAsia="Arial" w:hAnsi="Arial"/>
          <w:sz w:val="13"/>
          <w:szCs w:val="13"/>
          <w:b w:val="1"/>
          <w:bCs w:val="1"/>
          <w:color w:val="auto"/>
        </w:rPr>
        <w:t>”</w:t>
      </w:r>
      <w:r>
        <w:rPr>
          <w:rFonts w:ascii="Arial" w:cs="Arial" w:eastAsia="Arial" w:hAnsi="Arial"/>
          <w:sz w:val="13"/>
          <w:szCs w:val="13"/>
          <w:color w:val="auto"/>
        </w:rPr>
        <w:t xml:space="preserve">) under the symbol </w:t>
      </w:r>
      <w:r>
        <w:rPr>
          <w:rFonts w:ascii="Arial" w:cs="Arial" w:eastAsia="Arial" w:hAnsi="Arial"/>
          <w:sz w:val="13"/>
          <w:szCs w:val="13"/>
          <w:b w:val="1"/>
          <w:bCs w:val="1"/>
          <w:color w:val="auto"/>
        </w:rPr>
        <w:t>“</w:t>
      </w:r>
      <w:r>
        <w:rPr>
          <w:rFonts w:ascii="Arial" w:cs="Arial" w:eastAsia="Arial" w:hAnsi="Arial"/>
          <w:sz w:val="13"/>
          <w:szCs w:val="13"/>
          <w:color w:val="auto"/>
        </w:rPr>
        <w:t>SNCY.</w:t>
      </w:r>
      <w:r>
        <w:rPr>
          <w:rFonts w:ascii="Arial" w:cs="Arial" w:eastAsia="Arial" w:hAnsi="Arial"/>
          <w:sz w:val="13"/>
          <w:szCs w:val="13"/>
          <w:b w:val="1"/>
          <w:bCs w:val="1"/>
          <w:color w:val="auto"/>
        </w:rPr>
        <w:t>”</w:t>
      </w:r>
      <w:r>
        <w:rPr>
          <w:rFonts w:ascii="Arial" w:cs="Arial" w:eastAsia="Arial" w:hAnsi="Arial"/>
          <w:sz w:val="13"/>
          <w:szCs w:val="13"/>
          <w:color w:val="auto"/>
        </w:rPr>
        <w:t xml:space="preserve"> The last reported sale price of our common stock on May 19, 2021 was $35.55 per share.</w:t>
      </w:r>
    </w:p>
    <w:p>
      <w:pPr>
        <w:spacing w:after="0" w:line="29" w:lineRule="exact"/>
        <w:rPr>
          <w:sz w:val="24"/>
          <w:szCs w:val="24"/>
          <w:color w:val="auto"/>
        </w:rPr>
      </w:pPr>
    </w:p>
    <w:p>
      <w:pPr>
        <w:jc w:val="both"/>
        <w:ind w:left="540" w:right="559"/>
        <w:spacing w:after="0" w:line="254" w:lineRule="auto"/>
        <w:rPr>
          <w:sz w:val="20"/>
          <w:szCs w:val="20"/>
          <w:color w:val="auto"/>
        </w:rPr>
      </w:pPr>
      <w:r>
        <w:rPr>
          <w:rFonts w:ascii="Arial" w:cs="Arial" w:eastAsia="Arial" w:hAnsi="Arial"/>
          <w:sz w:val="13"/>
          <w:szCs w:val="13"/>
          <w:color w:val="auto"/>
        </w:rPr>
        <w:t xml:space="preserve">SCA Horus Holdings, LLC (the </w:t>
      </w:r>
      <w:r>
        <w:rPr>
          <w:rFonts w:ascii="Arial" w:cs="Arial" w:eastAsia="Arial" w:hAnsi="Arial"/>
          <w:sz w:val="13"/>
          <w:szCs w:val="13"/>
          <w:b w:val="1"/>
          <w:bCs w:val="1"/>
          <w:color w:val="auto"/>
        </w:rPr>
        <w:t>“</w:t>
      </w:r>
      <w:r>
        <w:rPr>
          <w:rFonts w:ascii="Arial" w:cs="Arial" w:eastAsia="Arial" w:hAnsi="Arial"/>
          <w:sz w:val="13"/>
          <w:szCs w:val="13"/>
          <w:color w:val="auto"/>
        </w:rPr>
        <w:t>Apollo Stockholder</w:t>
      </w:r>
      <w:r>
        <w:rPr>
          <w:rFonts w:ascii="Arial" w:cs="Arial" w:eastAsia="Arial" w:hAnsi="Arial"/>
          <w:sz w:val="13"/>
          <w:szCs w:val="13"/>
          <w:b w:val="1"/>
          <w:bCs w:val="1"/>
          <w:color w:val="auto"/>
        </w:rPr>
        <w:t>”</w:t>
      </w:r>
      <w:r>
        <w:rPr>
          <w:rFonts w:ascii="Arial" w:cs="Arial" w:eastAsia="Arial" w:hAnsi="Arial"/>
          <w:sz w:val="13"/>
          <w:szCs w:val="13"/>
          <w:color w:val="auto"/>
        </w:rPr>
        <w:t xml:space="preserve">), which is an affiliate of certain investment funds managed by affiliates of Apollo Global Management, Inc., is currently our majority stockholder and is the selling stockholder in this offering. Following the completion of this offering, the Apollo Stockholder will continue to own a majority of the voting power of our outstanding common stock. As a result, we expect to continue to be a </w:t>
      </w:r>
      <w:r>
        <w:rPr>
          <w:rFonts w:ascii="Arial" w:cs="Arial" w:eastAsia="Arial" w:hAnsi="Arial"/>
          <w:sz w:val="13"/>
          <w:szCs w:val="13"/>
          <w:b w:val="1"/>
          <w:bCs w:val="1"/>
          <w:color w:val="auto"/>
        </w:rPr>
        <w:t>“</w:t>
      </w:r>
      <w:r>
        <w:rPr>
          <w:rFonts w:ascii="Arial" w:cs="Arial" w:eastAsia="Arial" w:hAnsi="Arial"/>
          <w:sz w:val="13"/>
          <w:szCs w:val="13"/>
          <w:color w:val="auto"/>
        </w:rPr>
        <w:t>controlled company</w:t>
      </w:r>
      <w:r>
        <w:rPr>
          <w:rFonts w:ascii="Arial" w:cs="Arial" w:eastAsia="Arial" w:hAnsi="Arial"/>
          <w:sz w:val="13"/>
          <w:szCs w:val="13"/>
          <w:b w:val="1"/>
          <w:bCs w:val="1"/>
          <w:color w:val="auto"/>
        </w:rPr>
        <w:t>”</w:t>
      </w:r>
      <w:r>
        <w:rPr>
          <w:rFonts w:ascii="Arial" w:cs="Arial" w:eastAsia="Arial" w:hAnsi="Arial"/>
          <w:sz w:val="13"/>
          <w:szCs w:val="13"/>
          <w:color w:val="auto"/>
        </w:rPr>
        <w:t xml:space="preserve"> under the corporate governance rules for Nasdaq-listed companies and will remain exempt from certain corporate governance requirements of such rules. See </w:t>
      </w:r>
      <w:r>
        <w:rPr>
          <w:rFonts w:ascii="Arial" w:cs="Arial" w:eastAsia="Arial" w:hAnsi="Arial"/>
          <w:sz w:val="13"/>
          <w:szCs w:val="13"/>
          <w:b w:val="1"/>
          <w:bCs w:val="1"/>
          <w:color w:val="auto"/>
        </w:rPr>
        <w:t>“</w:t>
      </w:r>
      <w:r>
        <w:rPr>
          <w:rFonts w:ascii="Arial" w:cs="Arial" w:eastAsia="Arial" w:hAnsi="Arial"/>
          <w:sz w:val="13"/>
          <w:szCs w:val="13"/>
          <w:i w:val="1"/>
          <w:iCs w:val="1"/>
          <w:color w:val="auto"/>
        </w:rPr>
        <w:t>Risk Factors—Risks Related to this Offering and</w:t>
      </w:r>
      <w:r>
        <w:rPr>
          <w:rFonts w:ascii="Arial" w:cs="Arial" w:eastAsia="Arial" w:hAnsi="Arial"/>
          <w:sz w:val="13"/>
          <w:szCs w:val="13"/>
          <w:color w:val="auto"/>
        </w:rPr>
        <w:t xml:space="preserve"> </w:t>
      </w:r>
      <w:r>
        <w:rPr>
          <w:rFonts w:ascii="Arial" w:cs="Arial" w:eastAsia="Arial" w:hAnsi="Arial"/>
          <w:sz w:val="13"/>
          <w:szCs w:val="13"/>
          <w:i w:val="1"/>
          <w:iCs w:val="1"/>
          <w:color w:val="auto"/>
        </w:rPr>
        <w:t>Ownership of our Common Stock</w:t>
      </w:r>
      <w:r>
        <w:rPr>
          <w:rFonts w:ascii="Arial" w:cs="Arial" w:eastAsia="Arial" w:hAnsi="Arial"/>
          <w:sz w:val="13"/>
          <w:szCs w:val="13"/>
          <w:color w:val="auto"/>
        </w:rPr>
        <w:t>,</w:t>
      </w:r>
      <w:r>
        <w:rPr>
          <w:rFonts w:ascii="Arial" w:cs="Arial" w:eastAsia="Arial" w:hAnsi="Arial"/>
          <w:sz w:val="13"/>
          <w:szCs w:val="13"/>
          <w:b w:val="1"/>
          <w:bCs w:val="1"/>
          <w:color w:val="auto"/>
        </w:rPr>
        <w:t>” “</w:t>
      </w:r>
      <w:r>
        <w:rPr>
          <w:rFonts w:ascii="Arial" w:cs="Arial" w:eastAsia="Arial" w:hAnsi="Arial"/>
          <w:sz w:val="13"/>
          <w:szCs w:val="13"/>
          <w:i w:val="1"/>
          <w:iCs w:val="1"/>
          <w:color w:val="auto"/>
        </w:rPr>
        <w:t>Management—Controlled Company</w:t>
      </w:r>
      <w:r>
        <w:rPr>
          <w:rFonts w:ascii="Arial" w:cs="Arial" w:eastAsia="Arial" w:hAnsi="Arial"/>
          <w:sz w:val="13"/>
          <w:szCs w:val="13"/>
          <w:b w:val="1"/>
          <w:b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t>
      </w:r>
      <w:r>
        <w:rPr>
          <w:rFonts w:ascii="Arial" w:cs="Arial" w:eastAsia="Arial" w:hAnsi="Arial"/>
          <w:sz w:val="13"/>
          <w:szCs w:val="13"/>
          <w:i w:val="1"/>
          <w:iCs w:val="1"/>
          <w:color w:val="auto"/>
        </w:rPr>
        <w:t>Principal and Selling Stockholders</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40" w:lineRule="exact"/>
        <w:rPr>
          <w:sz w:val="24"/>
          <w:szCs w:val="24"/>
          <w:color w:val="auto"/>
        </w:rPr>
      </w:pPr>
    </w:p>
    <w:p>
      <w:pPr>
        <w:jc w:val="both"/>
        <w:ind w:left="540" w:right="559"/>
        <w:spacing w:after="0" w:line="285" w:lineRule="auto"/>
        <w:rPr>
          <w:sz w:val="20"/>
          <w:szCs w:val="20"/>
          <w:color w:val="auto"/>
        </w:rPr>
      </w:pPr>
      <w:r>
        <w:rPr>
          <w:rFonts w:ascii="Arial" w:cs="Arial" w:eastAsia="Arial" w:hAnsi="Arial"/>
          <w:sz w:val="13"/>
          <w:szCs w:val="13"/>
          <w:color w:val="auto"/>
        </w:rPr>
        <w:t xml:space="preserve">We are also an </w:t>
      </w:r>
      <w:r>
        <w:rPr>
          <w:rFonts w:ascii="Arial" w:cs="Arial" w:eastAsia="Arial" w:hAnsi="Arial"/>
          <w:sz w:val="13"/>
          <w:szCs w:val="13"/>
          <w:b w:val="1"/>
          <w:bCs w:val="1"/>
          <w:color w:val="auto"/>
        </w:rPr>
        <w:t>“</w:t>
      </w:r>
      <w:r>
        <w:rPr>
          <w:rFonts w:ascii="Arial" w:cs="Arial" w:eastAsia="Arial" w:hAnsi="Arial"/>
          <w:sz w:val="13"/>
          <w:szCs w:val="13"/>
          <w:color w:val="auto"/>
        </w:rPr>
        <w:t>emerging growth company</w:t>
      </w:r>
      <w:r>
        <w:rPr>
          <w:rFonts w:ascii="Arial" w:cs="Arial" w:eastAsia="Arial" w:hAnsi="Arial"/>
          <w:sz w:val="13"/>
          <w:szCs w:val="13"/>
          <w:b w:val="1"/>
          <w:bCs w:val="1"/>
          <w:color w:val="auto"/>
        </w:rPr>
        <w:t>”</w:t>
      </w:r>
      <w:r>
        <w:rPr>
          <w:rFonts w:ascii="Arial" w:cs="Arial" w:eastAsia="Arial" w:hAnsi="Arial"/>
          <w:sz w:val="13"/>
          <w:szCs w:val="13"/>
          <w:color w:val="auto"/>
        </w:rPr>
        <w:t xml:space="preserve"> as defined in the Jumpstart Our Business Startups Act of 2012 and are eligible for reduced public company reporting requirements. Please see </w:t>
      </w:r>
      <w:r>
        <w:rPr>
          <w:rFonts w:ascii="Arial" w:cs="Arial" w:eastAsia="Arial" w:hAnsi="Arial"/>
          <w:sz w:val="13"/>
          <w:szCs w:val="13"/>
          <w:b w:val="1"/>
          <w:bCs w:val="1"/>
          <w:color w:val="auto"/>
        </w:rPr>
        <w:t>“</w:t>
      </w:r>
      <w:r>
        <w:rPr>
          <w:rFonts w:ascii="Arial" w:cs="Arial" w:eastAsia="Arial" w:hAnsi="Arial"/>
          <w:sz w:val="13"/>
          <w:szCs w:val="13"/>
          <w:i w:val="1"/>
          <w:iCs w:val="1"/>
          <w:color w:val="auto"/>
        </w:rPr>
        <w:t>Prospectus Summary—Implications of Being an Emerging Growth Company</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45" w:lineRule="exact"/>
        <w:rPr>
          <w:sz w:val="24"/>
          <w:szCs w:val="24"/>
          <w:color w:val="auto"/>
        </w:rPr>
      </w:pPr>
    </w:p>
    <w:p>
      <w:pPr>
        <w:jc w:val="both"/>
        <w:ind w:left="540" w:right="559"/>
        <w:spacing w:after="0" w:line="259" w:lineRule="auto"/>
        <w:rPr>
          <w:sz w:val="20"/>
          <w:szCs w:val="20"/>
          <w:color w:val="auto"/>
        </w:rPr>
      </w:pPr>
      <w:r>
        <w:rPr>
          <w:rFonts w:ascii="Arial" w:cs="Arial" w:eastAsia="Arial" w:hAnsi="Arial"/>
          <w:sz w:val="13"/>
          <w:szCs w:val="13"/>
          <w:color w:val="auto"/>
        </w:rPr>
        <w:t xml:space="preserve">By participating in this offering, you are representing that you are a citizen of the United States, as defined in 49 U.S.C. § 40102(a)(15). See </w:t>
      </w:r>
      <w:r>
        <w:rPr>
          <w:rFonts w:ascii="Arial" w:cs="Arial" w:eastAsia="Arial" w:hAnsi="Arial"/>
          <w:sz w:val="13"/>
          <w:szCs w:val="13"/>
          <w:b w:val="1"/>
          <w:bCs w:val="1"/>
          <w:color w:val="auto"/>
        </w:rPr>
        <w:t>“</w:t>
      </w:r>
      <w:r>
        <w:rPr>
          <w:rFonts w:ascii="Arial" w:cs="Arial" w:eastAsia="Arial" w:hAnsi="Arial"/>
          <w:sz w:val="13"/>
          <w:szCs w:val="13"/>
          <w:i w:val="1"/>
          <w:iCs w:val="1"/>
          <w:color w:val="auto"/>
        </w:rPr>
        <w:t>Description of Capital Stock—Limited Ownership and Voting by Foreign Owners</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59055</wp:posOffset>
            </wp:positionV>
            <wp:extent cx="50368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71" w:lineRule="exact"/>
        <w:rPr>
          <w:sz w:val="24"/>
          <w:szCs w:val="24"/>
          <w:color w:val="auto"/>
        </w:rPr>
      </w:pPr>
    </w:p>
    <w:p>
      <w:pPr>
        <w:jc w:val="both"/>
        <w:ind w:left="540" w:right="559"/>
        <w:spacing w:after="0" w:line="282"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common stock involves risks that are described in the </w:t>
      </w:r>
      <w:r>
        <w:rPr>
          <w:rFonts w:ascii="Arial" w:cs="Arial" w:eastAsia="Arial" w:hAnsi="Arial"/>
          <w:sz w:val="16"/>
          <w:szCs w:val="16"/>
          <w:b w:val="1"/>
          <w:bCs w:val="1"/>
          <w:color w:val="auto"/>
        </w:rPr>
        <w:t>“</w:t>
      </w:r>
      <w:r>
        <w:rPr>
          <w:rFonts w:ascii="Arial" w:cs="Arial" w:eastAsia="Arial" w:hAnsi="Arial"/>
          <w:sz w:val="16"/>
          <w:szCs w:val="16"/>
          <w:i w:val="1"/>
          <w:iCs w:val="1"/>
          <w:color w:val="auto"/>
        </w:rPr>
        <w:t>Risk Factors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section beginning on page </w:t>
      </w:r>
      <w:hyperlink w:anchor="page28">
        <w:r>
          <w:rPr>
            <w:rFonts w:ascii="Arial" w:cs="Arial" w:eastAsia="Arial" w:hAnsi="Arial"/>
            <w:sz w:val="16"/>
            <w:szCs w:val="16"/>
            <w:i w:val="1"/>
            <w:iCs w:val="1"/>
            <w:u w:val="single" w:color="auto"/>
            <w:color w:val="0000EE"/>
          </w:rPr>
          <w:t>22</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53975</wp:posOffset>
            </wp:positionV>
            <wp:extent cx="50368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65" w:lineRule="exact"/>
        <w:rPr>
          <w:sz w:val="24"/>
          <w:szCs w:val="24"/>
          <w:color w:val="auto"/>
        </w:rPr>
      </w:pPr>
    </w:p>
    <w:tbl>
      <w:tblPr>
        <w:tblLayout w:type="fixed"/>
        <w:tblInd w:w="540" w:type="dxa"/>
        <w:tblCellMar>
          <w:top w:w="0" w:type="dxa"/>
          <w:left w:w="0" w:type="dxa"/>
          <w:bottom w:w="0" w:type="dxa"/>
          <w:right w:w="0" w:type="dxa"/>
        </w:tblCellMar>
      </w:tblPr>
      <w:tr>
        <w:trPr>
          <w:trHeight w:val="153"/>
        </w:trPr>
        <w:tc>
          <w:tcPr>
            <w:tcW w:w="62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Per Share</w:t>
            </w:r>
          </w:p>
        </w:tc>
        <w:tc>
          <w:tcPr>
            <w:tcW w:w="100" w:type="dxa"/>
            <w:vAlign w:val="bottom"/>
          </w:tcPr>
          <w:p>
            <w:pPr>
              <w:spacing w:after="0"/>
              <w:rPr>
                <w:sz w:val="13"/>
                <w:szCs w:val="13"/>
                <w:color w:val="auto"/>
              </w:rPr>
            </w:pPr>
          </w:p>
        </w:tc>
        <w:tc>
          <w:tcPr>
            <w:tcW w:w="820" w:type="dxa"/>
            <w:vAlign w:val="bottom"/>
          </w:tcPr>
          <w:p>
            <w:pPr>
              <w:jc w:val="right"/>
              <w:ind w:right="250"/>
              <w:spacing w:after="0"/>
              <w:rPr>
                <w:sz w:val="20"/>
                <w:szCs w:val="20"/>
                <w:color w:val="auto"/>
              </w:rPr>
            </w:pPr>
            <w:r>
              <w:rPr>
                <w:rFonts w:ascii="Arial" w:cs="Arial" w:eastAsia="Arial" w:hAnsi="Arial"/>
                <w:sz w:val="12"/>
                <w:szCs w:val="12"/>
                <w:b w:val="1"/>
                <w:bCs w:val="1"/>
                <w:color w:val="auto"/>
              </w:rPr>
              <w:t>Total</w:t>
            </w:r>
          </w:p>
        </w:tc>
      </w:tr>
      <w:tr>
        <w:trPr>
          <w:trHeight w:val="167"/>
        </w:trPr>
        <w:tc>
          <w:tcPr>
            <w:tcW w:w="628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Public offering price</w:t>
            </w:r>
          </w:p>
        </w:tc>
        <w:tc>
          <w:tcPr>
            <w:tcW w:w="1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5"/>
              </w:rPr>
              <w:t>34.50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5"/>
              </w:rPr>
              <w:t>250,125,000</w:t>
            </w:r>
          </w:p>
        </w:tc>
      </w:tr>
      <w:tr>
        <w:trPr>
          <w:trHeight w:val="187"/>
        </w:trPr>
        <w:tc>
          <w:tcPr>
            <w:tcW w:w="6280" w:type="dxa"/>
            <w:vAlign w:val="bottom"/>
          </w:tcPr>
          <w:p>
            <w:pPr>
              <w:spacing w:after="0" w:line="187"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1.38</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10,005,000</w:t>
            </w:r>
          </w:p>
        </w:tc>
      </w:tr>
      <w:tr>
        <w:trPr>
          <w:trHeight w:val="187"/>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33.12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240,120,000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-354965</wp:posOffset>
            </wp:positionV>
            <wp:extent cx="4443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118745</wp:posOffset>
            </wp:positionV>
            <wp:extent cx="4464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4"/>
          <w:szCs w:val="24"/>
          <w:color w:val="auto"/>
        </w:rPr>
      </w:pPr>
    </w:p>
    <w:p>
      <w:pPr>
        <w:ind w:left="840" w:right="1159" w:hanging="301"/>
        <w:spacing w:after="0" w:line="236" w:lineRule="auto"/>
        <w:tabs>
          <w:tab w:leader="none" w:pos="840" w:val="left"/>
        </w:tabs>
        <w:numPr>
          <w:ilvl w:val="0"/>
          <w:numId w:val="1"/>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for additional information regarding the underwriters’ compensation and reimbursement of expenses.</w:t>
      </w:r>
    </w:p>
    <w:p>
      <w:pPr>
        <w:spacing w:after="0" w:line="68" w:lineRule="exact"/>
        <w:rPr>
          <w:sz w:val="24"/>
          <w:szCs w:val="24"/>
          <w:color w:val="auto"/>
        </w:rPr>
      </w:pPr>
    </w:p>
    <w:p>
      <w:pPr>
        <w:ind w:left="540" w:right="559"/>
        <w:spacing w:after="0" w:line="259" w:lineRule="auto"/>
        <w:rPr>
          <w:sz w:val="20"/>
          <w:szCs w:val="20"/>
          <w:color w:val="auto"/>
        </w:rPr>
      </w:pPr>
      <w:r>
        <w:rPr>
          <w:rFonts w:ascii="Arial" w:cs="Arial" w:eastAsia="Arial" w:hAnsi="Arial"/>
          <w:sz w:val="13"/>
          <w:szCs w:val="13"/>
          <w:color w:val="auto"/>
        </w:rPr>
        <w:t>The underwriters may also exercise their option to purchase up to an additional 1,087,500 shares from the selling stockholder at the public offering price, less underwriting discounts and commissions, for 30 days after the date of this prospectus.</w:t>
      </w:r>
    </w:p>
    <w:p>
      <w:pPr>
        <w:spacing w:after="0" w:line="117" w:lineRule="exact"/>
        <w:rPr>
          <w:sz w:val="24"/>
          <w:szCs w:val="24"/>
          <w:color w:val="auto"/>
        </w:rPr>
      </w:pPr>
    </w:p>
    <w:p>
      <w:pPr>
        <w:ind w:left="540" w:right="559"/>
        <w:spacing w:after="0" w:line="259"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4"/>
          <w:szCs w:val="24"/>
          <w:color w:val="auto"/>
        </w:rPr>
      </w:pPr>
    </w:p>
    <w:p>
      <w:pPr>
        <w:ind w:left="540"/>
        <w:spacing w:after="0"/>
        <w:rPr>
          <w:sz w:val="20"/>
          <w:szCs w:val="20"/>
          <w:color w:val="auto"/>
        </w:rPr>
      </w:pPr>
      <w:r>
        <w:rPr>
          <w:rFonts w:ascii="Arial" w:cs="Arial" w:eastAsia="Arial" w:hAnsi="Arial"/>
          <w:sz w:val="13"/>
          <w:szCs w:val="13"/>
          <w:color w:val="auto"/>
        </w:rPr>
        <w:t>The underwriters expect to deliver the shares of common stock against payment on or about May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78740</wp:posOffset>
            </wp:positionV>
            <wp:extent cx="50368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99" w:lineRule="exact"/>
        <w:rPr>
          <w:sz w:val="24"/>
          <w:szCs w:val="24"/>
          <w:color w:val="auto"/>
        </w:rPr>
      </w:pPr>
    </w:p>
    <w:tbl>
      <w:tblPr>
        <w:tblLayout w:type="fixed"/>
        <w:tblInd w:w="14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20" w:type="dxa"/>
            <w:vAlign w:val="bottom"/>
            <w:gridSpan w:val="2"/>
          </w:tcPr>
          <w:p>
            <w:pPr>
              <w:jc w:val="center"/>
              <w:ind w:right="3220"/>
              <w:spacing w:after="0"/>
              <w:rPr>
                <w:sz w:val="20"/>
                <w:szCs w:val="20"/>
                <w:color w:val="auto"/>
              </w:rPr>
            </w:pPr>
            <w:r>
              <w:rPr>
                <w:rFonts w:ascii="Arial" w:cs="Arial" w:eastAsia="Arial" w:hAnsi="Arial"/>
                <w:sz w:val="13"/>
                <w:szCs w:val="13"/>
                <w:b w:val="1"/>
                <w:bCs w:val="1"/>
                <w:i w:val="1"/>
                <w:iCs w:val="1"/>
                <w:color w:val="auto"/>
              </w:rPr>
              <w:t>Joint Bookrunners</w:t>
            </w:r>
          </w:p>
        </w:tc>
      </w:tr>
      <w:tr>
        <w:trPr>
          <w:trHeight w:val="391"/>
        </w:trPr>
        <w:tc>
          <w:tcPr>
            <w:tcW w:w="2340" w:type="dxa"/>
            <w:vAlign w:val="bottom"/>
          </w:tcPr>
          <w:p>
            <w:pPr>
              <w:ind w:left="400"/>
              <w:spacing w:after="0"/>
              <w:rPr>
                <w:sz w:val="20"/>
                <w:szCs w:val="20"/>
                <w:color w:val="auto"/>
              </w:rPr>
            </w:pPr>
            <w:r>
              <w:rPr>
                <w:rFonts w:ascii="Arial" w:cs="Arial" w:eastAsia="Arial" w:hAnsi="Arial"/>
                <w:sz w:val="22"/>
                <w:szCs w:val="22"/>
                <w:b w:val="1"/>
                <w:bCs w:val="1"/>
                <w:color w:val="auto"/>
              </w:rPr>
              <w:t>Barclays</w:t>
            </w:r>
          </w:p>
        </w:tc>
        <w:tc>
          <w:tcPr>
            <w:tcW w:w="960" w:type="dxa"/>
            <w:vAlign w:val="bottom"/>
          </w:tcPr>
          <w:p>
            <w:pPr>
              <w:spacing w:after="0"/>
              <w:rPr>
                <w:sz w:val="24"/>
                <w:szCs w:val="24"/>
                <w:color w:val="auto"/>
              </w:rPr>
            </w:pPr>
          </w:p>
        </w:tc>
        <w:tc>
          <w:tcPr>
            <w:tcW w:w="5420" w:type="dxa"/>
            <w:vAlign w:val="bottom"/>
            <w:gridSpan w:val="2"/>
          </w:tcPr>
          <w:p>
            <w:pPr>
              <w:jc w:val="right"/>
              <w:ind w:right="340"/>
              <w:spacing w:after="0"/>
              <w:rPr>
                <w:sz w:val="20"/>
                <w:szCs w:val="20"/>
                <w:color w:val="auto"/>
              </w:rPr>
            </w:pPr>
            <w:r>
              <w:rPr>
                <w:rFonts w:ascii="Arial" w:cs="Arial" w:eastAsia="Arial" w:hAnsi="Arial"/>
                <w:sz w:val="22"/>
                <w:szCs w:val="22"/>
                <w:b w:val="1"/>
                <w:bCs w:val="1"/>
                <w:color w:val="auto"/>
              </w:rPr>
              <w:t>Morgan Stanley   Deutsche Bank Securities</w:t>
            </w:r>
          </w:p>
        </w:tc>
      </w:tr>
      <w:tr>
        <w:trPr>
          <w:trHeight w:val="374"/>
        </w:trPr>
        <w:tc>
          <w:tcPr>
            <w:tcW w:w="3300" w:type="dxa"/>
            <w:vAlign w:val="bottom"/>
            <w:gridSpan w:val="2"/>
          </w:tcPr>
          <w:p>
            <w:pPr>
              <w:ind w:left="400"/>
              <w:spacing w:after="0"/>
              <w:rPr>
                <w:sz w:val="20"/>
                <w:szCs w:val="20"/>
                <w:color w:val="auto"/>
              </w:rPr>
            </w:pPr>
            <w:r>
              <w:rPr>
                <w:rFonts w:ascii="Arial" w:cs="Arial" w:eastAsia="Arial" w:hAnsi="Arial"/>
                <w:sz w:val="22"/>
                <w:szCs w:val="22"/>
                <w:b w:val="1"/>
                <w:bCs w:val="1"/>
                <w:color w:val="auto"/>
              </w:rPr>
              <w:t>Goldman Sachs &amp; Co. LLC</w:t>
            </w:r>
          </w:p>
        </w:tc>
        <w:tc>
          <w:tcPr>
            <w:tcW w:w="1480" w:type="dxa"/>
            <w:vAlign w:val="bottom"/>
          </w:tcPr>
          <w:p>
            <w:pPr>
              <w:spacing w:after="0"/>
              <w:rPr>
                <w:sz w:val="24"/>
                <w:szCs w:val="24"/>
                <w:color w:val="auto"/>
              </w:rPr>
            </w:pPr>
          </w:p>
        </w:tc>
        <w:tc>
          <w:tcPr>
            <w:tcW w:w="3940" w:type="dxa"/>
            <w:vAlign w:val="bottom"/>
          </w:tcPr>
          <w:p>
            <w:pPr>
              <w:jc w:val="right"/>
              <w:ind w:right="340"/>
              <w:spacing w:after="0"/>
              <w:rPr>
                <w:sz w:val="20"/>
                <w:szCs w:val="20"/>
                <w:color w:val="auto"/>
              </w:rPr>
            </w:pPr>
            <w:r>
              <w:rPr>
                <w:rFonts w:ascii="Arial" w:cs="Arial" w:eastAsia="Arial" w:hAnsi="Arial"/>
                <w:sz w:val="22"/>
                <w:szCs w:val="22"/>
                <w:b w:val="1"/>
                <w:bCs w:val="1"/>
                <w:color w:val="auto"/>
              </w:rPr>
              <w:t>Nomura</w:t>
            </w:r>
          </w:p>
        </w:tc>
      </w:tr>
      <w:tr>
        <w:trPr>
          <w:trHeight w:val="203"/>
        </w:trPr>
        <w:tc>
          <w:tcPr>
            <w:tcW w:w="2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jc w:val="center"/>
              <w:ind w:left="563"/>
              <w:spacing w:after="0"/>
              <w:rPr>
                <w:sz w:val="20"/>
                <w:szCs w:val="20"/>
                <w:color w:val="auto"/>
              </w:rPr>
            </w:pPr>
            <w:r>
              <w:rPr>
                <w:rFonts w:ascii="Arial" w:cs="Arial" w:eastAsia="Arial" w:hAnsi="Arial"/>
                <w:sz w:val="13"/>
                <w:szCs w:val="13"/>
                <w:b w:val="1"/>
                <w:bCs w:val="1"/>
                <w:i w:val="1"/>
                <w:iCs w:val="1"/>
                <w:color w:val="auto"/>
              </w:rPr>
              <w:t>Co-Managers</w:t>
            </w:r>
          </w:p>
        </w:tc>
        <w:tc>
          <w:tcPr>
            <w:tcW w:w="3940" w:type="dxa"/>
            <w:vAlign w:val="bottom"/>
          </w:tcPr>
          <w:p>
            <w:pPr>
              <w:spacing w:after="0"/>
              <w:rPr>
                <w:sz w:val="17"/>
                <w:szCs w:val="17"/>
                <w:color w:val="auto"/>
              </w:rPr>
            </w:pPr>
          </w:p>
        </w:tc>
      </w:tr>
      <w:tr>
        <w:trPr>
          <w:trHeight w:val="231"/>
        </w:trPr>
        <w:tc>
          <w:tcPr>
            <w:tcW w:w="2340" w:type="dxa"/>
            <w:vAlign w:val="bottom"/>
          </w:tcPr>
          <w:p>
            <w:pPr>
              <w:ind w:left="400"/>
              <w:spacing w:after="0"/>
              <w:rPr>
                <w:sz w:val="20"/>
                <w:szCs w:val="20"/>
                <w:color w:val="auto"/>
              </w:rPr>
            </w:pPr>
            <w:r>
              <w:rPr>
                <w:rFonts w:ascii="Arial" w:cs="Arial" w:eastAsia="Arial" w:hAnsi="Arial"/>
                <w:sz w:val="13"/>
                <w:szCs w:val="13"/>
                <w:b w:val="1"/>
                <w:bCs w:val="1"/>
                <w:color w:val="auto"/>
              </w:rPr>
              <w:t>Apollo Global Securities</w:t>
            </w:r>
          </w:p>
        </w:tc>
        <w:tc>
          <w:tcPr>
            <w:tcW w:w="2440" w:type="dxa"/>
            <w:vAlign w:val="bottom"/>
            <w:gridSpan w:val="2"/>
          </w:tcPr>
          <w:p>
            <w:pPr>
              <w:ind w:left="400"/>
              <w:spacing w:after="0"/>
              <w:rPr>
                <w:sz w:val="20"/>
                <w:szCs w:val="20"/>
                <w:color w:val="auto"/>
              </w:rPr>
            </w:pPr>
            <w:r>
              <w:rPr>
                <w:rFonts w:ascii="Arial" w:cs="Arial" w:eastAsia="Arial" w:hAnsi="Arial"/>
                <w:sz w:val="13"/>
                <w:szCs w:val="13"/>
                <w:b w:val="1"/>
                <w:bCs w:val="1"/>
                <w:color w:val="auto"/>
              </w:rPr>
              <w:t>AmeriVet Securities</w:t>
            </w:r>
          </w:p>
        </w:tc>
        <w:tc>
          <w:tcPr>
            <w:tcW w:w="3940" w:type="dxa"/>
            <w:vAlign w:val="bottom"/>
          </w:tcPr>
          <w:p>
            <w:pPr>
              <w:jc w:val="right"/>
              <w:ind w:right="340"/>
              <w:spacing w:after="0"/>
              <w:rPr>
                <w:sz w:val="20"/>
                <w:szCs w:val="20"/>
                <w:color w:val="auto"/>
              </w:rPr>
            </w:pPr>
            <w:r>
              <w:rPr>
                <w:rFonts w:ascii="Arial" w:cs="Arial" w:eastAsia="Arial" w:hAnsi="Arial"/>
                <w:sz w:val="13"/>
                <w:szCs w:val="13"/>
                <w:b w:val="1"/>
                <w:bCs w:val="1"/>
                <w:color w:val="auto"/>
              </w:rPr>
              <w:t>Siebert Williams ShankTribal Capital Markets, LLC</w:t>
            </w:r>
          </w:p>
        </w:tc>
      </w:tr>
      <w:tr>
        <w:trPr>
          <w:trHeight w:val="231"/>
        </w:trPr>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20" w:type="dxa"/>
            <w:vAlign w:val="bottom"/>
            <w:gridSpan w:val="2"/>
          </w:tcPr>
          <w:p>
            <w:pPr>
              <w:jc w:val="center"/>
              <w:ind w:right="3220"/>
              <w:spacing w:after="0"/>
              <w:rPr>
                <w:sz w:val="20"/>
                <w:szCs w:val="20"/>
                <w:color w:val="auto"/>
              </w:rPr>
            </w:pPr>
            <w:r>
              <w:rPr>
                <w:rFonts w:ascii="Arial" w:cs="Arial" w:eastAsia="Arial" w:hAnsi="Arial"/>
                <w:sz w:val="13"/>
                <w:szCs w:val="13"/>
                <w:color w:val="auto"/>
              </w:rPr>
              <w:t>Prospectus dated May 19, 2021</w:t>
            </w:r>
          </w:p>
        </w:tc>
      </w:tr>
      <w:tr>
        <w:trPr>
          <w:trHeight w:val="316"/>
        </w:trPr>
        <w:tc>
          <w:tcPr>
            <w:tcW w:w="2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4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433070</wp:posOffset>
            </wp:positionV>
            <wp:extent cx="5564505" cy="6005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4505" cy="600519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For investors outside the United States: none of us, the selling stockholder 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10"/>
          </w:tcPr>
          <w:p>
            <w:pPr>
              <w:ind w:left="16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43"/>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1760" w:type="dxa"/>
            <w:vAlign w:val="bottom"/>
            <w:tcBorders>
              <w:bottom w:val="single" w:sz="8" w:color="0000EE"/>
            </w:tcBorders>
            <w:gridSpan w:val="8"/>
            <w:shd w:val="clear" w:color="auto" w:fill="CCEEFF"/>
          </w:tcPr>
          <w:p>
            <w:pPr>
              <w:spacing w:after="0" w:line="132" w:lineRule="exact"/>
              <w:rPr>
                <w:rFonts w:ascii="Arial" w:cs="Arial" w:eastAsia="Arial" w:hAnsi="Arial"/>
                <w:sz w:val="15"/>
                <w:szCs w:val="15"/>
                <w:color w:val="0000EE"/>
                <w:w w:val="94"/>
              </w:rPr>
            </w:pPr>
            <w:hyperlink w:anchor="page7">
              <w:r>
                <w:rPr>
                  <w:rFonts w:ascii="Arial" w:cs="Arial" w:eastAsia="Arial" w:hAnsi="Arial"/>
                  <w:sz w:val="15"/>
                  <w:szCs w:val="15"/>
                  <w:color w:val="0000EE"/>
                  <w:w w:val="94"/>
                </w:rPr>
                <w:t>PROSPECTUS SUMMARY</w:t>
              </w:r>
            </w:hyperlink>
          </w:p>
        </w:tc>
        <w:tc>
          <w:tcPr>
            <w:tcW w:w="3860" w:type="dxa"/>
            <w:vAlign w:val="bottom"/>
            <w:tcBorders>
              <w:bottom w:val="single" w:sz="8" w:color="CCEEFF"/>
            </w:tcBorders>
            <w:gridSpan w:val="13"/>
            <w:shd w:val="clear" w:color="auto" w:fill="CCEEFF"/>
          </w:tcPr>
          <w:p>
            <w:pPr>
              <w:spacing w:after="0"/>
              <w:rPr>
                <w:sz w:val="11"/>
                <w:szCs w:val="11"/>
                <w:color w:val="auto"/>
              </w:rPr>
            </w:pPr>
          </w:p>
        </w:tc>
        <w:tc>
          <w:tcPr>
            <w:tcW w:w="92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line="132" w:lineRule="exact"/>
              <w:rPr>
                <w:rFonts w:ascii="Arial" w:cs="Arial" w:eastAsia="Arial" w:hAnsi="Arial"/>
                <w:sz w:val="15"/>
                <w:szCs w:val="15"/>
                <w:color w:val="0000EE"/>
              </w:rPr>
            </w:pPr>
            <w:hyperlink w:anchor="page7">
              <w:r>
                <w:rPr>
                  <w:rFonts w:ascii="Arial" w:cs="Arial" w:eastAsia="Arial" w:hAnsi="Arial"/>
                  <w:sz w:val="15"/>
                  <w:szCs w:val="15"/>
                  <w:color w:val="0000EE"/>
                </w:rPr>
                <w:t>1</w:t>
              </w:r>
            </w:hyperlink>
          </w:p>
        </w:tc>
      </w:tr>
      <w:tr>
        <w:trPr>
          <w:trHeight w:val="176"/>
        </w:trPr>
        <w:tc>
          <w:tcPr>
            <w:tcW w:w="1060" w:type="dxa"/>
            <w:vAlign w:val="bottom"/>
            <w:gridSpan w:val="5"/>
          </w:tcPr>
          <w:p>
            <w:pPr>
              <w:spacing w:after="0"/>
              <w:rPr>
                <w:rFonts w:ascii="Arial" w:cs="Arial" w:eastAsia="Arial" w:hAnsi="Arial"/>
                <w:sz w:val="15"/>
                <w:szCs w:val="15"/>
                <w:color w:val="0000EE"/>
                <w:w w:val="91"/>
              </w:rPr>
            </w:pPr>
            <w:hyperlink w:anchor="page28">
              <w:r>
                <w:rPr>
                  <w:rFonts w:ascii="Arial" w:cs="Arial" w:eastAsia="Arial" w:hAnsi="Arial"/>
                  <w:sz w:val="15"/>
                  <w:szCs w:val="15"/>
                  <w:color w:val="0000EE"/>
                  <w:w w:val="91"/>
                </w:rPr>
                <w:t>RISK FACTORS</w:t>
              </w:r>
            </w:hyperlink>
          </w:p>
        </w:tc>
        <w:tc>
          <w:tcPr>
            <w:tcW w:w="4560" w:type="dxa"/>
            <w:vAlign w:val="bottom"/>
            <w:gridSpan w:val="16"/>
          </w:tcPr>
          <w:p>
            <w:pPr>
              <w:spacing w:after="0"/>
              <w:rPr>
                <w:sz w:val="15"/>
                <w:szCs w:val="15"/>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28">
              <w:r>
                <w:rPr>
                  <w:rFonts w:ascii="Arial" w:cs="Arial" w:eastAsia="Arial" w:hAnsi="Arial"/>
                  <w:sz w:val="15"/>
                  <w:szCs w:val="15"/>
                  <w:color w:val="0000EE"/>
                </w:rPr>
                <w:t>22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1"/>
            <w:shd w:val="clear" w:color="auto" w:fill="CCEEFF"/>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CAUTIONARY NOTE REGARDING FORWARD-LOOKING STATEMENTS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5">
              <w:r>
                <w:rPr>
                  <w:rFonts w:ascii="Arial" w:cs="Arial" w:eastAsia="Arial" w:hAnsi="Arial"/>
                  <w:sz w:val="15"/>
                  <w:szCs w:val="15"/>
                  <w:color w:val="0000EE"/>
                </w:rPr>
                <w:t>59</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7"/>
          </w:tcPr>
          <w:p>
            <w:pPr>
              <w:spacing w:after="0"/>
              <w:rPr>
                <w:rFonts w:ascii="Arial" w:cs="Arial" w:eastAsia="Arial" w:hAnsi="Arial"/>
                <w:sz w:val="15"/>
                <w:szCs w:val="15"/>
                <w:color w:val="0000EE"/>
                <w:w w:val="91"/>
              </w:rPr>
            </w:pPr>
            <w:hyperlink w:anchor="page67">
              <w:r>
                <w:rPr>
                  <w:rFonts w:ascii="Arial" w:cs="Arial" w:eastAsia="Arial" w:hAnsi="Arial"/>
                  <w:sz w:val="15"/>
                  <w:szCs w:val="15"/>
                  <w:color w:val="0000EE"/>
                  <w:w w:val="91"/>
                </w:rPr>
                <w:t>USE OF PROCEEDS</w:t>
              </w:r>
            </w:hyperlink>
          </w:p>
        </w:tc>
        <w:tc>
          <w:tcPr>
            <w:tcW w:w="3520" w:type="dxa"/>
            <w:vAlign w:val="bottom"/>
            <w:gridSpan w:val="13"/>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7">
              <w:r>
                <w:rPr>
                  <w:rFonts w:ascii="Arial" w:cs="Arial" w:eastAsia="Arial" w:hAnsi="Arial"/>
                  <w:sz w:val="15"/>
                  <w:szCs w:val="15"/>
                  <w:color w:val="0000EE"/>
                </w:rPr>
                <w:t>61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340" w:type="dxa"/>
            <w:vAlign w:val="bottom"/>
            <w:gridSpan w:val="18"/>
            <w:shd w:val="clear" w:color="auto" w:fill="CCEEFF"/>
          </w:tcPr>
          <w:p>
            <w:pPr>
              <w:spacing w:after="0"/>
              <w:rPr>
                <w:rFonts w:ascii="Arial" w:cs="Arial" w:eastAsia="Arial" w:hAnsi="Arial"/>
                <w:sz w:val="15"/>
                <w:szCs w:val="15"/>
                <w:color w:val="0000EE"/>
                <w:w w:val="98"/>
              </w:rPr>
            </w:pPr>
            <w:hyperlink w:anchor="page68">
              <w:r>
                <w:rPr>
                  <w:rFonts w:ascii="Arial" w:cs="Arial" w:eastAsia="Arial" w:hAnsi="Arial"/>
                  <w:sz w:val="15"/>
                  <w:szCs w:val="15"/>
                  <w:color w:val="0000EE"/>
                  <w:w w:val="98"/>
                </w:rPr>
                <w:t>MARKET PRICE OF COMMON STOCK AND DIVIDEND POLICY</w:t>
              </w:r>
            </w:hyperlink>
          </w:p>
        </w:tc>
        <w:tc>
          <w:tcPr>
            <w:tcW w:w="1280" w:type="dxa"/>
            <w:vAlign w:val="bottom"/>
            <w:gridSpan w:val="3"/>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8">
              <w:r>
                <w:rPr>
                  <w:rFonts w:ascii="Arial" w:cs="Arial" w:eastAsia="Arial" w:hAnsi="Arial"/>
                  <w:sz w:val="15"/>
                  <w:szCs w:val="15"/>
                  <w:color w:val="0000EE"/>
                </w:rPr>
                <w:t>62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340" w:type="dxa"/>
            <w:vAlign w:val="bottom"/>
            <w:gridSpan w:val="18"/>
          </w:tcPr>
          <w:p>
            <w:pPr>
              <w:spacing w:after="0"/>
              <w:rPr>
                <w:rFonts w:ascii="Arial" w:cs="Arial" w:eastAsia="Arial" w:hAnsi="Arial"/>
                <w:sz w:val="15"/>
                <w:szCs w:val="15"/>
                <w:color w:val="0000EE"/>
              </w:rPr>
            </w:pPr>
            <w:hyperlink w:anchor="page69">
              <w:r>
                <w:rPr>
                  <w:rFonts w:ascii="Arial" w:cs="Arial" w:eastAsia="Arial" w:hAnsi="Arial"/>
                  <w:sz w:val="15"/>
                  <w:szCs w:val="15"/>
                  <w:color w:val="0000EE"/>
                </w:rPr>
                <w:t>CAPITALIZATION</w:t>
              </w:r>
            </w:hyperlink>
          </w:p>
        </w:tc>
        <w:tc>
          <w:tcPr>
            <w:tcW w:w="1280" w:type="dxa"/>
            <w:vAlign w:val="bottom"/>
            <w:gridSpan w:val="3"/>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9">
              <w:r>
                <w:rPr>
                  <w:rFonts w:ascii="Arial" w:cs="Arial" w:eastAsia="Arial" w:hAnsi="Arial"/>
                  <w:sz w:val="15"/>
                  <w:szCs w:val="15"/>
                  <w:color w:val="0000EE"/>
                </w:rPr>
                <w:t>63</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180" w:type="dxa"/>
            <w:vAlign w:val="bottom"/>
            <w:gridSpan w:val="17"/>
            <w:shd w:val="clear" w:color="auto" w:fill="CCEEFF"/>
          </w:tcPr>
          <w:p>
            <w:pPr>
              <w:spacing w:after="0"/>
              <w:rPr>
                <w:rFonts w:ascii="Arial" w:cs="Arial" w:eastAsia="Arial" w:hAnsi="Arial"/>
                <w:sz w:val="15"/>
                <w:szCs w:val="15"/>
                <w:color w:val="0000EE"/>
                <w:w w:val="98"/>
              </w:rPr>
            </w:pPr>
            <w:hyperlink w:anchor="page70">
              <w:r>
                <w:rPr>
                  <w:rFonts w:ascii="Arial" w:cs="Arial" w:eastAsia="Arial" w:hAnsi="Arial"/>
                  <w:sz w:val="15"/>
                  <w:szCs w:val="15"/>
                  <w:color w:val="0000EE"/>
                  <w:w w:val="98"/>
                </w:rPr>
                <w:t>SELECTED HISTORICAL CONSOLIDATED FINANCIAL DATA</w:t>
              </w:r>
            </w:hyperlink>
          </w:p>
        </w:tc>
        <w:tc>
          <w:tcPr>
            <w:tcW w:w="1440" w:type="dxa"/>
            <w:vAlign w:val="bottom"/>
            <w:gridSpan w:val="4"/>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76"/>
        </w:trPr>
        <w:tc>
          <w:tcPr>
            <w:tcW w:w="5620" w:type="dxa"/>
            <w:vAlign w:val="bottom"/>
            <w:tcBorders>
              <w:bottom w:val="single" w:sz="8" w:color="0000EE"/>
            </w:tcBorders>
            <w:gridSpan w:val="21"/>
          </w:tcPr>
          <w:p>
            <w:pPr>
              <w:spacing w:after="0"/>
              <w:rPr>
                <w:rFonts w:ascii="Arial" w:cs="Arial" w:eastAsia="Arial" w:hAnsi="Arial"/>
                <w:sz w:val="15"/>
                <w:szCs w:val="15"/>
                <w:color w:val="0000EE"/>
                <w:w w:val="99"/>
              </w:rPr>
            </w:pPr>
            <w:hyperlink w:anchor="page73">
              <w:r>
                <w:rPr>
                  <w:rFonts w:ascii="Arial" w:cs="Arial" w:eastAsia="Arial" w:hAnsi="Arial"/>
                  <w:sz w:val="15"/>
                  <w:szCs w:val="15"/>
                  <w:color w:val="0000EE"/>
                  <w:w w:val="99"/>
                </w:rPr>
                <w:t>MANAGEMENT’S DISCUSSION AND ANALYSIS OF FINANCIAL CONDITION AND</w:t>
              </w:r>
            </w:hyperlink>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5620" w:type="dxa"/>
            <w:vAlign w:val="bottom"/>
            <w:gridSpan w:val="21"/>
          </w:tcPr>
          <w:p>
            <w:pPr>
              <w:ind w:left="160"/>
              <w:spacing w:after="0" w:line="156" w:lineRule="exact"/>
              <w:rPr>
                <w:rFonts w:ascii="Arial" w:cs="Arial" w:eastAsia="Arial" w:hAnsi="Arial"/>
                <w:sz w:val="15"/>
                <w:szCs w:val="15"/>
                <w:color w:val="0000EE"/>
              </w:rPr>
            </w:pPr>
            <w:hyperlink w:anchor="page73">
              <w:r>
                <w:rPr>
                  <w:rFonts w:ascii="Arial" w:cs="Arial" w:eastAsia="Arial" w:hAnsi="Arial"/>
                  <w:sz w:val="15"/>
                  <w:szCs w:val="15"/>
                  <w:color w:val="0000EE"/>
                </w:rPr>
                <w:t>RESULTS OF OPERATIONS</w:t>
              </w:r>
            </w:hyperlink>
          </w:p>
        </w:tc>
        <w:tc>
          <w:tcPr>
            <w:tcW w:w="1060" w:type="dxa"/>
            <w:vAlign w:val="bottom"/>
            <w:gridSpan w:val="2"/>
          </w:tcPr>
          <w:p>
            <w:pPr>
              <w:jc w:val="right"/>
              <w:spacing w:after="0" w:line="156" w:lineRule="exact"/>
              <w:rPr>
                <w:rFonts w:ascii="Arial" w:cs="Arial" w:eastAsia="Arial" w:hAnsi="Arial"/>
                <w:sz w:val="15"/>
                <w:szCs w:val="15"/>
                <w:color w:val="0000EE"/>
              </w:rPr>
            </w:pPr>
            <w:hyperlink w:anchor="page73">
              <w:r>
                <w:rPr>
                  <w:rFonts w:ascii="Arial" w:cs="Arial" w:eastAsia="Arial" w:hAnsi="Arial"/>
                  <w:sz w:val="15"/>
                  <w:szCs w:val="15"/>
                  <w:color w:val="0000EE"/>
                </w:rPr>
                <w:t>67</w:t>
              </w:r>
            </w:hyperlink>
          </w:p>
        </w:tc>
      </w:tr>
      <w:tr>
        <w:trPr>
          <w:trHeight w:val="24"/>
        </w:trPr>
        <w:tc>
          <w:tcPr>
            <w:tcW w:w="16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r>
      <w:tr>
        <w:trPr>
          <w:trHeight w:val="200"/>
        </w:trPr>
        <w:tc>
          <w:tcPr>
            <w:tcW w:w="760" w:type="dxa"/>
            <w:vAlign w:val="bottom"/>
            <w:gridSpan w:val="4"/>
            <w:shd w:val="clear" w:color="auto" w:fill="CCEEFF"/>
          </w:tcPr>
          <w:p>
            <w:pPr>
              <w:spacing w:after="0"/>
              <w:rPr>
                <w:rFonts w:ascii="Arial" w:cs="Arial" w:eastAsia="Arial" w:hAnsi="Arial"/>
                <w:sz w:val="15"/>
                <w:szCs w:val="15"/>
                <w:color w:val="0000EE"/>
                <w:w w:val="96"/>
              </w:rPr>
            </w:pPr>
            <w:hyperlink w:anchor="page115">
              <w:r>
                <w:rPr>
                  <w:rFonts w:ascii="Arial" w:cs="Arial" w:eastAsia="Arial" w:hAnsi="Arial"/>
                  <w:sz w:val="15"/>
                  <w:szCs w:val="15"/>
                  <w:color w:val="0000EE"/>
                  <w:w w:val="96"/>
                </w:rPr>
                <w:t>INDUSTRY</w:t>
              </w:r>
            </w:hyperlink>
          </w:p>
        </w:tc>
        <w:tc>
          <w:tcPr>
            <w:tcW w:w="4860" w:type="dxa"/>
            <w:vAlign w:val="bottom"/>
            <w:gridSpan w:val="17"/>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15">
              <w:r>
                <w:rPr>
                  <w:rFonts w:ascii="Arial" w:cs="Arial" w:eastAsia="Arial" w:hAnsi="Arial"/>
                  <w:sz w:val="15"/>
                  <w:szCs w:val="15"/>
                  <w:color w:val="0000EE"/>
                </w:rPr>
                <w:t>109</w:t>
              </w:r>
            </w:hyperlink>
          </w:p>
        </w:tc>
      </w:tr>
      <w:tr>
        <w:trPr>
          <w:trHeight w:val="193"/>
        </w:trPr>
        <w:tc>
          <w:tcPr>
            <w:tcW w:w="72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2"/>
              </w:rPr>
            </w:pPr>
            <w:hyperlink w:anchor="page119">
              <w:r>
                <w:rPr>
                  <w:rFonts w:ascii="Arial" w:cs="Arial" w:eastAsia="Arial" w:hAnsi="Arial"/>
                  <w:sz w:val="15"/>
                  <w:szCs w:val="15"/>
                  <w:color w:val="0000EE"/>
                  <w:w w:val="92"/>
                </w:rPr>
                <w:t>BUSINESS</w:t>
              </w:r>
            </w:hyperlink>
          </w:p>
        </w:tc>
        <w:tc>
          <w:tcPr>
            <w:tcW w:w="40" w:type="dxa"/>
            <w:vAlign w:val="bottom"/>
            <w:tcBorders>
              <w:top w:val="single" w:sz="8" w:color="0000EE"/>
            </w:tcBorders>
          </w:tcPr>
          <w:p>
            <w:pPr>
              <w:spacing w:after="0"/>
              <w:rPr>
                <w:sz w:val="16"/>
                <w:szCs w:val="16"/>
                <w:color w:val="auto"/>
              </w:rPr>
            </w:pPr>
          </w:p>
        </w:tc>
        <w:tc>
          <w:tcPr>
            <w:tcW w:w="4860" w:type="dxa"/>
            <w:vAlign w:val="bottom"/>
            <w:tcBorders>
              <w:top w:val="single" w:sz="8" w:color="CCEEFF"/>
            </w:tcBorders>
            <w:gridSpan w:val="17"/>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119">
              <w:r>
                <w:rPr>
                  <w:rFonts w:ascii="Arial" w:cs="Arial" w:eastAsia="Arial" w:hAnsi="Arial"/>
                  <w:sz w:val="10"/>
                  <w:szCs w:val="10"/>
                  <w:color w:val="0000EE"/>
                  <w:w w:val="71"/>
                </w:rPr>
                <w:t>113</w:t>
              </w:r>
            </w:hyperlink>
          </w:p>
        </w:tc>
      </w:tr>
      <w:tr>
        <w:trPr>
          <w:trHeight w:val="193"/>
        </w:trPr>
        <w:tc>
          <w:tcPr>
            <w:tcW w:w="1060" w:type="dxa"/>
            <w:vAlign w:val="bottom"/>
            <w:gridSpan w:val="5"/>
            <w:shd w:val="clear" w:color="auto" w:fill="CCEEFF"/>
          </w:tcPr>
          <w:p>
            <w:pPr>
              <w:spacing w:after="0"/>
              <w:rPr>
                <w:rFonts w:ascii="Arial" w:cs="Arial" w:eastAsia="Arial" w:hAnsi="Arial"/>
                <w:sz w:val="15"/>
                <w:szCs w:val="15"/>
                <w:color w:val="0000EE"/>
                <w:w w:val="94"/>
              </w:rPr>
            </w:pPr>
            <w:hyperlink w:anchor="page140">
              <w:r>
                <w:rPr>
                  <w:rFonts w:ascii="Arial" w:cs="Arial" w:eastAsia="Arial" w:hAnsi="Arial"/>
                  <w:sz w:val="15"/>
                  <w:szCs w:val="15"/>
                  <w:color w:val="0000EE"/>
                  <w:w w:val="94"/>
                </w:rPr>
                <w:t>MANAGEMENT</w:t>
              </w:r>
            </w:hyperlink>
          </w:p>
        </w:tc>
        <w:tc>
          <w:tcPr>
            <w:tcW w:w="4560" w:type="dxa"/>
            <w:vAlign w:val="bottom"/>
            <w:tcBorders>
              <w:left w:val="single" w:sz="8" w:color="CCEEFF"/>
            </w:tcBorders>
            <w:gridSpan w:val="16"/>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40">
              <w:r>
                <w:rPr>
                  <w:rFonts w:ascii="Arial" w:cs="Arial" w:eastAsia="Arial" w:hAnsi="Arial"/>
                  <w:sz w:val="15"/>
                  <w:szCs w:val="15"/>
                  <w:color w:val="0000EE"/>
                </w:rPr>
                <w:t>134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060" w:type="dxa"/>
            <w:vAlign w:val="bottom"/>
            <w:gridSpan w:val="10"/>
          </w:tcPr>
          <w:p>
            <w:pPr>
              <w:spacing w:after="0"/>
              <w:rPr>
                <w:rFonts w:ascii="Arial" w:cs="Arial" w:eastAsia="Arial" w:hAnsi="Arial"/>
                <w:sz w:val="15"/>
                <w:szCs w:val="15"/>
                <w:color w:val="0000EE"/>
                <w:w w:val="96"/>
              </w:rPr>
            </w:pPr>
            <w:hyperlink w:anchor="page147">
              <w:r>
                <w:rPr>
                  <w:rFonts w:ascii="Arial" w:cs="Arial" w:eastAsia="Arial" w:hAnsi="Arial"/>
                  <w:sz w:val="15"/>
                  <w:szCs w:val="15"/>
                  <w:color w:val="0000EE"/>
                  <w:w w:val="96"/>
                </w:rPr>
                <w:t>EXECUTIVE COMPENSATION</w:t>
              </w:r>
            </w:hyperlink>
          </w:p>
        </w:tc>
        <w:tc>
          <w:tcPr>
            <w:tcW w:w="3560" w:type="dxa"/>
            <w:vAlign w:val="bottom"/>
            <w:gridSpan w:val="11"/>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47">
              <w:r>
                <w:rPr>
                  <w:rFonts w:ascii="Arial" w:cs="Arial" w:eastAsia="Arial" w:hAnsi="Arial"/>
                  <w:sz w:val="15"/>
                  <w:szCs w:val="15"/>
                  <w:color w:val="0000EE"/>
                </w:rPr>
                <w:t>141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1"/>
            <w:shd w:val="clear" w:color="auto" w:fill="CCEEFF"/>
          </w:tcPr>
          <w:p>
            <w:pPr>
              <w:spacing w:after="0"/>
              <w:rPr>
                <w:rFonts w:ascii="Arial" w:cs="Arial" w:eastAsia="Arial" w:hAnsi="Arial"/>
                <w:sz w:val="15"/>
                <w:szCs w:val="15"/>
                <w:color w:val="0000EE"/>
              </w:rPr>
            </w:pPr>
            <w:hyperlink w:anchor="page158">
              <w:r>
                <w:rPr>
                  <w:rFonts w:ascii="Arial" w:cs="Arial" w:eastAsia="Arial" w:hAnsi="Arial"/>
                  <w:sz w:val="15"/>
                  <w:szCs w:val="15"/>
                  <w:color w:val="0000EE"/>
                </w:rPr>
                <w:t>CERTAIN RELATIONSHIPS AND RELATED PARTY TRANSACTIONS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58">
              <w:r>
                <w:rPr>
                  <w:rFonts w:ascii="Arial" w:cs="Arial" w:eastAsia="Arial" w:hAnsi="Arial"/>
                  <w:sz w:val="15"/>
                  <w:szCs w:val="15"/>
                  <w:color w:val="0000EE"/>
                </w:rPr>
                <w:t>152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3"/>
          </w:tcPr>
          <w:p>
            <w:pPr>
              <w:spacing w:after="0"/>
              <w:rPr>
                <w:rFonts w:ascii="Arial" w:cs="Arial" w:eastAsia="Arial" w:hAnsi="Arial"/>
                <w:sz w:val="15"/>
                <w:szCs w:val="15"/>
                <w:color w:val="0000EE"/>
                <w:w w:val="97"/>
              </w:rPr>
            </w:pPr>
            <w:hyperlink w:anchor="page164">
              <w:r>
                <w:rPr>
                  <w:rFonts w:ascii="Arial" w:cs="Arial" w:eastAsia="Arial" w:hAnsi="Arial"/>
                  <w:sz w:val="15"/>
                  <w:szCs w:val="15"/>
                  <w:color w:val="0000EE"/>
                  <w:w w:val="97"/>
                </w:rPr>
                <w:t>PRINCIPAL AND SELLING STOCKHOLDERS</w:t>
              </w:r>
            </w:hyperlink>
          </w:p>
        </w:tc>
        <w:tc>
          <w:tcPr>
            <w:tcW w:w="1560" w:type="dxa"/>
            <w:vAlign w:val="bottom"/>
            <w:gridSpan w:val="6"/>
          </w:tcPr>
          <w:p>
            <w:pPr>
              <w:spacing w:after="0"/>
              <w:rPr>
                <w:sz w:val="16"/>
                <w:szCs w:val="16"/>
                <w:color w:val="auto"/>
              </w:rPr>
            </w:pPr>
          </w:p>
        </w:tc>
        <w:tc>
          <w:tcPr>
            <w:tcW w:w="1020" w:type="dxa"/>
            <w:vAlign w:val="bottom"/>
            <w:gridSpan w:val="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64">
              <w:r>
                <w:rPr>
                  <w:rFonts w:ascii="Arial" w:cs="Arial" w:eastAsia="Arial" w:hAnsi="Arial"/>
                  <w:sz w:val="15"/>
                  <w:szCs w:val="15"/>
                  <w:color w:val="0000EE"/>
                </w:rPr>
                <w:t>158</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420" w:type="dxa"/>
            <w:vAlign w:val="bottom"/>
            <w:gridSpan w:val="11"/>
            <w:shd w:val="clear" w:color="auto" w:fill="CCEEFF"/>
          </w:tcPr>
          <w:p>
            <w:pPr>
              <w:spacing w:after="0"/>
              <w:rPr>
                <w:rFonts w:ascii="Arial" w:cs="Arial" w:eastAsia="Arial" w:hAnsi="Arial"/>
                <w:sz w:val="15"/>
                <w:szCs w:val="15"/>
                <w:color w:val="0000EE"/>
                <w:w w:val="95"/>
              </w:rPr>
            </w:pPr>
            <w:hyperlink w:anchor="page166">
              <w:r>
                <w:rPr>
                  <w:rFonts w:ascii="Arial" w:cs="Arial" w:eastAsia="Arial" w:hAnsi="Arial"/>
                  <w:sz w:val="15"/>
                  <w:szCs w:val="15"/>
                  <w:color w:val="0000EE"/>
                  <w:w w:val="95"/>
                </w:rPr>
                <w:t>DESCRIPTION OF CAPITAL STOCK</w:t>
              </w:r>
            </w:hyperlink>
          </w:p>
        </w:tc>
        <w:tc>
          <w:tcPr>
            <w:tcW w:w="620" w:type="dxa"/>
            <w:vAlign w:val="bottom"/>
            <w:gridSpan w:val="2"/>
            <w:shd w:val="clear" w:color="auto" w:fill="CCEEFF"/>
          </w:tcPr>
          <w:p>
            <w:pPr>
              <w:spacing w:after="0"/>
              <w:rPr>
                <w:sz w:val="16"/>
                <w:szCs w:val="16"/>
                <w:color w:val="auto"/>
              </w:rPr>
            </w:pPr>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66">
              <w:r>
                <w:rPr>
                  <w:rFonts w:ascii="Arial" w:cs="Arial" w:eastAsia="Arial" w:hAnsi="Arial"/>
                  <w:sz w:val="15"/>
                  <w:szCs w:val="15"/>
                  <w:color w:val="0000EE"/>
                </w:rPr>
                <w:t>160</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680" w:type="dxa"/>
            <w:vAlign w:val="bottom"/>
            <w:gridSpan w:val="12"/>
          </w:tcPr>
          <w:p>
            <w:pPr>
              <w:spacing w:after="0"/>
              <w:rPr>
                <w:rFonts w:ascii="Arial" w:cs="Arial" w:eastAsia="Arial" w:hAnsi="Arial"/>
                <w:sz w:val="15"/>
                <w:szCs w:val="15"/>
                <w:color w:val="0000EE"/>
                <w:w w:val="96"/>
              </w:rPr>
            </w:pPr>
            <w:hyperlink w:anchor="page175">
              <w:r>
                <w:rPr>
                  <w:rFonts w:ascii="Arial" w:cs="Arial" w:eastAsia="Arial" w:hAnsi="Arial"/>
                  <w:sz w:val="15"/>
                  <w:szCs w:val="15"/>
                  <w:color w:val="0000EE"/>
                  <w:w w:val="96"/>
                </w:rPr>
                <w:t>SHARES ELIGIBLE FOR FUTURE SALE</w:t>
              </w:r>
            </w:hyperlink>
          </w:p>
        </w:tc>
        <w:tc>
          <w:tcPr>
            <w:tcW w:w="2940" w:type="dxa"/>
            <w:vAlign w:val="bottom"/>
            <w:gridSpan w:val="9"/>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75">
              <w:r>
                <w:rPr>
                  <w:rFonts w:ascii="Arial" w:cs="Arial" w:eastAsia="Arial" w:hAnsi="Arial"/>
                  <w:sz w:val="15"/>
                  <w:szCs w:val="15"/>
                  <w:color w:val="0000EE"/>
                </w:rPr>
                <w:t>169</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1"/>
            <w:shd w:val="clear" w:color="auto" w:fill="CCEEFF"/>
          </w:tcPr>
          <w:p>
            <w:pPr>
              <w:spacing w:after="0"/>
              <w:rPr>
                <w:rFonts w:ascii="Arial" w:cs="Arial" w:eastAsia="Arial" w:hAnsi="Arial"/>
                <w:sz w:val="15"/>
                <w:szCs w:val="15"/>
                <w:color w:val="0000EE"/>
              </w:rPr>
            </w:pPr>
            <w:hyperlink w:anchor="page177">
              <w:r>
                <w:rPr>
                  <w:rFonts w:ascii="Arial" w:cs="Arial" w:eastAsia="Arial" w:hAnsi="Arial"/>
                  <w:sz w:val="15"/>
                  <w:szCs w:val="15"/>
                  <w:color w:val="0000EE"/>
                </w:rPr>
                <w:t>MATERIAL U.S. FEDERAL INCOME TAX CONSIDERATIONS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77">
              <w:r>
                <w:rPr>
                  <w:rFonts w:ascii="Arial" w:cs="Arial" w:eastAsia="Arial" w:hAnsi="Arial"/>
                  <w:sz w:val="15"/>
                  <w:szCs w:val="15"/>
                  <w:color w:val="0000EE"/>
                </w:rPr>
                <w:t>171</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3"/>
          </w:tcPr>
          <w:p>
            <w:pPr>
              <w:spacing w:after="0"/>
              <w:rPr>
                <w:rFonts w:ascii="Arial" w:cs="Arial" w:eastAsia="Arial" w:hAnsi="Arial"/>
                <w:sz w:val="15"/>
                <w:szCs w:val="15"/>
                <w:color w:val="0000EE"/>
                <w:w w:val="97"/>
              </w:rPr>
            </w:pPr>
            <w:hyperlink w:anchor="page181">
              <w:r>
                <w:rPr>
                  <w:rFonts w:ascii="Arial" w:cs="Arial" w:eastAsia="Arial" w:hAnsi="Arial"/>
                  <w:sz w:val="15"/>
                  <w:szCs w:val="15"/>
                  <w:color w:val="0000EE"/>
                  <w:w w:val="97"/>
                </w:rPr>
                <w:t>UNDERWRITING (CONFLICT OF INTEREST)</w:t>
              </w:r>
            </w:hyperlink>
          </w:p>
        </w:tc>
        <w:tc>
          <w:tcPr>
            <w:tcW w:w="1060" w:type="dxa"/>
            <w:vAlign w:val="bottom"/>
            <w:gridSpan w:val="3"/>
          </w:tcPr>
          <w:p>
            <w:pPr>
              <w:spacing w:after="0"/>
              <w:rPr>
                <w:sz w:val="16"/>
                <w:szCs w:val="16"/>
                <w:color w:val="auto"/>
              </w:rPr>
            </w:pPr>
          </w:p>
        </w:tc>
        <w:tc>
          <w:tcPr>
            <w:tcW w:w="1520" w:type="dxa"/>
            <w:vAlign w:val="bottom"/>
            <w:gridSpan w:val="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81">
              <w:r>
                <w:rPr>
                  <w:rFonts w:ascii="Arial" w:cs="Arial" w:eastAsia="Arial" w:hAnsi="Arial"/>
                  <w:sz w:val="15"/>
                  <w:szCs w:val="15"/>
                  <w:color w:val="0000EE"/>
                </w:rPr>
                <w:t>175</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040" w:type="dxa"/>
            <w:vAlign w:val="bottom"/>
            <w:gridSpan w:val="13"/>
            <w:shd w:val="clear" w:color="auto" w:fill="CCEEFF"/>
          </w:tcPr>
          <w:p>
            <w:pPr>
              <w:spacing w:after="0"/>
              <w:rPr>
                <w:rFonts w:ascii="Arial" w:cs="Arial" w:eastAsia="Arial" w:hAnsi="Arial"/>
                <w:sz w:val="15"/>
                <w:szCs w:val="15"/>
                <w:color w:val="0000EE"/>
              </w:rPr>
            </w:pPr>
            <w:hyperlink w:anchor="page189">
              <w:r>
                <w:rPr>
                  <w:rFonts w:ascii="Arial" w:cs="Arial" w:eastAsia="Arial" w:hAnsi="Arial"/>
                  <w:sz w:val="15"/>
                  <w:szCs w:val="15"/>
                  <w:color w:val="0000EE"/>
                </w:rPr>
                <w:t>LEGAL MATTERS</w:t>
              </w:r>
            </w:hyperlink>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89">
              <w:r>
                <w:rPr>
                  <w:rFonts w:ascii="Arial" w:cs="Arial" w:eastAsia="Arial" w:hAnsi="Arial"/>
                  <w:sz w:val="15"/>
                  <w:szCs w:val="15"/>
                  <w:color w:val="0000EE"/>
                </w:rPr>
                <w:t>183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91"/>
              </w:rPr>
            </w:pPr>
            <w:hyperlink w:anchor="page189">
              <w:r>
                <w:rPr>
                  <w:rFonts w:ascii="Arial" w:cs="Arial" w:eastAsia="Arial" w:hAnsi="Arial"/>
                  <w:sz w:val="15"/>
                  <w:szCs w:val="15"/>
                  <w:color w:val="0000EE"/>
                  <w:w w:val="91"/>
                </w:rPr>
                <w:t>EXPERTS</w:t>
              </w:r>
            </w:hyperlink>
          </w:p>
        </w:tc>
        <w:tc>
          <w:tcPr>
            <w:tcW w:w="560" w:type="dxa"/>
            <w:vAlign w:val="bottom"/>
            <w:gridSpan w:val="4"/>
          </w:tcPr>
          <w:p>
            <w:pPr>
              <w:spacing w:after="0"/>
              <w:rPr>
                <w:sz w:val="16"/>
                <w:szCs w:val="16"/>
                <w:color w:val="auto"/>
              </w:rPr>
            </w:pPr>
          </w:p>
        </w:tc>
        <w:tc>
          <w:tcPr>
            <w:tcW w:w="4400" w:type="dxa"/>
            <w:vAlign w:val="bottom"/>
            <w:gridSpan w:val="1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89">
              <w:r>
                <w:rPr>
                  <w:rFonts w:ascii="Arial" w:cs="Arial" w:eastAsia="Arial" w:hAnsi="Arial"/>
                  <w:sz w:val="15"/>
                  <w:szCs w:val="15"/>
                  <w:color w:val="0000EE"/>
                </w:rPr>
                <w:t>183</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220" w:type="dxa"/>
            <w:vAlign w:val="bottom"/>
            <w:gridSpan w:val="14"/>
            <w:shd w:val="clear" w:color="auto" w:fill="CCEEFF"/>
          </w:tcPr>
          <w:p>
            <w:pPr>
              <w:spacing w:after="0"/>
              <w:rPr>
                <w:rFonts w:ascii="Arial" w:cs="Arial" w:eastAsia="Arial" w:hAnsi="Arial"/>
                <w:sz w:val="15"/>
                <w:szCs w:val="15"/>
                <w:color w:val="0000EE"/>
                <w:w w:val="98"/>
              </w:rPr>
            </w:pPr>
            <w:hyperlink w:anchor="page189">
              <w:r>
                <w:rPr>
                  <w:rFonts w:ascii="Arial" w:cs="Arial" w:eastAsia="Arial" w:hAnsi="Arial"/>
                  <w:sz w:val="15"/>
                  <w:szCs w:val="15"/>
                  <w:color w:val="0000EE"/>
                  <w:w w:val="98"/>
                </w:rPr>
                <w:t>WHERE YOU CAN FIND MORE INFORMATION</w:t>
              </w:r>
            </w:hyperlink>
          </w:p>
        </w:tc>
        <w:tc>
          <w:tcPr>
            <w:tcW w:w="2400" w:type="dxa"/>
            <w:vAlign w:val="bottom"/>
            <w:gridSpan w:val="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89">
              <w:r>
                <w:rPr>
                  <w:rFonts w:ascii="Arial" w:cs="Arial" w:eastAsia="Arial" w:hAnsi="Arial"/>
                  <w:sz w:val="15"/>
                  <w:szCs w:val="15"/>
                  <w:color w:val="0000EE"/>
                </w:rPr>
                <w:t>183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20" w:type="dxa"/>
            <w:vAlign w:val="bottom"/>
            <w:gridSpan w:val="21"/>
          </w:tcPr>
          <w:p>
            <w:pPr>
              <w:spacing w:after="0"/>
              <w:rPr>
                <w:rFonts w:ascii="Arial" w:cs="Arial" w:eastAsia="Arial" w:hAnsi="Arial"/>
                <w:sz w:val="15"/>
                <w:szCs w:val="15"/>
                <w:color w:val="0000EE"/>
              </w:rPr>
            </w:pPr>
            <w:hyperlink w:anchor="page190">
              <w:r>
                <w:rPr>
                  <w:rFonts w:ascii="Arial" w:cs="Arial" w:eastAsia="Arial" w:hAnsi="Arial"/>
                  <w:sz w:val="15"/>
                  <w:szCs w:val="15"/>
                  <w:color w:val="0000EE"/>
                </w:rPr>
                <w:t>INDEX TO CONSOLIDATED FINANCIAL STATEMENTS</w:t>
              </w:r>
            </w:hyperlink>
          </w:p>
        </w:tc>
        <w:tc>
          <w:tcPr>
            <w:tcW w:w="920" w:type="dxa"/>
            <w:vAlign w:val="bottom"/>
          </w:tcPr>
          <w:p>
            <w:pPr>
              <w:spacing w:after="0"/>
              <w:rPr>
                <w:sz w:val="16"/>
                <w:szCs w:val="16"/>
                <w:color w:val="auto"/>
              </w:rPr>
            </w:pPr>
          </w:p>
        </w:tc>
        <w:tc>
          <w:tcPr>
            <w:tcW w:w="140" w:type="dxa"/>
            <w:vAlign w:val="bottom"/>
          </w:tcPr>
          <w:p>
            <w:pPr>
              <w:jc w:val="right"/>
              <w:spacing w:after="0"/>
              <w:rPr>
                <w:rFonts w:ascii="Arial" w:cs="Arial" w:eastAsia="Arial" w:hAnsi="Arial"/>
                <w:sz w:val="10"/>
                <w:szCs w:val="10"/>
                <w:color w:val="0000EE"/>
                <w:w w:val="79"/>
              </w:rPr>
            </w:pPr>
            <w:hyperlink w:anchor="page190">
              <w:r>
                <w:rPr>
                  <w:rFonts w:ascii="Arial" w:cs="Arial" w:eastAsia="Arial" w:hAnsi="Arial"/>
                  <w:sz w:val="10"/>
                  <w:szCs w:val="10"/>
                  <w:color w:val="0000EE"/>
                  <w:w w:val="79"/>
                </w:rPr>
                <w:t>F-1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r>
    </w:tbl>
    <w:p>
      <w:pPr>
        <w:spacing w:after="0" w:line="13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None of us, the selling stockholder or the underwriters have authorized any other person to provide you with any information or to make any representations other than those contained in this prospectus or in any free writing prospectuses we have prepared. We, the selling stockholder and the underwriters take no responsibility for, and can provide no assurance as to the reliability of, any other information that others may provide you. The selling stockholder is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 TRADE NAMES, AND SERVICE MARKS</w:t>
      </w:r>
    </w:p>
    <w:p>
      <w:pPr>
        <w:spacing w:after="0" w:line="117"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MARKET DATA</w:t>
      </w:r>
    </w:p>
    <w:p>
      <w:pPr>
        <w:spacing w:after="0" w:line="128" w:lineRule="exact"/>
        <w:rPr>
          <w:sz w:val="20"/>
          <w:szCs w:val="20"/>
          <w:color w:val="auto"/>
        </w:rPr>
      </w:pPr>
    </w:p>
    <w:p>
      <w:pPr>
        <w:ind w:left="1160" w:right="1219" w:firstLine="293"/>
        <w:spacing w:after="0" w:line="287" w:lineRule="auto"/>
        <w:rPr>
          <w:sz w:val="20"/>
          <w:szCs w:val="20"/>
          <w:color w:val="auto"/>
        </w:rPr>
      </w:pPr>
      <w:r>
        <w:rPr>
          <w:rFonts w:ascii="Arial" w:cs="Arial" w:eastAsia="Arial" w:hAnsi="Arial"/>
          <w:sz w:val="13"/>
          <w:szCs w:val="13"/>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3"/>
          <w:szCs w:val="13"/>
          <w:i w:val="1"/>
          <w:iCs w:val="1"/>
          <w:color w:val="auto"/>
        </w:rPr>
        <w:t>Risk Factors</w:t>
      </w:r>
      <w:r>
        <w:rPr>
          <w:rFonts w:ascii="Arial" w:cs="Arial" w:eastAsia="Arial" w:hAnsi="Arial"/>
          <w:sz w:val="13"/>
          <w:szCs w:val="13"/>
          <w:color w:val="auto"/>
        </w:rPr>
        <w:t>” in this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Summary—The Reorganization Transactions</w:t>
      </w:r>
      <w:r>
        <w:rPr>
          <w:rFonts w:ascii="Arial" w:cs="Arial" w:eastAsia="Arial" w:hAnsi="Arial"/>
          <w:sz w:val="15"/>
          <w:szCs w:val="15"/>
          <w:color w:val="auto"/>
        </w:rPr>
        <w:t>.”</w:t>
      </w:r>
    </w:p>
    <w:p>
      <w:pPr>
        <w:spacing w:after="0" w:line="94"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10"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color w:val="auto"/>
        </w:rPr>
        <w:t>All consolidated financial statements presented in this prospectus have been prepared in U.S. dollars in accordance with generally accepted accounting principles in the United States of America (“GAAP”).</w:t>
      </w:r>
    </w:p>
    <w:p>
      <w:pPr>
        <w:spacing w:after="0" w:line="70"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(as defined in the “</w:t>
      </w:r>
      <w:r>
        <w:rPr>
          <w:rFonts w:ascii="Arial" w:cs="Arial" w:eastAsia="Arial" w:hAnsi="Arial"/>
          <w:sz w:val="15"/>
          <w:szCs w:val="15"/>
          <w:i w:val="1"/>
          <w:iCs w:val="1"/>
          <w:color w:val="auto"/>
        </w:rPr>
        <w:t>Glossary of Terms</w:t>
      </w:r>
      <w:r>
        <w:rPr>
          <w:rFonts w:ascii="Arial" w:cs="Arial" w:eastAsia="Arial" w:hAnsi="Arial"/>
          <w:sz w:val="15"/>
          <w:szCs w:val="15"/>
          <w:color w:val="auto"/>
        </w:rPr>
        <w:t>”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GLOSSARY OF TERMS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Set forth below is a glossary of certain terms used in this prospectus:</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“Adjusted CASM” means CASM excluding fuel costs, costs related to our cargo operations (starting in 2020 when we launched our cargo operations),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 -term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9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“Aircraft miles” means miles flown by all of our aircraft, measured by summing up the miles for each completed flight segment.</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“Air traffic liability” means the value of tickets sold in advance of travel.</w:t>
      </w:r>
    </w:p>
    <w:p>
      <w:pPr>
        <w:spacing w:after="0" w:line="124"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“ALPA” means the Air Line Pilots Association, the union representing our pilots. “Amazon” means Amazon.com Services, LLC, together with its affiliates.</w:t>
      </w:r>
    </w:p>
    <w:p>
      <w:pPr>
        <w:spacing w:after="0" w:line="94"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“Ancillary revenue” consists primarily of revenue generated from air travel-related services such as baggage fees, seat selection and upgrade fees, itinerary service fees, on-board sales and sales of trip insurance.</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“Ancillary services” refers to the services that generate ancillary revenue.</w:t>
      </w:r>
    </w:p>
    <w:p>
      <w:pPr>
        <w:spacing w:after="0" w:line="124"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“Available seat miles” or “ASMs” means the number of seats available for passengers multiplied by the number of miles the seats are flown.</w:t>
      </w:r>
    </w:p>
    <w:p>
      <w:pPr>
        <w:spacing w:after="0" w:line="8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“Average aircraft” means the average number of aircraft used in flight operations, as calculated on a daily basis.</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“Average daily aircraft utilization” means block hours divided by number of days in the period divided by average aircraft.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“Average stage length” means the average number of statute miles flown per flight segment.</w:t>
      </w:r>
    </w:p>
    <w:p>
      <w:pPr>
        <w:spacing w:after="0" w:line="113" w:lineRule="exact"/>
        <w:rPr>
          <w:sz w:val="20"/>
          <w:szCs w:val="20"/>
          <w:color w:val="auto"/>
        </w:rPr>
      </w:pPr>
    </w:p>
    <w:p>
      <w:pPr>
        <w:ind w:left="1160" w:right="1459" w:firstLine="293"/>
        <w:spacing w:after="0" w:line="300" w:lineRule="auto"/>
        <w:rPr>
          <w:sz w:val="20"/>
          <w:szCs w:val="20"/>
          <w:color w:val="auto"/>
        </w:rPr>
      </w:pPr>
      <w:r>
        <w:rPr>
          <w:rFonts w:ascii="Arial" w:cs="Arial" w:eastAsia="Arial" w:hAnsi="Arial"/>
          <w:sz w:val="14"/>
          <w:szCs w:val="14"/>
          <w:color w:val="auto"/>
        </w:rPr>
        <w:t>“Block hours” means the number of hours during which the aircraft is in revenue service, measured from the time of gate departure before take-off until the time of gate arrival at the destination.</w:t>
      </w:r>
    </w:p>
    <w:p>
      <w:pPr>
        <w:spacing w:after="0" w:line="7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“Cargo service” includes our CMI service operations under the ATSA.</w:t>
      </w:r>
    </w:p>
    <w:p>
      <w:pPr>
        <w:spacing w:after="0" w:line="124"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“CASM” or “unit costs” means operating expenses divided by total ASMs. When CASM is referenced or presented for other airlines, it has been adjusted to our average stage length for the period presented.</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“CBA” means a collective bargaining agreement.</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“CBP” means the United States Customs and Border Protection.</w:t>
      </w:r>
    </w:p>
    <w:p>
      <w:pPr>
        <w:spacing w:after="0" w:line="113"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“Charter service” means flights operated for specific customers who purchase the entire flight from us and specify the origination and destination.</w:t>
      </w:r>
    </w:p>
    <w:p>
      <w:pPr>
        <w:spacing w:after="0" w:line="93" w:lineRule="exact"/>
        <w:rPr>
          <w:sz w:val="20"/>
          <w:szCs w:val="20"/>
          <w:color w:val="auto"/>
        </w:rPr>
      </w:pPr>
    </w:p>
    <w:p>
      <w:pPr>
        <w:ind w:left="1160" w:right="1559" w:firstLine="293"/>
        <w:spacing w:after="0" w:line="254" w:lineRule="auto"/>
        <w:rPr>
          <w:sz w:val="20"/>
          <w:szCs w:val="20"/>
          <w:color w:val="auto"/>
        </w:rPr>
      </w:pPr>
      <w:r>
        <w:rPr>
          <w:rFonts w:ascii="Arial" w:cs="Arial" w:eastAsia="Arial" w:hAnsi="Arial"/>
          <w:sz w:val="15"/>
          <w:szCs w:val="15"/>
          <w:color w:val="auto"/>
        </w:rPr>
        <w:t>“Citizen of the United States” means (A) an individual who is a citizen of the United States; (B) a partnership each of whose partners is an individual who is a citizen of the United States; or (C) a corporation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5" w:lineRule="auto"/>
        <w:rPr>
          <w:sz w:val="20"/>
          <w:szCs w:val="20"/>
          <w:color w:val="auto"/>
        </w:rPr>
      </w:pPr>
      <w:r>
        <w:rPr>
          <w:rFonts w:ascii="Arial" w:cs="Arial" w:eastAsia="Arial" w:hAnsi="Arial"/>
          <w:sz w:val="15"/>
          <w:szCs w:val="15"/>
          <w:color w:val="auto"/>
        </w:rPr>
        <w:t>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89"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“Completion factor” means the percentage of scheduled flights that are completed.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“COVID-19” means the novel coronavirus (SARS-CoV-2), which was first reported in December 2019.</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“DOT” means the United States Department of Transportation.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“EPA” means the United States Environmental Protection Agency.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“FAA” means the United States Federal Aviation Administration.</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“Flight cycle” means a cycle consisting of one take-off and one landing.</w:t>
      </w:r>
    </w:p>
    <w:p>
      <w:pPr>
        <w:spacing w:after="0" w:line="124"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color w:val="auto"/>
        </w:rPr>
        <w:t>“Freighters” include the aircraft operated under the ATSA, which are configured entirely for cargo operations.</w:t>
      </w:r>
    </w:p>
    <w:p>
      <w:pPr>
        <w:spacing w:after="0" w:line="9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“GDS” means a Global Distribution System such as Amadeus, Sabre and Travelport, used by travel agencies and corporations to purchase tickets on participating airlines.</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“IBT” means the International Brotherhood of Teamsters, the union representing our flight attendants.</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“LCC” means low-cost carrier and includes JetBlue Airways and Southwest Airlines.</w:t>
      </w:r>
    </w:p>
    <w:p>
      <w:pPr>
        <w:spacing w:after="0" w:line="12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“Load factor” means the percentage of aircraft seat miles actually occupied on a flight (RPMs divided by ASMs) for scheduled service.</w:t>
      </w:r>
    </w:p>
    <w:p>
      <w:pPr>
        <w:spacing w:after="0" w:line="83"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“NMB” means the National Mediation Board.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“OTAs” means online travel agents.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“Passengers” means the total number of passengers flown on all flight segments.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“PRASM” means scheduled service revenue divided by ASMs for scheduled service.</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“Revenue passenger miles” or “RPMs” means the number of miles flown by passengers.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“RLA” means the United States Railway Labor Act.</w:t>
      </w:r>
    </w:p>
    <w:p>
      <w:pPr>
        <w:spacing w:after="0" w:line="124"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5"/>
          <w:szCs w:val="15"/>
          <w:color w:val="auto"/>
        </w:rPr>
        <w:t>“Scheduled service” means transportation of passengers on flights we operate in and out of airports on a schedule of routes and flight times we provide for general sale.</w:t>
      </w:r>
    </w:p>
    <w:p>
      <w:pPr>
        <w:spacing w:after="0" w:line="82"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“Scheduled service revenue” consists of base fares, unused and expired passenger credits and other expired travel credits for scheduled service.</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color w:val="auto"/>
        </w:rPr>
        <w:t>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9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“TSA” means the United States Transportation Security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“TWU” means the Transport Workers Union, the union representing our dispatchers.</w:t>
      </w:r>
    </w:p>
    <w:p>
      <w:pPr>
        <w:spacing w:after="0" w:line="113"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“ULCC” means ultra low-cost carrier and includes Allegiant Travel Company, Frontier Airlines and Spirit Airlines.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28"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80" w:right="115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13"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01" w:lineRule="exact"/>
        <w:rPr>
          <w:sz w:val="20"/>
          <w:szCs w:val="20"/>
          <w:color w:val="auto"/>
        </w:rPr>
      </w:pPr>
    </w:p>
    <w:p>
      <w:pPr>
        <w:ind w:left="1180" w:right="1199" w:firstLine="293"/>
        <w:spacing w:after="0" w:line="288" w:lineRule="auto"/>
        <w:rPr>
          <w:sz w:val="20"/>
          <w:szCs w:val="20"/>
          <w:color w:val="auto"/>
        </w:rPr>
      </w:pPr>
      <w:r>
        <w:rPr>
          <w:rFonts w:ascii="Arial" w:cs="Arial" w:eastAsia="Arial" w:hAnsi="Arial"/>
          <w:sz w:val="13"/>
          <w:szCs w:val="13"/>
          <w:b w:val="1"/>
          <w:bCs w:val="1"/>
          <w:i w:val="1"/>
          <w:iCs w:val="1"/>
          <w:color w:val="auto"/>
        </w:rPr>
        <w:t xml:space="preserve">Charter. </w:t>
      </w:r>
      <w:r>
        <w:rPr>
          <w:rFonts w:ascii="Arial" w:cs="Arial" w:eastAsia="Arial" w:hAnsi="Arial"/>
          <w:sz w:val="13"/>
          <w:szCs w:val="13"/>
          <w:color w:val="auto"/>
        </w:rPr>
        <w:t>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14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1355" cy="651446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spacing w:after="0" w:line="285" w:lineRule="auto"/>
        <w:rPr>
          <w:sz w:val="20"/>
          <w:szCs w:val="20"/>
          <w:color w:val="auto"/>
        </w:rPr>
      </w:pPr>
      <w:r>
        <w:rPr>
          <w:rFonts w:ascii="Arial" w:cs="Arial" w:eastAsia="Arial" w:hAnsi="Arial"/>
          <w:sz w:val="13"/>
          <w:szCs w:val="13"/>
          <w:color w:val="auto"/>
        </w:rPr>
        <w:t>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w:t>
      </w:r>
    </w:p>
    <w:p>
      <w:pPr>
        <w:spacing w:after="0" w:line="2" w:lineRule="exact"/>
        <w:rPr>
          <w:sz w:val="20"/>
          <w:szCs w:val="20"/>
          <w:color w:val="auto"/>
        </w:rPr>
      </w:pPr>
    </w:p>
    <w:p>
      <w:pPr>
        <w:ind w:left="1180" w:right="1239"/>
        <w:spacing w:after="0" w:line="245" w:lineRule="auto"/>
        <w:rPr>
          <w:sz w:val="20"/>
          <w:szCs w:val="20"/>
          <w:color w:val="auto"/>
        </w:rPr>
      </w:pPr>
      <w:r>
        <w:rPr>
          <w:rFonts w:ascii="Arial" w:cs="Arial" w:eastAsia="Arial" w:hAnsi="Arial"/>
          <w:sz w:val="15"/>
          <w:szCs w:val="15"/>
          <w:color w:val="auto"/>
        </w:rPr>
        <w:t>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and into the first quarter of 2021.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96" w:lineRule="exact"/>
        <w:rPr>
          <w:sz w:val="20"/>
          <w:szCs w:val="20"/>
          <w:color w:val="auto"/>
        </w:rPr>
      </w:pPr>
    </w:p>
    <w:p>
      <w:pPr>
        <w:ind w:left="1480"/>
        <w:spacing w:after="0"/>
        <w:tabs>
          <w:tab w:leader="none" w:pos="196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On December 13, 2019, we signed a six-year contract (with two, two-year extension options,</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 a total term of 10 years), which we refer to as the “ATSA,” with Amazon to provide air cargo services.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737-800 cargo aircraft for Amazon (having been awarded two additional aircraft in October and</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carrier certificate, crew, aircraft line maintenance and insurance, all of which allow us to leverage our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existing operational expertise from our scheduled service and charter businesses. The ATSA has generated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growth opportunities by establishing a long-term partnership with Amazon. Our cargo business also enables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company. For example, we believe that by deploying pilots across each of our business lines, we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increase the efficiency of our operations.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8" w:lineRule="exact"/>
        <w:rPr>
          <w:sz w:val="20"/>
          <w:szCs w:val="20"/>
          <w:color w:val="auto"/>
        </w:rPr>
      </w:pPr>
    </w:p>
    <w:p>
      <w:pPr>
        <w:ind w:left="1620" w:right="1299" w:hanging="148"/>
        <w:spacing w:after="0" w:line="251"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20" w:right="1259" w:hanging="148"/>
        <w:spacing w:after="0" w:line="297"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20" w:right="1199" w:hanging="148"/>
        <w:spacing w:after="0" w:line="254"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78" w:lineRule="exact"/>
        <w:rPr>
          <w:rFonts w:ascii="Arial" w:cs="Arial" w:eastAsia="Arial" w:hAnsi="Arial"/>
          <w:sz w:val="15"/>
          <w:szCs w:val="15"/>
          <w:color w:val="auto"/>
        </w:rPr>
      </w:pPr>
    </w:p>
    <w:p>
      <w:pPr>
        <w:ind w:left="1620" w:right="1379" w:hanging="148"/>
        <w:spacing w:after="0" w:line="264"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20" w:right="1179" w:hanging="148"/>
        <w:spacing w:after="0" w:line="251"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13"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color w:val="auto"/>
        </w:rPr>
        <w:t>On March 19, 2021, we completed our initial public offering (the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will be used for general corporate purposes, including to acquire additional aircraft.</w:t>
      </w:r>
    </w:p>
    <w:p>
      <w:pPr>
        <w:spacing w:after="0" w:line="100" w:lineRule="exact"/>
        <w:rPr>
          <w:sz w:val="20"/>
          <w:szCs w:val="20"/>
          <w:color w:val="auto"/>
        </w:rPr>
      </w:pPr>
    </w:p>
    <w:p>
      <w:pPr>
        <w:ind w:left="1180" w:right="1239" w:firstLine="293"/>
        <w:spacing w:after="0" w:line="249" w:lineRule="auto"/>
        <w:rPr>
          <w:sz w:val="20"/>
          <w:szCs w:val="20"/>
          <w:color w:val="auto"/>
        </w:rPr>
      </w:pPr>
      <w:r>
        <w:rPr>
          <w:rFonts w:ascii="Arial" w:cs="Arial" w:eastAsia="Arial" w:hAnsi="Arial"/>
          <w:sz w:val="14"/>
          <w:szCs w:val="14"/>
          <w:color w:val="auto"/>
        </w:rPr>
        <w:t>Additionally, each of PAR Investment Partners, L.P. (“PAR Capital”) and certain funds or accounts managed by an investment adviser subsidiary of Blackrock, Inc. (such funds and accounts, the “Blackrock Entities”) purchased shares of our common stock from the Apollo Stockholder in private placements that closed on March 19, 2021 concurrently with our initial public offering. The number of shares of common stock purchased by each of PAR Capital and the Blackrock Entities from the Apollo Stockholder was based on an aggregate purchase price of $50.0 million and a price per share equal to 94% of the initial public offering price. Based on the initial public offering price of $24.00 per share of common stock, PAR Capital purchased 2,216,312 shares of common stock from the Apollo Stockholder at a price per share of $22.56 and the Blackrock Entities purchased an aggregate of 2,216,308 shares of common stock from the Apollo Stockholder at a price per share of $22.56.</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24"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86" w:lineRule="exact"/>
        <w:rPr>
          <w:sz w:val="20"/>
          <w:szCs w:val="20"/>
          <w:color w:val="auto"/>
        </w:rPr>
      </w:pPr>
    </w:p>
    <w:p>
      <w:pPr>
        <w:ind w:left="1180" w:right="1199" w:firstLine="293"/>
        <w:spacing w:after="0" w:line="266" w:lineRule="auto"/>
        <w:rPr>
          <w:sz w:val="20"/>
          <w:szCs w:val="20"/>
          <w:color w:val="auto"/>
        </w:rPr>
      </w:pPr>
      <w:r>
        <w:rPr>
          <w:rFonts w:ascii="Arial" w:cs="Arial" w:eastAsia="Arial" w:hAnsi="Arial"/>
          <w:sz w:val="14"/>
          <w:szCs w:val="14"/>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47" w:lineRule="auto"/>
        <w:rPr>
          <w:sz w:val="20"/>
          <w:szCs w:val="20"/>
          <w:color w:val="auto"/>
        </w:rPr>
      </w:pPr>
      <w:r>
        <w:rPr>
          <w:rFonts w:ascii="Arial" w:cs="Arial" w:eastAsia="Arial" w:hAnsi="Arial"/>
          <w:sz w:val="15"/>
          <w:szCs w:val="15"/>
          <w:color w:val="auto"/>
        </w:rPr>
        <w:t>Program”) under the Coronavirus Aid, Relief, and Economic Security Act (the “CARES Act”) and the American Rescue Plan Act of 2021 (“Payroll Support Program 3”), and accepted a loan from Treasury through the CARES Act Loan Program (the “CARES Act Loan”), which has now been repaid in full, without issuing any warrants, unlike nearly all other carriers with whom we compete that received government assistance. We have also maintained our pre-COVID-19 corporate credit ratings throughout the downturn. With the expectation that COVID-19 vaccines continue to become more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50" w:lineRule="exact"/>
        <w:rPr>
          <w:sz w:val="20"/>
          <w:szCs w:val="20"/>
          <w:color w:val="auto"/>
        </w:rPr>
      </w:pPr>
    </w:p>
    <w:p>
      <w:pPr>
        <w:ind w:left="1180" w:right="125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Competitive Strengths</w:t>
      </w:r>
    </w:p>
    <w:p>
      <w:pPr>
        <w:spacing w:after="0" w:line="84"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38" w:lineRule="exact"/>
        <w:rPr>
          <w:sz w:val="20"/>
          <w:szCs w:val="20"/>
          <w:color w:val="auto"/>
        </w:rPr>
      </w:pPr>
    </w:p>
    <w:p>
      <w:pPr>
        <w:ind w:left="1180" w:right="1199" w:firstLine="293"/>
        <w:spacing w:after="0" w:line="267" w:lineRule="auto"/>
        <w:rPr>
          <w:sz w:val="20"/>
          <w:szCs w:val="20"/>
          <w:color w:val="auto"/>
        </w:rPr>
      </w:pPr>
      <w:r>
        <w:rPr>
          <w:rFonts w:ascii="Arial" w:cs="Arial" w:eastAsia="Arial" w:hAnsi="Arial"/>
          <w:sz w:val="14"/>
          <w:szCs w:val="14"/>
          <w:b w:val="1"/>
          <w:bCs w:val="1"/>
          <w:i w:val="1"/>
          <w:iCs w:val="1"/>
          <w:color w:val="auto"/>
        </w:rPr>
        <w:t xml:space="preserve">Diversified and Resilient Business Model. </w:t>
      </w:r>
      <w:r>
        <w:rPr>
          <w:rFonts w:ascii="Arial" w:cs="Arial" w:eastAsia="Arial" w:hAnsi="Arial"/>
          <w:sz w:val="14"/>
          <w:szCs w:val="14"/>
          <w:color w:val="auto"/>
        </w:rPr>
        <w:t>Our diversified business model, which includes significant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and into 2021 as flying ramped up and demand remained strong, driven by underlying secular growth in e-commerce.</w:t>
      </w:r>
    </w:p>
    <w:p>
      <w:pPr>
        <w:spacing w:after="0" w:line="50"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Agile Peak Demand Scheduling Strategy. </w:t>
      </w:r>
      <w:r>
        <w:rPr>
          <w:rFonts w:ascii="Arial" w:cs="Arial" w:eastAsia="Arial" w:hAnsi="Arial"/>
          <w:sz w:val="14"/>
          <w:szCs w:val="14"/>
          <w:color w:val="auto"/>
        </w:rPr>
        <w:t>We flex our capacity by day of the week, month of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line of business to capture what 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80" w:right="115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94" w:lineRule="exact"/>
        <w:rPr>
          <w:sz w:val="20"/>
          <w:szCs w:val="20"/>
          <w:color w:val="auto"/>
        </w:rPr>
      </w:pPr>
    </w:p>
    <w:p>
      <w:pPr>
        <w:ind w:left="118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89" w:lineRule="exact"/>
        <w:rPr>
          <w:sz w:val="20"/>
          <w:szCs w:val="20"/>
          <w:color w:val="auto"/>
        </w:rPr>
      </w:pPr>
    </w:p>
    <w:p>
      <w:pPr>
        <w:jc w:val="both"/>
        <w:ind w:left="1180" w:right="1179" w:firstLine="293"/>
        <w:spacing w:after="0" w:line="311"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84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91355" cy="658431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159" w:hanging="148"/>
        <w:spacing w:after="0" w:line="247"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75" w:lineRule="exact"/>
        <w:rPr>
          <w:rFonts w:ascii="Arial" w:cs="Arial" w:eastAsia="Arial" w:hAnsi="Arial"/>
          <w:sz w:val="15"/>
          <w:szCs w:val="15"/>
          <w:color w:val="auto"/>
        </w:rPr>
      </w:pPr>
    </w:p>
    <w:p>
      <w:pPr>
        <w:ind w:left="1620" w:right="1159" w:hanging="148"/>
        <w:spacing w:after="0" w:line="264"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71% of our Minneapolis originating passengers have checked in either online or at a kiosk. System wide over 66%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80" w:right="1199" w:firstLine="293"/>
        <w:spacing w:after="0" w:line="289" w:lineRule="auto"/>
        <w:rPr>
          <w:sz w:val="20"/>
          <w:szCs w:val="20"/>
          <w:color w:val="auto"/>
        </w:rPr>
      </w:pPr>
      <w:r>
        <w:rPr>
          <w:rFonts w:ascii="Arial" w:cs="Arial" w:eastAsia="Arial" w:hAnsi="Arial"/>
          <w:sz w:val="13"/>
          <w:szCs w:val="13"/>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spacing w:after="0" w:line="239" w:lineRule="auto"/>
        <w:rPr>
          <w:sz w:val="20"/>
          <w:szCs w:val="20"/>
          <w:color w:val="auto"/>
        </w:rPr>
      </w:pPr>
      <w:r>
        <w:rPr>
          <w:rFonts w:ascii="Arial" w:cs="Arial" w:eastAsia="Arial" w:hAnsi="Arial"/>
          <w:sz w:val="15"/>
          <w:szCs w:val="15"/>
          <w:color w:val="auto"/>
        </w:rPr>
        <w:t>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89"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4"/>
          <w:szCs w:val="14"/>
          <w:b w:val="1"/>
          <w:bCs w:val="1"/>
          <w:i w:val="1"/>
          <w:iCs w:val="1"/>
          <w:color w:val="auto"/>
        </w:rPr>
        <w:t xml:space="preserve">Competitive Low Cost Structure. </w:t>
      </w:r>
      <w:r>
        <w:rPr>
          <w:rFonts w:ascii="Arial" w:cs="Arial" w:eastAsia="Arial" w:hAnsi="Arial"/>
          <w:sz w:val="14"/>
          <w:szCs w:val="14"/>
          <w:color w:val="auto"/>
        </w:rPr>
        <w:t>Our CASM declined from 10.09 cents for the year ended December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three months ended March 31, 2021 of 7.46 cents and 6.15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94" w:lineRule="exact"/>
        <w:rPr>
          <w:sz w:val="20"/>
          <w:szCs w:val="20"/>
          <w:color w:val="auto"/>
        </w:rPr>
      </w:pPr>
    </w:p>
    <w:p>
      <w:pPr>
        <w:ind w:left="1180" w:right="1179" w:firstLine="293"/>
        <w:spacing w:after="0" w:line="247"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 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 -liked.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05" w:lineRule="exact"/>
        <w:rPr>
          <w:sz w:val="20"/>
          <w:szCs w:val="20"/>
          <w:color w:val="auto"/>
        </w:rPr>
      </w:pPr>
    </w:p>
    <w:p>
      <w:pPr>
        <w:ind w:left="1180" w:right="119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16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Growth Strategy</w:t>
      </w:r>
    </w:p>
    <w:p>
      <w:pPr>
        <w:spacing w:after="0" w:line="117" w:lineRule="exact"/>
        <w:rPr>
          <w:sz w:val="20"/>
          <w:szCs w:val="20"/>
          <w:color w:val="auto"/>
        </w:rPr>
      </w:pPr>
    </w:p>
    <w:p>
      <w:pPr>
        <w:jc w:val="both"/>
        <w:ind w:left="1180" w:right="155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20" w:right="1559" w:hanging="148"/>
        <w:spacing w:after="0" w:line="25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Network. </w:t>
      </w:r>
      <w:r>
        <w:rPr>
          <w:rFonts w:ascii="Arial" w:cs="Arial" w:eastAsia="Arial" w:hAnsi="Arial"/>
          <w:sz w:val="15"/>
          <w:szCs w:val="15"/>
          <w:color w:val="auto"/>
        </w:rPr>
        <w:t>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Our network strategy is expected to support passenger fleet growth to approximately 50 aircraft by the end of 2023.</w:t>
      </w:r>
    </w:p>
    <w:p>
      <w:pPr>
        <w:spacing w:after="0" w:line="67" w:lineRule="exact"/>
        <w:rPr>
          <w:rFonts w:ascii="Arial" w:cs="Arial" w:eastAsia="Arial" w:hAnsi="Arial"/>
          <w:sz w:val="15"/>
          <w:szCs w:val="15"/>
          <w:color w:val="auto"/>
        </w:rPr>
      </w:pPr>
    </w:p>
    <w:p>
      <w:pPr>
        <w:ind w:left="1620" w:right="1339" w:hanging="148"/>
        <w:spacing w:after="0" w:line="251"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Fleet. </w:t>
      </w:r>
      <w:r>
        <w:rPr>
          <w:rFonts w:ascii="Arial" w:cs="Arial" w:eastAsia="Arial" w:hAnsi="Arial"/>
          <w:sz w:val="15"/>
          <w:szCs w:val="15"/>
          <w:color w:val="auto"/>
        </w:rPr>
        <w:t>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23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Customer. </w:t>
      </w:r>
      <w:r>
        <w:rPr>
          <w:rFonts w:ascii="Arial" w:cs="Arial" w:eastAsia="Arial" w:hAnsi="Arial"/>
          <w:sz w:val="15"/>
          <w:szCs w:val="15"/>
          <w:color w:val="auto"/>
        </w:rPr>
        <w:t>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20" w:right="121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Culture. </w:t>
      </w:r>
      <w:r>
        <w:rPr>
          <w:rFonts w:ascii="Arial" w:cs="Arial" w:eastAsia="Arial" w:hAnsi="Arial"/>
          <w:sz w:val="15"/>
          <w:szCs w:val="15"/>
          <w:color w:val="auto"/>
        </w:rPr>
        <w:t>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49" w:lineRule="exact"/>
        <w:rPr>
          <w:rFonts w:ascii="Arial" w:cs="Arial" w:eastAsia="Arial" w:hAnsi="Arial"/>
          <w:sz w:val="15"/>
          <w:szCs w:val="15"/>
          <w:color w:val="auto"/>
        </w:rPr>
      </w:pPr>
    </w:p>
    <w:p>
      <w:pPr>
        <w:ind w:left="1620" w:right="179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Operations. </w:t>
      </w:r>
      <w:r>
        <w:rPr>
          <w:rFonts w:ascii="Arial" w:cs="Arial" w:eastAsia="Arial" w:hAnsi="Arial"/>
          <w:sz w:val="15"/>
          <w:szCs w:val="15"/>
          <w:color w:val="auto"/>
        </w:rPr>
        <w:t>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93" w:lineRule="exact"/>
        <w:rPr>
          <w:sz w:val="20"/>
          <w:szCs w:val="20"/>
          <w:color w:val="auto"/>
        </w:rPr>
      </w:pPr>
    </w:p>
    <w:p>
      <w:pPr>
        <w:ind w:left="1180" w:right="1619" w:firstLine="293"/>
        <w:spacing w:after="0" w:line="248"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94" w:lineRule="exact"/>
        <w:rPr>
          <w:sz w:val="20"/>
          <w:szCs w:val="20"/>
          <w:color w:val="auto"/>
        </w:rPr>
      </w:pPr>
    </w:p>
    <w:p>
      <w:pPr>
        <w:ind w:left="118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 -19 levels. In previous economic downturns, leisure and VFR travelers have also been the first to return to flying at normalized levels.</w:t>
      </w:r>
    </w:p>
    <w:p>
      <w:pPr>
        <w:spacing w:after="0" w:line="81" w:lineRule="exact"/>
        <w:rPr>
          <w:sz w:val="20"/>
          <w:szCs w:val="20"/>
          <w:color w:val="auto"/>
        </w:rPr>
      </w:pPr>
    </w:p>
    <w:p>
      <w:pPr>
        <w:ind w:left="1180" w:right="1219" w:firstLine="293"/>
        <w:spacing w:after="0" w:line="255"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0"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 -of -the-week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 -term reduction in our unit costs has expanded the number of markets that we can profitably serve. We have a successful history of opening and closing stations quickly to meet seasonal demand, which we believe will benefit us in re-opening markets we closed during the COVID -19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01"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 friendly low fares have been well received in the upper Midwest and in large, fragmented markets elsewhere that we can profitably serve on a seasonal and/or day-of -week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85" w:lineRule="exact"/>
        <w:rPr>
          <w:sz w:val="20"/>
          <w:szCs w:val="20"/>
          <w:color w:val="auto"/>
        </w:rPr>
      </w:pPr>
    </w:p>
    <w:p>
      <w:pPr>
        <w:ind w:left="1180" w:right="1199" w:firstLine="293"/>
        <w:spacing w:after="0" w:line="274" w:lineRule="auto"/>
        <w:rPr>
          <w:sz w:val="20"/>
          <w:szCs w:val="20"/>
          <w:color w:val="auto"/>
        </w:rPr>
      </w:pPr>
      <w:r>
        <w:rPr>
          <w:rFonts w:ascii="Arial" w:cs="Arial" w:eastAsia="Arial" w:hAnsi="Arial"/>
          <w:sz w:val="13"/>
          <w:szCs w:val="13"/>
          <w:b w:val="1"/>
          <w:bCs w:val="1"/>
          <w:i w:val="1"/>
          <w:iCs w:val="1"/>
          <w:color w:val="auto"/>
        </w:rPr>
        <w:t xml:space="preserve">Continue to Increase Our Margins and Free Cash Flow. </w:t>
      </w:r>
      <w:r>
        <w:rPr>
          <w:rFonts w:ascii="Arial" w:cs="Arial" w:eastAsia="Arial" w:hAnsi="Arial"/>
          <w:sz w:val="13"/>
          <w:szCs w:val="13"/>
          <w:color w:val="auto"/>
        </w:rPr>
        <w:t>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ind w:left="1180" w:right="1179"/>
        <w:spacing w:after="0" w:line="255" w:lineRule="auto"/>
        <w:rPr>
          <w:sz w:val="20"/>
          <w:szCs w:val="20"/>
          <w:color w:val="auto"/>
        </w:rPr>
      </w:pPr>
      <w:r>
        <w:rPr>
          <w:rFonts w:ascii="Arial" w:cs="Arial" w:eastAsia="Arial" w:hAnsi="Arial"/>
          <w:sz w:val="14"/>
          <w:szCs w:val="14"/>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92" w:lineRule="auto"/>
        <w:rPr>
          <w:sz w:val="20"/>
          <w:szCs w:val="20"/>
          <w:color w:val="auto"/>
        </w:rPr>
      </w:pPr>
      <w:r>
        <w:rPr>
          <w:rFonts w:ascii="Arial" w:cs="Arial" w:eastAsia="Arial" w:hAnsi="Arial"/>
          <w:sz w:val="13"/>
          <w:szCs w:val="13"/>
          <w:color w:val="auto"/>
        </w:rPr>
        <w:t>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Route Network</w:t>
      </w:r>
    </w:p>
    <w:p>
      <w:pPr>
        <w:spacing w:after="0" w:line="117"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5"/>
          <w:szCs w:val="15"/>
          <w:color w:val="auto"/>
        </w:rPr>
        <w:t>During the twelve months ended March 31, 2021, we served 53 airports throughout the United States, Mexico, Central America and the Caribbean. During 2020 and into 2021, we continue to focus on serving markets out of MSP, particularly core leisure markets (MCO, RSW, PHX, LAS, LAX), and we have announced 15 new markets from MSP that will start throughout 2021.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Risk Factor Summary</w:t>
      </w:r>
    </w:p>
    <w:p>
      <w:pPr>
        <w:spacing w:after="0" w:line="117"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5"/>
          <w:szCs w:val="15"/>
          <w:color w:val="auto"/>
        </w:rPr>
        <w:t>Participating in this offering involves substantial risk. Our ability to execute our strategy also is subject to certain risks. The risks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83" w:lineRule="exact"/>
        <w:rPr>
          <w:sz w:val="20"/>
          <w:szCs w:val="20"/>
          <w:color w:val="auto"/>
        </w:rPr>
      </w:pPr>
    </w:p>
    <w:p>
      <w:pPr>
        <w:ind w:left="1620" w:right="1619" w:hanging="148"/>
        <w:spacing w:after="0" w:line="26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59" w:lineRule="exact"/>
        <w:rPr>
          <w:rFonts w:ascii="Arial" w:cs="Arial" w:eastAsia="Arial" w:hAnsi="Arial"/>
          <w:sz w:val="15"/>
          <w:szCs w:val="15"/>
          <w:color w:val="auto"/>
        </w:rPr>
      </w:pPr>
    </w:p>
    <w:p>
      <w:pPr>
        <w:ind w:left="1620" w:right="1239" w:hanging="148"/>
        <w:spacing w:after="0" w:line="281" w:lineRule="auto"/>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49" w:lineRule="exact"/>
        <w:rPr>
          <w:rFonts w:ascii="Arial" w:cs="Arial" w:eastAsia="Arial" w:hAnsi="Arial"/>
          <w:sz w:val="14"/>
          <w:szCs w:val="14"/>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economic conditions;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price and availability of aircraft fuel and our ability to control other costs;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threatened or actual terrorist attacks or security concerns;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ability to operate in an exceedingly competitive industry;</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459" w:hanging="148"/>
        <w:spacing w:after="0" w:line="300"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factors beyond our control, including air traffic congestion, adverse weather, federal government shutdowns, aircraft-type groundings, increased security measures or disease outbreaks;</w:t>
      </w:r>
    </w:p>
    <w:p>
      <w:pPr>
        <w:spacing w:after="0" w:line="25" w:lineRule="exact"/>
        <w:rPr>
          <w:rFonts w:ascii="Arial" w:cs="Arial" w:eastAsia="Arial" w:hAnsi="Arial"/>
          <w:sz w:val="14"/>
          <w:szCs w:val="14"/>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ability to realize the anticipated strategic and financial benefits of the ATSA with Amazon;</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restrictions on or increased taxes applicable to charges for ancillary products and services; or</w:t>
      </w:r>
    </w:p>
    <w:p>
      <w:pPr>
        <w:spacing w:after="0" w:line="102" w:lineRule="exact"/>
        <w:rPr>
          <w:rFonts w:ascii="Arial" w:cs="Arial" w:eastAsia="Arial" w:hAnsi="Arial"/>
          <w:sz w:val="14"/>
          <w:szCs w:val="14"/>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concentration in the Minneapolis-St. Paul market.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Sponsor</w:t>
      </w:r>
    </w:p>
    <w:p>
      <w:pPr>
        <w:spacing w:after="0" w:line="117" w:lineRule="exact"/>
        <w:rPr>
          <w:sz w:val="20"/>
          <w:szCs w:val="20"/>
          <w:color w:val="auto"/>
        </w:rPr>
      </w:pPr>
    </w:p>
    <w:p>
      <w:pPr>
        <w:ind w:left="1180" w:right="1259" w:firstLine="293"/>
        <w:spacing w:after="0" w:line="258" w:lineRule="auto"/>
        <w:rPr>
          <w:sz w:val="20"/>
          <w:szCs w:val="20"/>
          <w:color w:val="auto"/>
        </w:rPr>
      </w:pPr>
      <w:r>
        <w:rPr>
          <w:rFonts w:ascii="Arial" w:cs="Arial" w:eastAsia="Arial" w:hAnsi="Arial"/>
          <w:sz w:val="14"/>
          <w:szCs w:val="14"/>
          <w:color w:val="auto"/>
        </w:rPr>
        <w:t>Founded in 1990, Apollo is a leading global alternative investment manager with offices in New York, Los Angeles, San Diego, Houston, Bethesda, London, Frankfurt, Madrid, Luxembourg, Mumbai, Delhi, Singapore, Hong Kong, Shanghai and Tokyo, among others. Apollo had assets under management of approximately $461 billion as of March 31, 2021 in credit, private equity and real assets funds.</w:t>
      </w:r>
    </w:p>
    <w:p>
      <w:pPr>
        <w:spacing w:after="0" w:line="88" w:lineRule="exact"/>
        <w:rPr>
          <w:sz w:val="20"/>
          <w:szCs w:val="20"/>
          <w:color w:val="auto"/>
        </w:rPr>
      </w:pPr>
    </w:p>
    <w:p>
      <w:pPr>
        <w:ind w:left="1180" w:right="1199" w:firstLine="293"/>
        <w:spacing w:after="0" w:line="235" w:lineRule="auto"/>
        <w:rPr>
          <w:sz w:val="20"/>
          <w:szCs w:val="20"/>
          <w:color w:val="auto"/>
        </w:rPr>
      </w:pPr>
      <w:r>
        <w:rPr>
          <w:rFonts w:ascii="Arial" w:cs="Arial" w:eastAsia="Arial" w:hAnsi="Arial"/>
          <w:sz w:val="15"/>
          <w:szCs w:val="15"/>
          <w:color w:val="auto"/>
        </w:rPr>
        <w:t>Upon the closing of this offering, we will continue to be a “controlled company” within the meaning of the Nasdaq corporate governance standards because more than 50% of the voting power of our outstanding common stock will be owned by the Apollo Stockholder. For further information on the implications of this distinction, see “</w:t>
      </w:r>
      <w:r>
        <w:rPr>
          <w:rFonts w:ascii="Arial" w:cs="Arial" w:eastAsia="Arial" w:hAnsi="Arial"/>
          <w:sz w:val="15"/>
          <w:szCs w:val="15"/>
          <w:i w:val="1"/>
          <w:iCs w:val="1"/>
          <w:color w:val="auto"/>
        </w:rPr>
        <w:t>Risk Factors—Risks Related to this Offering and Ownership of Our Common Stock</w:t>
      </w:r>
      <w:r>
        <w:rPr>
          <w:rFonts w:ascii="Arial" w:cs="Arial" w:eastAsia="Arial" w:hAnsi="Arial"/>
          <w:sz w:val="15"/>
          <w:szCs w:val="15"/>
          <w:color w:val="auto"/>
        </w:rPr>
        <w:t>” and “</w:t>
      </w:r>
      <w:r>
        <w:rPr>
          <w:rFonts w:ascii="Arial" w:cs="Arial" w:eastAsia="Arial" w:hAnsi="Arial"/>
          <w:sz w:val="15"/>
          <w:szCs w:val="15"/>
          <w:i w:val="1"/>
          <w:iCs w:val="1"/>
          <w:color w:val="auto"/>
        </w:rPr>
        <w:t>Management—Controlled Company</w:t>
      </w:r>
      <w:r>
        <w:rPr>
          <w:rFonts w:ascii="Arial" w:cs="Arial" w:eastAsia="Arial" w:hAnsi="Arial"/>
          <w:sz w:val="15"/>
          <w:szCs w:val="15"/>
          <w:color w:val="auto"/>
        </w:rPr>
        <w:t>.”</w:t>
      </w:r>
    </w:p>
    <w:p>
      <w:pPr>
        <w:spacing w:after="0" w:line="100" w:lineRule="exact"/>
        <w:rPr>
          <w:sz w:val="20"/>
          <w:szCs w:val="20"/>
          <w:color w:val="auto"/>
        </w:rPr>
      </w:pPr>
    </w:p>
    <w:p>
      <w:pPr>
        <w:ind w:left="1180" w:right="1219" w:firstLine="293"/>
        <w:spacing w:after="0" w:line="250"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 “</w:t>
      </w:r>
      <w:r>
        <w:rPr>
          <w:rFonts w:ascii="Arial" w:cs="Arial" w:eastAsia="Arial" w:hAnsi="Arial"/>
          <w:sz w:val="14"/>
          <w:szCs w:val="14"/>
          <w:i w:val="1"/>
          <w:iCs w:val="1"/>
          <w:color w:val="auto"/>
        </w:rPr>
        <w:t>Certain</w:t>
      </w:r>
      <w:r>
        <w:rPr>
          <w:rFonts w:ascii="Arial" w:cs="Arial" w:eastAsia="Arial" w:hAnsi="Arial"/>
          <w:sz w:val="14"/>
          <w:szCs w:val="14"/>
          <w:color w:val="auto"/>
        </w:rPr>
        <w:t xml:space="preserve"> </w:t>
      </w:r>
      <w:r>
        <w:rPr>
          <w:rFonts w:ascii="Arial" w:cs="Arial" w:eastAsia="Arial" w:hAnsi="Arial"/>
          <w:sz w:val="14"/>
          <w:szCs w:val="14"/>
          <w:i w:val="1"/>
          <w:iCs w:val="1"/>
          <w:color w:val="auto"/>
        </w:rPr>
        <w:t>Relationships and Related Party Transactions—Stockholders Agreement</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 —Composition of Board of Directors; Election and Removal of Directors</w:t>
      </w:r>
      <w:r>
        <w:rPr>
          <w:rFonts w:ascii="Arial" w:cs="Arial" w:eastAsia="Arial" w:hAnsi="Arial"/>
          <w:sz w:val="14"/>
          <w:szCs w:val="14"/>
          <w:color w:val="auto"/>
        </w:rPr>
        <w:t>” for more information.</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17" w:lineRule="exact"/>
        <w:rPr>
          <w:sz w:val="20"/>
          <w:szCs w:val="20"/>
          <w:color w:val="auto"/>
        </w:rPr>
      </w:pPr>
    </w:p>
    <w:p>
      <w:pPr>
        <w:ind w:left="1180" w:right="1299" w:firstLine="293"/>
        <w:spacing w:after="0" w:line="236" w:lineRule="auto"/>
        <w:rPr>
          <w:sz w:val="20"/>
          <w:szCs w:val="20"/>
          <w:color w:val="auto"/>
        </w:rPr>
      </w:pPr>
      <w:r>
        <w:rPr>
          <w:rFonts w:ascii="Arial" w:cs="Arial" w:eastAsia="Arial" w:hAnsi="Arial"/>
          <w:sz w:val="15"/>
          <w:szCs w:val="15"/>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69" w:lineRule="exact"/>
        <w:rPr>
          <w:sz w:val="20"/>
          <w:szCs w:val="20"/>
          <w:color w:val="auto"/>
        </w:rPr>
      </w:pPr>
    </w:p>
    <w:p>
      <w:pPr>
        <w:ind w:left="1620" w:right="149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the auditor attestation requirement in the assessment on the effectiveness of our internal control over financial reporting;</w:t>
      </w:r>
    </w:p>
    <w:p>
      <w:pPr>
        <w:spacing w:after="0" w:line="59" w:lineRule="exact"/>
        <w:rPr>
          <w:rFonts w:ascii="Arial" w:cs="Arial" w:eastAsia="Arial" w:hAnsi="Arial"/>
          <w:sz w:val="15"/>
          <w:szCs w:val="15"/>
          <w:color w:val="auto"/>
        </w:rPr>
      </w:pPr>
    </w:p>
    <w:p>
      <w:pPr>
        <w:ind w:left="1620" w:right="129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new or revised financial accounting standards applicable to public companies until such standards are also applicable to private companies;</w:t>
      </w:r>
    </w:p>
    <w:p>
      <w:pPr>
        <w:spacing w:after="0" w:line="49" w:lineRule="exact"/>
        <w:rPr>
          <w:rFonts w:ascii="Arial" w:cs="Arial" w:eastAsia="Arial" w:hAnsi="Arial"/>
          <w:sz w:val="15"/>
          <w:szCs w:val="15"/>
          <w:color w:val="auto"/>
        </w:rPr>
      </w:pPr>
    </w:p>
    <w:p>
      <w:pPr>
        <w:ind w:left="1620" w:right="1219" w:hanging="148"/>
        <w:spacing w:after="0" w:line="251"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69" w:lineRule="exact"/>
        <w:rPr>
          <w:rFonts w:ascii="Arial" w:cs="Arial" w:eastAsia="Arial" w:hAnsi="Arial"/>
          <w:sz w:val="15"/>
          <w:szCs w:val="15"/>
          <w:color w:val="auto"/>
        </w:rPr>
      </w:pPr>
    </w:p>
    <w:p>
      <w:pPr>
        <w:ind w:left="1620" w:right="133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disclosure about executive compensation arrangements.</w:t>
      </w:r>
    </w:p>
    <w:p>
      <w:pPr>
        <w:spacing w:after="0" w:line="113"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color w:val="auto"/>
        </w:rPr>
        <w:t>We may take advantage of these provisions until the end of the fiscal year ending December 31, 2026 or such earlier time that we are no longer an “emerging growth company.” We will cease to be an “emerging growth company” if we have $1.07 billion or more in total annual gross revenues during our most recently completed fiscal year, if we become a “large accelerated filer” with the market value of our common stock held by non-affiliates exceeding $700 million or more as of the last business day of the second quarter of such fiscal year, or as of any date on which we have issued more than $1.0 billion in non-convertible debt over the three-year period to such date.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firstLine="293"/>
        <w:spacing w:after="0" w:line="271" w:lineRule="auto"/>
        <w:rPr>
          <w:sz w:val="20"/>
          <w:szCs w:val="20"/>
          <w:color w:val="auto"/>
        </w:rPr>
      </w:pPr>
      <w:r>
        <w:rPr>
          <w:rFonts w:ascii="Arial" w:cs="Arial" w:eastAsia="Arial" w:hAnsi="Arial"/>
          <w:sz w:val="13"/>
          <w:szCs w:val="13"/>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Reorganization Transactions</w:t>
      </w:r>
    </w:p>
    <w:p>
      <w:pPr>
        <w:spacing w:after="0" w:line="117" w:lineRule="exact"/>
        <w:rPr>
          <w:sz w:val="20"/>
          <w:szCs w:val="20"/>
          <w:color w:val="auto"/>
        </w:rPr>
      </w:pPr>
    </w:p>
    <w:p>
      <w:pPr>
        <w:ind w:left="1180" w:right="1219" w:firstLine="293"/>
        <w:spacing w:after="0" w:line="252" w:lineRule="auto"/>
        <w:rPr>
          <w:sz w:val="20"/>
          <w:szCs w:val="20"/>
          <w:color w:val="auto"/>
        </w:rPr>
      </w:pPr>
      <w:r>
        <w:rPr>
          <w:rFonts w:ascii="Arial" w:cs="Arial" w:eastAsia="Arial" w:hAnsi="Arial"/>
          <w:sz w:val="14"/>
          <w:szCs w:val="14"/>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91" w:lineRule="exact"/>
        <w:rPr>
          <w:sz w:val="20"/>
          <w:szCs w:val="20"/>
          <w:color w:val="auto"/>
        </w:rPr>
      </w:pPr>
    </w:p>
    <w:p>
      <w:pPr>
        <w:ind w:left="1180" w:right="1219" w:firstLine="293"/>
        <w:spacing w:after="0" w:line="234"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01" w:lineRule="exact"/>
        <w:rPr>
          <w:sz w:val="20"/>
          <w:szCs w:val="20"/>
          <w:color w:val="auto"/>
        </w:rPr>
      </w:pPr>
    </w:p>
    <w:p>
      <w:pPr>
        <w:ind w:left="1180" w:right="1159" w:firstLine="293"/>
        <w:spacing w:after="0" w:line="249"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85" w:lineRule="exact"/>
        <w:rPr>
          <w:sz w:val="20"/>
          <w:szCs w:val="20"/>
          <w:color w:val="auto"/>
        </w:rPr>
      </w:pPr>
    </w:p>
    <w:p>
      <w:pPr>
        <w:jc w:val="both"/>
        <w:ind w:left="1180" w:right="1179" w:firstLine="293"/>
        <w:spacing w:after="0" w:line="239"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0" w:lineRule="exact"/>
        <w:rPr>
          <w:sz w:val="20"/>
          <w:szCs w:val="20"/>
          <w:color w:val="auto"/>
        </w:rPr>
      </w:pPr>
    </w:p>
    <w:p>
      <w:pPr>
        <w:jc w:val="both"/>
        <w:ind w:left="1180" w:right="1699" w:firstLine="293"/>
        <w:spacing w:after="0" w:line="239" w:lineRule="auto"/>
        <w:rPr>
          <w:sz w:val="20"/>
          <w:szCs w:val="20"/>
          <w:color w:val="auto"/>
        </w:rPr>
      </w:pPr>
      <w:r>
        <w:rPr>
          <w:rFonts w:ascii="Arial" w:cs="Arial" w:eastAsia="Arial" w:hAnsi="Arial"/>
          <w:sz w:val="15"/>
          <w:szCs w:val="15"/>
          <w:color w:val="auto"/>
        </w:rPr>
        <w:t>In this prospectus, we refer to the transactions described in this section as the “Reorganization Transactions.” The Reorganization Transactions are intended to simplify our capital structure and to facilitate our initial public offering.</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Information</w:t>
      </w:r>
    </w:p>
    <w:p>
      <w:pPr>
        <w:spacing w:after="0" w:line="128" w:lineRule="exact"/>
        <w:rPr>
          <w:sz w:val="20"/>
          <w:szCs w:val="20"/>
          <w:color w:val="auto"/>
        </w:rPr>
      </w:pPr>
    </w:p>
    <w:p>
      <w:pPr>
        <w:ind w:left="1180" w:right="1259" w:firstLine="293"/>
        <w:spacing w:after="0" w:line="274" w:lineRule="auto"/>
        <w:rPr>
          <w:sz w:val="20"/>
          <w:szCs w:val="20"/>
          <w:color w:val="auto"/>
        </w:rPr>
      </w:pPr>
      <w:r>
        <w:rPr>
          <w:rFonts w:ascii="Arial" w:cs="Arial" w:eastAsia="Arial" w:hAnsi="Arial"/>
          <w:sz w:val="13"/>
          <w:szCs w:val="13"/>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681 -3900.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42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91355" cy="654240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Offering</w:t>
      </w:r>
    </w:p>
    <w:p>
      <w:pPr>
        <w:spacing w:after="0" w:line="128"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Stock—Limited Ownership and Voting by</w:t>
      </w:r>
      <w:r>
        <w:rPr>
          <w:rFonts w:ascii="Arial" w:cs="Arial" w:eastAsia="Arial" w:hAnsi="Arial"/>
          <w:sz w:val="15"/>
          <w:szCs w:val="15"/>
          <w:color w:val="auto"/>
        </w:rPr>
        <w:t xml:space="preserve"> </w:t>
      </w:r>
      <w:r>
        <w:rPr>
          <w:rFonts w:ascii="Arial" w:cs="Arial" w:eastAsia="Arial" w:hAnsi="Arial"/>
          <w:sz w:val="15"/>
          <w:szCs w:val="15"/>
          <w:i w:val="1"/>
          <w:iCs w:val="1"/>
          <w:color w:val="auto"/>
        </w:rPr>
        <w:t>Foreign Owners</w:t>
      </w:r>
      <w:r>
        <w:rPr>
          <w:rFonts w:ascii="Arial" w:cs="Arial" w:eastAsia="Arial" w:hAnsi="Arial"/>
          <w:sz w:val="15"/>
          <w:szCs w:val="15"/>
          <w:color w:val="auto"/>
        </w:rPr>
        <w:t>.”</w:t>
      </w:r>
    </w:p>
    <w:p>
      <w:pPr>
        <w:sectPr>
          <w:pgSz w:w="11900" w:h="16838" w:orient="portrait"/>
          <w:cols w:equalWidth="0" w:num="1">
            <w:col w:w="9019"/>
          </w:cols>
          <w:pgMar w:left="1440" w:top="134" w:right="1440" w:bottom="1440" w:gutter="0" w:footer="0" w:header="0"/>
        </w:sectPr>
      </w:pPr>
    </w:p>
    <w:p>
      <w:pPr>
        <w:spacing w:after="0" w:line="6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Company</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us</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the</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selling stockholder</w:t>
      </w:r>
    </w:p>
    <w:p>
      <w:pPr>
        <w:spacing w:after="0" w:line="200" w:lineRule="exact"/>
        <w:rPr>
          <w:sz w:val="20"/>
          <w:szCs w:val="20"/>
          <w:color w:val="auto"/>
        </w:rPr>
      </w:pPr>
    </w:p>
    <w:p>
      <w:pPr>
        <w:spacing w:after="0" w:line="232" w:lineRule="exact"/>
        <w:rPr>
          <w:sz w:val="20"/>
          <w:szCs w:val="20"/>
          <w:color w:val="auto"/>
        </w:rPr>
      </w:pPr>
    </w:p>
    <w:p>
      <w:pPr>
        <w:ind w:left="1320" w:hanging="145"/>
        <w:spacing w:after="0" w:line="264" w:lineRule="auto"/>
        <w:rPr>
          <w:sz w:val="20"/>
          <w:szCs w:val="20"/>
          <w:color w:val="auto"/>
        </w:rPr>
      </w:pPr>
      <w:r>
        <w:rPr>
          <w:rFonts w:ascii="Arial" w:cs="Arial" w:eastAsia="Arial" w:hAnsi="Arial"/>
          <w:sz w:val="15"/>
          <w:szCs w:val="15"/>
          <w:color w:val="auto"/>
        </w:rPr>
        <w:t>Common stock outstanding after this offering</w:t>
      </w:r>
    </w:p>
    <w:p>
      <w:pPr>
        <w:spacing w:after="0" w:line="6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Option to purchase additional</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7" w:lineRule="exact"/>
        <w:rPr>
          <w:sz w:val="20"/>
          <w:szCs w:val="20"/>
          <w:color w:val="auto"/>
        </w:rPr>
      </w:pPr>
    </w:p>
    <w:p>
      <w:pPr>
        <w:ind w:right="1239"/>
        <w:spacing w:after="0" w:line="254" w:lineRule="auto"/>
        <w:rPr>
          <w:sz w:val="20"/>
          <w:szCs w:val="20"/>
          <w:color w:val="auto"/>
        </w:rPr>
      </w:pPr>
      <w:r>
        <w:rPr>
          <w:rFonts w:ascii="Arial" w:cs="Arial" w:eastAsia="Arial" w:hAnsi="Arial"/>
          <w:sz w:val="15"/>
          <w:szCs w:val="15"/>
          <w:color w:val="auto"/>
        </w:rPr>
        <w:t>7,250,000 shares (or 8,337,500 shares if the underwriters exercise their option to purchase additional shares in full as described below).</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57,153,467</w:t>
      </w:r>
    </w:p>
    <w:p>
      <w:pPr>
        <w:spacing w:after="0" w:line="267" w:lineRule="exact"/>
        <w:rPr>
          <w:sz w:val="20"/>
          <w:szCs w:val="20"/>
          <w:color w:val="auto"/>
        </w:rPr>
      </w:pPr>
    </w:p>
    <w:p>
      <w:pPr>
        <w:ind w:right="1279"/>
        <w:spacing w:after="0" w:line="302" w:lineRule="auto"/>
        <w:rPr>
          <w:sz w:val="20"/>
          <w:szCs w:val="20"/>
          <w:color w:val="auto"/>
        </w:rPr>
      </w:pPr>
      <w:r>
        <w:rPr>
          <w:rFonts w:ascii="Arial" w:cs="Arial" w:eastAsia="Arial" w:hAnsi="Arial"/>
          <w:sz w:val="13"/>
          <w:szCs w:val="13"/>
          <w:color w:val="auto"/>
        </w:rPr>
        <w:t>The selling stockholder has granted the underwriters an option to purchase up to an additional 1,087,500 shares. The underwriters may exercise this option at any time within 30 days from the date of this prospectus. See “</w:t>
      </w:r>
      <w:r>
        <w:rPr>
          <w:rFonts w:ascii="Arial" w:cs="Arial" w:eastAsia="Arial" w:hAnsi="Arial"/>
          <w:sz w:val="13"/>
          <w:szCs w:val="13"/>
          <w:i w:val="1"/>
          <w:iCs w:val="1"/>
          <w:color w:val="auto"/>
        </w:rPr>
        <w:t>Underwriting (Conflict of Interest)</w:t>
      </w:r>
      <w:r>
        <w:rPr>
          <w:rFonts w:ascii="Arial" w:cs="Arial" w:eastAsia="Arial" w:hAnsi="Arial"/>
          <w:sz w:val="13"/>
          <w:szCs w:val="13"/>
          <w:color w:val="auto"/>
        </w:rPr>
        <w:t>.”</w:t>
      </w:r>
    </w:p>
    <w:p>
      <w:pPr>
        <w:spacing w:after="0" w:line="39" w:lineRule="exact"/>
        <w:rPr>
          <w:sz w:val="20"/>
          <w:szCs w:val="20"/>
          <w:color w:val="auto"/>
        </w:rPr>
      </w:pPr>
    </w:p>
    <w:p>
      <w:pPr>
        <w:sectPr>
          <w:pgSz w:w="11900" w:h="16838" w:orient="portrait"/>
          <w:cols w:equalWidth="0" w:num="2">
            <w:col w:w="3180" w:space="540"/>
            <w:col w:w="529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Use of proceeds</w:t>
            </w:r>
          </w:p>
        </w:tc>
        <w:tc>
          <w:tcPr>
            <w:tcW w:w="4980" w:type="dxa"/>
            <w:vAlign w:val="bottom"/>
          </w:tcPr>
          <w:p>
            <w:pPr>
              <w:ind w:left="640"/>
              <w:spacing w:after="0"/>
              <w:rPr>
                <w:sz w:val="20"/>
                <w:szCs w:val="20"/>
                <w:color w:val="auto"/>
              </w:rPr>
            </w:pPr>
            <w:r>
              <w:rPr>
                <w:rFonts w:ascii="Arial" w:cs="Arial" w:eastAsia="Arial" w:hAnsi="Arial"/>
                <w:sz w:val="15"/>
                <w:szCs w:val="15"/>
                <w:color w:val="auto"/>
              </w:rPr>
              <w:t>The selling stockholder will receive all of the proceeds from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sale of shares of our common stock in this offering. We will not</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7"/>
              </w:rPr>
              <w:t>receive any proceeds from the sale of shares of our common stock</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in this offering. The selling stockholder will bear any underwriting</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discounts and commissions attributable to their sale of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common stock and we will bear the remaining fees, costs and</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expenses of this offering, which we estimate to be approximately</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$0.5 million.</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Controlled company</w:t>
            </w:r>
          </w:p>
        </w:tc>
        <w:tc>
          <w:tcPr>
            <w:tcW w:w="4980" w:type="dxa"/>
            <w:vAlign w:val="bottom"/>
          </w:tcPr>
          <w:p>
            <w:pPr>
              <w:ind w:left="640"/>
              <w:spacing w:after="0"/>
              <w:rPr>
                <w:sz w:val="20"/>
                <w:szCs w:val="20"/>
                <w:color w:val="auto"/>
              </w:rPr>
            </w:pPr>
            <w:r>
              <w:rPr>
                <w:rFonts w:ascii="Arial" w:cs="Arial" w:eastAsia="Arial" w:hAnsi="Arial"/>
                <w:sz w:val="15"/>
                <w:szCs w:val="15"/>
                <w:color w:val="auto"/>
              </w:rPr>
              <w:t>Upon completion of this offering, the Apollo Stockholder will</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continue to beneficially own more than 50% of the voting power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of our outstanding common stock. As a result, we will continue to</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9"/>
              </w:rPr>
              <w:t>avail ourselves of the “controlled company” exemptions under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Nasdaq rules, including exemptions from certain of the corporate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governance listing requirements. See “</w:t>
            </w:r>
            <w:r>
              <w:rPr>
                <w:rFonts w:ascii="Arial" w:cs="Arial" w:eastAsia="Arial" w:hAnsi="Arial"/>
                <w:sz w:val="15"/>
                <w:szCs w:val="15"/>
                <w:i w:val="1"/>
                <w:iCs w:val="1"/>
                <w:color w:val="auto"/>
              </w:rPr>
              <w:t>Management—Controlled</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i w:val="1"/>
                <w:iCs w:val="1"/>
                <w:color w:val="auto"/>
              </w:rPr>
              <w:t>Company</w:t>
            </w:r>
            <w:r>
              <w:rPr>
                <w:rFonts w:ascii="Arial" w:cs="Arial" w:eastAsia="Arial" w:hAnsi="Arial"/>
                <w:sz w:val="15"/>
                <w:szCs w:val="15"/>
                <w:color w:val="auto"/>
              </w:rPr>
              <w:t>.”</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Dividend policy</w:t>
            </w:r>
          </w:p>
        </w:tc>
        <w:tc>
          <w:tcPr>
            <w:tcW w:w="4980" w:type="dxa"/>
            <w:vAlign w:val="bottom"/>
          </w:tcPr>
          <w:p>
            <w:pPr>
              <w:ind w:left="640"/>
              <w:spacing w:after="0"/>
              <w:rPr>
                <w:sz w:val="20"/>
                <w:szCs w:val="20"/>
                <w:color w:val="auto"/>
              </w:rPr>
            </w:pPr>
            <w:r>
              <w:rPr>
                <w:rFonts w:ascii="Arial" w:cs="Arial" w:eastAsia="Arial" w:hAnsi="Arial"/>
                <w:sz w:val="15"/>
                <w:szCs w:val="15"/>
                <w:color w:val="auto"/>
                <w:w w:val="96"/>
              </w:rPr>
              <w:t>We have not to date paid any cash dividends on our common stock</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and we currently do not intend to pay cash dividends on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9"/>
              </w:rPr>
              <w:t>common stock in the foreseeable future. However, we may, in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future, decide to pay dividends on our common stock.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declaration and payment of cash dividends in the future, if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will be at the discretion of our board of directors and will depend</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upon such factors as earnings levels, cash flows, capital</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requirements, levels of indebtedness, restrictions imposed by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applicable law, our overall financial condition, restrictions in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debt agreements, and any other factors deemed relevant by our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board of directors.</w:t>
            </w:r>
          </w:p>
        </w:tc>
        <w:tc>
          <w:tcPr>
            <w:tcW w:w="800" w:type="dxa"/>
            <w:vAlign w:val="bottom"/>
          </w:tcPr>
          <w:p>
            <w:pPr>
              <w:spacing w:after="0"/>
              <w:rPr>
                <w:sz w:val="16"/>
                <w:szCs w:val="16"/>
                <w:color w:val="auto"/>
              </w:rPr>
            </w:pPr>
          </w:p>
        </w:tc>
      </w:tr>
      <w:tr>
        <w:trPr>
          <w:trHeight w:val="286"/>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As a holding company, our ability to pay dividends also depends</w:t>
            </w:r>
          </w:p>
        </w:tc>
        <w:tc>
          <w:tcPr>
            <w:tcW w:w="80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on our receipt of cash dividends from our operating subsidiaries.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Our ability to pay dividends will therefore be restricted as a result</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of restrictions on their ability to pay dividends to us under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7"/>
              </w:rPr>
              <w:t>CARES Act and the Credit Agreement and may be restricted under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future indebtedness that we or they may incur.</w:t>
            </w:r>
          </w:p>
        </w:tc>
        <w:tc>
          <w:tcPr>
            <w:tcW w:w="800" w:type="dxa"/>
            <w:vAlign w:val="bottom"/>
          </w:tcPr>
          <w:p>
            <w:pPr>
              <w:spacing w:after="0"/>
              <w:rPr>
                <w:sz w:val="16"/>
                <w:szCs w:val="16"/>
                <w:color w:val="auto"/>
              </w:rPr>
            </w:pPr>
          </w:p>
        </w:tc>
      </w:tr>
      <w:tr>
        <w:trPr>
          <w:trHeight w:val="286"/>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tc>
        <w:tc>
          <w:tcPr>
            <w:tcW w:w="800" w:type="dxa"/>
            <w:vAlign w:val="bottom"/>
          </w:tcPr>
          <w:p>
            <w:pPr>
              <w:spacing w:after="0"/>
              <w:rPr>
                <w:sz w:val="24"/>
                <w:szCs w:val="24"/>
                <w:color w:val="auto"/>
              </w:rPr>
            </w:pPr>
          </w:p>
        </w:tc>
      </w:tr>
      <w:tr>
        <w:trPr>
          <w:trHeight w:val="248"/>
        </w:trPr>
        <w:tc>
          <w:tcPr>
            <w:tcW w:w="84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8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980" w:type="dxa"/>
            <w:vAlign w:val="bottom"/>
          </w:tcPr>
          <w:p>
            <w:pPr>
              <w:ind w:left="1320"/>
              <w:spacing w:after="0"/>
              <w:rPr>
                <w:sz w:val="20"/>
                <w:szCs w:val="20"/>
                <w:color w:val="auto"/>
              </w:rPr>
            </w:pPr>
            <w:r>
              <w:rPr>
                <w:rFonts w:ascii="Arial" w:cs="Arial" w:eastAsia="Arial" w:hAnsi="Arial"/>
                <w:sz w:val="15"/>
                <w:szCs w:val="15"/>
                <w:color w:val="auto"/>
              </w:rPr>
              <w:t>12</w:t>
            </w:r>
          </w:p>
        </w:tc>
        <w:tc>
          <w:tcPr>
            <w:tcW w:w="800" w:type="dxa"/>
            <w:vAlign w:val="bottom"/>
          </w:tcPr>
          <w:p>
            <w:pPr>
              <w:spacing w:after="0"/>
              <w:rPr>
                <w:sz w:val="21"/>
                <w:szCs w:val="2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9" w:name="page20"/>
    <w:bookmarkEnd w:id="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91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659130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spacing w:after="0"/>
              <w:rPr>
                <w:sz w:val="20"/>
                <w:szCs w:val="20"/>
                <w:color w:val="auto"/>
              </w:rPr>
            </w:pPr>
            <w:r>
              <w:rPr>
                <w:rFonts w:ascii="Arial" w:cs="Arial" w:eastAsia="Arial" w:hAnsi="Arial"/>
                <w:sz w:val="15"/>
                <w:szCs w:val="15"/>
                <w:color w:val="auto"/>
              </w:rPr>
              <w:t>Listing</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4"/>
              </w:rPr>
              <w:t>Our common stock is listed on Nasdaq under the symbol “SNCY.”</w:t>
            </w:r>
          </w:p>
        </w:tc>
      </w:tr>
      <w:tr>
        <w:trPr>
          <w:trHeight w:val="253"/>
        </w:trPr>
        <w:tc>
          <w:tcPr>
            <w:tcW w:w="1860" w:type="dxa"/>
            <w:vAlign w:val="bottom"/>
          </w:tcPr>
          <w:p>
            <w:pPr>
              <w:spacing w:after="0"/>
              <w:rPr>
                <w:sz w:val="20"/>
                <w:szCs w:val="20"/>
                <w:color w:val="auto"/>
              </w:rPr>
            </w:pPr>
            <w:r>
              <w:rPr>
                <w:rFonts w:ascii="Arial" w:cs="Arial" w:eastAsia="Arial" w:hAnsi="Arial"/>
                <w:sz w:val="15"/>
                <w:szCs w:val="15"/>
                <w:color w:val="auto"/>
              </w:rPr>
              <w:t>Risk factors</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You should read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w:t>
            </w:r>
          </w:p>
        </w:tc>
      </w:tr>
      <w:tr>
        <w:trPr>
          <w:trHeight w:val="153"/>
        </w:trPr>
        <w:tc>
          <w:tcPr>
            <w:tcW w:w="1860" w:type="dxa"/>
            <w:vAlign w:val="bottom"/>
          </w:tcPr>
          <w:p>
            <w:pPr>
              <w:spacing w:after="0"/>
              <w:rPr>
                <w:sz w:val="13"/>
                <w:szCs w:val="13"/>
                <w:color w:val="auto"/>
              </w:rPr>
            </w:pPr>
          </w:p>
        </w:tc>
        <w:tc>
          <w:tcPr>
            <w:tcW w:w="4800" w:type="dxa"/>
            <w:vAlign w:val="bottom"/>
            <w:gridSpan w:val="3"/>
          </w:tcPr>
          <w:p>
            <w:pPr>
              <w:ind w:left="680"/>
              <w:spacing w:after="0" w:line="154" w:lineRule="exact"/>
              <w:rPr>
                <w:rFonts w:ascii="Arial" w:cs="Arial" w:eastAsia="Arial" w:hAnsi="Arial"/>
                <w:sz w:val="15"/>
                <w:szCs w:val="15"/>
                <w:color w:val="auto"/>
                <w:w w:val="91"/>
              </w:rPr>
            </w:pPr>
            <w:r>
              <w:rPr>
                <w:rFonts w:ascii="Arial" w:cs="Arial" w:eastAsia="Arial" w:hAnsi="Arial"/>
                <w:sz w:val="15"/>
                <w:szCs w:val="15"/>
                <w:color w:val="auto"/>
                <w:w w:val="91"/>
              </w:rPr>
              <w:t xml:space="preserve">page </w:t>
            </w:r>
            <w:hyperlink w:anchor="page28">
              <w:r>
                <w:rPr>
                  <w:rFonts w:ascii="Arial" w:cs="Arial" w:eastAsia="Arial" w:hAnsi="Arial"/>
                  <w:sz w:val="15"/>
                  <w:szCs w:val="15"/>
                  <w:color w:val="0000EE"/>
                  <w:w w:val="91"/>
                </w:rPr>
                <w:t>22</w:t>
              </w:r>
              <w:r>
                <w:rPr>
                  <w:rFonts w:ascii="Arial" w:cs="Arial" w:eastAsia="Arial" w:hAnsi="Arial"/>
                  <w:sz w:val="15"/>
                  <w:szCs w:val="15"/>
                  <w:color w:val="auto"/>
                  <w:w w:val="91"/>
                </w:rPr>
                <w:t xml:space="preserve"> </w:t>
              </w:r>
            </w:hyperlink>
            <w:r>
              <w:rPr>
                <w:rFonts w:ascii="Arial" w:cs="Arial" w:eastAsia="Arial" w:hAnsi="Arial"/>
                <w:sz w:val="15"/>
                <w:szCs w:val="15"/>
                <w:color w:val="auto"/>
                <w:w w:val="91"/>
              </w:rPr>
              <w:t>of this prospectus for a discussion of some of the risks and</w:t>
            </w:r>
          </w:p>
        </w:tc>
      </w:tr>
      <w:tr>
        <w:trPr>
          <w:trHeight w:val="20"/>
        </w:trPr>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78"/>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uncertainties you should carefully consider before deciding to</w:t>
            </w:r>
          </w:p>
        </w:tc>
      </w:tr>
      <w:tr>
        <w:trPr>
          <w:trHeight w:val="186"/>
        </w:trPr>
        <w:tc>
          <w:tcPr>
            <w:tcW w:w="1860" w:type="dxa"/>
            <w:vAlign w:val="bottom"/>
          </w:tcPr>
          <w:p>
            <w:pPr>
              <w:spacing w:after="0"/>
              <w:rPr>
                <w:sz w:val="16"/>
                <w:szCs w:val="16"/>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invest in our common stock.</w:t>
            </w:r>
          </w:p>
        </w:tc>
      </w:tr>
      <w:tr>
        <w:trPr>
          <w:trHeight w:val="253"/>
        </w:trPr>
        <w:tc>
          <w:tcPr>
            <w:tcW w:w="1860" w:type="dxa"/>
            <w:vAlign w:val="bottom"/>
          </w:tcPr>
          <w:p>
            <w:pPr>
              <w:spacing w:after="0"/>
              <w:rPr>
                <w:sz w:val="20"/>
                <w:szCs w:val="20"/>
                <w:color w:val="auto"/>
              </w:rPr>
            </w:pPr>
            <w:r>
              <w:rPr>
                <w:rFonts w:ascii="Arial" w:cs="Arial" w:eastAsia="Arial" w:hAnsi="Arial"/>
                <w:sz w:val="15"/>
                <w:szCs w:val="15"/>
                <w:color w:val="auto"/>
              </w:rPr>
              <w:t>Conflict of interest</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Apollo Global Securities, LLC, an affiliate of Apollo, is an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underwriter in this offering and will receive a portion of the</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underwriting discounts and commissions in connection with this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offering. Affiliates of Apollo beneficially own in excess of 10% of</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9"/>
              </w:rPr>
              <w:t>our issued and outstanding common stock. As a result, Apollo</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Global Securities, LLC is deemed to have a “conflict of interest”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9"/>
              </w:rPr>
              <w:t>under FINRA Rule 5121, and this offering will be conducted in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6"/>
              </w:rPr>
              <w:t>compliance with the requirements of Rule 5121. Pursuant to that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rule, the appointment of a “qualified independent underwriter” is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not required in connection with this offering as the members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4"/>
              </w:rPr>
              <w:t>primarily responsible for managing the public offering do not have</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a conflict of interest and meet the requirements of paragraph (f)</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(12)(E) of Rule 5121. Apollo Global Securities, LLC will not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confirm sales of the securities to any account over which it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exercises discretionary authority without the specific written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approval of the account holder. See “</w:t>
            </w:r>
            <w:r>
              <w:rPr>
                <w:rFonts w:ascii="Arial" w:cs="Arial" w:eastAsia="Arial" w:hAnsi="Arial"/>
                <w:sz w:val="15"/>
                <w:szCs w:val="15"/>
                <w:i w:val="1"/>
                <w:iCs w:val="1"/>
                <w:color w:val="auto"/>
              </w:rPr>
              <w:t>Underwriting (Conflict of</w:t>
            </w:r>
          </w:p>
        </w:tc>
      </w:tr>
      <w:tr>
        <w:trPr>
          <w:trHeight w:val="186"/>
        </w:trPr>
        <w:tc>
          <w:tcPr>
            <w:tcW w:w="1860" w:type="dxa"/>
            <w:vAlign w:val="bottom"/>
          </w:tcPr>
          <w:p>
            <w:pPr>
              <w:spacing w:after="0"/>
              <w:rPr>
                <w:sz w:val="16"/>
                <w:szCs w:val="16"/>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i w:val="1"/>
                <w:iCs w:val="1"/>
                <w:color w:val="auto"/>
              </w:rPr>
              <w:t>Interest)</w:t>
            </w:r>
            <w:r>
              <w:rPr>
                <w:rFonts w:ascii="Arial" w:cs="Arial" w:eastAsia="Arial" w:hAnsi="Arial"/>
                <w:sz w:val="15"/>
                <w:szCs w:val="15"/>
                <w:color w:val="auto"/>
              </w:rPr>
              <w:t>.”</w:t>
            </w:r>
          </w:p>
        </w:tc>
      </w:tr>
    </w:tbl>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Except as otherwise indicated, all of the information in this prospectus:</w:t>
      </w:r>
    </w:p>
    <w:p>
      <w:pPr>
        <w:spacing w:after="0" w:line="91" w:lineRule="exact"/>
        <w:rPr>
          <w:sz w:val="20"/>
          <w:szCs w:val="20"/>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is based on 57,153,467 shares of common stock outstanding as of March 31, 2021;</w:t>
      </w:r>
    </w:p>
    <w:p>
      <w:pPr>
        <w:spacing w:after="0" w:line="91" w:lineRule="exact"/>
        <w:rPr>
          <w:rFonts w:ascii="Arial" w:cs="Arial" w:eastAsia="Arial" w:hAnsi="Arial"/>
          <w:sz w:val="15"/>
          <w:szCs w:val="15"/>
          <w:color w:val="auto"/>
        </w:rPr>
      </w:pPr>
    </w:p>
    <w:p>
      <w:pPr>
        <w:ind w:left="1620" w:right="1479" w:hanging="148"/>
        <w:spacing w:after="0" w:line="26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assumes no exercise of the underwriters’ option to purchase up to 1,087,500 additional shares of common stock from the selling stockholder;</w:t>
      </w:r>
    </w:p>
    <w:p>
      <w:pPr>
        <w:spacing w:after="0" w:line="60" w:lineRule="exact"/>
        <w:rPr>
          <w:rFonts w:ascii="Arial" w:cs="Arial" w:eastAsia="Arial" w:hAnsi="Arial"/>
          <w:sz w:val="15"/>
          <w:szCs w:val="15"/>
          <w:color w:val="auto"/>
        </w:rPr>
      </w:pPr>
    </w:p>
    <w:p>
      <w:pPr>
        <w:ind w:left="1620" w:right="1199" w:hanging="148"/>
        <w:spacing w:after="0" w:line="269"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assumes no exercise of the warrants to purchase an aggregate of 9,482,606 shares of common stock issued to Amazon in connection with the ATSA (the “2019 Warrants”), approximately 11.3% of which have vested as of March 31, 2021.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Owners</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20" w:right="1179" w:hanging="148"/>
        <w:spacing w:after="0" w:line="25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does not reflect 3,600,000 shares of common stock reserved for grant under the Sun Country Airlines Holdings, Inc. 2021 Omnibus Incentive Plan (the “Omnibus Incentive Plan”).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Compensation—Equity Compensation Plans—2021 Omnibus Incentive Plan</w:t>
      </w:r>
      <w:r>
        <w:rPr>
          <w:rFonts w:ascii="Arial" w:cs="Arial" w:eastAsia="Arial" w:hAnsi="Arial"/>
          <w:sz w:val="15"/>
          <w:szCs w:val="15"/>
          <w:color w:val="auto"/>
        </w:rPr>
        <w:t>”; and</w:t>
      </w:r>
    </w:p>
    <w:p>
      <w:pPr>
        <w:spacing w:after="0" w:line="67" w:lineRule="exact"/>
        <w:rPr>
          <w:rFonts w:ascii="Arial" w:cs="Arial" w:eastAsia="Arial" w:hAnsi="Arial"/>
          <w:sz w:val="15"/>
          <w:szCs w:val="15"/>
          <w:color w:val="auto"/>
        </w:rPr>
      </w:pPr>
    </w:p>
    <w:p>
      <w:pPr>
        <w:ind w:left="1620" w:right="1319" w:hanging="148"/>
        <w:spacing w:after="0" w:line="251"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does not reflect 5,880,688 shares of common stock that may be issued upon the exercise of stock options outstanding as of March 31, 2021 under the SCA Acquisition Holdings, LLC Equity Incentive Plan (the “SCA Acquisition Equity Plan”). The following table sets forth the outstanding stock options under the SCA Acquisition Equity Plan as of March 31, 2021:</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2"/>
              </w:rPr>
              <w:t>Weighted-</w:t>
            </w:r>
          </w:p>
        </w:tc>
        <w:tc>
          <w:tcPr>
            <w:tcW w:w="0" w:type="dxa"/>
            <w:vAlign w:val="bottom"/>
          </w:tcPr>
          <w:p>
            <w:pPr>
              <w:spacing w:after="0"/>
              <w:rPr>
                <w:sz w:val="1"/>
                <w:szCs w:val="1"/>
                <w:color w:val="auto"/>
              </w:rPr>
            </w:pPr>
          </w:p>
        </w:tc>
      </w:tr>
      <w:tr>
        <w:trPr>
          <w:trHeight w:val="116"/>
        </w:trPr>
        <w:tc>
          <w:tcPr>
            <w:tcW w:w="4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1"/>
              </w:rPr>
              <w:t>Average Exercise</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080" w:type="dxa"/>
            <w:vAlign w:val="bottom"/>
            <w:gridSpan w:val="2"/>
          </w:tcPr>
          <w:p>
            <w:pPr>
              <w:ind w:left="220"/>
              <w:spacing w:after="0" w:line="187"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7"/>
                <w:szCs w:val="17"/>
                <w:b w:val="1"/>
                <w:bCs w:val="1"/>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5"/>
              </w:rPr>
              <w:t>Price Per Share</w:t>
            </w:r>
          </w:p>
        </w:tc>
        <w:tc>
          <w:tcPr>
            <w:tcW w:w="0" w:type="dxa"/>
            <w:vAlign w:val="bottom"/>
          </w:tcPr>
          <w:p>
            <w:pPr>
              <w:spacing w:after="0"/>
              <w:rPr>
                <w:sz w:val="1"/>
                <w:szCs w:val="1"/>
                <w:color w:val="auto"/>
              </w:rPr>
            </w:pPr>
          </w:p>
        </w:tc>
      </w:tr>
      <w:tr>
        <w:trPr>
          <w:trHeight w:val="20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stock options (time-based vesting)</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1,070,385</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$5.86</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5"/>
                <w:szCs w:val="15"/>
                <w:color w:val="auto"/>
              </w:rPr>
              <w:t>Unvested stock options (time-based vesting)</w:t>
            </w:r>
          </w:p>
        </w:tc>
        <w:tc>
          <w:tcPr>
            <w:tcW w:w="900" w:type="dxa"/>
            <w:vAlign w:val="bottom"/>
          </w:tcPr>
          <w:p>
            <w:pPr>
              <w:ind w:left="180"/>
              <w:spacing w:after="0"/>
              <w:rPr>
                <w:sz w:val="20"/>
                <w:szCs w:val="20"/>
                <w:color w:val="auto"/>
              </w:rPr>
            </w:pPr>
            <w:r>
              <w:rPr>
                <w:rFonts w:ascii="Arial" w:cs="Arial" w:eastAsia="Arial" w:hAnsi="Arial"/>
                <w:sz w:val="15"/>
                <w:szCs w:val="15"/>
                <w:color w:val="auto"/>
              </w:rPr>
              <w:t>1,252,871</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$6.79</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Unvested stock options (performance-based vesting)</w:t>
            </w:r>
          </w:p>
        </w:tc>
        <w:tc>
          <w:tcPr>
            <w:tcW w:w="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3,557,432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$6.39</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20" w:hanging="302"/>
        <w:spacing w:after="0"/>
        <w:tabs>
          <w:tab w:leader="none" w:pos="1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4400"/>
        <w:spacing w:after="0"/>
        <w:rPr>
          <w:rFonts w:ascii="Arial" w:cs="Arial" w:eastAsia="Arial" w:hAnsi="Arial"/>
          <w:sz w:val="14"/>
          <w:szCs w:val="14"/>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Consolidated Financial and Operating Information</w:t>
      </w:r>
    </w:p>
    <w:p>
      <w:pPr>
        <w:spacing w:after="0" w:line="128" w:lineRule="exact"/>
        <w:rPr>
          <w:sz w:val="20"/>
          <w:szCs w:val="20"/>
          <w:color w:val="auto"/>
        </w:rPr>
      </w:pPr>
    </w:p>
    <w:p>
      <w:pPr>
        <w:ind w:left="1180" w:right="1279" w:firstLine="293"/>
        <w:spacing w:after="0" w:line="290" w:lineRule="auto"/>
        <w:rPr>
          <w:sz w:val="20"/>
          <w:szCs w:val="20"/>
          <w:color w:val="auto"/>
        </w:rPr>
      </w:pPr>
      <w:r>
        <w:rPr>
          <w:rFonts w:ascii="Arial" w:cs="Arial" w:eastAsia="Arial" w:hAnsi="Arial"/>
          <w:sz w:val="13"/>
          <w:szCs w:val="13"/>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We have derived our summary historical consolidated statement of operations data for the three months ended March 31, 2021 and 2020 from our unaudited condensed consolidated financial statements included elsewhere in this prospectus. We have derived our summary historical consolidated balance sheet data as of March 31, 2021 from our unaudited interim condensed consolidated financial statements included elsewhere in this prospectus.</w:t>
      </w:r>
    </w:p>
    <w:p>
      <w:pPr>
        <w:spacing w:after="0" w:line="82"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80" w:right="1179" w:hanging="1"/>
        <w:spacing w:after="0" w:line="265" w:lineRule="auto"/>
        <w:tabs>
          <w:tab w:leader="none" w:pos="1399"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included elsewhere in this prospectus.</w:t>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28"/>
        </w:trPr>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8"/>
              </w:rPr>
              <w:t>Successor</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77"/>
              </w:rPr>
              <w:t>Predecessor</w:t>
            </w:r>
          </w:p>
        </w:tc>
        <w:tc>
          <w:tcPr>
            <w:tcW w:w="20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right w:val="single" w:sz="8" w:color="auto"/>
            </w:tcBorders>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tcPr>
          <w:p>
            <w:pPr>
              <w:spacing w:after="0"/>
              <w:rPr>
                <w:sz w:val="11"/>
                <w:szCs w:val="11"/>
                <w:color w:val="auto"/>
              </w:rPr>
            </w:pPr>
          </w:p>
        </w:tc>
        <w:tc>
          <w:tcPr>
            <w:tcW w:w="940" w:type="dxa"/>
            <w:vAlign w:val="bottom"/>
            <w:gridSpan w:val="5"/>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300"/>
              <w:spacing w:after="0" w:line="132" w:lineRule="exact"/>
              <w:rPr>
                <w:sz w:val="20"/>
                <w:szCs w:val="20"/>
                <w:color w:val="auto"/>
              </w:rPr>
            </w:pPr>
            <w:r>
              <w:rPr>
                <w:rFonts w:ascii="Arial" w:cs="Arial" w:eastAsia="Arial" w:hAnsi="Arial"/>
                <w:sz w:val="12"/>
                <w:szCs w:val="12"/>
                <w:b w:val="1"/>
                <w:bCs w:val="1"/>
                <w:color w:val="auto"/>
                <w:w w:val="87"/>
              </w:rPr>
              <w:t>January 1,</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20"/>
                <w:szCs w:val="20"/>
                <w:color w:val="auto"/>
              </w:rPr>
            </w:pPr>
            <w:r>
              <w:rPr>
                <w:rFonts w:ascii="Arial" w:cs="Arial" w:eastAsia="Arial" w:hAnsi="Arial"/>
                <w:sz w:val="12"/>
                <w:szCs w:val="12"/>
                <w:b w:val="1"/>
                <w:bCs w:val="1"/>
                <w:color w:val="auto"/>
                <w:w w:val="82"/>
              </w:rPr>
              <w:t>(in thousands, except share and per share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6"/>
              </w:rPr>
              <w:t>March 31,</w:t>
            </w:r>
          </w:p>
        </w:tc>
        <w:tc>
          <w:tcPr>
            <w:tcW w:w="80" w:type="dxa"/>
            <w:vAlign w:val="bottom"/>
          </w:tcPr>
          <w:p>
            <w:pPr>
              <w:spacing w:after="0"/>
              <w:rPr>
                <w:sz w:val="12"/>
                <w:szCs w:val="12"/>
                <w:color w:val="auto"/>
              </w:rPr>
            </w:pPr>
          </w:p>
        </w:tc>
        <w:tc>
          <w:tcPr>
            <w:tcW w:w="7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1"/>
              </w:rPr>
              <w:t>December 31,</w:t>
            </w:r>
          </w:p>
        </w:tc>
        <w:tc>
          <w:tcPr>
            <w:tcW w:w="20" w:type="dxa"/>
            <w:vAlign w:val="bottom"/>
          </w:tcPr>
          <w:p>
            <w:pPr>
              <w:spacing w:after="0"/>
              <w:rPr>
                <w:sz w:val="12"/>
                <w:szCs w:val="12"/>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4"/>
              </w:rPr>
              <w:t>2018 through</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left="2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w w:val="82"/>
              </w:rPr>
              <w:t>2018</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7"/>
              </w:rPr>
              <w:t>April 10, 2018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Consolidated Statement of</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right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Operations Data:</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Passenger</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4"/>
              </w:rPr>
              <w:t>104,195</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178,486</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359,232</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w w:val="99"/>
              </w:rPr>
              <w:t>$335,824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172,897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Cargo</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21,585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36,809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1,844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5,445</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49,107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24,555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300"/>
              <w:spacing w:after="0"/>
              <w:rPr>
                <w:sz w:val="20"/>
                <w:szCs w:val="20"/>
                <w:color w:val="auto"/>
              </w:rPr>
            </w:pPr>
            <w:r>
              <w:rPr>
                <w:rFonts w:ascii="Arial" w:cs="Arial" w:eastAsia="Arial" w:hAnsi="Arial"/>
                <w:sz w:val="15"/>
                <w:szCs w:val="15"/>
                <w:color w:val="auto"/>
              </w:rPr>
              <w:t>Total Operating Revenue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127,611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180,330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401,486</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701,384</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384,931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197,452</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Aircraft Fuel</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24,274</w:t>
            </w: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55,561</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83,392</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w w:val="99"/>
              </w:rPr>
              <w:t>$165,666</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w w:val="99"/>
              </w:rPr>
              <w:t>$119,553</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45,790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9"/>
              </w:rPr>
              <w:t>Salaries, Wages, and Benefits.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44,075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38,091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141,641</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90,263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36,964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ind w:left="140"/>
              <w:spacing w:after="0" w:line="209"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5,599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11,032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30,989</w:t>
            </w: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6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36,831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28,329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27,416</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15,491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9,508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Sales and Marketing.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5,110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8,572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16,570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17,180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10,854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shd w:val="clear" w:color="auto" w:fill="CCEEFF"/>
          </w:tcPr>
          <w:p>
            <w:pPr>
              <w:ind w:left="140"/>
              <w:spacing w:after="0" w:line="147" w:lineRule="exact"/>
              <w:rPr>
                <w:sz w:val="20"/>
                <w:szCs w:val="20"/>
                <w:color w:val="auto"/>
              </w:rPr>
            </w:pPr>
            <w:r>
              <w:rPr>
                <w:rFonts w:ascii="Arial" w:cs="Arial" w:eastAsia="Arial" w:hAnsi="Arial"/>
                <w:sz w:val="15"/>
                <w:szCs w:val="15"/>
                <w:color w:val="auto"/>
              </w:rPr>
              <w:t>Depreciation and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shd w:val="clear" w:color="auto" w:fill="CCEEFF"/>
          </w:tcPr>
          <w:p>
            <w:pPr>
              <w:ind w:left="300"/>
              <w:spacing w:after="0" w:line="227" w:lineRule="exact"/>
              <w:rPr>
                <w:sz w:val="20"/>
                <w:szCs w:val="20"/>
                <w:color w:val="auto"/>
              </w:rPr>
            </w:pPr>
            <w:r>
              <w:rPr>
                <w:rFonts w:ascii="Arial" w:cs="Arial" w:eastAsia="Arial" w:hAnsi="Arial"/>
                <w:sz w:val="15"/>
                <w:szCs w:val="15"/>
                <w:color w:val="auto"/>
              </w:rPr>
              <w:t>Amortization</w:t>
            </w:r>
            <w:r>
              <w:rPr>
                <w:rFonts w:ascii="Arial" w:cs="Arial" w:eastAsia="Arial" w:hAnsi="Arial"/>
                <w:sz w:val="21"/>
                <w:szCs w:val="21"/>
                <w:color w:val="auto"/>
                <w:vertAlign w:val="superscript"/>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12,615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48,086</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14,405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Ground Handling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5,230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9,292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20,596</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23,828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8,619</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Landing Fees and Airport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Rent.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8,785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11,114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31,256</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25,977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10,481</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(26,871)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(64,563)</w:t>
            </w: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6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(6,706)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271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Operating, net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14,651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14,433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48,718</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40,877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Total Operating Expenses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102,678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165,100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384,101</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623,262</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377,699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171,336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24,933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15,230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17,385</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78,122</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7,232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26,116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80"/>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15"/>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2"/>
              </w:rPr>
              <w:t>For the three</w:t>
            </w:r>
          </w:p>
        </w:tc>
        <w:tc>
          <w:tcPr>
            <w:tcW w:w="8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 the three</w:t>
            </w:r>
          </w:p>
        </w:tc>
        <w:tc>
          <w:tcPr>
            <w:tcW w:w="78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8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tcBorders>
              <w:right w:val="single" w:sz="8" w:color="auto"/>
            </w:tcBorders>
            <w:gridSpan w:val="2"/>
          </w:tcPr>
          <w:p>
            <w:pPr>
              <w:spacing w:after="0" w:line="132" w:lineRule="exact"/>
              <w:rPr>
                <w:sz w:val="20"/>
                <w:szCs w:val="20"/>
                <w:color w:val="auto"/>
              </w:rPr>
            </w:pPr>
            <w:r>
              <w:rPr>
                <w:rFonts w:ascii="Arial" w:cs="Arial" w:eastAsia="Arial" w:hAnsi="Arial"/>
                <w:sz w:val="12"/>
                <w:szCs w:val="12"/>
                <w:b w:val="1"/>
                <w:bCs w:val="1"/>
                <w:color w:val="auto"/>
                <w:w w:val="92"/>
              </w:rPr>
              <w:t>April 11, 2018</w:t>
            </w:r>
          </w:p>
        </w:tc>
        <w:tc>
          <w:tcPr>
            <w:tcW w:w="20" w:type="dxa"/>
            <w:vAlign w:val="bottom"/>
          </w:tcPr>
          <w:p>
            <w:pPr>
              <w:spacing w:after="0"/>
              <w:rPr>
                <w:sz w:val="11"/>
                <w:szCs w:val="11"/>
                <w:color w:val="auto"/>
              </w:rPr>
            </w:pP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1"/>
              </w:rPr>
              <w:t>For the period</w:t>
            </w: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73"/>
              </w:rPr>
              <w:t>months ended</w:t>
            </w:r>
          </w:p>
        </w:tc>
        <w:tc>
          <w:tcPr>
            <w:tcW w:w="8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60" w:type="dxa"/>
            <w:vAlign w:val="bottom"/>
          </w:tcPr>
          <w:p>
            <w:pPr>
              <w:spacing w:after="0"/>
              <w:rPr>
                <w:sz w:val="11"/>
                <w:szCs w:val="11"/>
                <w:color w:val="auto"/>
              </w:rPr>
            </w:pPr>
          </w:p>
        </w:tc>
        <w:tc>
          <w:tcPr>
            <w:tcW w:w="7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ind w:right="115"/>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1900" w:type="dxa"/>
            <w:vAlign w:val="bottom"/>
          </w:tcPr>
          <w:p>
            <w:pPr>
              <w:spacing w:after="0" w:line="132" w:lineRule="exact"/>
              <w:rPr>
                <w:sz w:val="20"/>
                <w:szCs w:val="20"/>
                <w:color w:val="auto"/>
              </w:rPr>
            </w:pPr>
            <w:r>
              <w:rPr>
                <w:rFonts w:ascii="Arial" w:cs="Arial" w:eastAsia="Arial" w:hAnsi="Arial"/>
                <w:sz w:val="12"/>
                <w:szCs w:val="12"/>
                <w:b w:val="1"/>
                <w:bCs w:val="1"/>
                <w:color w:val="auto"/>
                <w:w w:val="91"/>
              </w:rPr>
              <w:t>(in thousands, except share and per</w:t>
            </w:r>
          </w:p>
        </w:tc>
        <w:tc>
          <w:tcPr>
            <w:tcW w:w="16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March 31,</w:t>
            </w: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4"/>
              </w:rPr>
              <w:t>December 31,</w:t>
            </w: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7"/>
              </w:rPr>
              <w:t>December 31,</w:t>
            </w:r>
          </w:p>
        </w:tc>
        <w:tc>
          <w:tcPr>
            <w:tcW w:w="760" w:type="dxa"/>
            <w:vAlign w:val="bottom"/>
            <w:tcBorders>
              <w:right w:val="single" w:sz="8" w:color="auto"/>
            </w:tcBorders>
            <w:gridSpan w:val="2"/>
          </w:tcPr>
          <w:p>
            <w:pPr>
              <w:spacing w:after="0" w:line="132" w:lineRule="exact"/>
              <w:rPr>
                <w:sz w:val="20"/>
                <w:szCs w:val="20"/>
                <w:color w:val="auto"/>
              </w:rPr>
            </w:pPr>
            <w:r>
              <w:rPr>
                <w:rFonts w:ascii="Arial" w:cs="Arial" w:eastAsia="Arial" w:hAnsi="Arial"/>
                <w:sz w:val="12"/>
                <w:szCs w:val="12"/>
                <w:b w:val="1"/>
                <w:bCs w:val="1"/>
                <w:color w:val="auto"/>
                <w:w w:val="92"/>
              </w:rPr>
              <w:t>December 31,</w:t>
            </w:r>
          </w:p>
        </w:tc>
        <w:tc>
          <w:tcPr>
            <w:tcW w:w="20" w:type="dxa"/>
            <w:vAlign w:val="bottom"/>
          </w:tcPr>
          <w:p>
            <w:pPr>
              <w:spacing w:after="0"/>
              <w:rPr>
                <w:sz w:val="11"/>
                <w:szCs w:val="11"/>
                <w:color w:val="auto"/>
              </w:rPr>
            </w:pPr>
          </w:p>
        </w:tc>
        <w:tc>
          <w:tcPr>
            <w:tcW w:w="78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1900" w:type="dxa"/>
            <w:vAlign w:val="bottom"/>
          </w:tcPr>
          <w:p>
            <w:pPr>
              <w:spacing w:after="0"/>
              <w:rPr>
                <w:sz w:val="20"/>
                <w:szCs w:val="20"/>
                <w:color w:val="auto"/>
              </w:rPr>
            </w:pPr>
            <w:r>
              <w:rPr>
                <w:rFonts w:ascii="Arial" w:cs="Arial" w:eastAsia="Arial" w:hAnsi="Arial"/>
                <w:sz w:val="12"/>
                <w:szCs w:val="12"/>
                <w:b w:val="1"/>
                <w:bCs w:val="1"/>
                <w:color w:val="auto"/>
              </w:rPr>
              <w:t>share data)</w:t>
            </w:r>
          </w:p>
        </w:tc>
        <w:tc>
          <w:tcPr>
            <w:tcW w:w="160" w:type="dxa"/>
            <w:vAlign w:val="bottom"/>
          </w:tcPr>
          <w:p>
            <w:pPr>
              <w:spacing w:after="0"/>
              <w:rPr>
                <w:sz w:val="13"/>
                <w:szCs w:val="13"/>
                <w:color w:val="auto"/>
              </w:rPr>
            </w:pPr>
          </w:p>
        </w:tc>
        <w:tc>
          <w:tcPr>
            <w:tcW w:w="620" w:type="dxa"/>
            <w:vAlign w:val="bottom"/>
          </w:tcPr>
          <w:p>
            <w:pPr>
              <w:jc w:val="center"/>
              <w:ind w:right="16"/>
              <w:spacing w:after="0"/>
              <w:rPr>
                <w:sz w:val="20"/>
                <w:szCs w:val="20"/>
                <w:color w:val="auto"/>
              </w:rPr>
            </w:pPr>
            <w:r>
              <w:rPr>
                <w:rFonts w:ascii="Arial" w:cs="Arial" w:eastAsia="Arial" w:hAnsi="Arial"/>
                <w:sz w:val="12"/>
                <w:szCs w:val="12"/>
                <w:b w:val="1"/>
                <w:bCs w:val="1"/>
                <w:color w:val="auto"/>
                <w:w w:val="82"/>
              </w:rPr>
              <w:t>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5"/>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16"/>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5"/>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tcPr>
          <w:p>
            <w:pPr>
              <w:jc w:val="center"/>
              <w:ind w:right="75"/>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0"/>
              </w:rPr>
              <w:t>Non-operating Income (Expense):</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937</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258</w:t>
            </w:r>
          </w:p>
        </w:tc>
        <w:tc>
          <w:tcPr>
            <w:tcW w:w="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87"/>
        </w:trPr>
        <w:tc>
          <w:tcPr>
            <w:tcW w:w="1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(7,121)</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(5,616)</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(22,073)</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(17,170)</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(169)</w:t>
            </w:r>
          </w:p>
        </w:tc>
        <w:tc>
          <w:tcPr>
            <w:tcW w:w="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(371)</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(1,729)</w:t>
            </w:r>
          </w:p>
        </w:tc>
        <w:tc>
          <w:tcPr>
            <w:tcW w:w="8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Total Non-operating</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90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(7,111)</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(5,534)</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(22,067)</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(17,962)</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(7,438)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Expense</w:t>
            </w:r>
          </w:p>
        </w:tc>
        <w:tc>
          <w:tcPr>
            <w:tcW w:w="1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20"/>
                <w:szCs w:val="20"/>
                <w:color w:val="auto"/>
              </w:rPr>
            </w:pPr>
            <w:r>
              <w:rPr>
                <w:rFonts w:ascii="Arial" w:cs="Arial" w:eastAsia="Arial" w:hAnsi="Arial"/>
                <w:sz w:val="13"/>
                <w:szCs w:val="13"/>
                <w:color w:val="auto"/>
              </w:rPr>
              <w:t>Income (Loss) before Income</w:t>
            </w: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17,822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9,696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(4,682)</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60,160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25,910</w:t>
            </w:r>
          </w:p>
        </w:tc>
        <w:tc>
          <w:tcPr>
            <w:tcW w:w="0" w:type="dxa"/>
            <w:vAlign w:val="bottom"/>
          </w:tcPr>
          <w:p>
            <w:pPr>
              <w:spacing w:after="0"/>
              <w:rPr>
                <w:sz w:val="1"/>
                <w:szCs w:val="1"/>
                <w:color w:val="auto"/>
              </w:rPr>
            </w:pPr>
          </w:p>
        </w:tc>
      </w:tr>
      <w:tr>
        <w:trPr>
          <w:trHeight w:val="168"/>
        </w:trPr>
        <w:tc>
          <w:tcPr>
            <w:tcW w:w="1900" w:type="dxa"/>
            <w:vAlign w:val="bottom"/>
          </w:tcPr>
          <w:p>
            <w:pPr>
              <w:ind w:left="140"/>
              <w:spacing w:after="0"/>
              <w:rPr>
                <w:sz w:val="20"/>
                <w:szCs w:val="20"/>
                <w:color w:val="auto"/>
              </w:rPr>
            </w:pPr>
            <w:r>
              <w:rPr>
                <w:rFonts w:ascii="Arial" w:cs="Arial" w:eastAsia="Arial" w:hAnsi="Arial"/>
                <w:sz w:val="13"/>
                <w:szCs w:val="13"/>
                <w:color w:val="auto"/>
              </w:rPr>
              <w:t>Tax</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90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5,406</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(778)</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14,088</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(Benefit)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00" w:type="dxa"/>
            <w:vAlign w:val="bottom"/>
          </w:tcPr>
          <w:p>
            <w:pPr>
              <w:spacing w:after="0"/>
              <w:rPr>
                <w:sz w:val="20"/>
                <w:szCs w:val="20"/>
                <w:color w:val="auto"/>
              </w:rPr>
            </w:pPr>
            <w:r>
              <w:rPr>
                <w:rFonts w:ascii="Arial" w:cs="Arial" w:eastAsia="Arial" w:hAnsi="Arial"/>
                <w:sz w:val="13"/>
                <w:szCs w:val="13"/>
                <w:color w:val="auto"/>
              </w:rPr>
              <w:t>Net Income (Loss)</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12,416</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7,251</w:t>
            </w:r>
          </w:p>
        </w:tc>
        <w:tc>
          <w:tcPr>
            <w:tcW w:w="12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(3,904)</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46,072</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25,910</w:t>
            </w:r>
          </w:p>
        </w:tc>
        <w:tc>
          <w:tcPr>
            <w:tcW w:w="0" w:type="dxa"/>
            <w:vAlign w:val="bottom"/>
          </w:tcPr>
          <w:p>
            <w:pPr>
              <w:spacing w:after="0"/>
              <w:rPr>
                <w:sz w:val="1"/>
                <w:szCs w:val="1"/>
                <w:color w:val="auto"/>
              </w:rPr>
            </w:pPr>
          </w:p>
        </w:tc>
      </w:tr>
      <w:tr>
        <w:trPr>
          <w:trHeight w:val="141"/>
        </w:trPr>
        <w:tc>
          <w:tcPr>
            <w:tcW w:w="19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Net Income (Loss) per share to</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stockholders:</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3"/>
                <w:szCs w:val="13"/>
                <w:color w:val="auto"/>
              </w:rPr>
              <w:t>Basic</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0.26</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0.16</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(0.08)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0.99</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900" w:type="dxa"/>
            <w:vAlign w:val="bottom"/>
            <w:tcBorders>
              <w:top w:val="single" w:sz="8" w:color="CCEEFF"/>
            </w:tcBorders>
          </w:tcPr>
          <w:p>
            <w:pPr>
              <w:spacing w:after="0" w:line="141" w:lineRule="exact"/>
              <w:rPr>
                <w:sz w:val="20"/>
                <w:szCs w:val="20"/>
                <w:color w:val="auto"/>
              </w:rPr>
            </w:pPr>
            <w:r>
              <w:rPr>
                <w:rFonts w:ascii="Arial" w:cs="Arial" w:eastAsia="Arial" w:hAnsi="Arial"/>
                <w:sz w:val="13"/>
                <w:szCs w:val="13"/>
                <w:color w:val="auto"/>
              </w:rPr>
              <w:t>Weighted average shares</w:t>
            </w:r>
          </w:p>
        </w:tc>
        <w:tc>
          <w:tcPr>
            <w:tcW w:w="16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00" w:type="dxa"/>
            <w:vAlign w:val="bottom"/>
          </w:tcPr>
          <w:p>
            <w:pPr>
              <w:ind w:left="140"/>
              <w:spacing w:after="0"/>
              <w:rPr>
                <w:sz w:val="20"/>
                <w:szCs w:val="20"/>
                <w:color w:val="auto"/>
              </w:rPr>
            </w:pPr>
            <w:r>
              <w:rPr>
                <w:rFonts w:ascii="Arial" w:cs="Arial" w:eastAsia="Arial" w:hAnsi="Arial"/>
                <w:sz w:val="13"/>
                <w:szCs w:val="13"/>
                <w:color w:val="auto"/>
              </w:rPr>
              <w:t>outstanding: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48,496,077</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46,805,951</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46,805,951</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46,773,038</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9"/>
              </w:rPr>
              <w:t>46,700,990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100,000,000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52,508,186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6"/>
              </w:rPr>
              <w:t>48,225,603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46,805,951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47,909,413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w w:val="89"/>
              </w:rPr>
              <w:t>46,700,990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88"/>
              </w:rPr>
              <w:t>100,000,000</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480" w:right="1259" w:hanging="301"/>
        <w:spacing w:after="0" w:line="237" w:lineRule="auto"/>
        <w:tabs>
          <w:tab w:leader="none" w:pos="1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80" w:right="1219" w:hanging="301"/>
        <w:spacing w:after="0" w:line="237" w:lineRule="auto"/>
        <w:tabs>
          <w:tab w:leader="none" w:pos="1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34" w:lineRule="exact"/>
        <w:rPr>
          <w:rFonts w:ascii="Arial" w:cs="Arial" w:eastAsia="Arial" w:hAnsi="Arial"/>
          <w:sz w:val="14"/>
          <w:szCs w:val="14"/>
          <w:color w:val="auto"/>
        </w:rPr>
      </w:pPr>
    </w:p>
    <w:p>
      <w:pPr>
        <w:ind w:left="1480" w:right="1259" w:hanging="301"/>
        <w:spacing w:after="0" w:line="225" w:lineRule="auto"/>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45" w:lineRule="exact"/>
        <w:rPr>
          <w:rFonts w:ascii="Arial" w:cs="Arial" w:eastAsia="Arial" w:hAnsi="Arial"/>
          <w:sz w:val="15"/>
          <w:szCs w:val="15"/>
          <w:color w:val="auto"/>
        </w:rPr>
      </w:pPr>
    </w:p>
    <w:p>
      <w:pPr>
        <w:jc w:val="both"/>
        <w:ind w:left="1480" w:right="1319" w:hanging="301"/>
        <w:spacing w:after="0" w:line="229" w:lineRule="auto"/>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tbl>
      <w:tblPr>
        <w:tblLayout w:type="fixed"/>
        <w:tblInd w:w="140" w:type="dxa"/>
        <w:tblCellMar>
          <w:top w:w="0" w:type="dxa"/>
          <w:left w:w="0" w:type="dxa"/>
          <w:bottom w:w="0" w:type="dxa"/>
          <w:right w:w="0" w:type="dxa"/>
        </w:tblCellMar>
      </w:tblPr>
      <w:tr>
        <w:trPr>
          <w:trHeight w:val="126"/>
        </w:trPr>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96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86"/>
              </w:rPr>
              <w:t>As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96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March 31,</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2021</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7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Cash and equivalents</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  269,599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1,244,202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Long-term debt and leases, including current portion.</w:t>
            </w:r>
          </w:p>
        </w:tc>
        <w:tc>
          <w:tcPr>
            <w:tcW w:w="760" w:type="dxa"/>
            <w:vAlign w:val="bottom"/>
          </w:tcPr>
          <w:p>
            <w:pPr>
              <w:jc w:val="right"/>
              <w:spacing w:after="0"/>
              <w:rPr>
                <w:sz w:val="20"/>
                <w:szCs w:val="20"/>
                <w:color w:val="auto"/>
              </w:rPr>
            </w:pPr>
            <w:r>
              <w:rPr>
                <w:rFonts w:ascii="Arial" w:cs="Arial" w:eastAsia="Arial" w:hAnsi="Arial"/>
                <w:sz w:val="15"/>
                <w:szCs w:val="15"/>
                <w:color w:val="auto"/>
              </w:rPr>
              <w:t>505,141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409,960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6"/>
        </w:trPr>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6120" w:type="dxa"/>
            <w:vAlign w:val="bottom"/>
            <w:gridSpan w:val="2"/>
          </w:tcPr>
          <w:p>
            <w:pPr>
              <w:jc w:val="right"/>
              <w:ind w:right="2469"/>
              <w:spacing w:after="0"/>
              <w:rPr>
                <w:sz w:val="20"/>
                <w:szCs w:val="20"/>
                <w:color w:val="auto"/>
              </w:rPr>
            </w:pPr>
            <w:r>
              <w:rPr>
                <w:rFonts w:ascii="Arial" w:cs="Arial" w:eastAsia="Arial" w:hAnsi="Arial"/>
                <w:sz w:val="15"/>
                <w:szCs w:val="15"/>
                <w:color w:val="auto"/>
              </w:rPr>
              <w:t>15</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75"/>
              </w:rPr>
              <w:t>Successor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2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3"/>
              </w:rPr>
              <w:t>through</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6"/>
              </w:rPr>
              <w:t>March 31,</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3"/>
                <w:szCs w:val="13"/>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CEEFF"/>
          </w:tcPr>
          <w:p>
            <w:pPr>
              <w:spacing w:after="0" w:line="211" w:lineRule="exact"/>
              <w:rPr>
                <w:sz w:val="20"/>
                <w:szCs w:val="20"/>
                <w:color w:val="auto"/>
              </w:rPr>
            </w:pPr>
            <w:r>
              <w:rPr>
                <w:rFonts w:ascii="Arial" w:cs="Arial" w:eastAsia="Arial" w:hAnsi="Arial"/>
                <w:sz w:val="15"/>
                <w:szCs w:val="15"/>
                <w:color w:val="auto"/>
                <w:w w:val="98"/>
              </w:rPr>
              <w:t>Adjusted Net Income (Loss)</w:t>
            </w:r>
            <w:r>
              <w:rPr>
                <w:rFonts w:ascii="Arial" w:cs="Arial" w:eastAsia="Arial" w:hAnsi="Arial"/>
                <w:sz w:val="21"/>
                <w:szCs w:val="21"/>
                <w:color w:val="auto"/>
                <w:w w:val="98"/>
                <w:vertAlign w:val="superscript"/>
              </w:rPr>
              <w:t>(1)</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rPr>
              <w:t>$ (4,919)</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rPr>
              <w:t>$ 7,591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$(47,916)</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$ 53,734</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rPr>
              <w:t>$ (5,871)</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231"/>
        </w:trPr>
        <w:tc>
          <w:tcPr>
            <w:tcW w:w="2020" w:type="dxa"/>
            <w:vAlign w:val="bottom"/>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740" w:type="dxa"/>
            <w:vAlign w:val="bottom"/>
          </w:tcPr>
          <w:p>
            <w:pPr>
              <w:jc w:val="right"/>
              <w:ind w:right="57"/>
              <w:spacing w:after="0"/>
              <w:rPr>
                <w:sz w:val="20"/>
                <w:szCs w:val="20"/>
                <w:color w:val="auto"/>
              </w:rPr>
            </w:pPr>
            <w:r>
              <w:rPr>
                <w:rFonts w:ascii="Arial" w:cs="Arial" w:eastAsia="Arial" w:hAnsi="Arial"/>
                <w:sz w:val="15"/>
                <w:szCs w:val="15"/>
                <w:color w:val="auto"/>
              </w:rPr>
              <w:t>19,405</w:t>
            </w:r>
          </w:p>
        </w:tc>
        <w:tc>
          <w:tcPr>
            <w:tcW w:w="6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5"/>
                <w:szCs w:val="15"/>
                <w:color w:val="auto"/>
              </w:rPr>
              <w:t>37,061</w:t>
            </w:r>
          </w:p>
        </w:tc>
        <w:tc>
          <w:tcPr>
            <w:tcW w:w="6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5"/>
                <w:szCs w:val="15"/>
                <w:color w:val="auto"/>
              </w:rPr>
              <w:t>38,930</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171,129</w:t>
            </w:r>
          </w:p>
        </w:tc>
        <w:tc>
          <w:tcPr>
            <w:tcW w:w="60" w:type="dxa"/>
            <w:vAlign w:val="bottom"/>
          </w:tcPr>
          <w:p>
            <w:pPr>
              <w:spacing w:after="0"/>
              <w:rPr>
                <w:sz w:val="20"/>
                <w:szCs w:val="20"/>
                <w:color w:val="auto"/>
              </w:rPr>
            </w:pP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5"/>
                <w:szCs w:val="15"/>
                <w:color w:val="auto"/>
              </w:rPr>
              <w:t>49,688</w:t>
            </w:r>
          </w:p>
        </w:tc>
        <w:tc>
          <w:tcPr>
            <w:tcW w:w="740" w:type="dxa"/>
            <w:vAlign w:val="bottom"/>
          </w:tcPr>
          <w:p>
            <w:pPr>
              <w:jc w:val="right"/>
              <w:ind w:right="57"/>
              <w:spacing w:after="0"/>
              <w:rPr>
                <w:sz w:val="20"/>
                <w:szCs w:val="20"/>
                <w:color w:val="auto"/>
              </w:rPr>
            </w:pPr>
            <w:r>
              <w:rPr>
                <w:rFonts w:ascii="Arial" w:cs="Arial" w:eastAsia="Arial" w:hAnsi="Arial"/>
                <w:sz w:val="15"/>
                <w:szCs w:val="15"/>
                <w:color w:val="auto"/>
              </w:rPr>
              <w:t>57,279</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480" w:right="1179" w:hanging="301"/>
        <w:spacing w:after="0" w:line="231" w:lineRule="auto"/>
        <w:tabs>
          <w:tab w:leader="none" w:pos="1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Net Income (Loss)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54" w:lineRule="exact"/>
        <w:rPr>
          <w:rFonts w:ascii="Arial" w:cs="Arial" w:eastAsia="Arial" w:hAnsi="Arial"/>
          <w:sz w:val="14"/>
          <w:szCs w:val="14"/>
          <w:color w:val="auto"/>
        </w:rPr>
      </w:pPr>
    </w:p>
    <w:p>
      <w:pPr>
        <w:ind w:left="1480" w:right="1199"/>
        <w:spacing w:after="0" w:line="269" w:lineRule="auto"/>
        <w:rPr>
          <w:rFonts w:ascii="Arial" w:cs="Arial" w:eastAsia="Arial" w:hAnsi="Arial"/>
          <w:sz w:val="14"/>
          <w:szCs w:val="14"/>
          <w:color w:val="auto"/>
        </w:rPr>
      </w:pPr>
      <w:r>
        <w:rPr>
          <w:rFonts w:ascii="Arial" w:cs="Arial" w:eastAsia="Arial" w:hAnsi="Arial"/>
          <w:sz w:val="13"/>
          <w:szCs w:val="13"/>
          <w:color w:val="auto"/>
        </w:rPr>
        <w:t>Adjusted Net Income (Loss) and Adjusted EBITDAR have limitations as analytical tools. Some of the limitations applicable to these measures include: Adjusted Net Income (Loss)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(Loss)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(Loss) and Adjusted EBITDAR differently than we do, limiting each measure’s usefulness as a comparative measure. Because of these limitations Adjusted Net Income (Loss) and Adjusted EBITDAR should not be considered in isolation or as a substitute for performance measures calculated in accordance with GAAP.</w:t>
      </w:r>
    </w:p>
    <w:p>
      <w:pPr>
        <w:spacing w:after="0" w:line="183" w:lineRule="exact"/>
        <w:rPr>
          <w:rFonts w:ascii="Arial" w:cs="Arial" w:eastAsia="Arial" w:hAnsi="Arial"/>
          <w:sz w:val="14"/>
          <w:szCs w:val="14"/>
          <w:color w:val="auto"/>
        </w:rPr>
      </w:pPr>
    </w:p>
    <w:p>
      <w:pPr>
        <w:ind w:left="1480" w:right="1239"/>
        <w:spacing w:after="0" w:line="233" w:lineRule="auto"/>
        <w:rPr>
          <w:rFonts w:ascii="Arial" w:cs="Arial" w:eastAsia="Arial" w:hAnsi="Arial"/>
          <w:sz w:val="14"/>
          <w:szCs w:val="14"/>
          <w:color w:val="auto"/>
        </w:rPr>
      </w:pPr>
      <w:r>
        <w:rPr>
          <w:rFonts w:ascii="Arial" w:cs="Arial" w:eastAsia="Arial" w:hAnsi="Arial"/>
          <w:sz w:val="15"/>
          <w:szCs w:val="15"/>
          <w:color w:val="auto"/>
        </w:rPr>
        <w:t>As derivations of Adjusted Net Income (Loss) and Adjusted EBITDAR are not determined in accordance with GAAP, such measures are susceptible to varying calculations and not all companies calculate the measures in the same manner. As a result, derivations of net income, including Adjusted Net Income (Loss) and Adjusted EBITDAR, as presented may not be directly comparable to similarly titled measures presented by other companies. For the foregoing reasons, each of Adjusted Net Income (Loss)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Net Income (Loss) for the periods presented below.</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8"/>
              </w:rPr>
              <w:t>Successor</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center"/>
              <w:ind w:left="114"/>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12,416</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$7,251</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(26,871)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7"/>
              </w:rPr>
              <w:t>Stock compensation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Loss (gain) on asset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rPr>
              <w:t>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Early repayment of CARES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Act Loan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ind w:left="300"/>
              <w:spacing w:after="0"/>
              <w:rPr>
                <w:sz w:val="20"/>
                <w:szCs w:val="20"/>
                <w:color w:val="auto"/>
              </w:rPr>
            </w:pPr>
            <w:r>
              <w:rPr>
                <w:rFonts w:ascii="Arial" w:cs="Arial" w:eastAsia="Arial" w:hAnsi="Arial"/>
                <w:sz w:val="15"/>
                <w:szCs w:val="15"/>
                <w:color w:val="auto"/>
              </w:rPr>
              <w:t>agreement 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on refinancing credit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facility</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208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5"/>
                <w:szCs w:val="15"/>
                <w:color w:val="auto"/>
                <w:w w:val="98"/>
              </w:rPr>
              <w:t>Income tax effect of adjusting</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80" w:type="dxa"/>
            <w:vAlign w:val="bottom"/>
            <w:gridSpan w:val="2"/>
            <w:shd w:val="clear" w:color="auto" w:fill="CCEEFF"/>
          </w:tcPr>
          <w:p>
            <w:pPr>
              <w:ind w:left="300"/>
              <w:spacing w:after="0" w:line="238" w:lineRule="exact"/>
              <w:rPr>
                <w:sz w:val="20"/>
                <w:szCs w:val="20"/>
                <w:color w:val="auto"/>
              </w:rPr>
            </w:pPr>
            <w:r>
              <w:rPr>
                <w:rFonts w:ascii="Arial" w:cs="Arial" w:eastAsia="Arial" w:hAnsi="Arial"/>
                <w:sz w:val="15"/>
                <w:szCs w:val="15"/>
                <w:color w:val="auto"/>
              </w:rPr>
              <w:t>items, net</w:t>
            </w:r>
            <w:r>
              <w:rPr>
                <w:rFonts w:ascii="Arial" w:cs="Arial" w:eastAsia="Arial" w:hAnsi="Arial"/>
                <w:sz w:val="21"/>
                <w:szCs w:val="21"/>
                <w:color w:val="auto"/>
                <w:vertAlign w:val="superscript"/>
              </w:rPr>
              <w:t>(c)</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1,640</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5"/>
                <w:szCs w:val="15"/>
                <w:b w:val="1"/>
                <w:bCs w:val="1"/>
                <w:color w:val="auto"/>
                <w:w w:val="99"/>
              </w:rPr>
              <w:t xml:space="preserve">Adjusted Net Income (Loss) </w:t>
            </w:r>
            <w:r>
              <w:rPr>
                <w:rFonts w:ascii="Arial" w:cs="Arial" w:eastAsia="Arial" w:hAnsi="Arial"/>
                <w:sz w:val="15"/>
                <w:szCs w:val="15"/>
                <w:color w:val="auto"/>
                <w:w w:val="99"/>
              </w:rPr>
              <w:t>.</w:t>
            </w: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(4,919)</w:t>
            </w: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7,591</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(47,916)</w:t>
            </w: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(5,871)</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480" w:right="1319" w:hanging="301"/>
        <w:spacing w:after="0" w:line="229"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44"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33" w:lineRule="exact"/>
        <w:rPr>
          <w:rFonts w:ascii="Arial" w:cs="Arial" w:eastAsia="Arial" w:hAnsi="Arial"/>
          <w:sz w:val="15"/>
          <w:szCs w:val="15"/>
          <w:color w:val="auto"/>
        </w:rPr>
      </w:pPr>
    </w:p>
    <w:p>
      <w:pPr>
        <w:ind w:left="1480" w:right="1399" w:hanging="301"/>
        <w:spacing w:after="0" w:line="236"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100" w:lineRule="exact"/>
        <w:rPr>
          <w:sz w:val="20"/>
          <w:szCs w:val="20"/>
          <w:color w:val="auto"/>
        </w:rPr>
      </w:pPr>
    </w:p>
    <w:p>
      <w:pPr>
        <w:ind w:left="1180" w:right="143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EBITDAR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4"/>
            <w:vMerge w:val="restart"/>
          </w:tcPr>
          <w:p>
            <w:pPr>
              <w:jc w:val="center"/>
              <w:ind w:right="180"/>
              <w:spacing w:after="0"/>
              <w:rPr>
                <w:sz w:val="20"/>
                <w:szCs w:val="20"/>
                <w:color w:val="auto"/>
              </w:rPr>
            </w:pPr>
            <w:r>
              <w:rPr>
                <w:rFonts w:ascii="Arial" w:cs="Arial" w:eastAsia="Arial" w:hAnsi="Arial"/>
                <w:sz w:val="12"/>
                <w:szCs w:val="12"/>
                <w:b w:val="1"/>
                <w:bCs w:val="1"/>
                <w:color w:val="auto"/>
                <w:w w:val="78"/>
              </w:rPr>
              <w:t>Successor</w:t>
            </w: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6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5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6"/>
              </w:rPr>
              <w:t>March 31,</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80" w:type="dxa"/>
            <w:vAlign w:val="bottom"/>
            <w:gridSpan w:val="3"/>
          </w:tcPr>
          <w:p>
            <w:pPr>
              <w:jc w:val="center"/>
              <w:ind w:left="6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$ 12,416</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7,251</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(3,904)</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760" w:type="dxa"/>
            <w:vAlign w:val="bottom"/>
            <w:gridSpan w:val="4"/>
          </w:tcPr>
          <w:p>
            <w:pPr>
              <w:jc w:val="right"/>
              <w:ind w:right="40"/>
              <w:spacing w:after="0"/>
              <w:rPr>
                <w:sz w:val="20"/>
                <w:szCs w:val="20"/>
                <w:color w:val="auto"/>
              </w:rPr>
            </w:pPr>
            <w:r>
              <w:rPr>
                <w:rFonts w:ascii="Arial" w:cs="Arial" w:eastAsia="Arial" w:hAnsi="Arial"/>
                <w:sz w:val="15"/>
                <w:szCs w:val="15"/>
                <w:color w:val="auto"/>
              </w:rPr>
              <w:t>(26,871)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(64,563)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7,121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5,616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22,073</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w w:val="97"/>
              </w:rPr>
              <w:t>Stock compensation expense</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2,870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369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(gain) on asset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(377)</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Provision for income taxes</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5,406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14,088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12,615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10,527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48,086</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34,877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Aircraft rent</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5,599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11,032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30,989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49,908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agreement expense</w:t>
            </w:r>
          </w:p>
        </w:tc>
        <w:tc>
          <w:tcPr>
            <w:tcW w:w="140" w:type="dxa"/>
            <w:vAlign w:val="bottom"/>
            <w:gridSpan w:val="2"/>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5"/>
                <w:szCs w:val="15"/>
                <w:b w:val="1"/>
                <w:bCs w:val="1"/>
                <w:color w:val="auto"/>
              </w:rPr>
              <w:t>Adjusted EBITDAR</w:t>
            </w:r>
          </w:p>
        </w:tc>
        <w:tc>
          <w:tcPr>
            <w:tcW w:w="14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$ 19,405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37,061</w:t>
            </w: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38,930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171,129</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1480" w:right="1319" w:hanging="301"/>
        <w:spacing w:after="0" w:line="229"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Key Operating Statistics and Metrics</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7"/>
          </w:tcPr>
          <w:p>
            <w:pPr>
              <w:jc w:val="right"/>
              <w:ind w:right="60"/>
              <w:spacing w:after="0"/>
              <w:rPr>
                <w:sz w:val="20"/>
                <w:szCs w:val="20"/>
                <w:color w:val="auto"/>
              </w:rPr>
            </w:pPr>
            <w:r>
              <w:rPr>
                <w:rFonts w:ascii="Arial" w:cs="Arial" w:eastAsia="Arial" w:hAnsi="Arial"/>
                <w:sz w:val="12"/>
                <w:szCs w:val="12"/>
                <w:b w:val="1"/>
                <w:bCs w:val="1"/>
                <w:color w:val="auto"/>
                <w:w w:val="87"/>
              </w:rPr>
              <w:t>Three Months Ended March 31, 2021</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7"/>
          </w:tcPr>
          <w:p>
            <w:pPr>
              <w:jc w:val="center"/>
              <w:ind w:right="7"/>
              <w:spacing w:after="0"/>
              <w:rPr>
                <w:sz w:val="20"/>
                <w:szCs w:val="20"/>
                <w:color w:val="auto"/>
              </w:rPr>
            </w:pPr>
            <w:r>
              <w:rPr>
                <w:rFonts w:ascii="Arial" w:cs="Arial" w:eastAsia="Arial" w:hAnsi="Arial"/>
                <w:sz w:val="12"/>
                <w:szCs w:val="12"/>
                <w:b w:val="1"/>
                <w:bCs w:val="1"/>
                <w:color w:val="auto"/>
                <w:w w:val="86"/>
              </w:rPr>
              <w:t>Three Months Ended March 31, 2020</w:t>
            </w:r>
          </w:p>
        </w:tc>
      </w:tr>
      <w:tr>
        <w:trPr>
          <w:trHeight w:val="21"/>
        </w:trPr>
        <w:tc>
          <w:tcPr>
            <w:tcW w:w="41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8"/>
        </w:trPr>
        <w:tc>
          <w:tcPr>
            <w:tcW w:w="4160" w:type="dxa"/>
            <w:vAlign w:val="bottom"/>
          </w:tcPr>
          <w:p>
            <w:pPr>
              <w:spacing w:after="0"/>
              <w:rPr>
                <w:sz w:val="12"/>
                <w:szCs w:val="12"/>
                <w:color w:val="auto"/>
              </w:rPr>
            </w:pPr>
          </w:p>
        </w:tc>
        <w:tc>
          <w:tcPr>
            <w:tcW w:w="860" w:type="dxa"/>
            <w:vAlign w:val="bottom"/>
            <w:gridSpan w:val="3"/>
          </w:tcPr>
          <w:p>
            <w:pPr>
              <w:jc w:val="right"/>
              <w:ind w:right="221"/>
              <w:spacing w:after="0"/>
              <w:rPr>
                <w:sz w:val="20"/>
                <w:szCs w:val="20"/>
                <w:color w:val="auto"/>
              </w:rPr>
            </w:pPr>
            <w:r>
              <w:rPr>
                <w:rFonts w:ascii="Arial" w:cs="Arial" w:eastAsia="Arial" w:hAnsi="Arial"/>
                <w:sz w:val="12"/>
                <w:szCs w:val="12"/>
                <w:b w:val="1"/>
                <w:bCs w:val="1"/>
                <w:color w:val="auto"/>
                <w:w w:val="92"/>
              </w:rPr>
              <w:t>Scheduled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Scheduled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0"/>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1"/>
              <w:spacing w:after="0"/>
              <w:rPr>
                <w:sz w:val="20"/>
                <w:szCs w:val="20"/>
                <w:color w:val="auto"/>
              </w:rPr>
            </w:pPr>
            <w:r>
              <w:rPr>
                <w:rFonts w:ascii="Arial" w:cs="Arial" w:eastAsia="Arial" w:hAnsi="Arial"/>
                <w:sz w:val="12"/>
                <w:szCs w:val="12"/>
                <w:b w:val="1"/>
                <w:bCs w:val="1"/>
                <w:color w:val="auto"/>
                <w:w w:val="93"/>
              </w:rPr>
              <w:t>Service</w:t>
            </w:r>
          </w:p>
        </w:tc>
        <w:tc>
          <w:tcPr>
            <w:tcW w:w="10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Charter</w:t>
            </w:r>
          </w:p>
        </w:tc>
        <w:tc>
          <w:tcPr>
            <w:tcW w:w="8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Cargo</w:t>
            </w: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3"/>
              </w:rPr>
              <w:t>Service</w:t>
            </w:r>
          </w:p>
        </w:tc>
        <w:tc>
          <w:tcPr>
            <w:tcW w:w="8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Charter</w:t>
            </w:r>
          </w:p>
        </w:tc>
        <w:tc>
          <w:tcPr>
            <w:tcW w:w="58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r>
      <w:tr>
        <w:trPr>
          <w:trHeight w:val="21"/>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1"/>
        </w:trPr>
        <w:tc>
          <w:tcPr>
            <w:tcW w:w="4160" w:type="dxa"/>
            <w:vAlign w:val="bottom"/>
            <w:shd w:val="clear" w:color="auto" w:fill="CCEEFF"/>
          </w:tcPr>
          <w:p>
            <w:pPr>
              <w:ind w:left="20"/>
              <w:spacing w:after="0" w:line="211" w:lineRule="exact"/>
              <w:rPr>
                <w:sz w:val="20"/>
                <w:szCs w:val="20"/>
                <w:color w:val="auto"/>
              </w:rPr>
            </w:pPr>
            <w:r>
              <w:rPr>
                <w:rFonts w:ascii="Arial" w:cs="Arial" w:eastAsia="Arial" w:hAnsi="Arial"/>
                <w:sz w:val="15"/>
                <w:szCs w:val="15"/>
                <w:color w:val="auto"/>
              </w:rPr>
              <w:t>Departures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4,323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1,511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2,565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5,806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7,523</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Block hours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15,207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3,331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8,242</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26,932</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20,242</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3,612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24,087</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Aircraft miles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w w:val="83"/>
              </w:rPr>
              <w:t>6,233,184</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1,222,451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3,285,525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10,784,543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8,157,586</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1,311,533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9,534,560</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ASMs (in thousands)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w w:val="83"/>
              </w:rPr>
              <w:t>1,158,012</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211,721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1,376,796</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1,508,196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236,863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1,757,067</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TRASM (in cents)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Average passenger aircraft available for service</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Passenger aircraft at end of period</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Cargo aircraft at end of period</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Average daily aircraft utilization (in hours)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Average stage length</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1,278</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1,272</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Passengers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553,032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813,938</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RPMs (in thousands)</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774,999</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1,149,906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PRASM (in cents)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4.72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Load factor</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76.2%</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Average fare</w:t>
            </w:r>
            <w:r>
              <w:rPr>
                <w:rFonts w:ascii="Arial" w:cs="Arial" w:eastAsia="Arial" w:hAnsi="Arial"/>
                <w:sz w:val="21"/>
                <w:szCs w:val="2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98.77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140.34</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Ancillary revenue per passenger</w:t>
            </w:r>
            <w:r>
              <w:rPr>
                <w:rFonts w:ascii="Arial" w:cs="Arial" w:eastAsia="Arial" w:hAnsi="Arial"/>
                <w:sz w:val="21"/>
                <w:szCs w:val="2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42.98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43.04</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Charter revenue per block hour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7,747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8,092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Fuel gallons consumed (in thousands)</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11,557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2,357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13,993</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15,751</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2,700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18,571</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Fuel cost per gallon, excl. derivatives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220"/>
        </w:trPr>
        <w:tc>
          <w:tcPr>
            <w:tcW w:w="4160" w:type="dxa"/>
            <w:vAlign w:val="bottom"/>
          </w:tcPr>
          <w:p>
            <w:pPr>
              <w:ind w:left="20"/>
              <w:spacing w:after="0"/>
              <w:rPr>
                <w:sz w:val="20"/>
                <w:szCs w:val="20"/>
                <w:color w:val="auto"/>
              </w:rPr>
            </w:pPr>
            <w:r>
              <w:rPr>
                <w:rFonts w:ascii="Arial" w:cs="Arial" w:eastAsia="Arial" w:hAnsi="Arial"/>
                <w:sz w:val="15"/>
                <w:szCs w:val="15"/>
                <w:color w:val="auto"/>
              </w:rPr>
              <w:t>Employees at end of period</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1,768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1,640</w:t>
            </w:r>
          </w:p>
        </w:tc>
      </w:tr>
      <w:tr>
        <w:trPr>
          <w:trHeight w:val="231"/>
        </w:trPr>
        <w:tc>
          <w:tcPr>
            <w:tcW w:w="4160" w:type="dxa"/>
            <w:vAlign w:val="bottom"/>
            <w:shd w:val="clear" w:color="auto" w:fill="CCEEFF"/>
          </w:tcPr>
          <w:p>
            <w:pPr>
              <w:ind w:left="20"/>
              <w:spacing w:after="0" w:line="231" w:lineRule="exact"/>
              <w:rPr>
                <w:sz w:val="20"/>
                <w:szCs w:val="20"/>
                <w:color w:val="auto"/>
              </w:rPr>
            </w:pPr>
            <w:r>
              <w:rPr>
                <w:rFonts w:ascii="Arial" w:cs="Arial" w:eastAsia="Arial" w:hAnsi="Arial"/>
                <w:sz w:val="15"/>
                <w:szCs w:val="15"/>
                <w:color w:val="auto"/>
              </w:rPr>
              <w:t>CASM (in cents)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7.46</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w:t>
            </w:r>
          </w:p>
        </w:tc>
      </w:tr>
      <w:tr>
        <w:trPr>
          <w:trHeight w:val="22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Non-GAAP Operating Metric:</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1"/>
        </w:trPr>
        <w:tc>
          <w:tcPr>
            <w:tcW w:w="4160" w:type="dxa"/>
            <w:vAlign w:val="bottom"/>
            <w:shd w:val="clear" w:color="auto" w:fill="CCEEFF"/>
          </w:tcPr>
          <w:p>
            <w:pPr>
              <w:ind w:left="20"/>
              <w:spacing w:after="0" w:line="231" w:lineRule="exact"/>
              <w:rPr>
                <w:sz w:val="20"/>
                <w:szCs w:val="20"/>
                <w:color w:val="auto"/>
              </w:rPr>
            </w:pPr>
            <w:r>
              <w:rPr>
                <w:rFonts w:ascii="Arial" w:cs="Arial" w:eastAsia="Arial" w:hAnsi="Arial"/>
                <w:sz w:val="15"/>
                <w:szCs w:val="15"/>
                <w:color w:val="auto"/>
              </w:rPr>
              <w:t>Adjusted CASM (in cents)</w:t>
            </w:r>
            <w:r>
              <w:rPr>
                <w:rFonts w:ascii="Arial" w:cs="Arial" w:eastAsia="Arial" w:hAnsi="Arial"/>
                <w:sz w:val="21"/>
                <w:szCs w:val="21"/>
                <w:color w:val="auto"/>
                <w:vertAlign w:val="superscript"/>
              </w:rPr>
              <w:t>(4)(5)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-3194685</wp:posOffset>
            </wp:positionV>
            <wp:extent cx="1117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-3194685</wp:posOffset>
            </wp:positionV>
            <wp:extent cx="1117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-3194685</wp:posOffset>
            </wp:positionV>
            <wp:extent cx="1117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-3194685</wp:posOffset>
            </wp:positionV>
            <wp:extent cx="1117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-3194685</wp:posOffset>
            </wp:positionV>
            <wp:extent cx="1117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-3194685</wp:posOffset>
            </wp:positionV>
            <wp:extent cx="31813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1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2122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6" w:name="page27"/>
    <w:bookmarkEnd w:id="26"/>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1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Fiscal Year 2020</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9"/>
              </w:rPr>
              <w:t>Fiscal Year 2019</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7"/>
              </w:rPr>
              <w:t>Fiscal Year 2018</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rPr>
              <w:t>Fiscal Year 2017</w:t>
            </w:r>
          </w:p>
        </w:tc>
        <w:tc>
          <w:tcPr>
            <w:tcW w:w="520" w:type="dxa"/>
            <w:vAlign w:val="bottom"/>
            <w:tcBorders>
              <w:bottom w:val="single" w:sz="8" w:color="auto"/>
            </w:tcBorders>
          </w:tcPr>
          <w:p>
            <w:pPr>
              <w:spacing w:after="0"/>
              <w:rPr>
                <w:sz w:val="11"/>
                <w:szCs w:val="11"/>
                <w:color w:val="auto"/>
              </w:rPr>
            </w:pPr>
          </w:p>
        </w:tc>
      </w:tr>
      <w:tr>
        <w:trPr>
          <w:trHeight w:val="111"/>
        </w:trPr>
        <w:tc>
          <w:tcPr>
            <w:tcW w:w="1920" w:type="dxa"/>
            <w:vAlign w:val="bottom"/>
          </w:tcPr>
          <w:p>
            <w:pPr>
              <w:spacing w:after="0"/>
              <w:rPr>
                <w:sz w:val="9"/>
                <w:szCs w:val="9"/>
                <w:color w:val="auto"/>
              </w:rPr>
            </w:pPr>
          </w:p>
        </w:tc>
        <w:tc>
          <w:tcPr>
            <w:tcW w:w="74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right"/>
              <w:ind w:right="220"/>
              <w:spacing w:after="0" w:line="111" w:lineRule="exact"/>
              <w:rPr>
                <w:sz w:val="20"/>
                <w:szCs w:val="20"/>
                <w:color w:val="auto"/>
              </w:rPr>
            </w:pPr>
            <w:r>
              <w:rPr>
                <w:rFonts w:ascii="Arial" w:cs="Arial" w:eastAsia="Arial" w:hAnsi="Arial"/>
                <w:sz w:val="10"/>
                <w:szCs w:val="10"/>
                <w:b w:val="1"/>
                <w:bCs w:val="1"/>
                <w:color w:val="auto"/>
                <w:w w:val="98"/>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4"/>
          </w:tcPr>
          <w:p>
            <w:pPr>
              <w:jc w:val="center"/>
              <w:ind w:right="120"/>
              <w:spacing w:after="0" w:line="111" w:lineRule="exact"/>
              <w:rPr>
                <w:sz w:val="20"/>
                <w:szCs w:val="20"/>
                <w:color w:val="auto"/>
              </w:rPr>
            </w:pPr>
            <w:r>
              <w:rPr>
                <w:rFonts w:ascii="Arial" w:cs="Arial" w:eastAsia="Arial" w:hAnsi="Arial"/>
                <w:sz w:val="10"/>
                <w:szCs w:val="10"/>
                <w:b w:val="1"/>
                <w:bCs w:val="1"/>
                <w:color w:val="auto"/>
                <w:w w:val="86"/>
              </w:rPr>
              <w:t>Scheduled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23"/>
        </w:trPr>
        <w:tc>
          <w:tcPr>
            <w:tcW w:w="19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Cargo</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Total</w:t>
            </w:r>
          </w:p>
        </w:tc>
      </w:tr>
      <w:tr>
        <w:trPr>
          <w:trHeight w:val="134"/>
        </w:trPr>
        <w:tc>
          <w:tcPr>
            <w:tcW w:w="1920" w:type="dxa"/>
            <w:vAlign w:val="bottom"/>
            <w:shd w:val="clear" w:color="auto" w:fill="CCEEFF"/>
          </w:tcPr>
          <w:p>
            <w:pPr>
              <w:ind w:left="20"/>
              <w:spacing w:after="0" w:line="134" w:lineRule="exact"/>
              <w:rPr>
                <w:sz w:val="20"/>
                <w:szCs w:val="20"/>
                <w:color w:val="auto"/>
              </w:rPr>
            </w:pPr>
            <w:r>
              <w:rPr>
                <w:rFonts w:ascii="Arial" w:cs="Arial" w:eastAsia="Arial" w:hAnsi="Arial"/>
                <w:sz w:val="11"/>
                <w:szCs w:val="11"/>
                <w:color w:val="auto"/>
              </w:rPr>
              <w:t>Departures</w:t>
            </w:r>
            <w:r>
              <w:rPr>
                <w:rFonts w:ascii="Arial" w:cs="Arial" w:eastAsia="Arial" w:hAnsi="Arial"/>
                <w:sz w:val="15"/>
                <w:szCs w:val="15"/>
                <w:color w:val="auto"/>
                <w:vertAlign w:val="superscript"/>
              </w:rPr>
              <w:t>(1)</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14,117</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5,581</w:t>
            </w:r>
          </w:p>
        </w:tc>
        <w:tc>
          <w:tcPr>
            <w:tcW w:w="5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4,642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24,518</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24,311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9,035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33,586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19,772</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8,254</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28,194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20,357</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7,981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28,469</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Block hours</w:t>
            </w:r>
            <w:r>
              <w:rPr>
                <w:rFonts w:ascii="Arial" w:cs="Arial" w:eastAsia="Arial" w:hAnsi="Arial"/>
                <w:sz w:val="17"/>
                <w:szCs w:val="17"/>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45,988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12,113</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13,847</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72,424</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80,719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19,852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101,137</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68,143</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17,335</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85,883</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68,060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16,941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85,298</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Aircraft miles</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18,685,265</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4,539,429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5,666,642</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29,030,711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32,217,934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7,356,628</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39,738,483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27,584,857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6,369,866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34,095,663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27,723,331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6,358,418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34,181,885</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ASMs (in thousands)</w:t>
            </w:r>
            <w:r>
              <w:rPr>
                <w:rFonts w:ascii="Arial" w:cs="Arial" w:eastAsia="Arial" w:hAnsi="Arial"/>
                <w:sz w:val="17"/>
                <w:szCs w:val="17"/>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3,466,240</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819,855</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4,311,142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5,747,391</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2"/>
              </w:rPr>
              <w:t>1,288,725</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7,064,563</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4,433,110</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1,007,391</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5,463,229</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4,255,233</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979,756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5,250,474</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TRASM (in cents)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r>
      <w:tr>
        <w:trPr>
          <w:trHeight w:val="113"/>
        </w:trPr>
        <w:tc>
          <w:tcPr>
            <w:tcW w:w="1920" w:type="dxa"/>
            <w:vAlign w:val="bottom"/>
          </w:tcPr>
          <w:p>
            <w:pPr>
              <w:ind w:left="20"/>
              <w:spacing w:after="0" w:line="114" w:lineRule="exact"/>
              <w:rPr>
                <w:sz w:val="20"/>
                <w:szCs w:val="20"/>
                <w:color w:val="auto"/>
              </w:rPr>
            </w:pPr>
            <w:r>
              <w:rPr>
                <w:rFonts w:ascii="Arial" w:cs="Arial" w:eastAsia="Arial" w:hAnsi="Arial"/>
                <w:sz w:val="12"/>
                <w:szCs w:val="12"/>
                <w:color w:val="auto"/>
                <w:w w:val="96"/>
              </w:rPr>
              <w:t>Average passenger aircraft available</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72"/>
        </w:trPr>
        <w:tc>
          <w:tcPr>
            <w:tcW w:w="1920" w:type="dxa"/>
            <w:vAlign w:val="bottom"/>
          </w:tcPr>
          <w:p>
            <w:pPr>
              <w:ind w:left="140"/>
              <w:spacing w:after="0" w:line="172" w:lineRule="exact"/>
              <w:rPr>
                <w:sz w:val="20"/>
                <w:szCs w:val="20"/>
                <w:color w:val="auto"/>
              </w:rPr>
            </w:pPr>
            <w:r>
              <w:rPr>
                <w:rFonts w:ascii="Arial" w:cs="Arial" w:eastAsia="Arial" w:hAnsi="Arial"/>
                <w:sz w:val="12"/>
                <w:szCs w:val="12"/>
                <w:color w:val="auto"/>
              </w:rPr>
              <w:t>for service</w:t>
            </w:r>
            <w:r>
              <w:rPr>
                <w:rFonts w:ascii="Arial" w:cs="Arial" w:eastAsia="Arial" w:hAnsi="Arial"/>
                <w:sz w:val="17"/>
                <w:szCs w:val="17"/>
                <w:color w:val="auto"/>
                <w:vertAlign w:val="superscript"/>
              </w:rPr>
              <w:t>(2)</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21.1</w:t>
            </w:r>
          </w:p>
        </w:tc>
      </w:tr>
      <w:tr>
        <w:trPr>
          <w:trHeight w:val="113"/>
        </w:trPr>
        <w:tc>
          <w:tcPr>
            <w:tcW w:w="1920" w:type="dxa"/>
            <w:vAlign w:val="bottom"/>
            <w:shd w:val="clear" w:color="auto" w:fill="CCEEFF"/>
          </w:tcPr>
          <w:p>
            <w:pPr>
              <w:ind w:left="20"/>
              <w:spacing w:after="0" w:line="114" w:lineRule="exact"/>
              <w:rPr>
                <w:sz w:val="20"/>
                <w:szCs w:val="20"/>
                <w:color w:val="auto"/>
              </w:rPr>
            </w:pPr>
            <w:r>
              <w:rPr>
                <w:rFonts w:ascii="Arial" w:cs="Arial" w:eastAsia="Arial" w:hAnsi="Arial"/>
                <w:sz w:val="12"/>
                <w:szCs w:val="12"/>
                <w:color w:val="auto"/>
              </w:rPr>
              <w:t>Passenger aircraft at end of</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172"/>
        </w:trPr>
        <w:tc>
          <w:tcPr>
            <w:tcW w:w="1920" w:type="dxa"/>
            <w:vAlign w:val="bottom"/>
            <w:shd w:val="clear" w:color="auto" w:fill="CCEEFF"/>
          </w:tcPr>
          <w:p>
            <w:pPr>
              <w:ind w:left="140"/>
              <w:spacing w:after="0" w:line="172" w:lineRule="exact"/>
              <w:rPr>
                <w:sz w:val="20"/>
                <w:szCs w:val="20"/>
                <w:color w:val="auto"/>
              </w:rPr>
            </w:pPr>
            <w:r>
              <w:rPr>
                <w:rFonts w:ascii="Arial" w:cs="Arial" w:eastAsia="Arial" w:hAnsi="Arial"/>
                <w:sz w:val="12"/>
                <w:szCs w:val="12"/>
                <w:color w:val="auto"/>
              </w:rPr>
              <w:t>period</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r>
      <w:tr>
        <w:trPr>
          <w:trHeight w:val="113"/>
        </w:trPr>
        <w:tc>
          <w:tcPr>
            <w:tcW w:w="1920" w:type="dxa"/>
            <w:vAlign w:val="bottom"/>
          </w:tcPr>
          <w:p>
            <w:pPr>
              <w:ind w:left="20"/>
              <w:spacing w:after="0" w:line="114" w:lineRule="exact"/>
              <w:rPr>
                <w:sz w:val="20"/>
                <w:szCs w:val="20"/>
                <w:color w:val="auto"/>
              </w:rPr>
            </w:pPr>
            <w:r>
              <w:rPr>
                <w:rFonts w:ascii="Arial" w:cs="Arial" w:eastAsia="Arial" w:hAnsi="Arial"/>
                <w:sz w:val="12"/>
                <w:szCs w:val="12"/>
                <w:color w:val="auto"/>
              </w:rPr>
              <w:t>Average daily aircraft utilization (in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72"/>
        </w:trPr>
        <w:tc>
          <w:tcPr>
            <w:tcW w:w="1920" w:type="dxa"/>
            <w:vAlign w:val="bottom"/>
          </w:tcPr>
          <w:p>
            <w:pPr>
              <w:ind w:left="140"/>
              <w:spacing w:after="0" w:line="172" w:lineRule="exact"/>
              <w:rPr>
                <w:sz w:val="20"/>
                <w:szCs w:val="20"/>
                <w:color w:val="auto"/>
              </w:rPr>
            </w:pPr>
            <w:r>
              <w:rPr>
                <w:rFonts w:ascii="Arial" w:cs="Arial" w:eastAsia="Arial" w:hAnsi="Arial"/>
                <w:sz w:val="12"/>
                <w:szCs w:val="12"/>
                <w:color w:val="auto"/>
              </w:rPr>
              <w:t>hours)</w:t>
            </w:r>
            <w:r>
              <w:rPr>
                <w:rFonts w:ascii="Arial" w:cs="Arial" w:eastAsia="Arial" w:hAnsi="Arial"/>
                <w:sz w:val="17"/>
                <w:szCs w:val="17"/>
                <w:color w:val="auto"/>
                <w:vertAlign w:val="superscript"/>
              </w:rPr>
              <w:t>(2)</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3"/>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stage length</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1,203</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Passengers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1,679,242</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3,565,939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2,614,929</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2,502,082</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RPMs (in thousands)</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2,250,974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4,473,347</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3,653,007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3,419,527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PRASM (in cents)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8.05</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8.74</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Load factor</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64.9%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82.4%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Average fare</w:t>
            </w:r>
            <w:r>
              <w:rPr>
                <w:rFonts w:ascii="Arial" w:cs="Arial" w:eastAsia="Arial" w:hAnsi="Arial"/>
                <w:sz w:val="17"/>
                <w:szCs w:val="17"/>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114.96</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111.08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136.42</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148.60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Ancillary revenue per passenger</w:t>
            </w:r>
            <w:r>
              <w:rPr>
                <w:rFonts w:ascii="Arial" w:cs="Arial" w:eastAsia="Arial" w:hAnsi="Arial"/>
                <w:sz w:val="17"/>
                <w:szCs w:val="17"/>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40.53</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33.14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21.70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1920" w:type="dxa"/>
            <w:vAlign w:val="bottom"/>
          </w:tcPr>
          <w:p>
            <w:pPr>
              <w:ind w:left="20"/>
              <w:spacing w:after="0"/>
              <w:rPr>
                <w:sz w:val="20"/>
                <w:szCs w:val="20"/>
                <w:color w:val="auto"/>
              </w:rPr>
            </w:pPr>
            <w:r>
              <w:rPr>
                <w:rFonts w:ascii="Arial" w:cs="Arial" w:eastAsia="Arial" w:hAnsi="Arial"/>
                <w:sz w:val="12"/>
                <w:szCs w:val="12"/>
                <w:color w:val="auto"/>
              </w:rPr>
              <w:t>Charter revenue per block hour</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8,101</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8,793</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8,767</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7,818</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Fuel gallons consumed (in thousands)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34,769</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9,075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43,844</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63,240</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14,802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78,042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52,303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12,678</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64,981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12,551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64,656</w:t>
            </w:r>
          </w:p>
        </w:tc>
      </w:tr>
      <w:tr>
        <w:trPr>
          <w:trHeight w:val="138"/>
        </w:trPr>
        <w:tc>
          <w:tcPr>
            <w:tcW w:w="1920" w:type="dxa"/>
            <w:vAlign w:val="bottom"/>
          </w:tcPr>
          <w:p>
            <w:pPr>
              <w:ind w:left="20"/>
              <w:spacing w:after="0"/>
              <w:rPr>
                <w:sz w:val="20"/>
                <w:szCs w:val="20"/>
                <w:color w:val="auto"/>
              </w:rPr>
            </w:pPr>
            <w:r>
              <w:rPr>
                <w:rFonts w:ascii="Arial" w:cs="Arial" w:eastAsia="Arial" w:hAnsi="Arial"/>
                <w:sz w:val="12"/>
                <w:szCs w:val="12"/>
                <w:color w:val="auto"/>
              </w:rPr>
              <w:t>Fuel cost per gallon, excl.</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7"/>
        </w:trPr>
        <w:tc>
          <w:tcPr>
            <w:tcW w:w="1920" w:type="dxa"/>
            <w:vAlign w:val="bottom"/>
          </w:tcPr>
          <w:p>
            <w:pPr>
              <w:ind w:left="140"/>
              <w:spacing w:after="0"/>
              <w:rPr>
                <w:sz w:val="20"/>
                <w:szCs w:val="20"/>
                <w:color w:val="auto"/>
              </w:rPr>
            </w:pPr>
            <w:r>
              <w:rPr>
                <w:rFonts w:ascii="Arial" w:cs="Arial" w:eastAsia="Arial" w:hAnsi="Arial"/>
                <w:sz w:val="12"/>
                <w:szCs w:val="12"/>
                <w:color w:val="auto"/>
              </w:rPr>
              <w:t>derivatives</w:t>
            </w: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tcPr>
          <w:p>
            <w:pPr>
              <w:jc w:val="right"/>
              <w:spacing w:after="0"/>
              <w:rPr>
                <w:sz w:val="20"/>
                <w:szCs w:val="20"/>
                <w:color w:val="auto"/>
              </w:rPr>
            </w:pPr>
            <w:r>
              <w:rPr>
                <w:rFonts w:ascii="Arial" w:cs="Arial" w:eastAsia="Arial" w:hAnsi="Arial"/>
                <w:sz w:val="12"/>
                <w:szCs w:val="12"/>
                <w:color w:val="auto"/>
              </w:rPr>
              <w:t>1.85</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Employees at end of period</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1,532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1,889</w:t>
            </w:r>
          </w:p>
        </w:tc>
      </w:tr>
      <w:tr>
        <w:trPr>
          <w:trHeight w:val="165"/>
        </w:trPr>
        <w:tc>
          <w:tcPr>
            <w:tcW w:w="1920" w:type="dxa"/>
            <w:vAlign w:val="bottom"/>
          </w:tcPr>
          <w:p>
            <w:pPr>
              <w:ind w:left="20"/>
              <w:spacing w:after="0" w:line="165" w:lineRule="exact"/>
              <w:rPr>
                <w:sz w:val="20"/>
                <w:szCs w:val="20"/>
                <w:color w:val="auto"/>
              </w:rPr>
            </w:pPr>
            <w:r>
              <w:rPr>
                <w:rFonts w:ascii="Arial" w:cs="Arial" w:eastAsia="Arial" w:hAnsi="Arial"/>
                <w:sz w:val="12"/>
                <w:szCs w:val="12"/>
                <w:color w:val="auto"/>
              </w:rPr>
              <w:t>CASM (in cents)</w:t>
            </w:r>
            <w:r>
              <w:rPr>
                <w:rFonts w:ascii="Arial" w:cs="Arial" w:eastAsia="Arial" w:hAnsi="Arial"/>
                <w:sz w:val="17"/>
                <w:szCs w:val="17"/>
                <w:color w:val="auto"/>
                <w:vertAlign w:val="superscript"/>
              </w:rPr>
              <w:t>(4)</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8.91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8.82</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10.09</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Operating Metric:</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231"/>
        </w:trPr>
        <w:tc>
          <w:tcPr>
            <w:tcW w:w="1920" w:type="dxa"/>
            <w:vAlign w:val="bottom"/>
          </w:tcPr>
          <w:p>
            <w:pPr>
              <w:ind w:left="20"/>
              <w:spacing w:after="0"/>
              <w:rPr>
                <w:sz w:val="20"/>
                <w:szCs w:val="20"/>
                <w:color w:val="auto"/>
              </w:rPr>
            </w:pPr>
            <w:r>
              <w:rPr>
                <w:rFonts w:ascii="Arial" w:cs="Arial" w:eastAsia="Arial" w:hAnsi="Arial"/>
                <w:sz w:val="12"/>
                <w:szCs w:val="12"/>
                <w:color w:val="auto"/>
              </w:rPr>
              <w:t>Adjusted CASM (in cents)</w:t>
            </w:r>
            <w:r>
              <w:rPr>
                <w:rFonts w:ascii="Arial" w:cs="Arial" w:eastAsia="Arial" w:hAnsi="Arial"/>
                <w:sz w:val="17"/>
                <w:szCs w:val="17"/>
                <w:color w:val="auto"/>
                <w:vertAlign w:val="superscript"/>
              </w:rPr>
              <w:t>(4)(5)</w:t>
            </w: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-2525395</wp:posOffset>
            </wp:positionV>
            <wp:extent cx="2794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-2525395</wp:posOffset>
            </wp:positionV>
            <wp:extent cx="279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-2525395</wp:posOffset>
            </wp:positionV>
            <wp:extent cx="279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-2525395</wp:posOffset>
            </wp:positionV>
            <wp:extent cx="279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-2525395</wp:posOffset>
            </wp:positionV>
            <wp:extent cx="279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-2525395</wp:posOffset>
            </wp:positionV>
            <wp:extent cx="279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-2525395</wp:posOffset>
            </wp:positionV>
            <wp:extent cx="279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-2525395</wp:posOffset>
            </wp:positionV>
            <wp:extent cx="279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-2525395</wp:posOffset>
            </wp:positionV>
            <wp:extent cx="279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-2525395</wp:posOffset>
            </wp:positionV>
            <wp:extent cx="27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-2525395</wp:posOffset>
            </wp:positionV>
            <wp:extent cx="279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-2525395</wp:posOffset>
            </wp:positionV>
            <wp:extent cx="16256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48260</wp:posOffset>
            </wp:positionV>
            <wp:extent cx="44640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See “Glossary of Terms” for definitions of terms used in this table.</w:t>
      </w:r>
    </w:p>
    <w:p>
      <w:pPr>
        <w:spacing w:after="0" w:line="16" w:lineRule="exact"/>
        <w:rPr>
          <w:sz w:val="20"/>
          <w:szCs w:val="20"/>
          <w:color w:val="auto"/>
        </w:rPr>
      </w:pPr>
    </w:p>
    <w:p>
      <w:pPr>
        <w:ind w:left="980" w:hanging="286"/>
        <w:spacing w:after="0"/>
        <w:tabs>
          <w:tab w:leader="none" w:pos="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Certain operating statistics and metrics are not presented as they are not calculable or are not utilized by management.</w:t>
      </w:r>
    </w:p>
    <w:p>
      <w:pPr>
        <w:spacing w:after="0" w:line="10" w:lineRule="exact"/>
        <w:rPr>
          <w:sz w:val="20"/>
          <w:szCs w:val="20"/>
          <w:color w:val="auto"/>
        </w:rPr>
      </w:pPr>
    </w:p>
    <w:p>
      <w:pPr>
        <w:ind w:left="980" w:right="80" w:hanging="286"/>
        <w:spacing w:after="0" w:line="229" w:lineRule="auto"/>
        <w:tabs>
          <w:tab w:leader="none" w:pos="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Total System operating statistics for Departures, Block hours, Aircraft miles and ASMs include amounts related to flights operated for maintenance; therefore the Total System amounts are higher than the sum of Scheduled Service, Charter Service and Cargo Service amounts.</w:t>
      </w:r>
    </w:p>
    <w:p>
      <w:pPr>
        <w:spacing w:after="0" w:line="5" w:lineRule="exact"/>
        <w:rPr>
          <w:rFonts w:ascii="Arial" w:cs="Arial" w:eastAsia="Arial" w:hAnsi="Arial"/>
          <w:sz w:val="12"/>
          <w:szCs w:val="12"/>
          <w:color w:val="auto"/>
        </w:rPr>
      </w:pPr>
    </w:p>
    <w:p>
      <w:pPr>
        <w:ind w:left="980" w:hanging="286"/>
        <w:spacing w:after="0"/>
        <w:tabs>
          <w:tab w:leader="none" w:pos="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Scheduled service and charter service utilize the same fleet of aircraft. Aircraft counts and utilization metrics are shown on a system basis only.</w:t>
      </w:r>
    </w:p>
    <w:p>
      <w:pPr>
        <w:spacing w:after="0" w:line="10" w:lineRule="exact"/>
        <w:rPr>
          <w:rFonts w:ascii="Arial" w:cs="Arial" w:eastAsia="Arial" w:hAnsi="Arial"/>
          <w:sz w:val="12"/>
          <w:szCs w:val="12"/>
          <w:color w:val="auto"/>
        </w:rPr>
      </w:pPr>
    </w:p>
    <w:p>
      <w:pPr>
        <w:ind w:left="980" w:hanging="286"/>
        <w:spacing w:after="0"/>
        <w:tabs>
          <w:tab w:leader="none" w:pos="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Passenger-related statistics and metrics are shown only for scheduled service. Charter service revenue is driven by flight statistics.</w:t>
      </w:r>
    </w:p>
    <w:p>
      <w:pPr>
        <w:spacing w:after="0" w:line="10" w:lineRule="exact"/>
        <w:rPr>
          <w:rFonts w:ascii="Arial" w:cs="Arial" w:eastAsia="Arial" w:hAnsi="Arial"/>
          <w:sz w:val="12"/>
          <w:szCs w:val="12"/>
          <w:color w:val="auto"/>
        </w:rPr>
      </w:pPr>
    </w:p>
    <w:p>
      <w:pPr>
        <w:ind w:left="980" w:hanging="286"/>
        <w:spacing w:after="0"/>
        <w:tabs>
          <w:tab w:leader="none" w:pos="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CASM is a key airline cost metric. CASM is defined as operating expenses divided by total available seat miles.</w:t>
      </w:r>
    </w:p>
    <w:p>
      <w:pPr>
        <w:spacing w:after="0" w:line="10" w:lineRule="exact"/>
        <w:rPr>
          <w:rFonts w:ascii="Arial" w:cs="Arial" w:eastAsia="Arial" w:hAnsi="Arial"/>
          <w:sz w:val="12"/>
          <w:szCs w:val="12"/>
          <w:color w:val="auto"/>
        </w:rPr>
      </w:pPr>
    </w:p>
    <w:p>
      <w:pPr>
        <w:ind w:left="980" w:right="40" w:hanging="286"/>
        <w:spacing w:after="0" w:line="232" w:lineRule="auto"/>
        <w:tabs>
          <w:tab w:leader="none" w:pos="9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2122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7" w:name="page28"/>
    <w:bookmarkEnd w:id="27"/>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80" w:right="160"/>
        <w:spacing w:after="0" w:line="250" w:lineRule="auto"/>
        <w:rPr>
          <w:sz w:val="20"/>
          <w:szCs w:val="20"/>
          <w:color w:val="auto"/>
        </w:rPr>
      </w:pPr>
      <w:r>
        <w:rPr>
          <w:rFonts w:ascii="Arial" w:cs="Arial" w:eastAsia="Arial" w:hAnsi="Arial"/>
          <w:sz w:val="11"/>
          <w:szCs w:val="11"/>
          <w:color w:val="auto"/>
        </w:rPr>
        <w:t>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28"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15"/>
          </w:tcPr>
          <w:p>
            <w:pPr>
              <w:ind w:left="60"/>
              <w:spacing w:after="0"/>
              <w:rPr>
                <w:sz w:val="20"/>
                <w:szCs w:val="20"/>
                <w:color w:val="auto"/>
              </w:rPr>
            </w:pPr>
            <w:r>
              <w:rPr>
                <w:rFonts w:ascii="Arial" w:cs="Arial" w:eastAsia="Arial" w:hAnsi="Arial"/>
                <w:sz w:val="12"/>
                <w:szCs w:val="12"/>
                <w:b w:val="1"/>
                <w:bCs w:val="1"/>
                <w:color w:val="auto"/>
                <w:w w:val="93"/>
              </w:rPr>
              <w:t>For the three months ended March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gridSpan w:val="15"/>
          </w:tcPr>
          <w:p>
            <w:pPr>
              <w:ind w:left="260"/>
              <w:spacing w:after="0"/>
              <w:rPr>
                <w:sz w:val="20"/>
                <w:szCs w:val="20"/>
                <w:color w:val="auto"/>
              </w:rPr>
            </w:pPr>
            <w:r>
              <w:rPr>
                <w:rFonts w:ascii="Arial" w:cs="Arial" w:eastAsia="Arial" w:hAnsi="Arial"/>
                <w:sz w:val="12"/>
                <w:szCs w:val="12"/>
                <w:b w:val="1"/>
                <w:bCs w:val="1"/>
                <w:color w:val="auto"/>
              </w:rPr>
              <w:t>For the year ended December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7"/>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5"/>
          </w:tcPr>
          <w:p>
            <w:pPr>
              <w:jc w:val="right"/>
              <w:spacing w:after="0"/>
              <w:rPr>
                <w:sz w:val="20"/>
                <w:szCs w:val="20"/>
                <w:color w:val="auto"/>
              </w:rPr>
            </w:pPr>
            <w:r>
              <w:rPr>
                <w:rFonts w:ascii="Arial" w:cs="Arial" w:eastAsia="Arial" w:hAnsi="Arial"/>
                <w:sz w:val="12"/>
                <w:szCs w:val="12"/>
                <w:b w:val="1"/>
                <w:bCs w:val="1"/>
                <w:color w:val="auto"/>
              </w:rPr>
              <w:t>2017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49"/>
        </w:trPr>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3"/>
              </w:rPr>
              <w:t>Per ASM</w:t>
            </w:r>
          </w:p>
        </w:tc>
        <w:tc>
          <w:tcPr>
            <w:tcW w:w="60" w:type="dxa"/>
            <w:vAlign w:val="bottom"/>
          </w:tcPr>
          <w:p>
            <w:pPr>
              <w:spacing w:after="0"/>
              <w:rPr>
                <w:sz w:val="12"/>
                <w:szCs w:val="12"/>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5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3"/>
              </w:rPr>
              <w:t>Per ASM</w:t>
            </w:r>
          </w:p>
        </w:tc>
        <w:tc>
          <w:tcPr>
            <w:tcW w:w="60" w:type="dxa"/>
            <w:vAlign w:val="bottom"/>
          </w:tcPr>
          <w:p>
            <w:pPr>
              <w:spacing w:after="0"/>
              <w:rPr>
                <w:sz w:val="12"/>
                <w:szCs w:val="12"/>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4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3"/>
              </w:rPr>
              <w:t>Per ASM</w:t>
            </w:r>
          </w:p>
        </w:tc>
      </w:tr>
      <w:tr>
        <w:trPr>
          <w:trHeight w:val="150"/>
        </w:trPr>
        <w:tc>
          <w:tcPr>
            <w:tcW w:w="3320" w:type="dxa"/>
            <w:vAlign w:val="bottom"/>
          </w:tcPr>
          <w:p>
            <w:pPr>
              <w:spacing w:after="0"/>
              <w:rPr>
                <w:sz w:val="13"/>
                <w:szCs w:val="13"/>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3"/>
              </w:rPr>
              <w:t>thousands)</w:t>
            </w:r>
          </w:p>
        </w:tc>
        <w:tc>
          <w:tcPr>
            <w:tcW w:w="4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8"/>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CASM</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102,678</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7.46</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$165,100</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9.40</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$384,101</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8.91</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$623,262</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8.82</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$549,035</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10.05</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$530,008</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10.09</w:t>
            </w:r>
          </w:p>
        </w:tc>
      </w:tr>
      <w:tr>
        <w:trPr>
          <w:trHeight w:val="182"/>
        </w:trPr>
        <w:tc>
          <w:tcPr>
            <w:tcW w:w="3320" w:type="dxa"/>
            <w:vAlign w:val="bottom"/>
          </w:tcPr>
          <w:p>
            <w:pPr>
              <w:ind w:left="20"/>
              <w:spacing w:after="0"/>
              <w:rPr>
                <w:sz w:val="20"/>
                <w:szCs w:val="20"/>
                <w:color w:val="auto"/>
              </w:rPr>
            </w:pPr>
            <w:r>
              <w:rPr>
                <w:rFonts w:ascii="Arial" w:cs="Arial" w:eastAsia="Arial" w:hAnsi="Arial"/>
                <w:sz w:val="12"/>
                <w:szCs w:val="12"/>
                <w:color w:val="auto"/>
              </w:rPr>
              <w:t>Aircraft fuel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24,274</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1.76</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55,561</w:t>
            </w:r>
          </w:p>
        </w:tc>
        <w:tc>
          <w:tcPr>
            <w:tcW w:w="4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3.17</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83,392</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165,666</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2.35</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165,343</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3.03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118,382</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2.25</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Cargo expenses</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17,195</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31,429</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0.73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82"/>
        </w:trPr>
        <w:tc>
          <w:tcPr>
            <w:tcW w:w="3320" w:type="dxa"/>
            <w:vAlign w:val="bottom"/>
          </w:tcPr>
          <w:p>
            <w:pPr>
              <w:ind w:left="20"/>
              <w:spacing w:after="0"/>
              <w:rPr>
                <w:sz w:val="20"/>
                <w:szCs w:val="20"/>
                <w:color w:val="auto"/>
              </w:rPr>
            </w:pPr>
            <w:r>
              <w:rPr>
                <w:rFonts w:ascii="Arial" w:cs="Arial" w:eastAsia="Arial" w:hAnsi="Arial"/>
                <w:sz w:val="12"/>
                <w:szCs w:val="12"/>
                <w:color w:val="auto"/>
              </w:rPr>
              <w:t>Sun Country Vacations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w:t>
            </w:r>
          </w:p>
        </w:tc>
        <w:tc>
          <w:tcPr>
            <w:tcW w:w="4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2,448</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4,543</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0.08</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2,083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0.04</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Special items, net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9"/>
              </w:rPr>
              <w:t>(26,871)</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(1.95)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(64,563)</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7,092</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0.10</w:t>
            </w:r>
          </w:p>
        </w:tc>
        <w:tc>
          <w:tcPr>
            <w:tcW w:w="4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(6,435)</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82"/>
        </w:trPr>
        <w:tc>
          <w:tcPr>
            <w:tcW w:w="3320" w:type="dxa"/>
            <w:vAlign w:val="bottom"/>
          </w:tcPr>
          <w:p>
            <w:pPr>
              <w:ind w:left="20"/>
              <w:spacing w:after="0"/>
              <w:rPr>
                <w:sz w:val="20"/>
                <w:szCs w:val="20"/>
                <w:color w:val="auto"/>
              </w:rPr>
            </w:pPr>
            <w:r>
              <w:rPr>
                <w:rFonts w:ascii="Arial" w:cs="Arial" w:eastAsia="Arial" w:hAnsi="Arial"/>
                <w:sz w:val="12"/>
                <w:szCs w:val="12"/>
                <w:color w:val="auto"/>
              </w:rPr>
              <w:t>Stock compensation expense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0.21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2,110</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0.05</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1,888</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373</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receivable agreement expense</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264</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7"/>
        </w:trPr>
        <w:tc>
          <w:tcPr>
            <w:tcW w:w="3320" w:type="dxa"/>
            <w:vAlign w:val="bottom"/>
          </w:tcPr>
          <w:p>
            <w:pPr>
              <w:ind w:left="20"/>
              <w:spacing w:after="0"/>
              <w:rPr>
                <w:sz w:val="20"/>
                <w:szCs w:val="20"/>
                <w:color w:val="auto"/>
              </w:rPr>
            </w:pPr>
            <w:r>
              <w:rPr>
                <w:rFonts w:ascii="Arial" w:cs="Arial" w:eastAsia="Arial" w:hAnsi="Arial"/>
                <w:sz w:val="12"/>
                <w:szCs w:val="12"/>
                <w:color w:val="auto"/>
              </w:rPr>
              <w:t>Other adjustments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4,881</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0.12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4"/>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Adjusted CASM</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7"/>
              </w:rPr>
              <w:t>84,732</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6.15</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$108,982</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6.20</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$326,263</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7.57</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$445,942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6.31</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$385,211</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7.05</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$409,543</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7.80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6688455</wp:posOffset>
            </wp:positionH>
            <wp:positionV relativeFrom="paragraph">
              <wp:posOffset>-160020</wp:posOffset>
            </wp:positionV>
            <wp:extent cx="6985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-160020</wp:posOffset>
            </wp:positionV>
            <wp:extent cx="1257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-160020</wp:posOffset>
            </wp:positionV>
            <wp:extent cx="1257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-160020</wp:posOffset>
            </wp:positionV>
            <wp:extent cx="1257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-160020</wp:posOffset>
            </wp:positionV>
            <wp:extent cx="14668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-160020</wp:posOffset>
            </wp:positionV>
            <wp:extent cx="1397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-160020</wp:posOffset>
            </wp:positionV>
            <wp:extent cx="13271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-160020</wp:posOffset>
            </wp:positionV>
            <wp:extent cx="13271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-160020</wp:posOffset>
            </wp:positionV>
            <wp:extent cx="14668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-160020</wp:posOffset>
            </wp:positionV>
            <wp:extent cx="1397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-160020</wp:posOffset>
            </wp:positionV>
            <wp:extent cx="284670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6705" cy="698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-1122680</wp:posOffset>
            </wp:positionV>
            <wp:extent cx="2794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-1122680</wp:posOffset>
            </wp:positionV>
            <wp:extent cx="2794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5718810</wp:posOffset>
            </wp:positionH>
            <wp:positionV relativeFrom="paragraph">
              <wp:posOffset>-1122680</wp:posOffset>
            </wp:positionV>
            <wp:extent cx="2794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-1122680</wp:posOffset>
            </wp:positionV>
            <wp:extent cx="2794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-1122680</wp:posOffset>
            </wp:positionV>
            <wp:extent cx="279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-1122680</wp:posOffset>
            </wp:positionV>
            <wp:extent cx="279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-1122680</wp:posOffset>
            </wp:positionV>
            <wp:extent cx="279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-1122680</wp:posOffset>
            </wp:positionV>
            <wp:extent cx="2794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-1122680</wp:posOffset>
            </wp:positionV>
            <wp:extent cx="2794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-1122680</wp:posOffset>
            </wp:positionV>
            <wp:extent cx="281876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187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8" w:name="page29"/>
    <w:bookmarkEnd w:id="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Industry</w:t>
      </w:r>
    </w:p>
    <w:p>
      <w:pPr>
        <w:spacing w:after="0" w:line="183" w:lineRule="exact"/>
        <w:rPr>
          <w:sz w:val="20"/>
          <w:szCs w:val="20"/>
          <w:color w:val="auto"/>
        </w:rPr>
      </w:pPr>
    </w:p>
    <w:p>
      <w:pPr>
        <w:ind w:left="1160" w:right="1239"/>
        <w:spacing w:after="0" w:line="314" w:lineRule="auto"/>
        <w:rPr>
          <w:sz w:val="20"/>
          <w:szCs w:val="20"/>
          <w:color w:val="auto"/>
        </w:rPr>
      </w:pPr>
      <w:r>
        <w:rPr>
          <w:rFonts w:ascii="Arial" w:cs="Arial" w:eastAsia="Arial" w:hAnsi="Arial"/>
          <w:sz w:val="12"/>
          <w:szCs w:val="12"/>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p>
    <w:p>
      <w:pPr>
        <w:spacing w:after="0" w:line="58"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COVID- 19, which was first reported in December 2019, was declared a “Public Health Emergency of International Concern” by the World Health Organization (the “WHO”) .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 -19 pandemic, including restrictions on travel from certain international locations, and many foreign governments and jurisdictions instituted similar measures and declared states of emergency.</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Additional governmental and other restrictions and regulations that may be implemented in the future in response to COVID-19 could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88"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In the United States and other locations around the world, public events, such as conferences, sporting events and concerts, have been canceled, attractions, including theme parks and museums, have been closed, cruise lines have suspended operations, airlines have dramatically reduced their schedules and schools and businesses are operating with partial or full remote attendance, among other actions.</w:t>
      </w:r>
    </w:p>
    <w:p>
      <w:pPr>
        <w:spacing w:after="0" w:line="88"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We began experiencing a significant decline in demand related to COVID-19 during the first quarter of 2020, and this reduction in demand has continued through the date of this prospectus and is expected to continue for the foreseeable future. The decline in demand caused a material deterioration in our revenues. Our results of operations for fiscal year 2020 were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48" w:lineRule="auto"/>
        <w:rPr>
          <w:sz w:val="20"/>
          <w:szCs w:val="20"/>
          <w:color w:val="auto"/>
        </w:rPr>
      </w:pPr>
      <w:r>
        <w:rPr>
          <w:rFonts w:ascii="Arial" w:cs="Arial" w:eastAsia="Arial" w:hAnsi="Arial"/>
          <w:sz w:val="14"/>
          <w:szCs w:val="14"/>
          <w:color w:val="auto"/>
        </w:rPr>
        <w:t>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90"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In addition to the schedule reductions discussed above, we have reduced our planned capital expenditures and reduced operating expenditures for 2020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101"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$ 16.1 million in grants on February 2, 2021, an additional $16.1 million in grants on March 26, 2021 and an additional $4.8 million in grants on April 22, 2021 (collectively, the “Payroll Support Payments”) . Further, we were notified on April 15, 2021 that we would receive a grant of approximately $34.5 million under Payroll Support Program 3. Of this grant amount, $17.3 million was received on April 29, 2021.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was due to be repaid on the earlier of (i) October 24, 2025 or (ii) 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Risks Related to Our Business—We are subject to certain restrictions on our business as a result of our participation in governmental programs under the CARES Act and we may be subject to similar or other restrictions pursuant to future governmental programs</w:t>
      </w:r>
      <w:r>
        <w:rPr>
          <w:rFonts w:ascii="Arial" w:cs="Arial" w:eastAsia="Arial" w:hAnsi="Arial"/>
          <w:sz w:val="14"/>
          <w:szCs w:val="14"/>
          <w:color w:val="auto"/>
        </w:rPr>
        <w:t>.”</w:t>
      </w:r>
    </w:p>
    <w:p>
      <w:pPr>
        <w:spacing w:after="0" w:line="99"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92" w:lineRule="exact"/>
        <w:rPr>
          <w:sz w:val="20"/>
          <w:szCs w:val="20"/>
          <w:color w:val="auto"/>
        </w:rPr>
      </w:pPr>
    </w:p>
    <w:p>
      <w:pPr>
        <w:ind w:left="1160" w:right="1499" w:firstLine="293"/>
        <w:spacing w:after="0" w:line="239" w:lineRule="auto"/>
        <w:rPr>
          <w:sz w:val="20"/>
          <w:szCs w:val="20"/>
          <w:color w:val="auto"/>
        </w:rPr>
      </w:pPr>
      <w:r>
        <w:rPr>
          <w:rFonts w:ascii="Arial" w:cs="Arial" w:eastAsia="Arial" w:hAnsi="Arial"/>
          <w:sz w:val="15"/>
          <w:szCs w:val="15"/>
          <w:color w:val="auto"/>
        </w:rPr>
        <w:t>The industry may also be subject to enhanced health and hygiene requirements in attempts to counteract future outbreaks, which requirements may be costly and take a significant amount of time to implement.</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88"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92"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91" w:lineRule="exact"/>
        <w:rPr>
          <w:sz w:val="20"/>
          <w:szCs w:val="20"/>
          <w:color w:val="auto"/>
        </w:rPr>
      </w:pPr>
    </w:p>
    <w:p>
      <w:pPr>
        <w:ind w:left="1160" w:right="1299" w:firstLine="293"/>
        <w:spacing w:after="0" w:line="252" w:lineRule="auto"/>
        <w:rPr>
          <w:sz w:val="20"/>
          <w:szCs w:val="20"/>
          <w:color w:val="auto"/>
        </w:rPr>
      </w:pPr>
      <w:r>
        <w:rPr>
          <w:rFonts w:ascii="Arial" w:cs="Arial" w:eastAsia="Arial" w:hAnsi="Arial"/>
          <w:sz w:val="14"/>
          <w:szCs w:val="14"/>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 -19 pandemic levels on a timely basis or at all. The impact that the COVID-19 pandemic will have on our businesses, operating results, financial condition and liquidity could exacerbate the other risks identified in this prospectus.</w:t>
      </w:r>
    </w:p>
    <w:p>
      <w:pPr>
        <w:spacing w:after="0" w:line="146" w:lineRule="exact"/>
        <w:rPr>
          <w:sz w:val="20"/>
          <w:szCs w:val="20"/>
          <w:color w:val="auto"/>
        </w:rPr>
      </w:pPr>
    </w:p>
    <w:p>
      <w:pPr>
        <w:ind w:left="1160" w:right="1239"/>
        <w:spacing w:after="0" w:line="307" w:lineRule="auto"/>
        <w:rPr>
          <w:sz w:val="20"/>
          <w:szCs w:val="20"/>
          <w:color w:val="auto"/>
        </w:rPr>
      </w:pPr>
      <w:r>
        <w:rPr>
          <w:rFonts w:ascii="Arial" w:cs="Arial" w:eastAsia="Arial" w:hAnsi="Arial"/>
          <w:sz w:val="12"/>
          <w:szCs w:val="12"/>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40"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 -19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The potential efficacy and availability of a COVID- 19 vaccine and the extent to which a vaccine is widely accepted is highly uncertain, and we cannot predict if or when we will be able to resume normal operations. The failure of a vaccine, including to the extent it is not effective against any COVID- 19 variants, significant unplanned adverse reactions to the vaccine, politicization of the vaccine or general public distrust of the vaccine could have an adverse effect on our business, results of operations, financial condition and prospects.</w:t>
      </w:r>
    </w:p>
    <w:p>
      <w:pPr>
        <w:spacing w:after="0" w:line="149" w:lineRule="exact"/>
        <w:rPr>
          <w:sz w:val="20"/>
          <w:szCs w:val="20"/>
          <w:color w:val="auto"/>
        </w:rPr>
      </w:pPr>
    </w:p>
    <w:p>
      <w:pPr>
        <w:ind w:left="1160" w:right="1479"/>
        <w:spacing w:after="0" w:line="328" w:lineRule="auto"/>
        <w:rPr>
          <w:sz w:val="20"/>
          <w:szCs w:val="20"/>
          <w:color w:val="auto"/>
        </w:rPr>
      </w:pPr>
      <w:r>
        <w:rPr>
          <w:rFonts w:ascii="Arial" w:cs="Arial" w:eastAsia="Arial" w:hAnsi="Arial"/>
          <w:sz w:val="12"/>
          <w:szCs w:val="12"/>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38" w:lineRule="exact"/>
        <w:rPr>
          <w:sz w:val="20"/>
          <w:szCs w:val="20"/>
          <w:color w:val="auto"/>
        </w:rPr>
      </w:pPr>
    </w:p>
    <w:p>
      <w:pPr>
        <w:ind w:left="1160" w:right="1239" w:firstLine="293"/>
        <w:spacing w:after="0" w:line="323" w:lineRule="auto"/>
        <w:rPr>
          <w:sz w:val="20"/>
          <w:szCs w:val="20"/>
          <w:color w:val="auto"/>
        </w:rPr>
      </w:pPr>
      <w:r>
        <w:rPr>
          <w:rFonts w:ascii="Arial" w:cs="Arial" w:eastAsia="Arial" w:hAnsi="Arial"/>
          <w:sz w:val="13"/>
          <w:szCs w:val="13"/>
          <w:color w:val="auto"/>
        </w:rPr>
        <w:t>The demand for travel and cargo services is affected by U.S. and global economic conditions. Unfavorable economic conditions have historically reduced aviation spending. For most passengers visiting</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 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COVID- 19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59" w:lineRule="exact"/>
        <w:rPr>
          <w:sz w:val="20"/>
          <w:szCs w:val="20"/>
          <w:color w:val="auto"/>
        </w:rPr>
      </w:pPr>
    </w:p>
    <w:p>
      <w:pPr>
        <w:jc w:val="both"/>
        <w:ind w:left="1160" w:right="1199"/>
        <w:spacing w:after="0" w:line="328" w:lineRule="auto"/>
        <w:rPr>
          <w:sz w:val="20"/>
          <w:szCs w:val="20"/>
          <w:color w:val="auto"/>
        </w:rPr>
      </w:pPr>
      <w:r>
        <w:rPr>
          <w:rFonts w:ascii="Arial" w:cs="Arial" w:eastAsia="Arial" w:hAnsi="Arial"/>
          <w:sz w:val="12"/>
          <w:szCs w:val="12"/>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3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96"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9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82" w:lineRule="exact"/>
        <w:rPr>
          <w:sz w:val="20"/>
          <w:szCs w:val="20"/>
          <w:color w:val="auto"/>
        </w:rPr>
      </w:pPr>
    </w:p>
    <w:p>
      <w:pPr>
        <w:ind w:left="1160" w:right="1499" w:firstLine="293"/>
        <w:spacing w:after="0" w:line="281" w:lineRule="auto"/>
        <w:rPr>
          <w:sz w:val="20"/>
          <w:szCs w:val="20"/>
          <w:color w:val="auto"/>
        </w:rPr>
      </w:pPr>
      <w:r>
        <w:rPr>
          <w:rFonts w:ascii="Arial" w:cs="Arial" w:eastAsia="Arial" w:hAnsi="Arial"/>
          <w:sz w:val="14"/>
          <w:szCs w:val="14"/>
          <w:color w:val="auto"/>
        </w:rPr>
        <w:t>From time to time, we may enter into fuel derivative contracts in order to mitigate the risk to our business from future volatility in fuel prices but such contracts may not fully protect us from all related risks. As of December 31, 2020, we had hedges in place for approximately 37% of our projected fuel</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4" w:lineRule="auto"/>
        <w:rPr>
          <w:sz w:val="20"/>
          <w:szCs w:val="20"/>
          <w:color w:val="auto"/>
        </w:rPr>
      </w:pPr>
      <w:r>
        <w:rPr>
          <w:rFonts w:ascii="Arial" w:cs="Arial" w:eastAsia="Arial" w:hAnsi="Arial"/>
          <w:sz w:val="15"/>
          <w:szCs w:val="15"/>
          <w:color w:val="auto"/>
        </w:rPr>
        <w:t>requirements for scheduled service operations in 2021, with all of our then existing options expected to be exercised or expire by the end of 2021. 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9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52"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9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50" w:lineRule="exact"/>
        <w:rPr>
          <w:sz w:val="20"/>
          <w:szCs w:val="20"/>
          <w:color w:val="auto"/>
        </w:rPr>
      </w:pPr>
    </w:p>
    <w:p>
      <w:pPr>
        <w:ind w:left="1160" w:right="1299"/>
        <w:spacing w:after="0" w:line="254" w:lineRule="auto"/>
        <w:rPr>
          <w:sz w:val="20"/>
          <w:szCs w:val="20"/>
          <w:color w:val="auto"/>
        </w:rPr>
      </w:pPr>
      <w:r>
        <w:rPr>
          <w:rFonts w:ascii="Arial" w:cs="Arial" w:eastAsia="Arial" w:hAnsi="Arial"/>
          <w:sz w:val="15"/>
          <w:szCs w:val="15"/>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01"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82"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5"/>
          <w:szCs w:val="15"/>
          <w:color w:val="auto"/>
        </w:rPr>
        <w:t>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9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0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97"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9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05" w:lineRule="exact"/>
        <w:rPr>
          <w:sz w:val="20"/>
          <w:szCs w:val="20"/>
          <w:color w:val="auto"/>
        </w:rPr>
      </w:pPr>
    </w:p>
    <w:p>
      <w:pPr>
        <w:ind w:left="1160" w:right="1239" w:firstLine="293"/>
        <w:spacing w:after="0" w:line="302" w:lineRule="auto"/>
        <w:rPr>
          <w:sz w:val="20"/>
          <w:szCs w:val="20"/>
          <w:color w:val="auto"/>
        </w:rPr>
      </w:pPr>
      <w:r>
        <w:rPr>
          <w:rFonts w:ascii="Arial" w:cs="Arial" w:eastAsia="Arial" w:hAnsi="Arial"/>
          <w:sz w:val="13"/>
          <w:szCs w:val="13"/>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72"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95"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97" w:lineRule="auto"/>
        <w:rPr>
          <w:sz w:val="20"/>
          <w:szCs w:val="20"/>
          <w:color w:val="auto"/>
        </w:rPr>
      </w:pPr>
      <w:r>
        <w:rPr>
          <w:rFonts w:ascii="Arial" w:cs="Arial" w:eastAsia="Arial" w:hAnsi="Arial"/>
          <w:sz w:val="13"/>
          <w:szCs w:val="13"/>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64"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99" w:lineRule="exact"/>
        <w:rPr>
          <w:sz w:val="20"/>
          <w:szCs w:val="20"/>
          <w:color w:val="auto"/>
        </w:rPr>
      </w:pPr>
    </w:p>
    <w:p>
      <w:pPr>
        <w:ind w:left="1160" w:right="1179" w:firstLine="293"/>
        <w:spacing w:after="0" w:line="285" w:lineRule="auto"/>
        <w:rPr>
          <w:sz w:val="20"/>
          <w:szCs w:val="20"/>
          <w:color w:val="auto"/>
        </w:rPr>
      </w:pPr>
      <w:r>
        <w:rPr>
          <w:rFonts w:ascii="Arial" w:cs="Arial" w:eastAsia="Arial" w:hAnsi="Arial"/>
          <w:sz w:val="13"/>
          <w:szCs w:val="13"/>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313" w:lineRule="exact"/>
        <w:rPr>
          <w:sz w:val="20"/>
          <w:szCs w:val="20"/>
          <w:color w:val="auto"/>
        </w:rPr>
      </w:pPr>
    </w:p>
    <w:p>
      <w:pPr>
        <w:ind w:left="1160" w:right="1279"/>
        <w:spacing w:after="0" w:line="390" w:lineRule="auto"/>
        <w:rPr>
          <w:sz w:val="20"/>
          <w:szCs w:val="20"/>
          <w:color w:val="auto"/>
        </w:rPr>
      </w:pPr>
      <w:r>
        <w:rPr>
          <w:rFonts w:ascii="Arial" w:cs="Arial" w:eastAsia="Arial" w:hAnsi="Arial"/>
          <w:sz w:val="12"/>
          <w:szCs w:val="12"/>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24" w:lineRule="exact"/>
        <w:rPr>
          <w:sz w:val="20"/>
          <w:szCs w:val="20"/>
          <w:color w:val="auto"/>
        </w:rPr>
      </w:pPr>
    </w:p>
    <w:p>
      <w:pPr>
        <w:ind w:left="1160" w:right="1179" w:firstLine="293"/>
        <w:spacing w:after="0" w:line="297" w:lineRule="auto"/>
        <w:rPr>
          <w:sz w:val="20"/>
          <w:szCs w:val="20"/>
          <w:color w:val="auto"/>
        </w:rPr>
      </w:pPr>
      <w:r>
        <w:rPr>
          <w:rFonts w:ascii="Arial" w:cs="Arial" w:eastAsia="Arial" w:hAnsi="Arial"/>
          <w:sz w:val="13"/>
          <w:szCs w:val="13"/>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323" w:lineRule="auto"/>
        <w:rPr>
          <w:sz w:val="20"/>
          <w:szCs w:val="20"/>
          <w:color w:val="auto"/>
        </w:rPr>
      </w:pPr>
      <w:r>
        <w:rPr>
          <w:rFonts w:ascii="Arial" w:cs="Arial" w:eastAsia="Arial" w:hAnsi="Arial"/>
          <w:sz w:val="13"/>
          <w:szCs w:val="13"/>
          <w:color w:val="auto"/>
        </w:rPr>
        <w:t>occurrence of any of these events in markets served by us now or in the future and the resulting instability may have a material adverse effect on our business, results of operations and financial condition.</w:t>
      </w:r>
    </w:p>
    <w:p>
      <w:pPr>
        <w:spacing w:after="0" w:line="37"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 -party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54" w:lineRule="exact"/>
        <w:rPr>
          <w:sz w:val="20"/>
          <w:szCs w:val="20"/>
          <w:color w:val="auto"/>
        </w:rPr>
      </w:pPr>
    </w:p>
    <w:p>
      <w:pPr>
        <w:ind w:left="1160" w:right="1699"/>
        <w:spacing w:after="0" w:line="248" w:lineRule="auto"/>
        <w:rPr>
          <w:sz w:val="20"/>
          <w:szCs w:val="20"/>
          <w:color w:val="auto"/>
        </w:rPr>
      </w:pPr>
      <w:r>
        <w:rPr>
          <w:rFonts w:ascii="Arial" w:cs="Arial" w:eastAsia="Arial" w:hAnsi="Arial"/>
          <w:sz w:val="15"/>
          <w:szCs w:val="15"/>
          <w:b w:val="1"/>
          <w:bCs w:val="1"/>
          <w:i w:val="1"/>
          <w:iCs w:val="1"/>
          <w:color w:val="auto"/>
        </w:rPr>
        <w:t>Increases in insurance costs or reductions in insurance coverage may have a material adverse effect on our business, results of operations and financial condition.</w:t>
      </w:r>
    </w:p>
    <w:p>
      <w:pPr>
        <w:spacing w:after="0" w:line="94"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01"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4"/>
          <w:szCs w:val="14"/>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 -party war risk (terrorism) insurance or if an event not covered by the insurance we maintain were to take place, our business could be materially adversely affected.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airline industry is heavily taxed.</w:t>
      </w:r>
    </w:p>
    <w:p>
      <w:pPr>
        <w:spacing w:after="0" w:line="113"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3"/>
          <w:szCs w:val="13"/>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54"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9" w:lineRule="auto"/>
        <w:rPr>
          <w:sz w:val="20"/>
          <w:szCs w:val="20"/>
          <w:color w:val="auto"/>
        </w:rPr>
      </w:pPr>
      <w:r>
        <w:rPr>
          <w:rFonts w:ascii="Arial" w:cs="Arial" w:eastAsia="Arial" w:hAnsi="Arial"/>
          <w:sz w:val="15"/>
          <w:szCs w:val="15"/>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8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color w:val="auto"/>
        </w:rPr>
        <w:t>For the years ended December 31, 2020, 2019 and 2018, we generated ancillary revenues of approximately $68.1 million, $ 118.2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3"/>
          <w:szCs w:val="13"/>
          <w:i w:val="1"/>
          <w:iCs w:val="1"/>
          <w:color w:val="auto"/>
        </w:rPr>
        <w:t>Risks Related</w:t>
      </w:r>
      <w:r>
        <w:rPr>
          <w:rFonts w:ascii="Arial" w:cs="Arial" w:eastAsia="Arial" w:hAnsi="Arial"/>
          <w:sz w:val="13"/>
          <w:szCs w:val="13"/>
          <w:color w:val="auto"/>
        </w:rPr>
        <w:t xml:space="preserve"> </w:t>
      </w:r>
      <w:r>
        <w:rPr>
          <w:rFonts w:ascii="Arial" w:cs="Arial" w:eastAsia="Arial" w:hAnsi="Arial"/>
          <w:sz w:val="13"/>
          <w:szCs w:val="13"/>
          <w:i w:val="1"/>
          <w:iCs w:val="1"/>
          <w:color w:val="auto"/>
        </w:rPr>
        <w:t>to Our Business—We are subject to extensive regulation by the FAA, the 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3"/>
          <w:szCs w:val="13"/>
          <w:color w:val="auto"/>
        </w:rPr>
        <w:t>.”</w:t>
      </w:r>
    </w:p>
    <w:p>
      <w:pPr>
        <w:spacing w:after="0" w:line="307" w:lineRule="exact"/>
        <w:rPr>
          <w:sz w:val="20"/>
          <w:szCs w:val="20"/>
          <w:color w:val="auto"/>
        </w:rPr>
      </w:pPr>
    </w:p>
    <w:p>
      <w:pPr>
        <w:ind w:left="1160" w:right="1619"/>
        <w:spacing w:after="0" w:line="248" w:lineRule="auto"/>
        <w:rPr>
          <w:sz w:val="20"/>
          <w:szCs w:val="20"/>
          <w:color w:val="auto"/>
        </w:rPr>
      </w:pPr>
      <w:r>
        <w:rPr>
          <w:rFonts w:ascii="Arial" w:cs="Arial" w:eastAsia="Arial" w:hAnsi="Arial"/>
          <w:sz w:val="15"/>
          <w:szCs w:val="15"/>
          <w:b w:val="1"/>
          <w:bCs w:val="1"/>
          <w:i w:val="1"/>
          <w:iCs w:val="1"/>
          <w:color w:val="auto"/>
        </w:rPr>
        <w:t>We are subject to risks associated with climate change, including increased regulation to reduce emissions of greenhouse gases.</w:t>
      </w:r>
    </w:p>
    <w:p>
      <w:pPr>
        <w:spacing w:after="0" w:line="9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10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including in the aviation there may be future rulemaking that sector,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85"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In addition, in October 2016, the ICAO adopted the Carbon Offsetting and Reduction Scheme for International Aviation, or CORSIA, which is a global, market-based emissions offset program designed to</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50" w:lineRule="auto"/>
        <w:rPr>
          <w:sz w:val="20"/>
          <w:szCs w:val="20"/>
          <w:color w:val="auto"/>
        </w:rPr>
      </w:pPr>
      <w:r>
        <w:rPr>
          <w:rFonts w:ascii="Arial" w:cs="Arial" w:eastAsia="Arial" w:hAnsi="Arial"/>
          <w:sz w:val="14"/>
          <w:szCs w:val="14"/>
          <w:color w:val="auto"/>
        </w:rPr>
        <w:t>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84"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face competition from air travel substitutes.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 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If we fail to implement our business strategy successfully, our business will be materially adversely affected.</w:t>
      </w:r>
    </w:p>
    <w:p>
      <w:pPr>
        <w:spacing w:after="0" w:line="159"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Our business strategy includes growth in our aircraft fleet, expansion of markets we serve by building out our MSP hub, growing our seat share at MSP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61" w:lineRule="exact"/>
        <w:rPr>
          <w:sz w:val="20"/>
          <w:szCs w:val="20"/>
          <w:color w:val="auto"/>
        </w:rPr>
      </w:pPr>
    </w:p>
    <w:p>
      <w:pPr>
        <w:ind w:left="1600" w:right="123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sustain our relatively low unit costs, continue to realize attractive revenue performance and maintain profitability; stimulate traffic with low fares;</w:t>
      </w:r>
    </w:p>
    <w:p>
      <w:pPr>
        <w:spacing w:after="0" w:line="59"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 an optimal level of aircraft utilization, balanced with a low aircraft acquisition cost, to execute our scheduled, cargo and charter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access airports located in our targeted geographic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 operational performance necessary to complete all flights.</w:t>
      </w:r>
    </w:p>
    <w:p>
      <w:pPr>
        <w:spacing w:after="0" w:line="113" w:lineRule="exact"/>
        <w:rPr>
          <w:sz w:val="20"/>
          <w:szCs w:val="20"/>
          <w:color w:val="auto"/>
        </w:rPr>
      </w:pPr>
    </w:p>
    <w:p>
      <w:pPr>
        <w:ind w:left="1160" w:right="1259" w:firstLine="293"/>
        <w:spacing w:after="0" w:line="311" w:lineRule="auto"/>
        <w:rPr>
          <w:sz w:val="20"/>
          <w:szCs w:val="20"/>
          <w:color w:val="auto"/>
        </w:rPr>
      </w:pPr>
      <w:r>
        <w:rPr>
          <w:rFonts w:ascii="Arial" w:cs="Arial" w:eastAsia="Arial" w:hAnsi="Arial"/>
          <w:sz w:val="13"/>
          <w:szCs w:val="13"/>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business, results of operations and financial condition. There can be no assurances that we will be able to grow our business at MSP or in non-MSP markets as we anticipate, or at all.</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55" w:lineRule="exact"/>
        <w:rPr>
          <w:sz w:val="20"/>
          <w:szCs w:val="20"/>
          <w:color w:val="auto"/>
        </w:rPr>
      </w:pPr>
    </w:p>
    <w:p>
      <w:pPr>
        <w:ind w:left="1160" w:right="1299"/>
        <w:spacing w:after="0" w:line="264"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was,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anticipated strategic and financial benefits of the ATSA may not be realized.</w:t>
      </w:r>
    </w:p>
    <w:p>
      <w:pPr>
        <w:spacing w:after="0" w:line="124"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58" w:lineRule="auto"/>
        <w:rPr>
          <w:sz w:val="20"/>
          <w:szCs w:val="20"/>
          <w:color w:val="auto"/>
        </w:rPr>
      </w:pPr>
      <w:r>
        <w:rPr>
          <w:rFonts w:ascii="Arial" w:cs="Arial" w:eastAsia="Arial" w:hAnsi="Arial"/>
          <w:sz w:val="14"/>
          <w:szCs w:val="14"/>
          <w:color w:val="auto"/>
        </w:rPr>
        <w:t>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43" w:lineRule="exact"/>
        <w:rPr>
          <w:sz w:val="20"/>
          <w:szCs w:val="20"/>
          <w:color w:val="auto"/>
        </w:rPr>
      </w:pPr>
    </w:p>
    <w:p>
      <w:pPr>
        <w:ind w:left="1160" w:right="1419"/>
        <w:spacing w:after="0" w:line="323" w:lineRule="auto"/>
        <w:rPr>
          <w:sz w:val="20"/>
          <w:szCs w:val="20"/>
          <w:color w:val="auto"/>
        </w:rPr>
      </w:pPr>
      <w:r>
        <w:rPr>
          <w:rFonts w:ascii="Arial" w:cs="Arial" w:eastAsia="Arial" w:hAnsi="Arial"/>
          <w:sz w:val="13"/>
          <w:szCs w:val="13"/>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37"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8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92"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47"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b w:val="1"/>
          <w:bCs w:val="1"/>
          <w:i w:val="1"/>
          <w:iCs w:val="1"/>
          <w:color w:val="auto"/>
        </w:rPr>
        <w:t>Our low-cost structure is one of our primary competitive advantages, and many factors could affect our ability to control our costs.</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Our low- 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4"/>
          <w:szCs w:val="14"/>
          <w:i w:val="1"/>
          <w:iCs w:val="1"/>
          <w:color w:val="auto"/>
        </w:rPr>
        <w:t>Increased labor costs, union disputes,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employee strikes and other labor-related disruption may adversely affect our business, results of operations and financial condition </w:t>
      </w:r>
      <w:r>
        <w:rPr>
          <w:rFonts w:ascii="Arial" w:cs="Arial" w:eastAsia="Arial" w:hAnsi="Arial"/>
          <w:sz w:val="14"/>
          <w:szCs w:val="14"/>
          <w:color w:val="auto"/>
        </w:rPr>
        <w:t>.” We cannot guarantee we will be able to maintain our relatively low costs. If our</w:t>
      </w:r>
      <w:r>
        <w:rPr>
          <w:rFonts w:ascii="Arial" w:cs="Arial" w:eastAsia="Arial" w:hAnsi="Arial"/>
          <w:sz w:val="14"/>
          <w:szCs w:val="14"/>
          <w:i w:val="1"/>
          <w:iCs w:val="1"/>
          <w:color w:val="auto"/>
        </w:rPr>
        <w:t xml:space="preserve"> </w:t>
      </w:r>
      <w:r>
        <w:rPr>
          <w:rFonts w:ascii="Arial" w:cs="Arial" w:eastAsia="Arial" w:hAnsi="Arial"/>
          <w:sz w:val="14"/>
          <w:szCs w:val="14"/>
          <w:color w:val="auto"/>
        </w:rPr>
        <w:t>cost structure increases and we are no longer able to maintain a competitive cost structure, it could have a material adverse effect on our business, results of operations and financial condition.</w:t>
      </w:r>
    </w:p>
    <w:p>
      <w:pPr>
        <w:spacing w:after="0" w:line="151" w:lineRule="exact"/>
        <w:rPr>
          <w:sz w:val="20"/>
          <w:szCs w:val="20"/>
          <w:color w:val="auto"/>
        </w:rPr>
      </w:pPr>
    </w:p>
    <w:p>
      <w:pPr>
        <w:ind w:left="1160" w:right="1239"/>
        <w:spacing w:after="0" w:line="370" w:lineRule="auto"/>
        <w:rPr>
          <w:sz w:val="20"/>
          <w:szCs w:val="20"/>
          <w:color w:val="auto"/>
        </w:rPr>
      </w:pPr>
      <w:r>
        <w:rPr>
          <w:rFonts w:ascii="Arial" w:cs="Arial" w:eastAsia="Arial" w:hAnsi="Arial"/>
          <w:sz w:val="12"/>
          <w:szCs w:val="12"/>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25" w:lineRule="exact"/>
        <w:rPr>
          <w:sz w:val="20"/>
          <w:szCs w:val="20"/>
          <w:color w:val="auto"/>
        </w:rPr>
      </w:pPr>
    </w:p>
    <w:p>
      <w:pPr>
        <w:ind w:left="1160" w:right="1239" w:firstLine="293"/>
        <w:spacing w:after="0" w:line="273" w:lineRule="auto"/>
        <w:rPr>
          <w:sz w:val="20"/>
          <w:szCs w:val="20"/>
          <w:color w:val="auto"/>
        </w:rPr>
      </w:pPr>
      <w:r>
        <w:rPr>
          <w:rFonts w:ascii="Arial" w:cs="Arial" w:eastAsia="Arial" w:hAnsi="Arial"/>
          <w:sz w:val="13"/>
          <w:szCs w:val="13"/>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39" w:lineRule="auto"/>
        <w:rPr>
          <w:sz w:val="20"/>
          <w:szCs w:val="20"/>
          <w:color w:val="auto"/>
        </w:rPr>
      </w:pPr>
      <w:r>
        <w:rPr>
          <w:rFonts w:ascii="Arial" w:cs="Arial" w:eastAsia="Arial" w:hAnsi="Arial"/>
          <w:sz w:val="15"/>
          <w:szCs w:val="15"/>
          <w:color w:val="auto"/>
        </w:rPr>
        <w:t>airline were to successfully develop low- cost or low-fare products or if we were to experience increased competition from LCCs or ULCCs in the Minneapolis market, our business, results of operations and prospects could be materially adversely affected.</w:t>
      </w:r>
    </w:p>
    <w:p>
      <w:pPr>
        <w:spacing w:after="0" w:line="89"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00"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44"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Our reputation and business could be adversely affected in the event of an accident or similar public incident involving our aircraft or personnel.</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any accident involving the Boeing 737-NG or an aircraft similar to the Boeing 737 -NG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 consuming and costly. The resolution of this matter or similar matters in the future could have an impact on our results of operations, financial condition, business and prospects.</w:t>
      </w:r>
    </w:p>
    <w:p>
      <w:pPr>
        <w:spacing w:after="0" w:line="149" w:lineRule="exact"/>
        <w:rPr>
          <w:sz w:val="20"/>
          <w:szCs w:val="20"/>
          <w:color w:val="auto"/>
        </w:rPr>
      </w:pPr>
    </w:p>
    <w:p>
      <w:pPr>
        <w:ind w:left="1160" w:right="1399"/>
        <w:spacing w:after="0" w:line="328" w:lineRule="auto"/>
        <w:rPr>
          <w:sz w:val="20"/>
          <w:szCs w:val="20"/>
          <w:color w:val="auto"/>
        </w:rPr>
      </w:pPr>
      <w:r>
        <w:rPr>
          <w:rFonts w:ascii="Arial" w:cs="Arial" w:eastAsia="Arial" w:hAnsi="Arial"/>
          <w:sz w:val="12"/>
          <w:szCs w:val="12"/>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49"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92"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 -party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 -technical issues, including breaches by us or by persons with whom we have commercial relationships that result in the unauthorized release of personal or confidential information.</w:t>
      </w:r>
    </w:p>
    <w:p>
      <w:pPr>
        <w:spacing w:after="0" w:line="101"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We rely on third-party providers and other commercial partners to perform functions integral to our operations.</w:t>
      </w:r>
    </w:p>
    <w:p>
      <w:pPr>
        <w:spacing w:after="0" w:line="159"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80"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rely on third-party distribution channels to distribute a portion of our airline tickets.</w:t>
      </w:r>
    </w:p>
    <w:p>
      <w:pPr>
        <w:spacing w:after="0" w:line="11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52"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83"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4"/>
          <w:szCs w:val="14"/>
          <w:i w:val="1"/>
          <w:iCs w:val="1"/>
          <w:color w:val="auto"/>
        </w:rPr>
        <w:t>Navitaire</w:t>
      </w:r>
      <w:r>
        <w:rPr>
          <w:rFonts w:ascii="Arial" w:cs="Arial" w:eastAsia="Arial" w:hAnsi="Arial"/>
          <w:sz w:val="14"/>
          <w:szCs w:val="14"/>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0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grow or maintain our unit revenues or maintain our ancillary revenues.</w:t>
      </w:r>
    </w:p>
    <w:p>
      <w:pPr>
        <w:spacing w:after="0" w:line="113" w:lineRule="exact"/>
        <w:rPr>
          <w:sz w:val="20"/>
          <w:szCs w:val="20"/>
          <w:color w:val="auto"/>
        </w:rPr>
      </w:pPr>
    </w:p>
    <w:p>
      <w:pPr>
        <w:ind w:left="1160" w:right="1219" w:firstLine="297"/>
        <w:spacing w:after="0" w:line="249" w:lineRule="auto"/>
        <w:tabs>
          <w:tab w:leader="none" w:pos="16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94"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operate a single aircraft type.</w:t>
      </w:r>
    </w:p>
    <w:p>
      <w:pPr>
        <w:spacing w:after="0" w:line="124" w:lineRule="exact"/>
        <w:rPr>
          <w:sz w:val="20"/>
          <w:szCs w:val="20"/>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critical cost-saving element of our business strategy is to operate a single-family aircraft fleet;</w:t>
      </w:r>
    </w:p>
    <w:p>
      <w:pPr>
        <w:spacing w:after="0" w:line="14" w:lineRule="exact"/>
        <w:rPr>
          <w:rFonts w:ascii="Arial" w:cs="Arial" w:eastAsia="Arial" w:hAnsi="Arial"/>
          <w:sz w:val="15"/>
          <w:szCs w:val="15"/>
          <w:color w:val="auto"/>
        </w:rPr>
      </w:pPr>
    </w:p>
    <w:p>
      <w:pPr>
        <w:ind w:left="1160" w:right="1179"/>
        <w:spacing w:after="0" w:line="264" w:lineRule="auto"/>
        <w:rPr>
          <w:rFonts w:ascii="Arial" w:cs="Arial" w:eastAsia="Arial" w:hAnsi="Arial"/>
          <w:sz w:val="15"/>
          <w:szCs w:val="15"/>
          <w:color w:val="auto"/>
        </w:rPr>
      </w:pPr>
      <w:r>
        <w:rPr>
          <w:rFonts w:ascii="Arial" w:cs="Arial" w:eastAsia="Arial" w:hAnsi="Arial"/>
          <w:sz w:val="14"/>
          <w:szCs w:val="14"/>
          <w:color w:val="auto"/>
        </w:rPr>
        <w:t>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52"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Increased labor costs, union disputes, employee strikes and other labor-related disruption may adversely affect our business, results of operations and financial condition.</w:t>
      </w:r>
    </w:p>
    <w:p>
      <w:pPr>
        <w:spacing w:after="0" w:line="82"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89"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79"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See also “</w:t>
      </w:r>
      <w:r>
        <w:rPr>
          <w:rFonts w:ascii="Arial" w:cs="Arial" w:eastAsia="Arial" w:hAnsi="Arial"/>
          <w:sz w:val="14"/>
          <w:szCs w:val="14"/>
          <w:i w:val="1"/>
          <w:iCs w:val="1"/>
          <w:color w:val="auto"/>
        </w:rPr>
        <w:t>Business—Employees</w:t>
      </w:r>
      <w:r>
        <w:rPr>
          <w:rFonts w:ascii="Arial" w:cs="Arial" w:eastAsia="Arial" w:hAnsi="Arial"/>
          <w:sz w:val="14"/>
          <w:szCs w:val="14"/>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60"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b w:val="1"/>
          <w:bCs w:val="1"/>
          <w:i w:val="1"/>
          <w:iCs w:val="1"/>
          <w:color w:val="auto"/>
        </w:rPr>
        <w:t>Changes in law, regulation and government policy have affected, and may in the future have a material adverse effect on our business.</w:t>
      </w:r>
    </w:p>
    <w:p>
      <w:pPr>
        <w:spacing w:after="0" w:line="7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99"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55" w:lineRule="exact"/>
        <w:rPr>
          <w:sz w:val="20"/>
          <w:szCs w:val="20"/>
          <w:color w:val="auto"/>
        </w:rPr>
      </w:pPr>
    </w:p>
    <w:p>
      <w:pPr>
        <w:ind w:left="1160" w:right="1199"/>
        <w:spacing w:after="0" w:line="370" w:lineRule="auto"/>
        <w:rPr>
          <w:sz w:val="20"/>
          <w:szCs w:val="20"/>
          <w:color w:val="auto"/>
        </w:rPr>
      </w:pPr>
      <w:r>
        <w:rPr>
          <w:rFonts w:ascii="Arial" w:cs="Arial" w:eastAsia="Arial" w:hAnsi="Arial"/>
          <w:sz w:val="12"/>
          <w:szCs w:val="12"/>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4"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We aim to optimize our daily aircraft utilization rate by tailoring service to customer demand patterns, which are seasonal and vary by day of the week. Our average daily aircraft utilization was 5.1 hours, 9.6 hours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51" w:lineRule="exact"/>
        <w:rPr>
          <w:sz w:val="20"/>
          <w:szCs w:val="20"/>
          <w:color w:val="auto"/>
        </w:rPr>
      </w:pPr>
    </w:p>
    <w:p>
      <w:pPr>
        <w:ind w:left="1160" w:right="1519"/>
        <w:spacing w:after="0" w:line="264" w:lineRule="auto"/>
        <w:rPr>
          <w:sz w:val="20"/>
          <w:szCs w:val="20"/>
          <w:color w:val="auto"/>
        </w:rPr>
      </w:pPr>
      <w:r>
        <w:rPr>
          <w:rFonts w:ascii="Arial" w:cs="Arial" w:eastAsia="Arial" w:hAnsi="Arial"/>
          <w:sz w:val="15"/>
          <w:szCs w:val="15"/>
          <w:b w:val="1"/>
          <w:bCs w:val="1"/>
          <w:i w:val="1"/>
          <w:iCs w:val="1"/>
          <w:color w:val="auto"/>
        </w:rPr>
        <w:t>The cost of aircraft repairs and unexpected delays in the time required to complete aircraft maintenance could negatively affect our operating results.</w:t>
      </w:r>
    </w:p>
    <w:p>
      <w:pPr>
        <w:spacing w:after="0" w:line="82"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48" w:lineRule="exact"/>
        <w:rPr>
          <w:sz w:val="20"/>
          <w:szCs w:val="20"/>
          <w:color w:val="auto"/>
        </w:rPr>
      </w:pPr>
    </w:p>
    <w:p>
      <w:pPr>
        <w:ind w:left="1160" w:right="1599"/>
        <w:spacing w:after="0" w:line="264" w:lineRule="auto"/>
        <w:rPr>
          <w:sz w:val="20"/>
          <w:szCs w:val="20"/>
          <w:color w:val="auto"/>
        </w:rPr>
      </w:pPr>
      <w:r>
        <w:rPr>
          <w:rFonts w:ascii="Arial" w:cs="Arial" w:eastAsia="Arial" w:hAnsi="Arial"/>
          <w:sz w:val="15"/>
          <w:szCs w:val="15"/>
          <w:b w:val="1"/>
          <w:bCs w:val="1"/>
          <w:i w:val="1"/>
          <w:iCs w:val="1"/>
          <w:color w:val="auto"/>
        </w:rPr>
        <w:t>If we are unable to attract and retain qualified personnel at reasonable costs or fail to maintain our company culture, our business could be harmed.</w:t>
      </w:r>
    </w:p>
    <w:p>
      <w:pPr>
        <w:spacing w:after="0" w:line="9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9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99"/>
        <w:spacing w:after="0" w:line="323" w:lineRule="auto"/>
        <w:rPr>
          <w:sz w:val="20"/>
          <w:szCs w:val="20"/>
          <w:color w:val="auto"/>
        </w:rPr>
      </w:pPr>
      <w:r>
        <w:rPr>
          <w:rFonts w:ascii="Arial" w:cs="Arial" w:eastAsia="Arial" w:hAnsi="Arial"/>
          <w:sz w:val="13"/>
          <w:szCs w:val="13"/>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37" w:lineRule="exact"/>
        <w:rPr>
          <w:sz w:val="20"/>
          <w:szCs w:val="20"/>
          <w:color w:val="auto"/>
        </w:rPr>
      </w:pPr>
    </w:p>
    <w:p>
      <w:pPr>
        <w:ind w:left="1160" w:right="1659" w:firstLine="293"/>
        <w:spacing w:after="0" w:line="283" w:lineRule="auto"/>
        <w:rPr>
          <w:sz w:val="20"/>
          <w:szCs w:val="20"/>
          <w:color w:val="auto"/>
        </w:rPr>
      </w:pPr>
      <w:r>
        <w:rPr>
          <w:rFonts w:ascii="Arial" w:cs="Arial" w:eastAsia="Arial" w:hAnsi="Arial"/>
          <w:sz w:val="14"/>
          <w:szCs w:val="14"/>
          <w:color w:val="auto"/>
        </w:rPr>
        <w:t>Our results of operations may be affected by actions taken by governmental or other agencies or authorities having jurisdiction over our operations at these airports, including, but not limited to:</w:t>
      </w:r>
    </w:p>
    <w:p>
      <w:pPr>
        <w:spacing w:after="0" w:line="38" w:lineRule="exact"/>
        <w:rPr>
          <w:sz w:val="20"/>
          <w:szCs w:val="20"/>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airport rates and charges;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limitations on take-off and landing slots, airport gate capacity or other use of airport facilities;</w:t>
      </w:r>
    </w:p>
    <w:p>
      <w:pPr>
        <w:spacing w:after="0" w:line="80"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termination of our airport use agreements, some of which can be terminated by airport authorities with little notice to us;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airport capacity that could facilitate increased competition;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international travel regulations such as customs and immigration;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taxes;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law, regulations and government policies that affect the services that can be offered by airlines, in general, and in particular markets and at particular airports;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restrictions on competitive practices;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law or ordinances that increase minimum wages beyond regional norms;</w:t>
      </w:r>
    </w:p>
    <w:p>
      <w:pPr>
        <w:spacing w:after="0" w:line="91" w:lineRule="exact"/>
        <w:rPr>
          <w:rFonts w:ascii="Arial" w:cs="Arial" w:eastAsia="Arial" w:hAnsi="Arial"/>
          <w:sz w:val="15"/>
          <w:szCs w:val="15"/>
          <w:color w:val="auto"/>
        </w:rPr>
      </w:pPr>
    </w:p>
    <w:p>
      <w:pPr>
        <w:ind w:left="1600" w:right="1379" w:hanging="143"/>
        <w:spacing w:after="0" w:line="300"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adoption of statutes or regulations that impact or impose additional customer service standards and requirements, including operating and security standards and requirements; and</w:t>
      </w:r>
    </w:p>
    <w:p>
      <w:pPr>
        <w:spacing w:after="0" w:line="25" w:lineRule="exact"/>
        <w:rPr>
          <w:rFonts w:ascii="Arial" w:cs="Arial" w:eastAsia="Arial" w:hAnsi="Arial"/>
          <w:sz w:val="14"/>
          <w:szCs w:val="14"/>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adoption of more restrictive locally imposed noise regulations or curfews.</w:t>
      </w:r>
    </w:p>
    <w:p>
      <w:pPr>
        <w:spacing w:after="0" w:line="124" w:lineRule="exact"/>
        <w:rPr>
          <w:sz w:val="20"/>
          <w:szCs w:val="20"/>
          <w:color w:val="auto"/>
        </w:rPr>
      </w:pPr>
    </w:p>
    <w:p>
      <w:pPr>
        <w:jc w:val="both"/>
        <w:ind w:left="1160" w:right="1299" w:firstLine="293"/>
        <w:spacing w:after="0" w:line="239" w:lineRule="auto"/>
        <w:rPr>
          <w:sz w:val="20"/>
          <w:szCs w:val="20"/>
          <w:color w:val="auto"/>
        </w:rPr>
      </w:pPr>
      <w:r>
        <w:rPr>
          <w:rFonts w:ascii="Arial" w:cs="Arial" w:eastAsia="Arial" w:hAnsi="Arial"/>
          <w:sz w:val="15"/>
          <w:szCs w:val="15"/>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It has only been a limited period since our current business and operating strategy has been implemented.</w:t>
      </w:r>
    </w:p>
    <w:p>
      <w:pPr>
        <w:spacing w:after="0" w:line="147"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Following the implementation of our current business and operating strategy in late 2017 and our acquisition by the Apollo Funds in 2018, we recorded a net loss of approximately $ 3.9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57"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b w:val="1"/>
          <w:bCs w:val="1"/>
          <w:i w:val="1"/>
          <w:iCs w:val="1"/>
          <w:color w:val="auto"/>
        </w:rPr>
        <w:t>We are subject to various environmental and noise laws and regulations, which could have a material adverse effect on our business, results of operations and financial condition.</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99"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81" w:lineRule="auto"/>
        <w:rPr>
          <w:sz w:val="20"/>
          <w:szCs w:val="20"/>
          <w:color w:val="auto"/>
        </w:rPr>
      </w:pPr>
      <w:r>
        <w:rPr>
          <w:rFonts w:ascii="Arial" w:cs="Arial" w:eastAsia="Arial" w:hAnsi="Arial"/>
          <w:sz w:val="14"/>
          <w:szCs w:val="14"/>
          <w:color w:val="auto"/>
        </w:rPr>
        <w:t>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72"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60"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b w:val="1"/>
          <w:bCs w:val="1"/>
          <w:i w:val="1"/>
          <w:iCs w:val="1"/>
          <w:color w:val="auto"/>
        </w:rPr>
        <w:t>Our intellectual property rights, particularly our branding rights, are valuable, and any inability to protect them may adversely affect our business and financial results.</w:t>
      </w:r>
    </w:p>
    <w:p>
      <w:pPr>
        <w:spacing w:after="0" w:line="93"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Negative publicity regarding our customer service could have a material adverse effect on our business, results of operations and financial condition.</w:t>
      </w:r>
    </w:p>
    <w:p>
      <w:pPr>
        <w:spacing w:after="0" w:line="82"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56"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b w:val="1"/>
          <w:bCs w:val="1"/>
          <w:i w:val="1"/>
          <w:iCs w:val="1"/>
          <w:color w:val="auto"/>
        </w:rPr>
        <w:t>Our reputation and brand could be harmed if we were to experience significant negative publicity, including through social media.</w:t>
      </w:r>
    </w:p>
    <w:p>
      <w:pPr>
        <w:spacing w:after="0" w:line="93"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5"/>
          <w:szCs w:val="15"/>
          <w:color w:val="auto"/>
        </w:rPr>
        <w:t>We operate in a public-facing industry with significant exposure to social media. Negative publicity, whether or not justified, can spread rapidly through social media. To the extent that we are unable to respond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39"/>
        <w:spacing w:after="0" w:line="300" w:lineRule="auto"/>
        <w:rPr>
          <w:sz w:val="20"/>
          <w:szCs w:val="20"/>
          <w:color w:val="auto"/>
        </w:rPr>
      </w:pPr>
      <w:r>
        <w:rPr>
          <w:rFonts w:ascii="Arial" w:cs="Arial" w:eastAsia="Arial" w:hAnsi="Arial"/>
          <w:sz w:val="14"/>
          <w:szCs w:val="14"/>
          <w:color w:val="auto"/>
        </w:rPr>
        <w:t>timely and appropriately to negative publicity, our reputation and brand can be harmed. Damage to our overall reputation and brand could have a negative impact on our financial results.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i w:val="1"/>
          <w:iCs w:val="1"/>
          <w:color w:val="auto"/>
        </w:rPr>
        <w:t>We are highly dependent upon our cash balances, operating cash flows and availability under our Credit Facilities.</w:t>
      </w:r>
    </w:p>
    <w:p>
      <w:pPr>
        <w:spacing w:after="0" w:line="148"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As of December 31, 2020, our principal sources of liquidity were cash and equivalents of approximately $62.0 million and availability under our asset-based revolving credit facility (the “ABL Facility”) of approximately $25.0 million. In addition, we had restricted cash of approximately $8.3 million as of December 31, 2020. Restricted cash includes cash received as prepayment for chartered flights that is maintained in separate escrow accounts, from which the restrictions are released once transportation is provided. On February 10, 2021, we entered into the Credit Agreement, which provides for a $25.0 million Revolving Credit Facility and a $90.0 million Delayed Draw Term Loan Facility, and repaid in full all borrowings outstanding under the ABL Facility. Our Delayed Draw Term Loan Facility is available only to finance the acquisition of aircraft and engines and is not available for working capital or other general corporate purposes. In March 2021 and April 2021, we borrowed $68.0 million and $12.5 million, respectively,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50" w:lineRule="exact"/>
        <w:rPr>
          <w:sz w:val="20"/>
          <w:szCs w:val="20"/>
          <w:color w:val="auto"/>
        </w:rPr>
      </w:pPr>
    </w:p>
    <w:p>
      <w:pPr>
        <w:ind w:left="1160" w:right="1659"/>
        <w:spacing w:after="0" w:line="390" w:lineRule="auto"/>
        <w:rPr>
          <w:sz w:val="20"/>
          <w:szCs w:val="20"/>
          <w:color w:val="auto"/>
        </w:rPr>
      </w:pPr>
      <w:r>
        <w:rPr>
          <w:rFonts w:ascii="Arial" w:cs="Arial" w:eastAsia="Arial" w:hAnsi="Arial"/>
          <w:sz w:val="12"/>
          <w:szCs w:val="12"/>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24"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ability to obtain financing or access capital markets may be limited.</w:t>
      </w:r>
    </w:p>
    <w:p>
      <w:pPr>
        <w:spacing w:after="0" w:line="12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311" w:lineRule="auto"/>
        <w:rPr>
          <w:sz w:val="20"/>
          <w:szCs w:val="20"/>
          <w:color w:val="auto"/>
        </w:rPr>
      </w:pPr>
      <w:r>
        <w:rPr>
          <w:rFonts w:ascii="Arial" w:cs="Arial" w:eastAsia="Arial" w:hAnsi="Arial"/>
          <w:sz w:val="13"/>
          <w:szCs w:val="13"/>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5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0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05"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Operations—Critical Accounting Policies and Estimates—Aircraft Maintenance.</w:t>
      </w:r>
      <w:r>
        <w:rPr>
          <w:rFonts w:ascii="Arial" w:cs="Arial" w:eastAsia="Arial" w:hAnsi="Arial"/>
          <w:sz w:val="14"/>
          <w:szCs w:val="14"/>
          <w:color w:val="auto"/>
        </w:rPr>
        <w:t>”</w:t>
      </w:r>
    </w:p>
    <w:p>
      <w:pPr>
        <w:spacing w:after="0" w:line="14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b w:val="1"/>
          <w:bCs w:val="1"/>
          <w:i w:val="1"/>
          <w:iCs w:val="1"/>
          <w:color w:val="auto"/>
        </w:rPr>
        <w:t>We have a significant amount of aircraft and other fixed obligations that could impair our liquidity and thereby harm our business, results of operations and financial condition.</w:t>
      </w:r>
    </w:p>
    <w:p>
      <w:pPr>
        <w:spacing w:after="0" w:line="82" w:lineRule="exact"/>
        <w:rPr>
          <w:sz w:val="20"/>
          <w:szCs w:val="20"/>
          <w:color w:val="auto"/>
        </w:rPr>
      </w:pPr>
    </w:p>
    <w:p>
      <w:pPr>
        <w:ind w:left="1160" w:right="1579" w:firstLine="293"/>
        <w:spacing w:after="0" w:line="290" w:lineRule="auto"/>
        <w:rPr>
          <w:sz w:val="20"/>
          <w:szCs w:val="20"/>
          <w:color w:val="auto"/>
        </w:rPr>
      </w:pPr>
      <w:r>
        <w:rPr>
          <w:rFonts w:ascii="Arial" w:cs="Arial" w:eastAsia="Arial" w:hAnsi="Arial"/>
          <w:sz w:val="13"/>
          <w:szCs w:val="13"/>
          <w:color w:val="auto"/>
        </w:rPr>
        <w:t>The airline business is capital intensive. As of December 31, 2020, our 31 passenger aircraft fleet consisted of 12 aircraft financed under operating leases, 5 aircraft financed under finance leases and</w:t>
      </w:r>
    </w:p>
    <w:p>
      <w:pPr>
        <w:spacing w:after="0" w:line="1" w:lineRule="exact"/>
        <w:rPr>
          <w:sz w:val="20"/>
          <w:szCs w:val="20"/>
          <w:color w:val="auto"/>
        </w:rPr>
      </w:pPr>
    </w:p>
    <w:p>
      <w:pPr>
        <w:ind w:left="1160" w:right="1519"/>
        <w:spacing w:after="0" w:line="262" w:lineRule="auto"/>
        <w:rPr>
          <w:sz w:val="20"/>
          <w:szCs w:val="20"/>
          <w:color w:val="auto"/>
        </w:rPr>
      </w:pPr>
      <w:r>
        <w:rPr>
          <w:rFonts w:ascii="Arial" w:cs="Arial" w:eastAsia="Arial" w:hAnsi="Arial"/>
          <w:sz w:val="14"/>
          <w:szCs w:val="14"/>
          <w:color w:val="auto"/>
        </w:rPr>
        <w:t>14 aircraft financed under secured debt arrangements. As of December 31, 2020, we had future aircraft operating lease obligations of approximately $163.4 million, future debt principal obligations of</w:t>
      </w:r>
    </w:p>
    <w:p>
      <w:pPr>
        <w:ind w:left="1160" w:right="1219"/>
        <w:spacing w:after="0" w:line="262" w:lineRule="auto"/>
        <w:rPr>
          <w:sz w:val="20"/>
          <w:szCs w:val="20"/>
          <w:color w:val="auto"/>
        </w:rPr>
      </w:pPr>
      <w:r>
        <w:rPr>
          <w:rFonts w:ascii="Arial" w:cs="Arial" w:eastAsia="Arial" w:hAnsi="Arial"/>
          <w:sz w:val="14"/>
          <w:szCs w:val="14"/>
          <w:color w:val="auto"/>
        </w:rPr>
        <w:t>$285.8 million and future finance lease obligations of approximately $139.1 million. During 2021, based on our aircraft leases and debt structure as of December 31, 2020, we expect to incur obligations of $42.0 million related to operating leases, $26.9 million related to debt principal obligations and</w:t>
      </w:r>
    </w:p>
    <w:p>
      <w:pPr>
        <w:ind w:left="1160" w:right="1179"/>
        <w:spacing w:after="0" w:line="264" w:lineRule="auto"/>
        <w:rPr>
          <w:sz w:val="20"/>
          <w:szCs w:val="20"/>
          <w:color w:val="auto"/>
        </w:rPr>
      </w:pPr>
      <w:r>
        <w:rPr>
          <w:rFonts w:ascii="Arial" w:cs="Arial" w:eastAsia="Arial" w:hAnsi="Arial"/>
          <w:sz w:val="14"/>
          <w:szCs w:val="14"/>
          <w:color w:val="auto"/>
        </w:rPr>
        <w:t>$17.6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64" w:lineRule="exact"/>
        <w:rPr>
          <w:sz w:val="20"/>
          <w:szCs w:val="20"/>
          <w:color w:val="auto"/>
        </w:rPr>
      </w:pPr>
    </w:p>
    <w:p>
      <w:pPr>
        <w:ind w:left="1600" w:right="1459" w:hanging="143"/>
        <w:spacing w:after="0" w:line="281"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49"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limit our ability to obtain additional financing to support our expansion plans and for working capital and other purposes on acceptable terms or at all;</w:t>
      </w:r>
    </w:p>
    <w:p>
      <w:pPr>
        <w:spacing w:after="0" w:line="59" w:lineRule="exact"/>
        <w:rPr>
          <w:rFonts w:ascii="Arial" w:cs="Arial" w:eastAsia="Arial" w:hAnsi="Arial"/>
          <w:sz w:val="15"/>
          <w:szCs w:val="15"/>
          <w:color w:val="auto"/>
        </w:rPr>
      </w:pPr>
    </w:p>
    <w:p>
      <w:pPr>
        <w:jc w:val="both"/>
        <w:ind w:left="1600" w:right="1239" w:hanging="143"/>
        <w:spacing w:after="0" w:line="281"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79" w:hanging="143"/>
        <w:spacing w:after="0" w:line="25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67"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72"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We depend on a sole-source supplier for the majority of our aircraft parts and any supply disruption could have a material adverse effect on our business.</w:t>
      </w:r>
    </w:p>
    <w:p>
      <w:pPr>
        <w:spacing w:after="0" w:line="93"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49" w:lineRule="exact"/>
        <w:rPr>
          <w:sz w:val="20"/>
          <w:szCs w:val="20"/>
          <w:color w:val="auto"/>
        </w:rPr>
      </w:pPr>
    </w:p>
    <w:p>
      <w:pPr>
        <w:ind w:left="1160" w:right="1379"/>
        <w:spacing w:after="0" w:line="311" w:lineRule="auto"/>
        <w:rPr>
          <w:sz w:val="20"/>
          <w:szCs w:val="20"/>
          <w:color w:val="auto"/>
        </w:rPr>
      </w:pPr>
      <w:r>
        <w:rPr>
          <w:rFonts w:ascii="Arial" w:cs="Arial" w:eastAsia="Arial" w:hAnsi="Arial"/>
          <w:sz w:val="13"/>
          <w:szCs w:val="13"/>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6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52" w:lineRule="exact"/>
        <w:rPr>
          <w:sz w:val="20"/>
          <w:szCs w:val="20"/>
          <w:color w:val="auto"/>
        </w:rPr>
      </w:pPr>
    </w:p>
    <w:p>
      <w:pPr>
        <w:ind w:left="1160" w:right="1459"/>
        <w:spacing w:after="0" w:line="281"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72" w:lineRule="exact"/>
        <w:rPr>
          <w:sz w:val="20"/>
          <w:szCs w:val="20"/>
          <w:color w:val="auto"/>
        </w:rPr>
      </w:pPr>
    </w:p>
    <w:p>
      <w:pPr>
        <w:ind w:left="1160" w:right="1279" w:firstLine="293"/>
        <w:spacing w:after="0" w:line="297" w:lineRule="auto"/>
        <w:rPr>
          <w:sz w:val="20"/>
          <w:szCs w:val="20"/>
          <w:color w:val="auto"/>
        </w:rPr>
      </w:pPr>
      <w:r>
        <w:rPr>
          <w:rFonts w:ascii="Arial" w:cs="Arial" w:eastAsia="Arial" w:hAnsi="Arial"/>
          <w:sz w:val="13"/>
          <w:szCs w:val="13"/>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4" w:lineRule="auto"/>
        <w:rPr>
          <w:sz w:val="20"/>
          <w:szCs w:val="20"/>
          <w:color w:val="auto"/>
        </w:rPr>
      </w:pPr>
      <w:r>
        <w:rPr>
          <w:rFonts w:ascii="Arial" w:cs="Arial" w:eastAsia="Arial" w:hAnsi="Arial"/>
          <w:sz w:val="15"/>
          <w:szCs w:val="15"/>
          <w:color w:val="auto"/>
        </w:rPr>
        <w:t>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90" w:lineRule="exact"/>
        <w:rPr>
          <w:sz w:val="20"/>
          <w:szCs w:val="20"/>
          <w:color w:val="auto"/>
        </w:rPr>
      </w:pPr>
    </w:p>
    <w:p>
      <w:pPr>
        <w:ind w:left="1160" w:right="1179" w:firstLine="293"/>
        <w:spacing w:after="0" w:line="262" w:lineRule="auto"/>
        <w:rPr>
          <w:sz w:val="20"/>
          <w:szCs w:val="20"/>
          <w:color w:val="auto"/>
        </w:rPr>
      </w:pPr>
      <w:r>
        <w:rPr>
          <w:rFonts w:ascii="Arial" w:cs="Arial" w:eastAsia="Arial" w:hAnsi="Arial"/>
          <w:sz w:val="14"/>
          <w:szCs w:val="14"/>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w:t>
      </w:r>
    </w:p>
    <w:p>
      <w:pPr>
        <w:spacing w:after="0" w:line="12" w:lineRule="exact"/>
        <w:rPr>
          <w:sz w:val="20"/>
          <w:szCs w:val="20"/>
          <w:color w:val="auto"/>
        </w:rPr>
      </w:pPr>
    </w:p>
    <w:p>
      <w:pPr>
        <w:ind w:left="1160" w:right="1179" w:firstLine="4"/>
        <w:spacing w:after="0" w:line="262" w:lineRule="auto"/>
        <w:tabs>
          <w:tab w:leader="none" w:pos="1423"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color w:val="auto"/>
        </w:rPr>
        <w:t>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38" w:lineRule="exact"/>
        <w:rPr>
          <w:sz w:val="20"/>
          <w:szCs w:val="20"/>
          <w:color w:val="auto"/>
        </w:rPr>
      </w:pPr>
    </w:p>
    <w:p>
      <w:pPr>
        <w:ind w:left="1160" w:right="1239"/>
        <w:spacing w:after="0" w:line="390" w:lineRule="auto"/>
        <w:rPr>
          <w:sz w:val="20"/>
          <w:szCs w:val="20"/>
          <w:color w:val="auto"/>
        </w:rPr>
      </w:pPr>
      <w:r>
        <w:rPr>
          <w:rFonts w:ascii="Arial" w:cs="Arial" w:eastAsia="Arial" w:hAnsi="Arial"/>
          <w:sz w:val="12"/>
          <w:szCs w:val="12"/>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3"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8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05"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4"/>
          <w:szCs w:val="14"/>
          <w:i w:val="1"/>
          <w:iCs w:val="1"/>
          <w:color w:val="auto"/>
        </w:rPr>
        <w:t>Business—Foreign Ownership</w:t>
      </w:r>
      <w:r>
        <w:rPr>
          <w:rFonts w:ascii="Arial" w:cs="Arial" w:eastAsia="Arial" w:hAnsi="Arial"/>
          <w:sz w:val="14"/>
          <w:szCs w:val="14"/>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8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4"/>
          <w:szCs w:val="14"/>
          <w:i w:val="1"/>
          <w:iCs w:val="1"/>
          <w:color w:val="auto"/>
        </w:rPr>
        <w:t>Business—Government Regulation</w:t>
      </w:r>
      <w:r>
        <w:rPr>
          <w:rFonts w:ascii="Arial" w:cs="Arial" w:eastAsia="Arial" w:hAnsi="Arial"/>
          <w:sz w:val="14"/>
          <w:szCs w:val="14"/>
          <w:color w:val="auto"/>
        </w:rPr>
        <w: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business could be materially adversely affected if we lose the services of our key personnel.</w:t>
      </w:r>
    </w:p>
    <w:p>
      <w:pPr>
        <w:spacing w:after="0" w:line="136"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323"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3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 -Frank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quarterly results of operations fluctuate due to a number of factors, including seasonality.</w:t>
      </w:r>
    </w:p>
    <w:p>
      <w:pPr>
        <w:spacing w:after="0" w:line="136"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 -peak season. Lower demand for air travel during the fall and other off-peak months could have a material adverse effect on our business, results of operations and financial condition.</w:t>
      </w:r>
    </w:p>
    <w:p>
      <w:pPr>
        <w:spacing w:after="0" w:line="140"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b w:val="1"/>
          <w:bCs w:val="1"/>
          <w:i w:val="1"/>
          <w:iCs w:val="1"/>
          <w:color w:val="auto"/>
        </w:rPr>
        <w:t>We may not realize any or all of our estimated cost savings, which would have a negative effect on our results of operations.</w:t>
      </w:r>
    </w:p>
    <w:p>
      <w:pPr>
        <w:spacing w:after="0" w:line="9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become involved in litigation that may materially adversely affect us.</w:t>
      </w:r>
    </w:p>
    <w:p>
      <w:pPr>
        <w:spacing w:after="0" w:line="11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92" w:lineRule="auto"/>
        <w:rPr>
          <w:sz w:val="20"/>
          <w:szCs w:val="20"/>
          <w:color w:val="auto"/>
        </w:rPr>
      </w:pPr>
      <w:r>
        <w:rPr>
          <w:rFonts w:ascii="Arial" w:cs="Arial" w:eastAsia="Arial" w:hAnsi="Arial"/>
          <w:sz w:val="13"/>
          <w:szCs w:val="13"/>
          <w:color w:val="auto"/>
        </w:rPr>
        <w:t>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Indebtedness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Credit Agreement contains restrictions that limit our flexibility.</w:t>
      </w:r>
    </w:p>
    <w:p>
      <w:pPr>
        <w:spacing w:after="0" w:line="113" w:lineRule="exact"/>
        <w:rPr>
          <w:sz w:val="20"/>
          <w:szCs w:val="20"/>
          <w:color w:val="auto"/>
        </w:rPr>
      </w:pPr>
    </w:p>
    <w:p>
      <w:pPr>
        <w:jc w:val="both"/>
        <w:ind w:left="1160" w:right="1399" w:firstLine="293"/>
        <w:spacing w:after="0" w:line="254" w:lineRule="auto"/>
        <w:rPr>
          <w:sz w:val="20"/>
          <w:szCs w:val="20"/>
          <w:color w:val="auto"/>
        </w:rPr>
      </w:pPr>
      <w:r>
        <w:rPr>
          <w:rFonts w:ascii="Arial" w:cs="Arial" w:eastAsia="Arial" w:hAnsi="Arial"/>
          <w:sz w:val="15"/>
          <w:szCs w:val="15"/>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68" w:lineRule="exact"/>
        <w:rPr>
          <w:sz w:val="20"/>
          <w:szCs w:val="20"/>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incur additional debt, guarantee indebtedness, or issue certain preferred equity interests;</w:t>
      </w:r>
    </w:p>
    <w:p>
      <w:pPr>
        <w:spacing w:after="0" w:line="102"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pay dividends on or make distributions in respect of, or repurchase or redeem, our capital stock, or make other restricted payments;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prepay, redeem, or repurchase certain debt;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make loans or certain investments;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sell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create liens on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consolidate, merge, sell, or otherwise dispose of all or substantially all of our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enter into certain transactions with our affiliates;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alter the businesses we conduct;</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enter into agreements restricting our subsidiaries’ ability to pay dividends;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designate our subsidiaries as unrestricted subsidiaries.</w:t>
      </w:r>
    </w:p>
    <w:p>
      <w:pPr>
        <w:spacing w:after="0" w:line="11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91" w:lineRule="exact"/>
        <w:rPr>
          <w:sz w:val="20"/>
          <w:szCs w:val="20"/>
          <w:color w:val="auto"/>
        </w:rPr>
      </w:pPr>
    </w:p>
    <w:p>
      <w:pPr>
        <w:ind w:left="1160" w:right="1399" w:firstLine="293"/>
        <w:spacing w:after="0" w:line="251" w:lineRule="auto"/>
        <w:rPr>
          <w:sz w:val="20"/>
          <w:szCs w:val="20"/>
          <w:color w:val="auto"/>
        </w:rPr>
      </w:pPr>
      <w:r>
        <w:rPr>
          <w:rFonts w:ascii="Arial" w:cs="Arial" w:eastAsia="Arial" w:hAnsi="Arial"/>
          <w:sz w:val="15"/>
          <w:szCs w:val="15"/>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57" w:lineRule="exact"/>
        <w:rPr>
          <w:sz w:val="20"/>
          <w:szCs w:val="20"/>
          <w:color w:val="auto"/>
        </w:rPr>
      </w:pPr>
    </w:p>
    <w:p>
      <w:pPr>
        <w:ind w:left="1160" w:right="1479"/>
        <w:spacing w:after="0" w:line="254" w:lineRule="auto"/>
        <w:rPr>
          <w:sz w:val="20"/>
          <w:szCs w:val="20"/>
          <w:color w:val="auto"/>
        </w:rPr>
      </w:pPr>
      <w:r>
        <w:rPr>
          <w:rFonts w:ascii="Arial" w:cs="Arial" w:eastAsia="Arial" w:hAnsi="Arial"/>
          <w:sz w:val="15"/>
          <w:szCs w:val="15"/>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01"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Under the Payroll Support Program, Treasury provided us an aggregate of $62.3 million in Payroll Support Payments from April 21, 2020 to October 1, 2020, a $16.1 million Payroll Support Payment on February 2, 2021, $16.1 million in grants on March 26, 2021, $4.8 million in grants on April 22, 2021 and an additional $17.3 million grant on April 29, 2021 under Payroll Support Program 3.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was due to be repaid on the earlier of (i) October 24, 2025 or (ii) six months prior to the expiration date of any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759"/>
        <w:spacing w:after="0" w:line="248" w:lineRule="auto"/>
        <w:rPr>
          <w:sz w:val="20"/>
          <w:szCs w:val="20"/>
          <w:color w:val="auto"/>
        </w:rPr>
      </w:pPr>
      <w:r>
        <w:rPr>
          <w:rFonts w:ascii="Arial" w:cs="Arial" w:eastAsia="Arial" w:hAnsi="Arial"/>
          <w:sz w:val="15"/>
          <w:szCs w:val="15"/>
          <w:color w:val="auto"/>
        </w:rPr>
        <w:t>material loyalty program securing the loan. See Notes 3 and 8 to our audited consolidated financial statements included herein for more information.</w:t>
      </w:r>
    </w:p>
    <w:p>
      <w:pPr>
        <w:spacing w:after="0" w:line="83"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on March 24, 2021.</w:t>
      </w:r>
    </w:p>
    <w:p>
      <w:pPr>
        <w:spacing w:after="0" w:line="95"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91"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stock price may fluctuate significantly and purchasers of our common stock could incur substantial losses.</w:t>
      </w:r>
    </w:p>
    <w:p>
      <w:pPr>
        <w:spacing w:after="0" w:line="148" w:lineRule="exact"/>
        <w:rPr>
          <w:sz w:val="20"/>
          <w:szCs w:val="20"/>
          <w:color w:val="auto"/>
        </w:rPr>
      </w:pPr>
    </w:p>
    <w:p>
      <w:pPr>
        <w:jc w:val="both"/>
        <w:ind w:left="1160" w:right="1219" w:firstLine="293"/>
        <w:spacing w:after="0" w:line="236" w:lineRule="auto"/>
        <w:rPr>
          <w:sz w:val="20"/>
          <w:szCs w:val="20"/>
          <w:color w:val="auto"/>
        </w:rPr>
      </w:pPr>
      <w:r>
        <w:rPr>
          <w:rFonts w:ascii="Arial" w:cs="Arial" w:eastAsia="Arial" w:hAnsi="Arial"/>
          <w:sz w:val="15"/>
          <w:szCs w:val="15"/>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operating and financial performance and prospects;</w:t>
      </w:r>
    </w:p>
    <w:p>
      <w:pPr>
        <w:spacing w:after="0" w:line="91" w:lineRule="exact"/>
        <w:rPr>
          <w:rFonts w:ascii="Arial" w:cs="Arial" w:eastAsia="Arial" w:hAnsi="Arial"/>
          <w:sz w:val="15"/>
          <w:szCs w:val="15"/>
          <w:color w:val="auto"/>
        </w:rPr>
      </w:pPr>
    </w:p>
    <w:p>
      <w:pPr>
        <w:ind w:left="1600" w:right="1359" w:hanging="143"/>
        <w:spacing w:after="0" w:line="25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quarterly variations in the rate of growth (if any) of our financial or operational indicators, such as earnings per share, net income, revenues, Adjusted Net Income (Loss), Adjusted EBITDAR and Adjusted CASM;</w:t>
      </w:r>
    </w:p>
    <w:p>
      <w:pPr>
        <w:spacing w:after="0" w:line="56" w:lineRule="exact"/>
        <w:rPr>
          <w:rFonts w:ascii="Arial" w:cs="Arial" w:eastAsia="Arial" w:hAnsi="Arial"/>
          <w:sz w:val="15"/>
          <w:szCs w:val="15"/>
          <w:color w:val="auto"/>
        </w:rPr>
      </w:pPr>
    </w:p>
    <w:p>
      <w:pPr>
        <w:ind w:left="1600" w:right="169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public reaction to our press releases, our other public announcements and our filings with the SEC;</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strategic actions by our competitors;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operating performance and the stock market valuations of other companies;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announcements related to litigation;</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failure to meet revenue or earnings estimates made by research analysts or other investors;</w:t>
      </w:r>
    </w:p>
    <w:p>
      <w:pPr>
        <w:spacing w:after="0" w:line="102" w:lineRule="exact"/>
        <w:rPr>
          <w:rFonts w:ascii="Arial" w:cs="Arial" w:eastAsia="Arial" w:hAnsi="Arial"/>
          <w:sz w:val="14"/>
          <w:szCs w:val="14"/>
          <w:color w:val="auto"/>
        </w:rPr>
      </w:pPr>
    </w:p>
    <w:p>
      <w:pPr>
        <w:ind w:left="1600" w:right="127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revenue or earnings estimates, or changes in recommendations or withdrawal of research coverage, by equity research analysts;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sales of our common stock by us or our stockholders, or the perception that such sales may occur;</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accounting principles, policies, guidance, interpretations, or standards;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additions or departures of key management personnel;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actions by our stockholders;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COVID-19 pandemic and its effects;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domestic and international economic, legal and regulatory factors unrelated to our performance;</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material weakness in our internal control over financial reporting; and</w:t>
      </w:r>
    </w:p>
    <w:p>
      <w:pPr>
        <w:spacing w:after="0" w:line="91"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realization of any risks described under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 or other risks that may materialize in the future.</w:t>
      </w:r>
    </w:p>
    <w:p>
      <w:pPr>
        <w:spacing w:after="0" w:line="82"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33" w:lineRule="exact"/>
        <w:rPr>
          <w:sz w:val="20"/>
          <w:szCs w:val="20"/>
          <w:color w:val="auto"/>
        </w:rPr>
      </w:pPr>
    </w:p>
    <w:p>
      <w:pPr>
        <w:ind w:left="1160" w:right="1559"/>
        <w:spacing w:after="0" w:line="470" w:lineRule="auto"/>
        <w:rPr>
          <w:sz w:val="20"/>
          <w:szCs w:val="20"/>
          <w:color w:val="auto"/>
        </w:rPr>
      </w:pPr>
      <w:r>
        <w:rPr>
          <w:rFonts w:ascii="Arial" w:cs="Arial" w:eastAsia="Arial" w:hAnsi="Arial"/>
          <w:sz w:val="10"/>
          <w:szCs w:val="10"/>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ind w:left="1460"/>
        <w:spacing w:after="0"/>
        <w:rPr>
          <w:sz w:val="20"/>
          <w:szCs w:val="20"/>
          <w:color w:val="auto"/>
        </w:rPr>
      </w:pPr>
      <w:r>
        <w:rPr>
          <w:rFonts w:ascii="Arial" w:cs="Arial" w:eastAsia="Arial" w:hAnsi="Arial"/>
          <w:sz w:val="14"/>
          <w:szCs w:val="14"/>
          <w:color w:val="auto"/>
        </w:rPr>
        <w:t>We are an “emerging growth company,” as defined in the JOBS Act, and, for as long as we continue to</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be an “emerging growth company,” we intend to take advantage of certain exemptions from various</w:t>
      </w:r>
    </w:p>
    <w:p>
      <w:pPr>
        <w:ind w:left="1160"/>
        <w:spacing w:after="0"/>
        <w:rPr>
          <w:sz w:val="20"/>
          <w:szCs w:val="20"/>
          <w:color w:val="auto"/>
        </w:rPr>
      </w:pPr>
      <w:r>
        <w:rPr>
          <w:rFonts w:ascii="Arial" w:cs="Arial" w:eastAsia="Arial" w:hAnsi="Arial"/>
          <w:sz w:val="14"/>
          <w:szCs w:val="14"/>
          <w:color w:val="auto"/>
        </w:rPr>
        <w:t>reporting requirements applicable to other public companies but not to “emerging growth companies.”</w:t>
      </w:r>
    </w:p>
    <w:p>
      <w:pPr>
        <w:ind w:left="1160"/>
        <w:spacing w:after="0" w:line="234" w:lineRule="auto"/>
        <w:rPr>
          <w:sz w:val="20"/>
          <w:szCs w:val="20"/>
          <w:color w:val="auto"/>
        </w:rPr>
      </w:pPr>
      <w:r>
        <w:rPr>
          <w:rFonts w:ascii="Arial" w:cs="Arial" w:eastAsia="Arial" w:hAnsi="Arial"/>
          <w:sz w:val="15"/>
          <w:szCs w:val="15"/>
          <w:color w:val="auto"/>
        </w:rPr>
        <w:t>These exemptions include not being required to comply with the auditor attestation requirements of</w:t>
      </w:r>
    </w:p>
    <w:p>
      <w:pPr>
        <w:ind w:left="1160"/>
        <w:spacing w:after="0"/>
        <w:rPr>
          <w:sz w:val="20"/>
          <w:szCs w:val="20"/>
          <w:color w:val="auto"/>
        </w:rPr>
      </w:pPr>
      <w:r>
        <w:rPr>
          <w:rFonts w:ascii="Arial" w:cs="Arial" w:eastAsia="Arial" w:hAnsi="Arial"/>
          <w:sz w:val="13"/>
          <w:szCs w:val="13"/>
          <w:color w:val="auto"/>
        </w:rPr>
        <w:t>Section 404(b) of the Sarbanes-Oxley Act, reduced disclosure obligations regarding executive compensation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our periodic reports and proxy statements, and exemptions from the requirements of holding a non-</w:t>
      </w:r>
    </w:p>
    <w:p>
      <w:pPr>
        <w:ind w:left="1160"/>
        <w:spacing w:after="0" w:line="234" w:lineRule="auto"/>
        <w:rPr>
          <w:sz w:val="20"/>
          <w:szCs w:val="20"/>
          <w:color w:val="auto"/>
        </w:rPr>
      </w:pPr>
      <w:r>
        <w:rPr>
          <w:rFonts w:ascii="Arial" w:cs="Arial" w:eastAsia="Arial" w:hAnsi="Arial"/>
          <w:sz w:val="15"/>
          <w:szCs w:val="15"/>
          <w:color w:val="auto"/>
        </w:rPr>
        <w:t>binding advisory vote on executive compensation and stockholder approval of any golden parachute</w:t>
      </w:r>
    </w:p>
    <w:p>
      <w:pPr>
        <w:ind w:left="1160"/>
        <w:spacing w:after="0"/>
        <w:rPr>
          <w:sz w:val="20"/>
          <w:szCs w:val="20"/>
          <w:color w:val="auto"/>
        </w:rPr>
      </w:pPr>
      <w:r>
        <w:rPr>
          <w:rFonts w:ascii="Arial" w:cs="Arial" w:eastAsia="Arial" w:hAnsi="Arial"/>
          <w:sz w:val="14"/>
          <w:szCs w:val="14"/>
          <w:color w:val="auto"/>
        </w:rPr>
        <w:t>payments not previously approved. We could be an “emerging growth company” until the earliest of (i)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last day of the first fiscal year in which our annual gross revenues exceed $1.07 billion, (ii) the date that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become a “large accelerated filer” as defined in Rule 12b-2 under the Exchange Act, which would occur if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market value of our common stock that is held by non-affiliates exceeds $700 million as of the last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business day of our most recently completed second fiscal quarter, (iii) the last day of our fiscal year ending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2026, and (iv) the date on which we have issued more than $1 billion in non-convertible debt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during the preceding three-year period. We cannot predict if investors will find our common stock less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attractive if we choose to rely on these exemptions. If some investors find our common stock less attractive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 a result of any choices to reduce future disclosure, there may be a less active trading market for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common stock and our stock price may decline or become more volatile and it may be difficult for us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raise additional capital if and when we need it.</w:t>
      </w:r>
    </w:p>
    <w:p>
      <w:pPr>
        <w:spacing w:after="0" w:line="156" w:lineRule="exact"/>
        <w:rPr>
          <w:sz w:val="20"/>
          <w:szCs w:val="20"/>
          <w:color w:val="auto"/>
        </w:rPr>
      </w:pPr>
    </w:p>
    <w:p>
      <w:pPr>
        <w:ind w:left="1160" w:right="1739"/>
        <w:spacing w:after="0" w:line="323" w:lineRule="auto"/>
        <w:rPr>
          <w:sz w:val="20"/>
          <w:szCs w:val="20"/>
          <w:color w:val="auto"/>
        </w:rPr>
      </w:pPr>
      <w:r>
        <w:rPr>
          <w:rFonts w:ascii="Arial" w:cs="Arial" w:eastAsia="Arial" w:hAnsi="Arial"/>
          <w:sz w:val="13"/>
          <w:szCs w:val="13"/>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4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91" w:lineRule="exact"/>
        <w:rPr>
          <w:sz w:val="20"/>
          <w:szCs w:val="20"/>
          <w:color w:val="auto"/>
        </w:rPr>
      </w:pPr>
    </w:p>
    <w:p>
      <w:pPr>
        <w:ind w:left="1160" w:right="1339" w:firstLine="293"/>
        <w:spacing w:after="0" w:line="252" w:lineRule="auto"/>
        <w:rPr>
          <w:sz w:val="20"/>
          <w:szCs w:val="20"/>
          <w:color w:val="auto"/>
        </w:rPr>
      </w:pPr>
      <w:r>
        <w:rPr>
          <w:rFonts w:ascii="Arial" w:cs="Arial" w:eastAsia="Arial" w:hAnsi="Arial"/>
          <w:sz w:val="14"/>
          <w:szCs w:val="14"/>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1"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Under the JOBS Act, “emerging growth companies” can delay adopting new or revised accounting standards until such time as those standards apply to private companies.</w:t>
      </w:r>
    </w:p>
    <w:p>
      <w:pPr>
        <w:spacing w:after="0" w:line="94"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91"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We cannot predict or estimate the amount of additional costs we may incur as a result of becoming a public company or the timing and materiality of such costs.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are continuing to improve our internal control over financial reporting.</w:t>
      </w:r>
    </w:p>
    <w:p>
      <w:pPr>
        <w:spacing w:after="0" w:line="12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certificate of incorporation and bylaws include provisions limiting ownership and voting by non-U.S. citizens.</w:t>
      </w:r>
    </w:p>
    <w:p>
      <w:pPr>
        <w:spacing w:after="0" w:line="15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85" w:lineRule="exact"/>
        <w:rPr>
          <w:sz w:val="20"/>
          <w:szCs w:val="20"/>
          <w:color w:val="auto"/>
        </w:rPr>
      </w:pPr>
    </w:p>
    <w:p>
      <w:pPr>
        <w:ind w:left="1160" w:right="1399" w:firstLine="293"/>
        <w:spacing w:after="0" w:line="270" w:lineRule="auto"/>
        <w:rPr>
          <w:sz w:val="20"/>
          <w:szCs w:val="20"/>
          <w:color w:val="auto"/>
        </w:rPr>
      </w:pPr>
      <w:r>
        <w:rPr>
          <w:rFonts w:ascii="Arial" w:cs="Arial" w:eastAsia="Arial" w:hAnsi="Arial"/>
          <w:sz w:val="14"/>
          <w:szCs w:val="14"/>
          <w:color w:val="auto"/>
        </w:rPr>
        <w:t>In addition, only U.S. citizens may purchase shares in this offering. By participating in this offering, you will be deemed to represent that you are a citizen of the United States, as defined in 49 U.S.C.</w:t>
      </w:r>
    </w:p>
    <w:p>
      <w:pPr>
        <w:ind w:left="4400" w:right="1979" w:hanging="3236"/>
        <w:spacing w:after="0" w:line="707" w:lineRule="auto"/>
        <w:tabs>
          <w:tab w:leader="none" w:pos="1270" w:val="left"/>
        </w:tabs>
        <w:numPr>
          <w:ilvl w:val="0"/>
          <w:numId w:val="28"/>
        </w:numPr>
        <w:rPr>
          <w:rFonts w:ascii="Arial" w:cs="Arial" w:eastAsia="Arial" w:hAnsi="Arial"/>
          <w:sz w:val="15"/>
          <w:szCs w:val="15"/>
          <w:color w:val="auto"/>
        </w:rPr>
      </w:pPr>
      <w:r>
        <w:rPr>
          <w:rFonts w:ascii="Arial" w:cs="Arial" w:eastAsia="Arial" w:hAnsi="Arial"/>
          <w:sz w:val="15"/>
          <w:szCs w:val="15"/>
          <w:color w:val="auto"/>
        </w:rPr>
        <w:t>40102(a)(15). The restrictions on ownership and control of shares of our common stock could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-22225</wp:posOffset>
            </wp:positionV>
            <wp:extent cx="556450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materially limit your ability to resell any shares you purchase in this offering and could adversely impact the price that investors might be willing to pay in the future for shares of our common stock.</w:t>
      </w:r>
    </w:p>
    <w:p>
      <w:pPr>
        <w:spacing w:after="0" w:line="149" w:lineRule="exact"/>
        <w:rPr>
          <w:sz w:val="20"/>
          <w:szCs w:val="20"/>
          <w:color w:val="auto"/>
        </w:rPr>
      </w:pPr>
    </w:p>
    <w:p>
      <w:pPr>
        <w:ind w:left="1160" w:right="1379"/>
        <w:spacing w:after="0" w:line="248" w:lineRule="auto"/>
        <w:rPr>
          <w:sz w:val="20"/>
          <w:szCs w:val="20"/>
          <w:color w:val="auto"/>
        </w:rPr>
      </w:pPr>
      <w:r>
        <w:rPr>
          <w:rFonts w:ascii="Arial" w:cs="Arial" w:eastAsia="Arial" w:hAnsi="Arial"/>
          <w:sz w:val="15"/>
          <w:szCs w:val="15"/>
          <w:b w:val="1"/>
          <w:bCs w:val="1"/>
          <w:i w:val="1"/>
          <w:iCs w:val="1"/>
          <w:color w:val="auto"/>
        </w:rPr>
        <w:t>We continue to be controlled by the Apollo Stockholder, and Apollo’s interests may conflict with our interests and the interests of other stockholders.</w:t>
      </w:r>
    </w:p>
    <w:p>
      <w:pPr>
        <w:spacing w:after="0" w:line="8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Following this offering, the Apollo Stockholder will beneficially own approximately 58.9% of the voting power of our outstanding common equity (or approximately 57.0% if the underwriters exercise their option to purchase additional shares in full). As a result, the Apollo Stockholder will have the power to elect a majority of our directors. Therefore, individuals affiliated with Apollo will have effective control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54" w:lineRule="exact"/>
        <w:rPr>
          <w:sz w:val="20"/>
          <w:szCs w:val="20"/>
          <w:color w:val="auto"/>
        </w:rPr>
      </w:pPr>
    </w:p>
    <w:p>
      <w:pPr>
        <w:ind w:left="1160" w:right="1239"/>
        <w:spacing w:after="0" w:line="283" w:lineRule="auto"/>
        <w:rPr>
          <w:sz w:val="20"/>
          <w:szCs w:val="20"/>
          <w:color w:val="auto"/>
        </w:rPr>
      </w:pPr>
      <w:r>
        <w:rPr>
          <w:rFonts w:ascii="Arial" w:cs="Arial" w:eastAsia="Arial" w:hAnsi="Arial"/>
          <w:sz w:val="14"/>
          <w:szCs w:val="14"/>
          <w:b w:val="1"/>
          <w:bCs w:val="1"/>
          <w:i w:val="1"/>
          <w:iCs w:val="1"/>
          <w:color w:val="auto"/>
        </w:rPr>
        <w:t>We are a “controlled company” within the meaning of Nasdaq’s rules and, as a result, qualify for and intend to rely on exemptions from certain corporate governance requirements.</w:t>
      </w:r>
    </w:p>
    <w:p>
      <w:pPr>
        <w:spacing w:after="0" w:line="71"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Following this offering, the Apollo Stockholder will continue to control a majority of the voting power of our outstanding voting stock and, as a result, we will continue to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68" w:lineRule="exact"/>
        <w:rPr>
          <w:sz w:val="20"/>
          <w:szCs w:val="20"/>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nominating and corporate governance committee be composed entirely of independent directors;</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and</w:t>
      </w:r>
    </w:p>
    <w:p>
      <w:pPr>
        <w:spacing w:after="0" w:line="80"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be an annual performance evaluation of the nominating and corporate governance and compensation committees.</w:t>
      </w:r>
    </w:p>
    <w:p>
      <w:pPr>
        <w:spacing w:after="0" w:line="93"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155"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b w:val="1"/>
          <w:bCs w:val="1"/>
          <w:i w:val="1"/>
          <w:iCs w:val="1"/>
          <w:color w:val="auto"/>
        </w:rPr>
        <w:t>Our organizational documents may impede or discourage a takeover, which could deprive our investors of the opportunity to receive a premium on their shares.</w:t>
      </w:r>
    </w:p>
    <w:p>
      <w:pPr>
        <w:spacing w:after="0" w:line="83"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Provisions of our certificate of incorporation and bylaws may make it more difficult for, or prevent a third-party from, acquiring control of us without the approval of our board of directors. These provisions include:</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59" w:hanging="143"/>
        <w:spacing w:after="0" w:line="26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providing that our board of directors will be divided into three classes, with each class of directors serving staggered three-year terms;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80" w:lineRule="exact"/>
        <w:rPr>
          <w:rFonts w:ascii="Arial" w:cs="Arial" w:eastAsia="Arial" w:hAnsi="Arial"/>
          <w:sz w:val="15"/>
          <w:szCs w:val="15"/>
          <w:color w:val="auto"/>
        </w:rPr>
      </w:pPr>
    </w:p>
    <w:p>
      <w:pPr>
        <w:ind w:left="1600" w:right="1219" w:hanging="143"/>
        <w:spacing w:after="0" w:line="253"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providing for the removal of directors only for cause and only upon the affirmative vote of the holders of at least 66</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68" w:lineRule="exact"/>
        <w:rPr>
          <w:rFonts w:ascii="Arial" w:cs="Arial" w:eastAsia="Arial" w:hAnsi="Arial"/>
          <w:sz w:val="15"/>
          <w:szCs w:val="15"/>
          <w:color w:val="auto"/>
        </w:rPr>
      </w:pPr>
    </w:p>
    <w:p>
      <w:pPr>
        <w:ind w:left="1600" w:right="1299" w:hanging="143"/>
        <w:spacing w:after="0" w:line="281"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49" w:lineRule="exact"/>
        <w:rPr>
          <w:rFonts w:ascii="Arial" w:cs="Arial" w:eastAsia="Arial" w:hAnsi="Arial"/>
          <w:sz w:val="14"/>
          <w:szCs w:val="14"/>
          <w:color w:val="auto"/>
        </w:rPr>
      </w:pPr>
    </w:p>
    <w:p>
      <w:pPr>
        <w:ind w:left="1600" w:right="1959" w:hanging="143"/>
        <w:spacing w:after="0" w:line="26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authorizing the issuance of “blank check” preferred stock without any need for action by stockholders;</w:t>
      </w:r>
    </w:p>
    <w:p>
      <w:pPr>
        <w:spacing w:after="0" w:line="60" w:lineRule="exact"/>
        <w:rPr>
          <w:rFonts w:ascii="Arial" w:cs="Arial" w:eastAsia="Arial" w:hAnsi="Arial"/>
          <w:sz w:val="15"/>
          <w:szCs w:val="15"/>
          <w:color w:val="auto"/>
        </w:rPr>
      </w:pPr>
    </w:p>
    <w:p>
      <w:pPr>
        <w:ind w:left="1600" w:right="1199" w:hanging="143"/>
        <w:spacing w:after="0" w:line="25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prohibiting stockholders from acting by written consent if less than 50.1% of the voting power of our outstanding common stock is beneficially owned by Apollo and its affiliates, including the Apollo Stockholder;</w:t>
      </w:r>
    </w:p>
    <w:p>
      <w:pPr>
        <w:spacing w:after="0" w:line="67" w:lineRule="exact"/>
        <w:rPr>
          <w:rFonts w:ascii="Arial" w:cs="Arial" w:eastAsia="Arial" w:hAnsi="Arial"/>
          <w:sz w:val="15"/>
          <w:szCs w:val="15"/>
          <w:color w:val="auto"/>
        </w:rPr>
      </w:pPr>
    </w:p>
    <w:p>
      <w:pPr>
        <w:ind w:left="1600" w:right="1239" w:hanging="143"/>
        <w:spacing w:after="0" w:line="25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Arial" w:cs="Arial" w:eastAsia="Arial" w:hAnsi="Arial"/>
          <w:sz w:val="15"/>
          <w:szCs w:val="15"/>
          <w:color w:val="auto"/>
        </w:rPr>
      </w:pPr>
    </w:p>
    <w:p>
      <w:pPr>
        <w:ind w:left="1600" w:right="1199" w:hanging="143"/>
        <w:spacing w:after="0" w:line="300"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establishing advance notice requirements for nominations for election to our board of directors or for proposing matters that can be acted on by stockholders at stockholder meetings.</w:t>
      </w:r>
    </w:p>
    <w:p>
      <w:pPr>
        <w:spacing w:after="0" w:line="26"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5"/>
          <w:szCs w:val="15"/>
          <w:i w:val="1"/>
          <w:iCs w:val="1"/>
          <w:color w:val="auto"/>
        </w:rPr>
        <w:t>Description of Capital Stock—Certain Corporate Anti-takeover Provisions</w:t>
      </w:r>
      <w:r>
        <w:rPr>
          <w:rFonts w:ascii="Arial" w:cs="Arial" w:eastAsia="Arial" w:hAnsi="Arial"/>
          <w:sz w:val="15"/>
          <w:szCs w:val="15"/>
          <w:color w:val="auto"/>
        </w:rPr>
        <w:t xml:space="preserve"> </w:t>
      </w:r>
      <w:r>
        <w:rPr>
          <w:rFonts w:ascii="Arial" w:cs="Arial" w:eastAsia="Arial" w:hAnsi="Arial"/>
          <w:sz w:val="15"/>
          <w:szCs w:val="15"/>
          <w:i w:val="1"/>
          <w:iCs w:val="1"/>
          <w:color w:val="auto"/>
        </w:rPr>
        <w:t>—Delaware Takeover Statute</w:t>
      </w:r>
      <w:r>
        <w:rPr>
          <w:rFonts w:ascii="Arial" w:cs="Arial" w:eastAsia="Arial" w:hAnsi="Arial"/>
          <w:sz w:val="15"/>
          <w:szCs w:val="15"/>
          <w:color w:val="auto"/>
        </w:rPr>
        <w:t>”.</w:t>
      </w:r>
    </w:p>
    <w:p>
      <w:pPr>
        <w:spacing w:after="0" w:line="59"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6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 xml:space="preserve">In addition, as long as the Apollo Stockholder beneficially owns a majority of the voting power of our outstanding common stock, the Apollo Stockholder will be able to control all matters requiring stockholder approval, including the election of directors, amendment of our certificate of incorporation and certain corporate transactions. Our Stockholders Agreement will also require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 </w:t>
      </w:r>
      <w:r>
        <w:rPr>
          <w:rFonts w:ascii="Arial" w:cs="Arial" w:eastAsia="Arial" w:hAnsi="Arial"/>
          <w:sz w:val="14"/>
          <w:szCs w:val="14"/>
          <w:i w:val="1"/>
          <w:iCs w:val="1"/>
          <w:color w:val="auto"/>
        </w:rPr>
        <w:t>Description of Capital Stock—Certain Corporate Anti-takeover Provisions—Certain</w:t>
      </w:r>
      <w:r>
        <w:rPr>
          <w:rFonts w:ascii="Arial" w:cs="Arial" w:eastAsia="Arial" w:hAnsi="Arial"/>
          <w:sz w:val="14"/>
          <w:szCs w:val="14"/>
          <w:color w:val="auto"/>
        </w:rPr>
        <w:t xml:space="preserve"> </w:t>
      </w:r>
      <w:r>
        <w:rPr>
          <w:rFonts w:ascii="Arial" w:cs="Arial" w:eastAsia="Arial" w:hAnsi="Arial"/>
          <w:sz w:val="14"/>
          <w:szCs w:val="14"/>
          <w:i w:val="1"/>
          <w:iCs w:val="1"/>
          <w:color w:val="auto"/>
        </w:rPr>
        <w:t>Matters that Require Consent of Our Stockholders</w:t>
      </w:r>
      <w:r>
        <w:rPr>
          <w:rFonts w:ascii="Arial" w:cs="Arial" w:eastAsia="Arial" w:hAnsi="Arial"/>
          <w:sz w:val="14"/>
          <w:szCs w:val="14"/>
          <w:color w:val="auto"/>
        </w:rPr>
        <w:t>”.</w:t>
      </w:r>
    </w:p>
    <w:p>
      <w:pPr>
        <w:spacing w:after="0" w:line="55"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5"/>
          <w:szCs w:val="15"/>
          <w:i w:val="1"/>
          <w:iCs w:val="1"/>
          <w:color w:val="auto"/>
        </w:rPr>
        <w:t>Description of Capital Stock—Certain Corporate Anti-takeover</w:t>
      </w:r>
      <w:r>
        <w:rPr>
          <w:rFonts w:ascii="Arial" w:cs="Arial" w:eastAsia="Arial" w:hAnsi="Arial"/>
          <w:sz w:val="15"/>
          <w:szCs w:val="15"/>
          <w:color w:val="auto"/>
        </w:rPr>
        <w:t xml:space="preserve"> </w:t>
      </w:r>
      <w:r>
        <w:rPr>
          <w:rFonts w:ascii="Arial" w:cs="Arial" w:eastAsia="Arial" w:hAnsi="Arial"/>
          <w:sz w:val="15"/>
          <w:szCs w:val="15"/>
          <w:i w:val="1"/>
          <w:iCs w:val="1"/>
          <w:color w:val="auto"/>
        </w:rPr>
        <w:t>Provisions.</w:t>
      </w:r>
      <w:r>
        <w:rPr>
          <w:rFonts w:ascii="Arial" w:cs="Arial" w:eastAsia="Arial" w:hAnsi="Arial"/>
          <w:sz w:val="15"/>
          <w:szCs w:val="15"/>
          <w:color w:val="auto"/>
        </w:rPr>
        <w:t>”</w:t>
      </w:r>
    </w:p>
    <w:p>
      <w:pPr>
        <w:spacing w:after="0" w:line="157" w:lineRule="exact"/>
        <w:rPr>
          <w:sz w:val="20"/>
          <w:szCs w:val="20"/>
          <w:color w:val="auto"/>
        </w:rPr>
      </w:pPr>
    </w:p>
    <w:p>
      <w:pPr>
        <w:ind w:left="1160" w:right="1279"/>
        <w:spacing w:after="0" w:line="420" w:lineRule="auto"/>
        <w:rPr>
          <w:sz w:val="20"/>
          <w:szCs w:val="20"/>
          <w:color w:val="auto"/>
        </w:rPr>
      </w:pPr>
      <w:r>
        <w:rPr>
          <w:rFonts w:ascii="Arial" w:cs="Arial" w:eastAsia="Arial" w:hAnsi="Arial"/>
          <w:sz w:val="10"/>
          <w:szCs w:val="10"/>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ind w:left="1160" w:right="1199" w:firstLine="4"/>
        <w:spacing w:after="0" w:line="246" w:lineRule="auto"/>
        <w:tabs>
          <w:tab w:leader="none" w:pos="1434"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53"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Our certificate of incorporation contains a provision renouncing our interest and expectancy in certain corporate opportunities.</w:t>
      </w:r>
    </w:p>
    <w:p>
      <w:pPr>
        <w:spacing w:after="0" w:line="60"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two of whom are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4"/>
          <w:szCs w:val="14"/>
          <w:i w:val="1"/>
          <w:iCs w:val="1"/>
          <w:color w:val="auto"/>
        </w:rPr>
        <w:t>Description of Capital Stock—Corporate Opportunity</w:t>
      </w:r>
      <w:r>
        <w:rPr>
          <w:rFonts w:ascii="Arial" w:cs="Arial" w:eastAsia="Arial" w:hAnsi="Arial"/>
          <w:sz w:val="14"/>
          <w:szCs w:val="14"/>
          <w:color w:val="auto"/>
        </w:rPr>
        <w:t>.”</w:t>
      </w:r>
    </w:p>
    <w:p>
      <w:pPr>
        <w:spacing w:after="0" w:line="155" w:lineRule="exact"/>
        <w:rPr>
          <w:sz w:val="20"/>
          <w:szCs w:val="20"/>
          <w:color w:val="auto"/>
        </w:rPr>
      </w:pPr>
    </w:p>
    <w:p>
      <w:pPr>
        <w:ind w:left="1160" w:right="1479"/>
        <w:spacing w:after="0" w:line="248" w:lineRule="auto"/>
        <w:rPr>
          <w:sz w:val="20"/>
          <w:szCs w:val="20"/>
          <w:color w:val="auto"/>
        </w:rPr>
      </w:pPr>
      <w:r>
        <w:rPr>
          <w:rFonts w:ascii="Arial" w:cs="Arial" w:eastAsia="Arial" w:hAnsi="Arial"/>
          <w:sz w:val="15"/>
          <w:szCs w:val="15"/>
          <w:b w:val="1"/>
          <w:bCs w:val="1"/>
          <w:i w:val="1"/>
          <w:iCs w:val="1"/>
          <w:color w:val="auto"/>
        </w:rPr>
        <w:t>We are a holding company and rely on dividends, distributions, and other payments, advances, and transfers of funds from our subsidiaries to meet our obligations.</w:t>
      </w:r>
    </w:p>
    <w:p>
      <w:pPr>
        <w:spacing w:after="0" w:line="5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4"/>
          <w:szCs w:val="14"/>
          <w:i w:val="1"/>
          <w:iCs w:val="1"/>
          <w:color w:val="auto"/>
        </w:rPr>
        <w:t>See</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Operations—Liquidity and Capital Resources</w:t>
      </w:r>
      <w:r>
        <w:rPr>
          <w:rFonts w:ascii="Arial" w:cs="Arial" w:eastAsia="Arial" w:hAnsi="Arial"/>
          <w:sz w:val="14"/>
          <w:szCs w:val="14"/>
          <w:color w:val="auto"/>
        </w:rPr>
        <w:t>.” Each of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51" w:lineRule="exact"/>
        <w:rPr>
          <w:sz w:val="20"/>
          <w:szCs w:val="20"/>
          <w:color w:val="auto"/>
        </w:rPr>
      </w:pPr>
    </w:p>
    <w:p>
      <w:pPr>
        <w:ind w:left="1160" w:right="1239"/>
        <w:spacing w:after="0" w:line="258" w:lineRule="auto"/>
        <w:rPr>
          <w:sz w:val="20"/>
          <w:szCs w:val="20"/>
          <w:color w:val="auto"/>
        </w:rPr>
      </w:pPr>
      <w:r>
        <w:rPr>
          <w:rFonts w:ascii="Arial" w:cs="Arial" w:eastAsia="Arial" w:hAnsi="Arial"/>
          <w:sz w:val="14"/>
          <w:szCs w:val="14"/>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4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11.3% of which had vested as of March 31,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60" w:right="1439"/>
        <w:spacing w:after="0" w:line="236" w:lineRule="auto"/>
        <w:rPr>
          <w:sz w:val="20"/>
          <w:szCs w:val="20"/>
          <w:color w:val="auto"/>
        </w:rPr>
      </w:pPr>
      <w:r>
        <w:rPr>
          <w:rFonts w:ascii="Arial" w:cs="Arial" w:eastAsia="Arial" w:hAnsi="Arial"/>
          <w:sz w:val="15"/>
          <w:szCs w:val="15"/>
          <w:color w:val="auto"/>
        </w:rPr>
        <w:t>the public market of any common stock issuable upon the exercise of the 2019 Warrants could adversely affect prevailing market prices of our common stock.</w:t>
      </w:r>
    </w:p>
    <w:p>
      <w:pPr>
        <w:spacing w:after="0" w:line="144" w:lineRule="exact"/>
        <w:rPr>
          <w:sz w:val="20"/>
          <w:szCs w:val="20"/>
          <w:color w:val="auto"/>
        </w:rPr>
      </w:pPr>
    </w:p>
    <w:p>
      <w:pPr>
        <w:ind w:left="1160" w:right="1319"/>
        <w:spacing w:after="0" w:line="334" w:lineRule="auto"/>
        <w:rPr>
          <w:sz w:val="20"/>
          <w:szCs w:val="20"/>
          <w:color w:val="auto"/>
        </w:rPr>
      </w:pPr>
      <w:r>
        <w:rPr>
          <w:rFonts w:ascii="Arial" w:cs="Arial" w:eastAsia="Arial" w:hAnsi="Arial"/>
          <w:sz w:val="12"/>
          <w:szCs w:val="12"/>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ind w:left="1160" w:right="1179" w:firstLine="293"/>
        <w:spacing w:after="0" w:line="232" w:lineRule="auto"/>
        <w:rPr>
          <w:sz w:val="20"/>
          <w:szCs w:val="20"/>
          <w:color w:val="auto"/>
        </w:rPr>
      </w:pPr>
      <w:r>
        <w:rPr>
          <w:rFonts w:ascii="Arial" w:cs="Arial" w:eastAsia="Arial" w:hAnsi="Arial"/>
          <w:sz w:val="14"/>
          <w:szCs w:val="14"/>
          <w:color w:val="auto"/>
        </w:rPr>
        <w:t>As of March 31, 2021, we had 937,846,533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March 31, 2021, we had approximately 5,880,688 options outstanding, which are exercisable into approximately 5,880,688 shares of common stock, and the 2019 Warrants outstanding, which are exercisable for 9,482,606 shares of common stock, subject to vesting requirements. Of the 2019 Warrants, approximately 11.3% have vested as of March 31,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Compensation—Equity Compensation Plans—2021 Omnibus Incentive Plan </w:t>
      </w:r>
      <w:r>
        <w:rPr>
          <w:rFonts w:ascii="Arial" w:cs="Arial" w:eastAsia="Arial" w:hAnsi="Arial"/>
          <w:sz w:val="14"/>
          <w:szCs w:val="14"/>
          <w:color w:val="auto"/>
        </w:rPr>
        <w:t>.” Any common stock that we</w:t>
      </w:r>
      <w:r>
        <w:rPr>
          <w:rFonts w:ascii="Arial" w:cs="Arial" w:eastAsia="Arial" w:hAnsi="Arial"/>
          <w:sz w:val="14"/>
          <w:szCs w:val="14"/>
          <w:i w:val="1"/>
          <w:iCs w:val="1"/>
          <w:color w:val="auto"/>
        </w:rPr>
        <w:t xml:space="preserve"> </w:t>
      </w:r>
      <w:r>
        <w:rPr>
          <w:rFonts w:ascii="Arial" w:cs="Arial" w:eastAsia="Arial" w:hAnsi="Arial"/>
          <w:sz w:val="14"/>
          <w:szCs w:val="14"/>
          <w:color w:val="auto"/>
        </w:rPr>
        <w:t>issue, including under our Omnibus Incentive Plan or other equity incentive plans that we may adopt in the future, as well as under outstanding options or warrants would dilute the percentage ownership held by the investors who purchase common stock in this offering.</w:t>
      </w:r>
    </w:p>
    <w:p>
      <w:pPr>
        <w:spacing w:after="0" w:line="51" w:lineRule="exact"/>
        <w:rPr>
          <w:sz w:val="20"/>
          <w:szCs w:val="20"/>
          <w:color w:val="auto"/>
        </w:rPr>
      </w:pPr>
    </w:p>
    <w:p>
      <w:pPr>
        <w:ind w:left="1160" w:right="1239" w:firstLine="293"/>
        <w:spacing w:after="0" w:line="223" w:lineRule="auto"/>
        <w:rPr>
          <w:sz w:val="20"/>
          <w:szCs w:val="20"/>
          <w:color w:val="auto"/>
        </w:rPr>
      </w:pPr>
      <w:r>
        <w:rPr>
          <w:rFonts w:ascii="Arial" w:cs="Arial" w:eastAsia="Arial" w:hAnsi="Arial"/>
          <w:sz w:val="15"/>
          <w:szCs w:val="15"/>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44" w:lineRule="exact"/>
        <w:rPr>
          <w:sz w:val="20"/>
          <w:szCs w:val="20"/>
          <w:color w:val="auto"/>
        </w:rPr>
      </w:pPr>
    </w:p>
    <w:p>
      <w:pPr>
        <w:ind w:left="1160" w:right="1299"/>
        <w:spacing w:after="0" w:line="236" w:lineRule="auto"/>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56"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As of March 31, 2021, we had 57,153,467 shares of common stock outstanding, warrants to purchase</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9,482,606 shares of common stock outstanding and options to purchase 5,880,688 shares of common stock</w:t>
      </w:r>
    </w:p>
    <w:p>
      <w:pPr>
        <w:ind w:left="1160"/>
        <w:spacing w:after="0" w:line="220" w:lineRule="auto"/>
        <w:rPr>
          <w:sz w:val="20"/>
          <w:szCs w:val="20"/>
          <w:color w:val="auto"/>
        </w:rPr>
      </w:pPr>
      <w:r>
        <w:rPr>
          <w:rFonts w:ascii="Arial" w:cs="Arial" w:eastAsia="Arial" w:hAnsi="Arial"/>
          <w:sz w:val="15"/>
          <w:szCs w:val="15"/>
          <w:color w:val="auto"/>
        </w:rPr>
        <w:t>outstanding. Following this offering the number of outstanding shares of common stock will include</w:t>
      </w:r>
    </w:p>
    <w:p>
      <w:pPr>
        <w:ind w:left="1160"/>
        <w:spacing w:after="0" w:line="214" w:lineRule="auto"/>
        <w:rPr>
          <w:sz w:val="20"/>
          <w:szCs w:val="20"/>
          <w:color w:val="auto"/>
        </w:rPr>
      </w:pPr>
      <w:r>
        <w:rPr>
          <w:rFonts w:ascii="Arial" w:cs="Arial" w:eastAsia="Arial" w:hAnsi="Arial"/>
          <w:sz w:val="15"/>
          <w:szCs w:val="15"/>
          <w:color w:val="auto"/>
        </w:rPr>
        <w:t>36,448,922 outstanding shares that are “restricted securities,” as defined under Rule 144 under the</w:t>
      </w:r>
    </w:p>
    <w:p>
      <w:pPr>
        <w:ind w:left="1160"/>
        <w:spacing w:after="0" w:line="229" w:lineRule="auto"/>
        <w:rPr>
          <w:sz w:val="20"/>
          <w:szCs w:val="20"/>
          <w:color w:val="auto"/>
        </w:rPr>
      </w:pPr>
      <w:r>
        <w:rPr>
          <w:rFonts w:ascii="Arial" w:cs="Arial" w:eastAsia="Arial" w:hAnsi="Arial"/>
          <w:sz w:val="14"/>
          <w:szCs w:val="14"/>
          <w:color w:val="auto"/>
        </w:rPr>
        <w:t>Securities Act, and eligible for sale in the public market subject to the requirements of Rule 144. We, the</w:t>
      </w:r>
    </w:p>
    <w:p>
      <w:pPr>
        <w:ind w:left="1160"/>
        <w:spacing w:after="0" w:line="229" w:lineRule="auto"/>
        <w:rPr>
          <w:sz w:val="20"/>
          <w:szCs w:val="20"/>
          <w:color w:val="auto"/>
        </w:rPr>
      </w:pPr>
      <w:r>
        <w:rPr>
          <w:rFonts w:ascii="Arial" w:cs="Arial" w:eastAsia="Arial" w:hAnsi="Arial"/>
          <w:sz w:val="14"/>
          <w:szCs w:val="14"/>
          <w:color w:val="auto"/>
        </w:rPr>
        <w:t>Apollo Stockholder, all of our executive officers and directors, Amazon, PAR Capital and the Blackrock</w:t>
      </w:r>
    </w:p>
    <w:p>
      <w:pPr>
        <w:ind w:left="1160"/>
        <w:spacing w:after="0" w:line="229" w:lineRule="auto"/>
        <w:rPr>
          <w:sz w:val="20"/>
          <w:szCs w:val="20"/>
          <w:color w:val="auto"/>
        </w:rPr>
      </w:pPr>
      <w:r>
        <w:rPr>
          <w:rFonts w:ascii="Arial" w:cs="Arial" w:eastAsia="Arial" w:hAnsi="Arial"/>
          <w:sz w:val="14"/>
          <w:szCs w:val="14"/>
          <w:color w:val="auto"/>
        </w:rPr>
        <w:t>Entities, who, following this offering, collectively will beneficially own approximately 36,417,867 shares of</w:t>
      </w:r>
    </w:p>
    <w:p>
      <w:pPr>
        <w:ind w:left="1160"/>
        <w:spacing w:after="0" w:line="230" w:lineRule="auto"/>
        <w:rPr>
          <w:sz w:val="20"/>
          <w:szCs w:val="20"/>
          <w:color w:val="auto"/>
        </w:rPr>
      </w:pPr>
      <w:r>
        <w:rPr>
          <w:rFonts w:ascii="Arial" w:cs="Arial" w:eastAsia="Arial" w:hAnsi="Arial"/>
          <w:sz w:val="14"/>
          <w:szCs w:val="14"/>
          <w:color w:val="auto"/>
        </w:rPr>
        <w:t>our common stock, agreed that, for a period of 180 days after the date of the final prospectus related to our</w:t>
      </w:r>
    </w:p>
    <w:p>
      <w:pPr>
        <w:ind w:left="1160"/>
        <w:spacing w:after="0" w:line="229" w:lineRule="auto"/>
        <w:rPr>
          <w:sz w:val="20"/>
          <w:szCs w:val="20"/>
          <w:color w:val="auto"/>
        </w:rPr>
      </w:pPr>
      <w:r>
        <w:rPr>
          <w:rFonts w:ascii="Arial" w:cs="Arial" w:eastAsia="Arial" w:hAnsi="Arial"/>
          <w:sz w:val="14"/>
          <w:szCs w:val="14"/>
          <w:color w:val="auto"/>
        </w:rPr>
        <w:t>initial public offering, we and they will not, without the prior written consent of Barclays Capital Inc. and</w:t>
      </w:r>
    </w:p>
    <w:p>
      <w:pPr>
        <w:ind w:left="1160"/>
        <w:spacing w:after="0" w:line="229" w:lineRule="auto"/>
        <w:rPr>
          <w:sz w:val="20"/>
          <w:szCs w:val="20"/>
          <w:color w:val="auto"/>
        </w:rPr>
      </w:pPr>
      <w:r>
        <w:rPr>
          <w:rFonts w:ascii="Arial" w:cs="Arial" w:eastAsia="Arial" w:hAnsi="Arial"/>
          <w:sz w:val="14"/>
          <w:szCs w:val="14"/>
          <w:color w:val="auto"/>
        </w:rPr>
        <w:t>Morgan Stanley &amp; Co. LLC on behalf of the underwriters, dispose of any shares of common stock or any</w:t>
      </w:r>
    </w:p>
    <w:p>
      <w:pPr>
        <w:ind w:left="1160"/>
        <w:spacing w:after="0" w:line="214" w:lineRule="auto"/>
        <w:rPr>
          <w:sz w:val="20"/>
          <w:szCs w:val="20"/>
          <w:color w:val="auto"/>
        </w:rPr>
      </w:pPr>
      <w:r>
        <w:rPr>
          <w:rFonts w:ascii="Arial" w:cs="Arial" w:eastAsia="Arial" w:hAnsi="Arial"/>
          <w:sz w:val="15"/>
          <w:szCs w:val="15"/>
          <w:color w:val="auto"/>
        </w:rPr>
        <w:t>securities convertible into or exchangeable for our common stock, subject to certain exceptions. See</w:t>
      </w:r>
    </w:p>
    <w:p>
      <w:pPr>
        <w:ind w:left="1160"/>
        <w:spacing w:after="0" w:line="23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Underwriting (Conflict of Interest)</w:t>
      </w:r>
      <w:r>
        <w:rPr>
          <w:rFonts w:ascii="Arial" w:cs="Arial" w:eastAsia="Arial" w:hAnsi="Arial"/>
          <w:sz w:val="14"/>
          <w:szCs w:val="14"/>
          <w:color w:val="auto"/>
        </w:rPr>
        <w:t>.” Following the expiration of the applicable lock-up period, all of the</w:t>
      </w:r>
    </w:p>
    <w:p>
      <w:pPr>
        <w:ind w:left="1160"/>
        <w:spacing w:after="0" w:line="229" w:lineRule="auto"/>
        <w:rPr>
          <w:sz w:val="20"/>
          <w:szCs w:val="20"/>
          <w:color w:val="auto"/>
        </w:rPr>
      </w:pPr>
      <w:r>
        <w:rPr>
          <w:rFonts w:ascii="Arial" w:cs="Arial" w:eastAsia="Arial" w:hAnsi="Arial"/>
          <w:sz w:val="14"/>
          <w:szCs w:val="14"/>
          <w:color w:val="auto"/>
        </w:rPr>
        <w:t>issued and outstanding shares of our common stock will be eligible for future sale, subject to the applicable</w:t>
      </w:r>
    </w:p>
    <w:p>
      <w:pPr>
        <w:ind w:left="1160"/>
        <w:spacing w:after="0" w:line="214" w:lineRule="auto"/>
        <w:rPr>
          <w:sz w:val="20"/>
          <w:szCs w:val="20"/>
          <w:color w:val="auto"/>
        </w:rPr>
      </w:pPr>
      <w:r>
        <w:rPr>
          <w:rFonts w:ascii="Arial" w:cs="Arial" w:eastAsia="Arial" w:hAnsi="Arial"/>
          <w:sz w:val="15"/>
          <w:szCs w:val="15"/>
          <w:color w:val="auto"/>
        </w:rPr>
        <w:t>volume, manner of sale, holding periods, and other limitations of Rule 144. Barclays Capital Inc. and</w:t>
      </w:r>
    </w:p>
    <w:p>
      <w:pPr>
        <w:ind w:left="1160"/>
        <w:spacing w:after="0" w:line="229" w:lineRule="auto"/>
        <w:rPr>
          <w:sz w:val="20"/>
          <w:szCs w:val="20"/>
          <w:color w:val="auto"/>
        </w:rPr>
      </w:pPr>
      <w:r>
        <w:rPr>
          <w:rFonts w:ascii="Arial" w:cs="Arial" w:eastAsia="Arial" w:hAnsi="Arial"/>
          <w:sz w:val="14"/>
          <w:szCs w:val="14"/>
          <w:color w:val="auto"/>
        </w:rPr>
        <w:t>Morgan Stanley &amp; Co. LLC on behalf of the underwriters may, in their sole discretion, release all or any</w:t>
      </w:r>
    </w:p>
    <w:p>
      <w:pPr>
        <w:ind w:left="1160"/>
        <w:spacing w:after="0" w:line="230" w:lineRule="auto"/>
        <w:rPr>
          <w:sz w:val="20"/>
          <w:szCs w:val="20"/>
          <w:color w:val="auto"/>
        </w:rPr>
      </w:pPr>
      <w:r>
        <w:rPr>
          <w:rFonts w:ascii="Arial" w:cs="Arial" w:eastAsia="Arial" w:hAnsi="Arial"/>
          <w:sz w:val="14"/>
          <w:szCs w:val="14"/>
          <w:color w:val="auto"/>
        </w:rPr>
        <w:t>portion of the shares subject to lock-up agreements at any time and for any reason. In addition, following</w:t>
      </w:r>
    </w:p>
    <w:p>
      <w:pPr>
        <w:ind w:left="1160"/>
        <w:spacing w:after="0" w:line="229" w:lineRule="auto"/>
        <w:rPr>
          <w:sz w:val="20"/>
          <w:szCs w:val="20"/>
          <w:color w:val="auto"/>
        </w:rPr>
      </w:pPr>
      <w:r>
        <w:rPr>
          <w:rFonts w:ascii="Arial" w:cs="Arial" w:eastAsia="Arial" w:hAnsi="Arial"/>
          <w:sz w:val="14"/>
          <w:szCs w:val="14"/>
          <w:color w:val="auto"/>
        </w:rPr>
        <w:t>the lock-up period, certain of our existing stockholders, including the Apollo Stockholder and Amazon,</w:t>
      </w:r>
    </w:p>
    <w:p>
      <w:pPr>
        <w:ind w:left="1160"/>
        <w:spacing w:after="0" w:line="229" w:lineRule="auto"/>
        <w:rPr>
          <w:sz w:val="20"/>
          <w:szCs w:val="20"/>
          <w:color w:val="auto"/>
        </w:rPr>
      </w:pPr>
      <w:r>
        <w:rPr>
          <w:rFonts w:ascii="Arial" w:cs="Arial" w:eastAsia="Arial" w:hAnsi="Arial"/>
          <w:sz w:val="14"/>
          <w:szCs w:val="14"/>
          <w:color w:val="auto"/>
        </w:rPr>
        <w:t>have certain rights to require us to register the sale of common stock held by them including in connection</w:t>
      </w:r>
    </w:p>
    <w:p>
      <w:pPr>
        <w:ind w:left="1160"/>
        <w:spacing w:after="0" w:line="214" w:lineRule="auto"/>
        <w:rPr>
          <w:sz w:val="20"/>
          <w:szCs w:val="20"/>
          <w:color w:val="auto"/>
        </w:rPr>
      </w:pPr>
      <w:r>
        <w:rPr>
          <w:rFonts w:ascii="Arial" w:cs="Arial" w:eastAsia="Arial" w:hAnsi="Arial"/>
          <w:sz w:val="15"/>
          <w:szCs w:val="15"/>
          <w:color w:val="auto"/>
        </w:rPr>
        <w:t>with underwritten offerings. Additionally, we filed a registration statement in respect of all shares of</w:t>
      </w:r>
    </w:p>
    <w:p>
      <w:pPr>
        <w:ind w:left="1160"/>
        <w:spacing w:after="0" w:line="229" w:lineRule="auto"/>
        <w:rPr>
          <w:sz w:val="20"/>
          <w:szCs w:val="20"/>
          <w:color w:val="auto"/>
        </w:rPr>
      </w:pPr>
      <w:r>
        <w:rPr>
          <w:rFonts w:ascii="Arial" w:cs="Arial" w:eastAsia="Arial" w:hAnsi="Arial"/>
          <w:sz w:val="14"/>
          <w:szCs w:val="14"/>
          <w:color w:val="auto"/>
        </w:rPr>
        <w:t>common stock that we may issue under the Omnibus Incentive Plan and the SCA Acquisition Equity Plan.</w:t>
      </w:r>
    </w:p>
    <w:p>
      <w:pPr>
        <w:ind w:left="1160"/>
        <w:spacing w:after="0" w:line="230" w:lineRule="auto"/>
        <w:rPr>
          <w:sz w:val="20"/>
          <w:szCs w:val="20"/>
          <w:color w:val="auto"/>
        </w:rPr>
      </w:pPr>
      <w:r>
        <w:rPr>
          <w:rFonts w:ascii="Arial" w:cs="Arial" w:eastAsia="Arial" w:hAnsi="Arial"/>
          <w:sz w:val="14"/>
          <w:szCs w:val="14"/>
          <w:color w:val="auto"/>
        </w:rPr>
        <w:t>After registration, these shares can be freely sold in the public market upon issuance. Sales of significant</w:t>
      </w:r>
    </w:p>
    <w:p>
      <w:pPr>
        <w:ind w:left="1160"/>
        <w:spacing w:after="0" w:line="229" w:lineRule="auto"/>
        <w:rPr>
          <w:sz w:val="20"/>
          <w:szCs w:val="20"/>
          <w:color w:val="auto"/>
        </w:rPr>
      </w:pPr>
      <w:r>
        <w:rPr>
          <w:rFonts w:ascii="Arial" w:cs="Arial" w:eastAsia="Arial" w:hAnsi="Arial"/>
          <w:sz w:val="14"/>
          <w:szCs w:val="14"/>
          <w:color w:val="auto"/>
        </w:rPr>
        <w:t>amounts of stock in the public market upon expiration of lock-up agreements, the perception that such sales</w:t>
      </w:r>
    </w:p>
    <w:p>
      <w:pPr>
        <w:ind w:left="1160"/>
        <w:spacing w:after="0" w:line="229" w:lineRule="auto"/>
        <w:rPr>
          <w:sz w:val="20"/>
          <w:szCs w:val="20"/>
          <w:color w:val="auto"/>
        </w:rPr>
      </w:pPr>
      <w:r>
        <w:rPr>
          <w:rFonts w:ascii="Arial" w:cs="Arial" w:eastAsia="Arial" w:hAnsi="Arial"/>
          <w:sz w:val="14"/>
          <w:szCs w:val="14"/>
          <w:color w:val="auto"/>
        </w:rPr>
        <w:t>may occur, or early release of any lock-up agreements, could adversely affect prevailing market prices of</w:t>
      </w:r>
    </w:p>
    <w:p>
      <w:pPr>
        <w:ind w:left="1160"/>
        <w:spacing w:after="0" w:line="230" w:lineRule="auto"/>
        <w:rPr>
          <w:sz w:val="20"/>
          <w:szCs w:val="20"/>
          <w:color w:val="auto"/>
        </w:rPr>
      </w:pPr>
      <w:r>
        <w:rPr>
          <w:rFonts w:ascii="Arial" w:cs="Arial" w:eastAsia="Arial" w:hAnsi="Arial"/>
          <w:sz w:val="14"/>
          <w:szCs w:val="14"/>
          <w:color w:val="auto"/>
        </w:rPr>
        <w:t>our common stock or make it more difficult for you to sell your shares of common stock at a time and price</w:t>
      </w:r>
    </w:p>
    <w:p>
      <w:pPr>
        <w:ind w:left="1160"/>
        <w:spacing w:after="0" w:line="229" w:lineRule="auto"/>
        <w:rPr>
          <w:sz w:val="20"/>
          <w:szCs w:val="20"/>
          <w:color w:val="auto"/>
        </w:rPr>
      </w:pPr>
      <w:r>
        <w:rPr>
          <w:rFonts w:ascii="Arial" w:cs="Arial" w:eastAsia="Arial" w:hAnsi="Arial"/>
          <w:sz w:val="14"/>
          <w:szCs w:val="14"/>
          <w:color w:val="auto"/>
        </w:rPr>
        <w:t>that you deem appropriate. See “</w:t>
      </w:r>
      <w:r>
        <w:rPr>
          <w:rFonts w:ascii="Arial" w:cs="Arial" w:eastAsia="Arial" w:hAnsi="Arial"/>
          <w:sz w:val="14"/>
          <w:szCs w:val="14"/>
          <w:i w:val="1"/>
          <w:iCs w:val="1"/>
          <w:color w:val="auto"/>
        </w:rPr>
        <w:t>Shares Eligible for Future Sale</w:t>
      </w:r>
      <w:r>
        <w:rPr>
          <w:rFonts w:ascii="Arial" w:cs="Arial" w:eastAsia="Arial" w:hAnsi="Arial"/>
          <w:sz w:val="14"/>
          <w:szCs w:val="14"/>
          <w:color w:val="auto"/>
        </w:rPr>
        <w:t>” for a discussion of the shares of common</w:t>
      </w:r>
    </w:p>
    <w:p>
      <w:pPr>
        <w:ind w:left="1160"/>
        <w:spacing w:after="0"/>
        <w:rPr>
          <w:sz w:val="20"/>
          <w:szCs w:val="20"/>
          <w:color w:val="auto"/>
        </w:rPr>
      </w:pPr>
      <w:r>
        <w:rPr>
          <w:rFonts w:ascii="Arial" w:cs="Arial" w:eastAsia="Arial" w:hAnsi="Arial"/>
          <w:sz w:val="15"/>
          <w:szCs w:val="15"/>
          <w:color w:val="auto"/>
        </w:rPr>
        <w:t>stock that may be sold into the public market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do not anticipate paying dividends on our common stock in the foreseeable future.</w:t>
      </w:r>
    </w:p>
    <w:p>
      <w:pPr>
        <w:spacing w:after="0" w:line="6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We do not anticipate paying any dividends in the foreseeable future on our common stock. We intend to retain all future earnings for the operation and expansion of our business and the repayment of</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4" w:lineRule="auto"/>
        <w:rPr>
          <w:sz w:val="20"/>
          <w:szCs w:val="20"/>
          <w:color w:val="auto"/>
        </w:rPr>
      </w:pPr>
      <w:r>
        <w:rPr>
          <w:rFonts w:ascii="Arial" w:cs="Arial" w:eastAsia="Arial" w:hAnsi="Arial"/>
          <w:sz w:val="15"/>
          <w:szCs w:val="15"/>
          <w:color w:val="auto"/>
        </w:rPr>
        <w:t>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p>
      <w:pPr>
        <w:spacing w:after="0" w:line="156"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our stock price could decline.</w:t>
      </w:r>
    </w:p>
    <w:p>
      <w:pPr>
        <w:spacing w:after="0" w:line="49"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46"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b w:val="1"/>
          <w:bCs w:val="1"/>
          <w:i w:val="1"/>
          <w:iCs w:val="1"/>
          <w:color w:val="auto"/>
        </w:rPr>
        <w:t>We may issue preferred securities, the terms of which could adversely affect the voting power or value of our common stock.</w:t>
      </w:r>
    </w:p>
    <w:p>
      <w:pPr>
        <w:spacing w:after="0" w:line="49"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58"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We are required to pay our pre-IPO stockholders for certain tax benefits, and the amounts of such payments could be material.</w:t>
      </w:r>
    </w:p>
    <w:p>
      <w:pPr>
        <w:spacing w:after="0" w:line="6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56"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56"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$115.2 million. Payments in accordance with the terms of the income tax receivable agreement could have an adverse effect on our liquidity and financial condition.</w:t>
      </w:r>
    </w:p>
    <w:p>
      <w:pPr>
        <w:spacing w:after="0" w:line="6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79" w:firstLine="293"/>
        <w:spacing w:after="0" w:line="294" w:lineRule="auto"/>
        <w:rPr>
          <w:sz w:val="20"/>
          <w:szCs w:val="20"/>
          <w:color w:val="auto"/>
        </w:rPr>
      </w:pPr>
      <w:r>
        <w:rPr>
          <w:rFonts w:ascii="Arial" w:cs="Arial" w:eastAsia="Arial" w:hAnsi="Arial"/>
          <w:sz w:val="13"/>
          <w:szCs w:val="13"/>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22"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For additional information related to the income tax receivable agreement,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Party Transactions—Income Tax Receivable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17"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This prospectus contains “forward-looking statements” within the meaning of the U.S. Private Securities Litigation Reform Act of 1995, which involve risks and uncertainties. These forward-looking statements are generally identified by the use of forward -looking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5"/>
          <w:szCs w:val="15"/>
          <w:i w:val="1"/>
          <w:iCs w:val="1"/>
          <w:color w:val="auto"/>
        </w:rPr>
        <w:t>Prospectus Summary</w:t>
      </w:r>
      <w:r>
        <w:rPr>
          <w:rFonts w:ascii="Arial" w:cs="Arial" w:eastAsia="Arial" w:hAnsi="Arial"/>
          <w:sz w:val="15"/>
          <w:szCs w:val="15"/>
          <w:color w:val="auto"/>
        </w:rPr>
        <w:t>,” “</w:t>
      </w:r>
      <w:r>
        <w:rPr>
          <w:rFonts w:ascii="Arial" w:cs="Arial" w:eastAsia="Arial" w:hAnsi="Arial"/>
          <w:sz w:val="15"/>
          <w:szCs w:val="15"/>
          <w:i w:val="1"/>
          <w:iCs w:val="1"/>
          <w:color w:val="auto"/>
        </w:rPr>
        <w:t>Risk Factors</w:t>
      </w:r>
      <w:r>
        <w:rPr>
          <w:rFonts w:ascii="Arial" w:cs="Arial" w:eastAsia="Arial" w:hAnsi="Arial"/>
          <w:sz w:val="15"/>
          <w:szCs w:val="15"/>
          <w:color w:val="auto"/>
        </w:rPr>
        <w:t>,” “</w:t>
      </w:r>
      <w:r>
        <w:rPr>
          <w:rFonts w:ascii="Arial" w:cs="Arial" w:eastAsia="Arial" w:hAnsi="Arial"/>
          <w:sz w:val="15"/>
          <w:szCs w:val="15"/>
          <w:i w:val="1"/>
          <w:iCs w:val="1"/>
          <w:color w:val="auto"/>
        </w:rPr>
        <w:t>Use of Proceeds</w:t>
      </w:r>
      <w:r>
        <w:rPr>
          <w:rFonts w:ascii="Arial" w:cs="Arial" w:eastAsia="Arial" w:hAnsi="Arial"/>
          <w:sz w:val="15"/>
          <w:szCs w:val="15"/>
          <w:color w:val="auto"/>
        </w:rPr>
        <w:t>,” “</w:t>
      </w:r>
      <w:r>
        <w:rPr>
          <w:rFonts w:ascii="Arial" w:cs="Arial" w:eastAsia="Arial" w:hAnsi="Arial"/>
          <w:sz w:val="15"/>
          <w:szCs w:val="15"/>
          <w:i w:val="1"/>
          <w:iCs w:val="1"/>
          <w:color w:val="auto"/>
        </w:rPr>
        <w:t>Management’s Discussion</w:t>
      </w:r>
      <w:r>
        <w:rPr>
          <w:rFonts w:ascii="Arial" w:cs="Arial" w:eastAsia="Arial" w:hAnsi="Arial"/>
          <w:sz w:val="15"/>
          <w:szCs w:val="15"/>
          <w:color w:val="auto"/>
        </w:rPr>
        <w:t xml:space="preserve"> </w:t>
      </w:r>
      <w:r>
        <w:rPr>
          <w:rFonts w:ascii="Arial" w:cs="Arial" w:eastAsia="Arial" w:hAnsi="Arial"/>
          <w:sz w:val="15"/>
          <w:szCs w:val="15"/>
          <w:i w:val="1"/>
          <w:iCs w:val="1"/>
          <w:color w:val="auto"/>
        </w:rPr>
        <w:t>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Business</w:t>
      </w:r>
      <w:r>
        <w:rPr>
          <w:rFonts w:ascii="Arial" w:cs="Arial" w:eastAsia="Arial" w:hAnsi="Arial"/>
          <w:sz w:val="15"/>
          <w:szCs w:val="15"/>
          <w:color w:val="auto"/>
        </w:rPr>
        <w:t>” and include,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statements relating to:</w:t>
      </w:r>
    </w:p>
    <w:p>
      <w:pPr>
        <w:spacing w:after="0" w:line="73" w:lineRule="exact"/>
        <w:rPr>
          <w:sz w:val="20"/>
          <w:szCs w:val="20"/>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strategy, outlook and growth prospects;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operational and financial targets and dividend policy;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trends and trends in the industry and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competitive environment in which we operate.</w:t>
      </w:r>
    </w:p>
    <w:p>
      <w:pPr>
        <w:spacing w:after="0" w:line="113"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55" w:lineRule="exact"/>
        <w:rPr>
          <w:sz w:val="20"/>
          <w:szCs w:val="20"/>
          <w:color w:val="auto"/>
        </w:rPr>
      </w:pPr>
    </w:p>
    <w:p>
      <w:pPr>
        <w:ind w:left="1600" w:right="16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impact of worldwide economic conditions;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our fuel cost;</w:t>
      </w:r>
    </w:p>
    <w:p>
      <w:pPr>
        <w:spacing w:after="0" w:line="91" w:lineRule="exact"/>
        <w:rPr>
          <w:rFonts w:ascii="Arial" w:cs="Arial" w:eastAsia="Arial" w:hAnsi="Arial"/>
          <w:sz w:val="15"/>
          <w:szCs w:val="15"/>
          <w:color w:val="auto"/>
        </w:rPr>
      </w:pPr>
    </w:p>
    <w:p>
      <w:pPr>
        <w:ind w:left="1600" w:right="17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threatened or actual terrorist attacks, global instability and potential U.S. military actions or activities;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competitive environment in our industry;</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factors beyond our control, including air traffic congestion, weather, security measures, travel-related taxes and outbreak of disease;</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presence in international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insurance costs;</w:t>
      </w:r>
    </w:p>
    <w:p>
      <w:pPr>
        <w:spacing w:after="0" w:line="91" w:lineRule="exact"/>
        <w:rPr>
          <w:rFonts w:ascii="Arial" w:cs="Arial" w:eastAsia="Arial" w:hAnsi="Arial"/>
          <w:sz w:val="15"/>
          <w:szCs w:val="15"/>
          <w:color w:val="auto"/>
        </w:rPr>
      </w:pPr>
    </w:p>
    <w:p>
      <w:pPr>
        <w:ind w:left="1600" w:right="16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restrictions on, or increased taxes applicable to charges for, ancillary products and services;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air travel substitutes;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implement our business strategy successfully;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keep costs low;</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reliance on the Minneapolis/St. Paul market;</w:t>
      </w:r>
    </w:p>
    <w:p>
      <w:pPr>
        <w:spacing w:after="0" w:line="80"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reputation and business being adversely affected in the event of an emergency, accident or similar public incident involving our aircraft or personnel;</w:t>
      </w:r>
    </w:p>
    <w:p>
      <w:pPr>
        <w:spacing w:after="0" w:line="59"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reliance on third-party providers and other commercial partners to perform functions integral to our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operational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grow or maintain our unit revenues or maintain our ancillary revenues;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increased labor costs, union disputes, employee strikes and other labor-related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governmental regulation;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inability to maintain an optimal daily aircraft utilization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inability to expand or operate reliably and efficiently out of airports where we maintain a large presence;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environmental and noise laws and regulations;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negative publicity regarding our customer service;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liquidity and dependence on cash balances and operating cash flows;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maintain our liquidity in the event one or more of our credit card processors were to impose holdback restrictions;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obtain financing or access capital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aircraft-related fixed obligations that could impair our liquidity;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maintenance obligations;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sole-source supplier for our aircraft and engines;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loss of key personnel;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risk factors included under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w:t>
      </w:r>
    </w:p>
    <w:p>
      <w:pPr>
        <w:spacing w:after="0" w:line="11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The selling stockholder is selling all of the shares of our common stock being sold in this offering, including any shares that may be sold in connection with the exercise of the underwriters’ option to purchase additional shares, and will receive all of the net proceeds from the sales of shares of our common stock being sold in this offering. See “</w:t>
      </w:r>
      <w:r>
        <w:rPr>
          <w:rFonts w:ascii="Arial" w:cs="Arial" w:eastAsia="Arial" w:hAnsi="Arial"/>
          <w:sz w:val="14"/>
          <w:szCs w:val="14"/>
          <w:i w:val="1"/>
          <w:iCs w:val="1"/>
          <w:color w:val="auto"/>
        </w:rPr>
        <w:t>Principal and Selling Stockholders.</w:t>
      </w:r>
      <w:r>
        <w:rPr>
          <w:rFonts w:ascii="Arial" w:cs="Arial" w:eastAsia="Arial" w:hAnsi="Arial"/>
          <w:sz w:val="14"/>
          <w:szCs w:val="14"/>
          <w:color w:val="auto"/>
        </w:rPr>
        <w:t>” We are not selling any shares of our common stock in this offering and we will not receive any proceeds from the sale of these shares, but we will bear the costs associated with this registration statement in accordance with the Registration Rights Agreement (as defined herein). The selling stockholder will bear any underwriting discounts and commissions attributable to its sale of our common stock and we will bear the remaining fees, costs and expenses, which we estimate to be approximately $0.5 million. See “</w:t>
      </w:r>
      <w:r>
        <w:rPr>
          <w:rFonts w:ascii="Arial" w:cs="Arial" w:eastAsia="Arial" w:hAnsi="Arial"/>
          <w:sz w:val="14"/>
          <w:szCs w:val="14"/>
          <w:i w:val="1"/>
          <w:iCs w:val="1"/>
          <w:color w:val="auto"/>
        </w:rPr>
        <w:t>Certain Relationships and Related</w:t>
      </w:r>
      <w:r>
        <w:rPr>
          <w:rFonts w:ascii="Arial" w:cs="Arial" w:eastAsia="Arial" w:hAnsi="Arial"/>
          <w:sz w:val="14"/>
          <w:szCs w:val="14"/>
          <w:color w:val="auto"/>
        </w:rPr>
        <w:t xml:space="preserve"> </w:t>
      </w:r>
      <w:r>
        <w:rPr>
          <w:rFonts w:ascii="Arial" w:cs="Arial" w:eastAsia="Arial" w:hAnsi="Arial"/>
          <w:sz w:val="14"/>
          <w:szCs w:val="14"/>
          <w:i w:val="1"/>
          <w:iCs w:val="1"/>
          <w:color w:val="auto"/>
        </w:rPr>
        <w:t>Party Transactions—Registration Rights Agreement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MARKET PRICE OF COMMON STOCK AND DIVIDEND POLICY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 Price of Our Common Stock</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Our common stock is listed on Nasdaq under the symbol “SNCY.” On May 19, 2021, the closing price of our common stock was $35.55. As of March 31, 2021, there were 57,153,467 shares of common stock outstanding and held of record by 51 stockholders and no shares of preferred stock outstanding. The number of record holders of our common stock does not include DTC participants or beneficial owners holding shares through nominee names.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 Policy</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09"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4"/>
          <w:szCs w:val="14"/>
          <w:i w:val="1"/>
          <w:iCs w:val="1"/>
          <w:color w:val="auto"/>
        </w:rPr>
        <w:t>Risk Factors—Risks Related to this</w:t>
      </w:r>
      <w:r>
        <w:rPr>
          <w:rFonts w:ascii="Arial" w:cs="Arial" w:eastAsia="Arial" w:hAnsi="Arial"/>
          <w:sz w:val="14"/>
          <w:szCs w:val="14"/>
          <w:color w:val="auto"/>
        </w:rPr>
        <w:t xml:space="preserve"> </w:t>
      </w:r>
      <w:r>
        <w:rPr>
          <w:rFonts w:ascii="Arial" w:cs="Arial" w:eastAsia="Arial" w:hAnsi="Arial"/>
          <w:sz w:val="14"/>
          <w:szCs w:val="14"/>
          <w:i w:val="1"/>
          <w:iCs w:val="1"/>
          <w:color w:val="auto"/>
        </w:rPr>
        <w:t>Offering and Ownership of Our Common Stock</w:t>
      </w:r>
      <w:r>
        <w:rPr>
          <w:rFonts w:ascii="Arial" w:cs="Arial" w:eastAsia="Arial" w:hAnsi="Arial"/>
          <w:sz w:val="14"/>
          <w:szCs w:val="14"/>
          <w:color w:val="auto"/>
        </w:rPr>
        <w:t>” and “</w:t>
      </w:r>
      <w:r>
        <w:rPr>
          <w:rFonts w:ascii="Arial" w:cs="Arial" w:eastAsia="Arial" w:hAnsi="Arial"/>
          <w:sz w:val="14"/>
          <w:szCs w:val="14"/>
          <w:i w:val="1"/>
          <w:iCs w:val="1"/>
          <w:color w:val="auto"/>
        </w:rPr>
        <w:t>Management’s Discussion and Analysis of Financial Condition and Results of Operations—Liquidity and Capital Resources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CAPITALIZATION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sets forth our cash and equivalents and our capitalization as of March 31, 2021.</w:t>
      </w:r>
    </w:p>
    <w:p>
      <w:pPr>
        <w:spacing w:after="0" w:line="124"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You should read this table together with the information included elsewhere in this prospectus, including “</w:t>
      </w:r>
      <w:r>
        <w:rPr>
          <w:rFonts w:ascii="Arial" w:cs="Arial" w:eastAsia="Arial" w:hAnsi="Arial"/>
          <w:sz w:val="14"/>
          <w:szCs w:val="14"/>
          <w:i w:val="1"/>
          <w:iCs w:val="1"/>
          <w:color w:val="auto"/>
        </w:rPr>
        <w:t>Prospectus Summary—Summary Consolidated Financial and Operating Information</w:t>
      </w:r>
      <w:r>
        <w:rPr>
          <w:rFonts w:ascii="Arial" w:cs="Arial" w:eastAsia="Arial" w:hAnsi="Arial"/>
          <w:sz w:val="14"/>
          <w:szCs w:val="14"/>
          <w:color w:val="auto"/>
        </w:rPr>
        <w:t>,” “</w:t>
      </w:r>
      <w:r>
        <w:rPr>
          <w:rFonts w:ascii="Arial" w:cs="Arial" w:eastAsia="Arial" w:hAnsi="Arial"/>
          <w:sz w:val="14"/>
          <w:szCs w:val="14"/>
          <w:i w:val="1"/>
          <w:iCs w:val="1"/>
          <w:color w:val="auto"/>
        </w:rPr>
        <w:t>Selected</w:t>
      </w:r>
      <w:r>
        <w:rPr>
          <w:rFonts w:ascii="Arial" w:cs="Arial" w:eastAsia="Arial" w:hAnsi="Arial"/>
          <w:sz w:val="14"/>
          <w:szCs w:val="14"/>
          <w:color w:val="auto"/>
        </w:rPr>
        <w:t xml:space="preserve"> </w:t>
      </w:r>
      <w:r>
        <w:rPr>
          <w:rFonts w:ascii="Arial" w:cs="Arial" w:eastAsia="Arial" w:hAnsi="Arial"/>
          <w:sz w:val="14"/>
          <w:szCs w:val="14"/>
          <w:i w:val="1"/>
          <w:iCs w:val="1"/>
          <w:color w:val="auto"/>
        </w:rPr>
        <w:t>Historical Consolidated Financial Data</w:t>
      </w:r>
      <w:r>
        <w:rPr>
          <w:rFonts w:ascii="Arial" w:cs="Arial" w:eastAsia="Arial" w:hAnsi="Arial"/>
          <w:sz w:val="14"/>
          <w:szCs w:val="14"/>
          <w:color w:val="auto"/>
        </w:rPr>
        <w:t>,”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thereto.</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As of</w:t>
            </w:r>
          </w:p>
        </w:tc>
      </w:tr>
      <w:tr>
        <w:trPr>
          <w:trHeight w:val="150"/>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March 31, 2021</w:t>
            </w:r>
          </w:p>
        </w:tc>
      </w:tr>
      <w:tr>
        <w:trPr>
          <w:trHeight w:val="21"/>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r>
      <w:tr>
        <w:trPr>
          <w:trHeight w:val="13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0"/>
              </w:rPr>
              <w:t>(in thousands,</w:t>
            </w:r>
          </w:p>
        </w:tc>
      </w:tr>
      <w:tr>
        <w:trPr>
          <w:trHeight w:val="150"/>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except share data)</w:t>
            </w:r>
          </w:p>
        </w:tc>
      </w:tr>
      <w:tr>
        <w:trPr>
          <w:trHeight w:val="21"/>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$269,599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5"/>
                <w:szCs w:val="15"/>
                <w:color w:val="auto"/>
              </w:rPr>
              <w:t>Total debt</w:t>
            </w:r>
          </w:p>
        </w:tc>
        <w:tc>
          <w:tcPr>
            <w:tcW w:w="106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303,341</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87"/>
        </w:trPr>
        <w:tc>
          <w:tcPr>
            <w:tcW w:w="5620" w:type="dxa"/>
            <w:vAlign w:val="bottom"/>
          </w:tcPr>
          <w:p>
            <w:pPr>
              <w:ind w:left="160"/>
              <w:spacing w:after="0"/>
              <w:rPr>
                <w:sz w:val="20"/>
                <w:szCs w:val="20"/>
                <w:color w:val="auto"/>
              </w:rPr>
            </w:pPr>
            <w:r>
              <w:rPr>
                <w:rFonts w:ascii="Arial" w:cs="Arial" w:eastAsia="Arial" w:hAnsi="Arial"/>
                <w:sz w:val="15"/>
                <w:szCs w:val="15"/>
                <w:color w:val="auto"/>
                <w:w w:val="97"/>
              </w:rPr>
              <w:t>Common stock–$0.01 par value; 995,000,000 shares authorized, 57,153,467 shares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5620" w:type="dxa"/>
            <w:vAlign w:val="bottom"/>
          </w:tcPr>
          <w:p>
            <w:pPr>
              <w:ind w:left="300"/>
              <w:spacing w:after="0"/>
              <w:rPr>
                <w:sz w:val="20"/>
                <w:szCs w:val="20"/>
                <w:color w:val="auto"/>
              </w:rPr>
            </w:pPr>
            <w:r>
              <w:rPr>
                <w:rFonts w:ascii="Arial" w:cs="Arial" w:eastAsia="Arial" w:hAnsi="Arial"/>
                <w:sz w:val="15"/>
                <w:szCs w:val="15"/>
                <w:color w:val="auto"/>
              </w:rPr>
              <w:t>issued and outstanding</w:t>
            </w:r>
          </w:p>
        </w:tc>
        <w:tc>
          <w:tcPr>
            <w:tcW w:w="1060" w:type="dxa"/>
            <w:vAlign w:val="bottom"/>
            <w:gridSpan w:val="4"/>
          </w:tcPr>
          <w:p>
            <w:pPr>
              <w:jc w:val="right"/>
              <w:ind w:right="160"/>
              <w:spacing w:after="0"/>
              <w:rPr>
                <w:sz w:val="20"/>
                <w:szCs w:val="20"/>
                <w:color w:val="auto"/>
              </w:rPr>
            </w:pPr>
            <w:r>
              <w:rPr>
                <w:rFonts w:ascii="Arial" w:cs="Arial" w:eastAsia="Arial" w:hAnsi="Arial"/>
                <w:sz w:val="15"/>
                <w:szCs w:val="15"/>
                <w:color w:val="auto"/>
              </w:rPr>
              <w:t>572</w:t>
            </w:r>
          </w:p>
        </w:tc>
      </w:tr>
      <w:tr>
        <w:trPr>
          <w:trHeight w:val="193"/>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Preferred stock–$0.01 par value; 5,000,000 shares authorized, no shares issued and</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outstanding</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r>
      <w:tr>
        <w:trPr>
          <w:trHeight w:val="209"/>
        </w:trPr>
        <w:tc>
          <w:tcPr>
            <w:tcW w:w="5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060" w:type="dxa"/>
            <w:vAlign w:val="bottom"/>
            <w:gridSpan w:val="4"/>
          </w:tcPr>
          <w:p>
            <w:pPr>
              <w:jc w:val="right"/>
              <w:ind w:right="160"/>
              <w:spacing w:after="0"/>
              <w:rPr>
                <w:sz w:val="20"/>
                <w:szCs w:val="20"/>
                <w:color w:val="auto"/>
              </w:rPr>
            </w:pPr>
            <w:r>
              <w:rPr>
                <w:rFonts w:ascii="Arial" w:cs="Arial" w:eastAsia="Arial" w:hAnsi="Arial"/>
                <w:sz w:val="15"/>
                <w:szCs w:val="15"/>
                <w:color w:val="auto"/>
              </w:rPr>
              <w:t>473,848</w:t>
            </w:r>
          </w:p>
        </w:tc>
      </w:tr>
      <w:tr>
        <w:trPr>
          <w:trHeight w:val="214"/>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(deficit).</w:t>
            </w:r>
          </w:p>
        </w:tc>
        <w:tc>
          <w:tcPr>
            <w:tcW w:w="34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(64,460)</w:t>
            </w:r>
          </w:p>
        </w:tc>
      </w:tr>
      <w:tr>
        <w:trPr>
          <w:trHeight w:val="211"/>
        </w:trPr>
        <w:tc>
          <w:tcPr>
            <w:tcW w:w="5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5"/>
                <w:szCs w:val="15"/>
                <w:color w:val="auto"/>
              </w:rPr>
              <w:t>Total stockholders’ equity</w:t>
            </w:r>
          </w:p>
        </w:tc>
        <w:tc>
          <w:tcPr>
            <w:tcW w:w="340" w:type="dxa"/>
            <w:vAlign w:val="bottom"/>
            <w:tcBorders>
              <w:top w:val="single" w:sz="8" w:color="CCEEFF"/>
              <w:bottom w:val="single" w:sz="8" w:color="CCEEFF"/>
            </w:tcBorders>
            <w:gridSpan w:val="2"/>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409,960</w:t>
            </w:r>
          </w:p>
        </w:tc>
        <w:tc>
          <w:tcPr>
            <w:tcW w:w="160" w:type="dxa"/>
            <w:vAlign w:val="bottom"/>
            <w:tcBorders>
              <w:top w:val="single" w:sz="8" w:color="CCEEFF"/>
              <w:bottom w:val="single" w:sz="8" w:color="CCEEFF"/>
            </w:tcBorders>
          </w:tcPr>
          <w:p>
            <w:pPr>
              <w:spacing w:after="0"/>
              <w:rPr>
                <w:sz w:val="18"/>
                <w:szCs w:val="18"/>
                <w:color w:val="auto"/>
              </w:rPr>
            </w:pPr>
          </w:p>
        </w:tc>
      </w:tr>
      <w:tr>
        <w:trPr>
          <w:trHeight w:val="236"/>
        </w:trPr>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 xml:space="preserve">Total capitalization </w:t>
            </w:r>
            <w:r>
              <w:rPr>
                <w:rFonts w:ascii="Arial" w:cs="Arial" w:eastAsia="Arial" w:hAnsi="Arial"/>
                <w:sz w:val="15"/>
                <w:szCs w:val="15"/>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$713,301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CONSOLIDATED FINANCIAL DATA</w:t>
      </w:r>
    </w:p>
    <w:p>
      <w:pPr>
        <w:spacing w:after="0" w:line="117"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w:t>
      </w:r>
    </w:p>
    <w:p>
      <w:pPr>
        <w:spacing w:after="0" w:line="3"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 We have derived our selected historical consolidated statement of operations data for the three months ended March 31, 2021 and 2020 from our unaudited condensed consolidated financial statements included elsewhere in this prospectus. We have derived our selected historical consolidated balance sheet data as of March 31, 2021 from our unaudited condensed consolidated financial statements included elsewhere in this prospectus.</w:t>
      </w:r>
    </w:p>
    <w:p>
      <w:pPr>
        <w:spacing w:after="0" w:line="96"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60" w:right="1199" w:firstLine="4"/>
        <w:spacing w:after="0" w:line="245" w:lineRule="auto"/>
        <w:tabs>
          <w:tab w:leader="none" w:pos="1379" w:val="left"/>
        </w:tabs>
        <w:numPr>
          <w:ilvl w:val="0"/>
          <w:numId w:val="35"/>
        </w:numPr>
        <w:rPr>
          <w:rFonts w:ascii="Arial" w:cs="Arial" w:eastAsia="Arial" w:hAnsi="Arial"/>
          <w:sz w:val="15"/>
          <w:szCs w:val="15"/>
          <w:color w:val="auto"/>
        </w:rPr>
      </w:pPr>
      <w:r>
        <w:rPr>
          <w:rFonts w:ascii="Arial" w:cs="Arial" w:eastAsia="Arial" w:hAnsi="Arial"/>
          <w:sz w:val="15"/>
          <w:szCs w:val="15"/>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5"/>
          <w:szCs w:val="15"/>
          <w:i w:val="1"/>
          <w:iCs w:val="1"/>
          <w:color w:val="auto"/>
        </w:rPr>
        <w:t>Management’s Discussion and Analysis</w:t>
      </w:r>
      <w:r>
        <w:rPr>
          <w:rFonts w:ascii="Arial" w:cs="Arial" w:eastAsia="Arial" w:hAnsi="Arial"/>
          <w:sz w:val="15"/>
          <w:szCs w:val="15"/>
          <w:color w:val="auto"/>
        </w:rPr>
        <w:t xml:space="preserve"> </w:t>
      </w:r>
      <w:r>
        <w:rPr>
          <w:rFonts w:ascii="Arial" w:cs="Arial" w:eastAsia="Arial" w:hAnsi="Arial"/>
          <w:sz w:val="15"/>
          <w:szCs w:val="15"/>
          <w:i w:val="1"/>
          <w:iCs w:val="1"/>
          <w:color w:val="auto"/>
        </w:rPr>
        <w:t>of Financial Condition and Results of Operations</w:t>
      </w:r>
      <w:r>
        <w:rPr>
          <w:rFonts w:ascii="Arial" w:cs="Arial" w:eastAsia="Arial" w:hAnsi="Arial"/>
          <w:sz w:val="15"/>
          <w:szCs w:val="15"/>
          <w:color w:val="auto"/>
        </w:rPr>
        <w:t>” and our consolidated financial statements and the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tbl>
      <w:tblPr>
        <w:tblLayout w:type="fixed"/>
        <w:tblInd w:w="140" w:type="dxa"/>
        <w:tblCellMar>
          <w:top w:w="0" w:type="dxa"/>
          <w:left w:w="0" w:type="dxa"/>
          <w:bottom w:w="0" w:type="dxa"/>
          <w:right w:w="0" w:type="dxa"/>
        </w:tblCellMar>
      </w:tblPr>
      <w:tr>
        <w:trPr>
          <w:trHeight w:val="139"/>
        </w:trPr>
        <w:tc>
          <w:tcPr>
            <w:tcW w:w="274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vMerge w:val="restart"/>
          </w:tcPr>
          <w:p>
            <w:pPr>
              <w:jc w:val="right"/>
              <w:ind w:right="50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5"/>
              </w:rPr>
              <w:t>Period</w:t>
            </w: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3"/>
              </w:rPr>
              <w:t>For the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88"/>
              </w:rPr>
              <w:t>April 11,</w:t>
            </w: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1"/>
              </w:rPr>
              <w:t>period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3"/>
          </w:tcPr>
          <w:p>
            <w:pPr>
              <w:jc w:val="center"/>
              <w:ind w:right="80"/>
              <w:spacing w:after="0" w:line="121" w:lineRule="exact"/>
              <w:rPr>
                <w:sz w:val="20"/>
                <w:szCs w:val="20"/>
                <w:color w:val="auto"/>
              </w:rPr>
            </w:pPr>
            <w:r>
              <w:rPr>
                <w:rFonts w:ascii="Arial" w:cs="Arial" w:eastAsia="Arial" w:hAnsi="Arial"/>
                <w:sz w:val="12"/>
                <w:szCs w:val="12"/>
                <w:b w:val="1"/>
                <w:bCs w:val="1"/>
                <w:color w:val="auto"/>
                <w:w w:val="84"/>
              </w:rPr>
              <w:t>For the three</w:t>
            </w:r>
          </w:p>
        </w:tc>
        <w:tc>
          <w:tcPr>
            <w:tcW w:w="800" w:type="dxa"/>
            <w:vAlign w:val="bottom"/>
            <w:gridSpan w:val="3"/>
          </w:tcPr>
          <w:p>
            <w:pPr>
              <w:jc w:val="center"/>
              <w:ind w:right="80"/>
              <w:spacing w:after="0" w:line="121" w:lineRule="exact"/>
              <w:rPr>
                <w:sz w:val="20"/>
                <w:szCs w:val="20"/>
                <w:color w:val="auto"/>
              </w:rPr>
            </w:pPr>
            <w:r>
              <w:rPr>
                <w:rFonts w:ascii="Arial" w:cs="Arial" w:eastAsia="Arial" w:hAnsi="Arial"/>
                <w:sz w:val="12"/>
                <w:szCs w:val="12"/>
                <w:b w:val="1"/>
                <w:bCs w:val="1"/>
                <w:color w:val="auto"/>
                <w:w w:val="87"/>
              </w:rPr>
              <w:t>For the year</w:t>
            </w:r>
          </w:p>
        </w:tc>
        <w:tc>
          <w:tcPr>
            <w:tcW w:w="80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0"/>
                <w:szCs w:val="10"/>
                <w:color w:val="auto"/>
              </w:rPr>
            </w:pPr>
          </w:p>
        </w:tc>
        <w:tc>
          <w:tcPr>
            <w:tcW w:w="640" w:type="dxa"/>
            <w:vAlign w:val="bottom"/>
          </w:tcPr>
          <w:p>
            <w:pPr>
              <w:jc w:val="center"/>
              <w:ind w:right="29"/>
              <w:spacing w:after="0" w:line="121" w:lineRule="exact"/>
              <w:rPr>
                <w:sz w:val="20"/>
                <w:szCs w:val="20"/>
                <w:color w:val="auto"/>
              </w:rPr>
            </w:pPr>
            <w:r>
              <w:rPr>
                <w:rFonts w:ascii="Arial" w:cs="Arial" w:eastAsia="Arial" w:hAnsi="Arial"/>
                <w:sz w:val="12"/>
                <w:szCs w:val="12"/>
                <w:b w:val="1"/>
                <w:bCs w:val="1"/>
                <w:color w:val="auto"/>
                <w:w w:val="82"/>
              </w:rPr>
              <w:t>2018</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4"/>
              </w:rPr>
              <w:t>January 1,</w:t>
            </w:r>
          </w:p>
        </w:tc>
        <w:tc>
          <w:tcPr>
            <w:tcW w:w="640" w:type="dxa"/>
            <w:vAlign w:val="bottom"/>
            <w:gridSpan w:val="3"/>
          </w:tcPr>
          <w:p>
            <w:pPr>
              <w:jc w:val="center"/>
              <w:ind w:right="60"/>
              <w:spacing w:after="0" w:line="121" w:lineRule="exact"/>
              <w:rPr>
                <w:sz w:val="20"/>
                <w:szCs w:val="20"/>
                <w:color w:val="auto"/>
              </w:rPr>
            </w:pPr>
            <w:r>
              <w:rPr>
                <w:rFonts w:ascii="Arial" w:cs="Arial" w:eastAsia="Arial" w:hAnsi="Arial"/>
                <w:sz w:val="12"/>
                <w:szCs w:val="12"/>
                <w:b w:val="1"/>
                <w:bCs w:val="1"/>
                <w:color w:val="auto"/>
                <w:w w:val="84"/>
              </w:rPr>
              <w:t>For the year</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w w:val="92"/>
              </w:rPr>
              <w:t>months ended</w:t>
            </w:r>
          </w:p>
        </w:tc>
        <w:tc>
          <w:tcPr>
            <w:tcW w:w="780" w:type="dxa"/>
            <w:vAlign w:val="bottom"/>
            <w:gridSpan w:val="3"/>
          </w:tcPr>
          <w:p>
            <w:pPr>
              <w:ind w:left="20"/>
              <w:spacing w:after="0" w:line="121" w:lineRule="exact"/>
              <w:rPr>
                <w:sz w:val="20"/>
                <w:szCs w:val="20"/>
                <w:color w:val="auto"/>
              </w:rPr>
            </w:pPr>
            <w:r>
              <w:rPr>
                <w:rFonts w:ascii="Arial" w:cs="Arial" w:eastAsia="Arial" w:hAnsi="Arial"/>
                <w:sz w:val="12"/>
                <w:szCs w:val="12"/>
                <w:b w:val="1"/>
                <w:bCs w:val="1"/>
                <w:color w:val="auto"/>
                <w:w w:val="90"/>
              </w:rPr>
              <w:t>months ended</w:t>
            </w: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83"/>
              </w:rPr>
              <w:t>through</w:t>
            </w:r>
          </w:p>
        </w:tc>
        <w:tc>
          <w:tcPr>
            <w:tcW w:w="920" w:type="dxa"/>
            <w:vAlign w:val="bottom"/>
            <w:gridSpan w:val="2"/>
          </w:tcPr>
          <w:p>
            <w:pPr>
              <w:jc w:val="center"/>
              <w:ind w:right="69"/>
              <w:spacing w:after="0" w:line="121" w:lineRule="exact"/>
              <w:rPr>
                <w:sz w:val="20"/>
                <w:szCs w:val="20"/>
                <w:color w:val="auto"/>
              </w:rPr>
            </w:pPr>
            <w:r>
              <w:rPr>
                <w:rFonts w:ascii="Arial" w:cs="Arial" w:eastAsia="Arial" w:hAnsi="Arial"/>
                <w:sz w:val="12"/>
                <w:szCs w:val="12"/>
                <w:b w:val="1"/>
                <w:bCs w:val="1"/>
                <w:color w:val="auto"/>
                <w:w w:val="82"/>
              </w:rPr>
              <w:t>2018 through</w:t>
            </w:r>
          </w:p>
        </w:tc>
        <w:tc>
          <w:tcPr>
            <w:tcW w:w="80" w:type="dxa"/>
            <w:vAlign w:val="bottom"/>
          </w:tcPr>
          <w:p>
            <w:pPr>
              <w:spacing w:after="0"/>
              <w:rPr>
                <w:sz w:val="10"/>
                <w:szCs w:val="10"/>
                <w:color w:val="auto"/>
              </w:rPr>
            </w:pPr>
          </w:p>
        </w:tc>
        <w:tc>
          <w:tcPr>
            <w:tcW w:w="56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79"/>
              </w:rPr>
              <w:t>ended</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86"/>
              </w:rPr>
              <w:t>March 31,</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90"/>
              </w:rPr>
              <w:t>March 31,</w:t>
            </w:r>
          </w:p>
        </w:tc>
        <w:tc>
          <w:tcPr>
            <w:tcW w:w="80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w w:val="94"/>
              </w:rPr>
              <w:t>December 31,</w:t>
            </w:r>
          </w:p>
        </w:tc>
        <w:tc>
          <w:tcPr>
            <w:tcW w:w="800" w:type="dxa"/>
            <w:vAlign w:val="bottom"/>
            <w:gridSpan w:val="3"/>
          </w:tcPr>
          <w:p>
            <w:pPr>
              <w:ind w:left="20"/>
              <w:spacing w:after="0" w:line="121" w:lineRule="exact"/>
              <w:rPr>
                <w:sz w:val="20"/>
                <w:szCs w:val="20"/>
                <w:color w:val="auto"/>
              </w:rPr>
            </w:pPr>
            <w:r>
              <w:rPr>
                <w:rFonts w:ascii="Arial" w:cs="Arial" w:eastAsia="Arial" w:hAnsi="Arial"/>
                <w:sz w:val="12"/>
                <w:szCs w:val="12"/>
                <w:b w:val="1"/>
                <w:bCs w:val="1"/>
                <w:color w:val="auto"/>
                <w:w w:val="97"/>
              </w:rPr>
              <w:t>December 31,</w:t>
            </w:r>
          </w:p>
        </w:tc>
        <w:tc>
          <w:tcPr>
            <w:tcW w:w="860" w:type="dxa"/>
            <w:vAlign w:val="bottom"/>
            <w:tcBorders>
              <w:right w:val="single" w:sz="8" w:color="auto"/>
            </w:tcBorders>
            <w:gridSpan w:val="3"/>
          </w:tcPr>
          <w:p>
            <w:pPr>
              <w:ind w:left="20"/>
              <w:spacing w:after="0" w:line="121"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8"/>
              </w:rPr>
              <w:t>April 10,</w:t>
            </w:r>
          </w:p>
        </w:tc>
        <w:tc>
          <w:tcPr>
            <w:tcW w:w="640" w:type="dxa"/>
            <w:vAlign w:val="bottom"/>
            <w:gridSpan w:val="3"/>
          </w:tcPr>
          <w:p>
            <w:pPr>
              <w:jc w:val="center"/>
              <w:ind w:right="40"/>
              <w:spacing w:after="0" w:line="121" w:lineRule="exact"/>
              <w:rPr>
                <w:sz w:val="20"/>
                <w:szCs w:val="20"/>
                <w:color w:val="auto"/>
              </w:rPr>
            </w:pPr>
            <w:r>
              <w:rPr>
                <w:rFonts w:ascii="Arial" w:cs="Arial" w:eastAsia="Arial" w:hAnsi="Arial"/>
                <w:sz w:val="12"/>
                <w:szCs w:val="12"/>
                <w:b w:val="1"/>
                <w:bCs w:val="1"/>
                <w:color w:val="auto"/>
                <w:w w:val="76"/>
              </w:rPr>
              <w:t>December 31,</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2340" w:type="dxa"/>
            <w:vAlign w:val="bottom"/>
            <w:gridSpan w:val="2"/>
          </w:tcPr>
          <w:p>
            <w:pPr>
              <w:spacing w:after="0"/>
              <w:rPr>
                <w:sz w:val="20"/>
                <w:szCs w:val="20"/>
                <w:color w:val="auto"/>
              </w:rPr>
            </w:pPr>
            <w:r>
              <w:rPr>
                <w:rFonts w:ascii="Arial" w:cs="Arial" w:eastAsia="Arial" w:hAnsi="Arial"/>
                <w:sz w:val="12"/>
                <w:szCs w:val="12"/>
                <w:b w:val="1"/>
                <w:bCs w:val="1"/>
                <w:color w:val="auto"/>
                <w:w w:val="84"/>
              </w:rPr>
              <w:t>(in thousands, except share and per share data)</w:t>
            </w:r>
          </w:p>
        </w:tc>
        <w:tc>
          <w:tcPr>
            <w:tcW w:w="6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09"/>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23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Operations Data:</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Passenger</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104,195</w:t>
            </w: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178,486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359,232</w:t>
            </w: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688,833</w:t>
            </w: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172,897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502,081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Cargo</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21,585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36,809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1,844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5,445</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12,551</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49,107</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24,555</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57,595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2280" w:type="dxa"/>
            <w:vAlign w:val="bottom"/>
          </w:tcPr>
          <w:p>
            <w:pPr>
              <w:ind w:left="440"/>
              <w:spacing w:after="0"/>
              <w:rPr>
                <w:sz w:val="20"/>
                <w:szCs w:val="20"/>
                <w:color w:val="auto"/>
              </w:rPr>
            </w:pPr>
            <w:r>
              <w:rPr>
                <w:rFonts w:ascii="Arial" w:cs="Arial" w:eastAsia="Arial" w:hAnsi="Arial"/>
                <w:sz w:val="15"/>
                <w:szCs w:val="15"/>
                <w:color w:val="auto"/>
              </w:rPr>
              <w:t>Total Operating Revenue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127,611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180,330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401,486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701,384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384,931</w:t>
            </w:r>
          </w:p>
        </w:tc>
        <w:tc>
          <w:tcPr>
            <w:tcW w:w="80" w:type="dxa"/>
            <w:vAlign w:val="bottom"/>
          </w:tcPr>
          <w:p>
            <w:pPr>
              <w:spacing w:after="0"/>
              <w:rPr>
                <w:sz w:val="19"/>
                <w:szCs w:val="19"/>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197,452</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559,676</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24,274</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55,561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83,392</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165,666</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119,553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45,790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118,382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w w:val="99"/>
              </w:rPr>
              <w:t>Salaries, Wages, and Benefits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44,075</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38,091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141,641</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140,739</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36,964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124,446</w:t>
            </w: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gridSpan w:val="2"/>
          </w:tcPr>
          <w:p>
            <w:pPr>
              <w:ind w:left="300"/>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5,599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11,032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30,989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49,908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9"/>
                <w:szCs w:val="19"/>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28,329</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81,141</w:t>
            </w: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tcBorders>
              <w:right w:val="single" w:sz="8" w:color="CCEEFF"/>
            </w:tcBorders>
            <w:gridSpan w:val="2"/>
            <w:shd w:val="clear" w:color="auto" w:fill="CCEEFF"/>
          </w:tcPr>
          <w:p>
            <w:pPr>
              <w:ind w:left="300"/>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9,210</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6,478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27,416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35,286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9,508</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35,371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8,572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16,570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35,388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10,854</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36,320</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Depreciation and</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2340" w:type="dxa"/>
            <w:vAlign w:val="bottom"/>
            <w:tcBorders>
              <w:right w:val="single" w:sz="8" w:color="CCEEFF"/>
            </w:tcBorders>
            <w:gridSpan w:val="2"/>
            <w:shd w:val="clear" w:color="auto" w:fill="CCEEFF"/>
          </w:tcPr>
          <w:p>
            <w:pPr>
              <w:ind w:left="440"/>
              <w:spacing w:after="0" w:line="227" w:lineRule="exact"/>
              <w:rPr>
                <w:sz w:val="20"/>
                <w:szCs w:val="20"/>
                <w:color w:val="auto"/>
              </w:rPr>
            </w:pPr>
            <w:r>
              <w:rPr>
                <w:rFonts w:ascii="Arial" w:cs="Arial" w:eastAsia="Arial" w:hAnsi="Arial"/>
                <w:sz w:val="15"/>
                <w:szCs w:val="15"/>
                <w:color w:val="auto"/>
              </w:rPr>
              <w:t>Amortization</w:t>
            </w:r>
            <w:r>
              <w:rPr>
                <w:rFonts w:ascii="Arial" w:cs="Arial" w:eastAsia="Arial" w:hAnsi="Arial"/>
                <w:sz w:val="21"/>
                <w:szCs w:val="21"/>
                <w:color w:val="auto"/>
                <w:vertAlign w:val="superscript"/>
              </w:rPr>
              <w:t>(3)</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12,615</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2,526</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10,301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9,292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20,596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41,719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8,619</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w w:val="97"/>
              </w:rPr>
              <w:t>Landing Fees and Airport Rent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8,785</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11,114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31,256</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44,400</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10,481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gridSpan w:val="2"/>
          </w:tcPr>
          <w:p>
            <w:pPr>
              <w:ind w:left="30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(4)</w:t>
            </w: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(26,871)</w:t>
            </w: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(64,563)</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271</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Operating, net</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14,651</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14,433</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68,187</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17,994</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124,047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102,678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165,100</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384,101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623,262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377,699</w:t>
            </w:r>
          </w:p>
        </w:tc>
        <w:tc>
          <w:tcPr>
            <w:tcW w:w="80" w:type="dxa"/>
            <w:vAlign w:val="bottom"/>
          </w:tcPr>
          <w:p>
            <w:pPr>
              <w:spacing w:after="0"/>
              <w:rPr>
                <w:sz w:val="20"/>
                <w:szCs w:val="20"/>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171,336</w:t>
            </w: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530,008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24,933</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15,230</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17,385</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78,122</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7,232</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26,116</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29,668</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2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w w:val="94"/>
              </w:rPr>
              <w:t>Non-operating Income (Expense):</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Interest Income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Interest Expense .</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(7,121)</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(5,616)</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(22,073)</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(17,170)</w:t>
            </w: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(6,060)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(1,134)</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net</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(1,636)</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Total Non-operating Expense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(7,111)</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(5,534)</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(22,067)</w:t>
            </w: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(17,962)</w:t>
            </w:r>
          </w:p>
        </w:tc>
        <w:tc>
          <w:tcPr>
            <w:tcW w:w="8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(7,438)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17,822</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9,696</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(4,682)</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60,160</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(206)</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25,910</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28,446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5"/>
                <w:szCs w:val="15"/>
                <w:color w:val="auto"/>
                <w:w w:val="97"/>
              </w:rPr>
              <w:t>Income Tax Expense (Benefit)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2,445</w:t>
            </w: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(778)</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14,088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20"/>
                <w:szCs w:val="20"/>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0" w:type="dxa"/>
            <w:vAlign w:val="bottom"/>
          </w:tcPr>
          <w:p>
            <w:pPr>
              <w:spacing w:after="0"/>
              <w:rPr>
                <w:sz w:val="22"/>
                <w:szCs w:val="22"/>
                <w:color w:val="auto"/>
              </w:rPr>
            </w:pPr>
          </w:p>
        </w:tc>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12,416</w:t>
            </w:r>
          </w:p>
        </w:tc>
        <w:tc>
          <w:tcPr>
            <w:tcW w:w="6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28,446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Borders>
              <w:top w:val="single" w:sz="8" w:color="CCEEFF"/>
              <w:bottom w:val="single" w:sz="8" w:color="CCEEFF"/>
            </w:tcBorders>
            <w:gridSpan w:val="2"/>
            <w:vMerge w:val="restart"/>
          </w:tcPr>
          <w:p>
            <w:pPr>
              <w:spacing w:after="0" w:line="169" w:lineRule="exact"/>
              <w:rPr>
                <w:sz w:val="20"/>
                <w:szCs w:val="20"/>
                <w:color w:val="auto"/>
              </w:rPr>
            </w:pPr>
            <w:r>
              <w:rPr>
                <w:rFonts w:ascii="Arial" w:cs="Arial" w:eastAsia="Arial" w:hAnsi="Arial"/>
                <w:sz w:val="15"/>
                <w:szCs w:val="15"/>
                <w:color w:val="auto"/>
              </w:rPr>
              <w:t>Net Income (Loss) per share to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2340" w:type="dxa"/>
            <w:vAlign w:val="bottom"/>
            <w:gridSpan w:val="2"/>
          </w:tcPr>
          <w:p>
            <w:pPr>
              <w:ind w:left="140"/>
              <w:spacing w:after="0"/>
              <w:rPr>
                <w:sz w:val="20"/>
                <w:szCs w:val="20"/>
                <w:color w:val="auto"/>
              </w:rPr>
            </w:pPr>
            <w:r>
              <w:rPr>
                <w:rFonts w:ascii="Arial" w:cs="Arial" w:eastAsia="Arial" w:hAnsi="Arial"/>
                <w:sz w:val="15"/>
                <w:szCs w:val="15"/>
                <w:color w:val="auto"/>
              </w:rPr>
              <w:t>common stockholders:</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0.15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0.96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0.26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140"/>
              <w:spacing w:after="0"/>
              <w:rPr>
                <w:sz w:val="20"/>
                <w:szCs w:val="20"/>
                <w:color w:val="auto"/>
              </w:rPr>
            </w:pPr>
            <w:r>
              <w:rPr>
                <w:rFonts w:ascii="Arial" w:cs="Arial" w:eastAsia="Arial" w:hAnsi="Arial"/>
                <w:sz w:val="15"/>
                <w:szCs w:val="15"/>
                <w:color w:val="auto"/>
              </w:rPr>
              <w:t>Basic</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48,496,077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46,805,951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46,773,038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5"/>
              </w:rPr>
              <w:t>46,700,900</w:t>
            </w:r>
          </w:p>
        </w:tc>
        <w:tc>
          <w:tcPr>
            <w:tcW w:w="8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w w:val="86"/>
              </w:rPr>
              <w:t>100,000,000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52,508,186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48,225,603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47,909,413</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5"/>
              </w:rPr>
              <w:t>46,700,900</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86"/>
              </w:rPr>
              <w:t>100,000,000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-410845</wp:posOffset>
            </wp:positionV>
            <wp:extent cx="47434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434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-410845</wp:posOffset>
            </wp:positionV>
            <wp:extent cx="8382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-410845</wp:posOffset>
            </wp:positionV>
            <wp:extent cx="349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-410845</wp:posOffset>
            </wp:positionV>
            <wp:extent cx="349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-410845</wp:posOffset>
            </wp:positionV>
            <wp:extent cx="349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-410845</wp:posOffset>
            </wp:positionV>
            <wp:extent cx="198120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-571500</wp:posOffset>
            </wp:positionV>
            <wp:extent cx="349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-571500</wp:posOffset>
            </wp:positionV>
            <wp:extent cx="349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-571500</wp:posOffset>
            </wp:positionV>
            <wp:extent cx="349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-571500</wp:posOffset>
            </wp:positionV>
            <wp:extent cx="349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-571500</wp:posOffset>
            </wp:positionV>
            <wp:extent cx="349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-571500</wp:posOffset>
            </wp:positionV>
            <wp:extent cx="349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-1136650</wp:posOffset>
            </wp:positionV>
            <wp:extent cx="4889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-1136650</wp:posOffset>
            </wp:positionV>
            <wp:extent cx="6985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-1136650</wp:posOffset>
            </wp:positionV>
            <wp:extent cx="8382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-1136650</wp:posOffset>
            </wp:positionV>
            <wp:extent cx="349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-1136650</wp:posOffset>
            </wp:positionV>
            <wp:extent cx="349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-1136650</wp:posOffset>
            </wp:positionV>
            <wp:extent cx="349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-1136650</wp:posOffset>
            </wp:positionV>
            <wp:extent cx="198120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-1297305</wp:posOffset>
            </wp:positionV>
            <wp:extent cx="349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-1297305</wp:posOffset>
            </wp:positionV>
            <wp:extent cx="349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-1297305</wp:posOffset>
            </wp:positionV>
            <wp:extent cx="349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-1297305</wp:posOffset>
            </wp:positionV>
            <wp:extent cx="349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-1297305</wp:posOffset>
            </wp:positionV>
            <wp:extent cx="349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-1297305</wp:posOffset>
            </wp:positionV>
            <wp:extent cx="349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-1590040</wp:posOffset>
            </wp:positionV>
            <wp:extent cx="349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-1590040</wp:posOffset>
            </wp:positionV>
            <wp:extent cx="349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-1590040</wp:posOffset>
            </wp:positionV>
            <wp:extent cx="349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-1590040</wp:posOffset>
            </wp:positionV>
            <wp:extent cx="349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-1590040</wp:posOffset>
            </wp:positionV>
            <wp:extent cx="349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-1590040</wp:posOffset>
            </wp:positionV>
            <wp:extent cx="349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-2148205</wp:posOffset>
            </wp:positionV>
            <wp:extent cx="349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-2148205</wp:posOffset>
            </wp:positionV>
            <wp:extent cx="349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-2148205</wp:posOffset>
            </wp:positionV>
            <wp:extent cx="349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-2148205</wp:posOffset>
            </wp:positionV>
            <wp:extent cx="349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-2148205</wp:posOffset>
            </wp:positionV>
            <wp:extent cx="349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-2148205</wp:posOffset>
            </wp:positionV>
            <wp:extent cx="349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-2308860</wp:posOffset>
            </wp:positionV>
            <wp:extent cx="4889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-2308860</wp:posOffset>
            </wp:positionV>
            <wp:extent cx="698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-2308860</wp:posOffset>
            </wp:positionV>
            <wp:extent cx="8382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-2308860</wp:posOffset>
            </wp:positionV>
            <wp:extent cx="349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-2308860</wp:posOffset>
            </wp:positionV>
            <wp:extent cx="349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-2308860</wp:posOffset>
            </wp:positionV>
            <wp:extent cx="349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-2308860</wp:posOffset>
            </wp:positionV>
            <wp:extent cx="19812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-2468880</wp:posOffset>
            </wp:positionV>
            <wp:extent cx="349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-2468880</wp:posOffset>
            </wp:positionV>
            <wp:extent cx="349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-2468880</wp:posOffset>
            </wp:positionV>
            <wp:extent cx="349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-2468880</wp:posOffset>
            </wp:positionV>
            <wp:extent cx="349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-2468880</wp:posOffset>
            </wp:positionV>
            <wp:extent cx="349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-2468880</wp:posOffset>
            </wp:positionV>
            <wp:extent cx="349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-4094480</wp:posOffset>
            </wp:positionV>
            <wp:extent cx="4889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-4094480</wp:posOffset>
            </wp:positionV>
            <wp:extent cx="698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-4094480</wp:posOffset>
            </wp:positionV>
            <wp:extent cx="8382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-4094480</wp:posOffset>
            </wp:positionV>
            <wp:extent cx="349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-4094480</wp:posOffset>
            </wp:positionV>
            <wp:extent cx="349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-4094480</wp:posOffset>
            </wp:positionV>
            <wp:extent cx="349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-4094480</wp:posOffset>
            </wp:positionV>
            <wp:extent cx="198120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-4248150</wp:posOffset>
            </wp:positionV>
            <wp:extent cx="3492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-4248150</wp:posOffset>
            </wp:positionV>
            <wp:extent cx="349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-4248150</wp:posOffset>
            </wp:positionV>
            <wp:extent cx="349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-4248150</wp:posOffset>
            </wp:positionV>
            <wp:extent cx="349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-4248150</wp:posOffset>
            </wp:positionV>
            <wp:extent cx="349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-4248150</wp:posOffset>
            </wp:positionV>
            <wp:extent cx="349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-5022215</wp:posOffset>
            </wp:positionV>
            <wp:extent cx="279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-5022215</wp:posOffset>
            </wp:positionV>
            <wp:extent cx="7683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-5022215</wp:posOffset>
            </wp:positionV>
            <wp:extent cx="2794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-5022215</wp:posOffset>
            </wp:positionV>
            <wp:extent cx="2794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-5022215</wp:posOffset>
            </wp:positionV>
            <wp:extent cx="2794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-5022215</wp:posOffset>
            </wp:positionV>
            <wp:extent cx="197421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74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939" w:hanging="296"/>
        <w:spacing w:after="0" w:line="236" w:lineRule="auto"/>
        <w:tabs>
          <w:tab w:leader="none" w:pos="1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Aircraft Rent expense for the Successor periods is reduced due to amortization of a liability representing</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259"/>
        <w:spacing w:after="0" w:line="239" w:lineRule="auto"/>
        <w:rPr>
          <w:sz w:val="20"/>
          <w:szCs w:val="20"/>
          <w:color w:val="auto"/>
        </w:rPr>
      </w:pPr>
      <w:r>
        <w:rPr>
          <w:rFonts w:ascii="Arial" w:cs="Arial" w:eastAsia="Arial" w:hAnsi="Arial"/>
          <w:sz w:val="14"/>
          <w:szCs w:val="14"/>
          <w:color w:val="auto"/>
        </w:rPr>
        <w:t>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2" w:lineRule="exact"/>
        <w:rPr>
          <w:sz w:val="20"/>
          <w:szCs w:val="20"/>
          <w:color w:val="auto"/>
        </w:rPr>
      </w:pPr>
    </w:p>
    <w:p>
      <w:pPr>
        <w:ind w:left="1460" w:right="1239" w:hanging="296"/>
        <w:spacing w:after="0" w:line="237" w:lineRule="auto"/>
        <w:tabs>
          <w:tab w:leader="none" w:pos="1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3" w:lineRule="exact"/>
        <w:rPr>
          <w:rFonts w:ascii="Arial" w:cs="Arial" w:eastAsia="Arial" w:hAnsi="Arial"/>
          <w:sz w:val="14"/>
          <w:szCs w:val="14"/>
          <w:color w:val="auto"/>
        </w:rPr>
      </w:pPr>
    </w:p>
    <w:p>
      <w:pPr>
        <w:ind w:left="1460" w:right="1259" w:hanging="296"/>
        <w:spacing w:after="0" w:line="225" w:lineRule="auto"/>
        <w:tabs>
          <w:tab w:leader="none" w:pos="1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34" w:lineRule="exact"/>
        <w:rPr>
          <w:rFonts w:ascii="Arial" w:cs="Arial" w:eastAsia="Arial" w:hAnsi="Arial"/>
          <w:sz w:val="15"/>
          <w:szCs w:val="15"/>
          <w:color w:val="auto"/>
        </w:rPr>
      </w:pPr>
    </w:p>
    <w:p>
      <w:pPr>
        <w:jc w:val="both"/>
        <w:ind w:left="1460" w:right="1339" w:hanging="296"/>
        <w:spacing w:after="0" w:line="229" w:lineRule="auto"/>
        <w:tabs>
          <w:tab w:leader="none" w:pos="1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62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As of March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ind w:left="200"/>
              <w:spacing w:after="0"/>
              <w:rPr>
                <w:sz w:val="20"/>
                <w:szCs w:val="20"/>
                <w:color w:val="auto"/>
              </w:rPr>
            </w:pPr>
            <w:r>
              <w:rPr>
                <w:rFonts w:ascii="Arial" w:cs="Arial" w:eastAsia="Arial" w:hAnsi="Arial"/>
                <w:sz w:val="12"/>
                <w:szCs w:val="12"/>
                <w:b w:val="1"/>
                <w:bCs w:val="1"/>
                <w:color w:val="auto"/>
              </w:rPr>
              <w:t>As of 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86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680" w:type="dxa"/>
            <w:vAlign w:val="bottom"/>
          </w:tcPr>
          <w:p>
            <w:pPr>
              <w:jc w:val="right"/>
              <w:ind w:right="17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680" w:type="dxa"/>
            <w:vAlign w:val="bottom"/>
          </w:tcPr>
          <w:p>
            <w:pPr>
              <w:jc w:val="right"/>
              <w:ind w:right="152"/>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1"/>
        </w:trPr>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5"/>
                <w:szCs w:val="15"/>
                <w:color w:val="auto"/>
              </w:rPr>
              <w:t>Cash and equivalents</w:t>
            </w:r>
          </w:p>
        </w:tc>
        <w:tc>
          <w:tcPr>
            <w:tcW w:w="860" w:type="dxa"/>
            <w:vAlign w:val="bottom"/>
          </w:tcPr>
          <w:p>
            <w:pPr>
              <w:jc w:val="right"/>
              <w:ind w:right="32"/>
              <w:spacing w:after="0"/>
              <w:rPr>
                <w:sz w:val="20"/>
                <w:szCs w:val="20"/>
                <w:color w:val="auto"/>
              </w:rPr>
            </w:pPr>
            <w:r>
              <w:rPr>
                <w:rFonts w:ascii="Arial" w:cs="Arial" w:eastAsia="Arial" w:hAnsi="Arial"/>
                <w:sz w:val="15"/>
                <w:szCs w:val="15"/>
                <w:color w:val="auto"/>
              </w:rPr>
              <w:t>$  269,599</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w w:val="98"/>
              </w:rPr>
              <w:t>$   62,028</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   51,006</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$ 29,600</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  4,276</w:t>
            </w: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1,244,202</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8"/>
              </w:rPr>
              <w:t>1,053,267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1,007,876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675,832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216,828</w:t>
            </w:r>
          </w:p>
        </w:tc>
        <w:tc>
          <w:tcPr>
            <w:tcW w:w="0" w:type="dxa"/>
            <w:vAlign w:val="bottom"/>
          </w:tcPr>
          <w:p>
            <w:pPr>
              <w:spacing w:after="0"/>
              <w:rPr>
                <w:sz w:val="1"/>
                <w:szCs w:val="1"/>
                <w:color w:val="auto"/>
              </w:rPr>
            </w:pPr>
          </w:p>
        </w:tc>
      </w:tr>
      <w:tr>
        <w:trPr>
          <w:trHeight w:val="198"/>
        </w:trPr>
        <w:tc>
          <w:tcPr>
            <w:tcW w:w="2620" w:type="dxa"/>
            <w:vAlign w:val="bottom"/>
          </w:tcPr>
          <w:p>
            <w:pPr>
              <w:spacing w:after="0"/>
              <w:rPr>
                <w:sz w:val="20"/>
                <w:szCs w:val="20"/>
                <w:color w:val="auto"/>
              </w:rPr>
            </w:pPr>
            <w:r>
              <w:rPr>
                <w:rFonts w:ascii="Arial" w:cs="Arial" w:eastAsia="Arial" w:hAnsi="Arial"/>
                <w:sz w:val="15"/>
                <w:szCs w:val="15"/>
                <w:color w:val="auto"/>
              </w:rPr>
              <w:t>Long-term debt and finance lease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20" w:type="dxa"/>
            <w:vAlign w:val="bottom"/>
          </w:tcPr>
          <w:p>
            <w:pPr>
              <w:ind w:left="160"/>
              <w:spacing w:after="0" w:line="146" w:lineRule="exact"/>
              <w:rPr>
                <w:sz w:val="20"/>
                <w:szCs w:val="20"/>
                <w:color w:val="auto"/>
              </w:rPr>
            </w:pPr>
            <w:r>
              <w:rPr>
                <w:rFonts w:ascii="Arial" w:cs="Arial" w:eastAsia="Arial" w:hAnsi="Arial"/>
                <w:sz w:val="15"/>
                <w:szCs w:val="15"/>
                <w:color w:val="auto"/>
              </w:rPr>
              <w:t>obligations, including current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160"/>
              <w:spacing w:after="0" w:line="238" w:lineRule="exact"/>
              <w:rPr>
                <w:sz w:val="20"/>
                <w:szCs w:val="20"/>
                <w:color w:val="auto"/>
              </w:rPr>
            </w:pPr>
            <w:r>
              <w:rPr>
                <w:rFonts w:ascii="Arial" w:cs="Arial" w:eastAsia="Arial" w:hAnsi="Arial"/>
                <w:sz w:val="15"/>
                <w:szCs w:val="15"/>
                <w:color w:val="auto"/>
              </w:rPr>
              <w:t>portion</w:t>
            </w:r>
            <w:r>
              <w:rPr>
                <w:rFonts w:ascii="Arial" w:cs="Arial" w:eastAsia="Arial" w:hAnsi="Arial"/>
                <w:sz w:val="21"/>
                <w:szCs w:val="21"/>
                <w:color w:val="auto"/>
                <w:vertAlign w:val="superscript"/>
              </w:rPr>
              <w:t>(1)</w:t>
            </w:r>
          </w:p>
        </w:tc>
        <w:tc>
          <w:tcPr>
            <w:tcW w:w="860" w:type="dxa"/>
            <w:vAlign w:val="bottom"/>
          </w:tcPr>
          <w:p>
            <w:pPr>
              <w:jc w:val="right"/>
              <w:ind w:right="32"/>
              <w:spacing w:after="0"/>
              <w:rPr>
                <w:sz w:val="20"/>
                <w:szCs w:val="20"/>
                <w:color w:val="auto"/>
              </w:rPr>
            </w:pPr>
            <w:r>
              <w:rPr>
                <w:rFonts w:ascii="Arial" w:cs="Arial" w:eastAsia="Arial" w:hAnsi="Arial"/>
                <w:sz w:val="15"/>
                <w:szCs w:val="15"/>
                <w:color w:val="auto"/>
              </w:rPr>
              <w:t>406,629</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389,633</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284,272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150,246</w:t>
            </w:r>
          </w:p>
        </w:tc>
        <w:tc>
          <w:tcPr>
            <w:tcW w:w="560" w:type="dxa"/>
            <w:vAlign w:val="bottom"/>
          </w:tcPr>
          <w:p>
            <w:pPr>
              <w:jc w:val="right"/>
              <w:spacing w:after="0"/>
              <w:rPr>
                <w:sz w:val="20"/>
                <w:szCs w:val="20"/>
                <w:color w:val="auto"/>
              </w:rPr>
            </w:pPr>
            <w:r>
              <w:rPr>
                <w:rFonts w:ascii="Arial" w:cs="Arial" w:eastAsia="Arial" w:hAnsi="Arial"/>
                <w:sz w:val="15"/>
                <w:szCs w:val="15"/>
                <w:color w:val="auto"/>
              </w:rPr>
              <w:t>11,273</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409,960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283,817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283,724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235,647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39" w:hanging="296"/>
        <w:spacing w:after="0" w:line="225" w:lineRule="auto"/>
        <w:tabs>
          <w:tab w:leader="none" w:pos="1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Finance lease obligations were formerly referred to as capital lease obligations prior to our adoption of Accounting Standards Codification 842: Leases (“ASC 842”) on January 1, 2019.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9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9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92"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8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9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3" w:lineRule="exact"/>
        <w:rPr>
          <w:sz w:val="20"/>
          <w:szCs w:val="20"/>
          <w:color w:val="auto"/>
        </w:rPr>
      </w:pPr>
    </w:p>
    <w:p>
      <w:pPr>
        <w:ind w:left="1160" w:right="1299" w:firstLine="4"/>
        <w:spacing w:after="0" w:line="266" w:lineRule="auto"/>
        <w:tabs>
          <w:tab w:leader="none" w:pos="13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8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Years in Review</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05"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00"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99" w:lineRule="exact"/>
        <w:rPr>
          <w:sz w:val="20"/>
          <w:szCs w:val="20"/>
          <w:color w:val="auto"/>
        </w:rPr>
      </w:pPr>
    </w:p>
    <w:p>
      <w:pPr>
        <w:ind w:left="1160" w:right="1479" w:firstLine="293"/>
        <w:spacing w:after="0" w:line="290" w:lineRule="auto"/>
        <w:rPr>
          <w:sz w:val="20"/>
          <w:szCs w:val="20"/>
          <w:color w:val="auto"/>
        </w:rPr>
      </w:pPr>
      <w:r>
        <w:rPr>
          <w:rFonts w:ascii="Arial" w:cs="Arial" w:eastAsia="Arial" w:hAnsi="Arial"/>
          <w:sz w:val="13"/>
          <w:szCs w:val="13"/>
          <w:color w:val="auto"/>
        </w:rPr>
        <w:t>Our transformation reduced operating costs during this same time period, resulting in a decrease in CASM from 10.09 cents in 2017 to 8.82 cents in 2019 and Adjusted CASM from 7.80 cents in 2017 to</w:t>
      </w:r>
    </w:p>
    <w:p>
      <w:pPr>
        <w:spacing w:after="0" w:line="1"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94" w:lineRule="exact"/>
        <w:rPr>
          <w:sz w:val="20"/>
          <w:szCs w:val="20"/>
          <w:color w:val="auto"/>
        </w:rPr>
      </w:pPr>
    </w:p>
    <w:p>
      <w:pPr>
        <w:ind w:left="1160" w:right="1319" w:firstLine="293"/>
        <w:spacing w:after="0" w:line="341" w:lineRule="auto"/>
        <w:rPr>
          <w:sz w:val="20"/>
          <w:szCs w:val="20"/>
          <w:color w:val="auto"/>
        </w:rPr>
      </w:pPr>
      <w:r>
        <w:rPr>
          <w:rFonts w:ascii="Arial" w:cs="Arial" w:eastAsia="Arial" w:hAnsi="Arial"/>
          <w:sz w:val="13"/>
          <w:szCs w:val="13"/>
          <w:color w:val="auto"/>
        </w:rPr>
        <w:t>In May 2020, we began providing air cargo transportation services under the ATSA. In June 2020, we entered into an amendment to the ATSA that added two additional aircraft to the agreement, which were</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39"/>
        <w:spacing w:after="0" w:line="239" w:lineRule="auto"/>
        <w:rPr>
          <w:sz w:val="20"/>
          <w:szCs w:val="20"/>
          <w:color w:val="auto"/>
        </w:rPr>
      </w:pPr>
      <w:r>
        <w:rPr>
          <w:rFonts w:ascii="Arial" w:cs="Arial" w:eastAsia="Arial" w:hAnsi="Arial"/>
          <w:sz w:val="15"/>
          <w:szCs w:val="15"/>
          <w:color w:val="auto"/>
        </w:rPr>
        <w:t>delivered in the fourth quarter of 2020, bringing the total number of aircraft we fly for Amazon to 12. In August 2020, we entered into a contract with Major League Soccer to provide charter flights for professional soccer teams.</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COVID-19 pandemic resulted in a dramatic decline in passenger demand across the U.S. airline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industry. We have experienced a significant decline in demand related to the COVID-19 pandemic, which</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has caused a material decline in our 2020 revenues and negatively impacted our financial condition and</w:t>
      </w:r>
    </w:p>
    <w:p>
      <w:pPr>
        <w:ind w:left="1160"/>
        <w:spacing w:after="0" w:line="234" w:lineRule="auto"/>
        <w:rPr>
          <w:sz w:val="20"/>
          <w:szCs w:val="20"/>
          <w:color w:val="auto"/>
        </w:rPr>
      </w:pPr>
      <w:r>
        <w:rPr>
          <w:rFonts w:ascii="Arial" w:cs="Arial" w:eastAsia="Arial" w:hAnsi="Arial"/>
          <w:sz w:val="15"/>
          <w:szCs w:val="15"/>
          <w:color w:val="auto"/>
        </w:rPr>
        <w:t>operating results during the COVID-19 pandemic, which is likely to continue for the duration of the</w:t>
      </w:r>
    </w:p>
    <w:p>
      <w:pPr>
        <w:ind w:left="1160"/>
        <w:spacing w:after="0"/>
        <w:rPr>
          <w:sz w:val="20"/>
          <w:szCs w:val="20"/>
          <w:color w:val="auto"/>
        </w:rPr>
      </w:pPr>
      <w:r>
        <w:rPr>
          <w:rFonts w:ascii="Arial" w:cs="Arial" w:eastAsia="Arial" w:hAnsi="Arial"/>
          <w:sz w:val="14"/>
          <w:szCs w:val="14"/>
          <w:color w:val="auto"/>
        </w:rPr>
        <w:t>COVID-19 pandemic, and our business operations were adjusted in response to the pandemic. Actions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took during 2020 to mitigate the impact of the COVID-19 induced downturn include: capacity reductions;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company-wide hiring freeze; voluntary leave programs; reduced capital expenditures; and deferred vendor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payments. In February 2021, we entered into the Credit Agreement. In connection with the COVID-19</w:t>
      </w:r>
    </w:p>
    <w:p>
      <w:pPr>
        <w:ind w:left="1160"/>
        <w:spacing w:after="0" w:line="234" w:lineRule="auto"/>
        <w:rPr>
          <w:sz w:val="20"/>
          <w:szCs w:val="20"/>
          <w:color w:val="auto"/>
        </w:rPr>
      </w:pPr>
      <w:r>
        <w:rPr>
          <w:rFonts w:ascii="Arial" w:cs="Arial" w:eastAsia="Arial" w:hAnsi="Arial"/>
          <w:sz w:val="15"/>
          <w:szCs w:val="15"/>
          <w:color w:val="auto"/>
        </w:rPr>
        <w:t>pandemic, we received CARES Act grants of $62.3 million during 2020 and a loan of $45.0 million in</w:t>
      </w:r>
    </w:p>
    <w:p>
      <w:pPr>
        <w:ind w:left="1160"/>
        <w:spacing w:after="0" w:line="229" w:lineRule="auto"/>
        <w:rPr>
          <w:sz w:val="20"/>
          <w:szCs w:val="20"/>
          <w:color w:val="auto"/>
        </w:rPr>
      </w:pPr>
      <w:r>
        <w:rPr>
          <w:rFonts w:ascii="Arial" w:cs="Arial" w:eastAsia="Arial" w:hAnsi="Arial"/>
          <w:sz w:val="15"/>
          <w:szCs w:val="15"/>
          <w:color w:val="auto"/>
        </w:rPr>
        <w:t>October 2020. On January 22, 2021, we were informed by Treasury that we would receive a grant of</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$32.2 million under the Payroll Support Program Extension under the Consolidated Appropriations Act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2021. We received $16.1 million on February 2, 2021, an additional $16.1 million on March 26, 2021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 additional $4.8 million in grants on April 22, 2021. Further, we were notified on April 15, 2021 that we</w:t>
      </w:r>
    </w:p>
    <w:p>
      <w:pPr>
        <w:ind w:left="1160"/>
        <w:spacing w:after="0" w:line="234" w:lineRule="auto"/>
        <w:rPr>
          <w:sz w:val="20"/>
          <w:szCs w:val="20"/>
          <w:color w:val="auto"/>
        </w:rPr>
      </w:pPr>
      <w:r>
        <w:rPr>
          <w:rFonts w:ascii="Arial" w:cs="Arial" w:eastAsia="Arial" w:hAnsi="Arial"/>
          <w:sz w:val="15"/>
          <w:szCs w:val="15"/>
          <w:color w:val="auto"/>
        </w:rPr>
        <w:t>would receive a grant of approximately $34.6 million under Payroll Support Program 3. Of this grant</w:t>
      </w:r>
    </w:p>
    <w:p>
      <w:pPr>
        <w:ind w:left="1160"/>
        <w:spacing w:after="0"/>
        <w:rPr>
          <w:sz w:val="20"/>
          <w:szCs w:val="20"/>
          <w:color w:val="auto"/>
        </w:rPr>
      </w:pPr>
      <w:r>
        <w:rPr>
          <w:rFonts w:ascii="Arial" w:cs="Arial" w:eastAsia="Arial" w:hAnsi="Arial"/>
          <w:sz w:val="15"/>
          <w:szCs w:val="15"/>
          <w:color w:val="auto"/>
        </w:rPr>
        <w:t>amount, $17.3 million was received on April 29, 2021.</w:t>
      </w:r>
    </w:p>
    <w:p>
      <w:pPr>
        <w:spacing w:after="0" w:line="10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 Plan</w:t>
      </w:r>
    </w:p>
    <w:p>
      <w:pPr>
        <w:spacing w:after="0" w:line="128" w:lineRule="exact"/>
        <w:rPr>
          <w:sz w:val="20"/>
          <w:szCs w:val="20"/>
          <w:color w:val="auto"/>
        </w:rPr>
      </w:pPr>
    </w:p>
    <w:p>
      <w:pPr>
        <w:ind w:left="1160" w:right="1219" w:firstLine="293"/>
        <w:spacing w:after="0" w:line="252" w:lineRule="auto"/>
        <w:rPr>
          <w:sz w:val="20"/>
          <w:szCs w:val="20"/>
          <w:color w:val="auto"/>
        </w:rPr>
      </w:pPr>
      <w:r>
        <w:rPr>
          <w:rFonts w:ascii="Arial" w:cs="Arial" w:eastAsia="Arial" w:hAnsi="Arial"/>
          <w:sz w:val="14"/>
          <w:szCs w:val="14"/>
          <w:color w:val="auto"/>
        </w:rPr>
        <w:t>During 2019, we completed the transition of our fleet to substantially all mid- life Boeing 737-800s, a Boeing 737-NG variant, and as of the date of this prospectus, we operate a fleet of 43 aircraft, including 31 passenger and 12 cargo aircraft. The use of a single aircraft variant allows for additional cost efficiencies as a result of simplified scheduling, maintenance, flight operations and training. The transition to 737- 800s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8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We currently have plans to grow our operating capacity as we take delivery of additional aircraft and make changes to our network:</w:t>
      </w:r>
    </w:p>
    <w:p>
      <w:pPr>
        <w:spacing w:after="0" w:line="61" w:lineRule="exact"/>
        <w:rPr>
          <w:sz w:val="20"/>
          <w:szCs w:val="20"/>
          <w:color w:val="auto"/>
        </w:rPr>
      </w:pPr>
    </w:p>
    <w:p>
      <w:pPr>
        <w:ind w:left="1600" w:right="1559" w:hanging="143"/>
        <w:spacing w:after="0" w:line="264"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took delivery of an additional two Boeing 737-800 aircraft provided by Amazon, and all 12 aircraft are in service as of the date of this prospectus.</w:t>
      </w:r>
    </w:p>
    <w:p>
      <w:pPr>
        <w:spacing w:after="0" w:line="59"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identified commercial opportunities to add between three and five additional aircraft to our fleet in 2021.</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then plan to grow the passenger fleet to an estimated 50 aircraft by the end of 2023.</w:t>
      </w:r>
    </w:p>
    <w:p>
      <w:pPr>
        <w:spacing w:after="0" w:line="124"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w:t>
      </w:r>
    </w:p>
    <w:p>
      <w:pPr>
        <w:spacing w:after="0" w:line="1" w:lineRule="exact"/>
        <w:rPr>
          <w:sz w:val="20"/>
          <w:szCs w:val="20"/>
          <w:color w:val="auto"/>
        </w:rPr>
      </w:pPr>
    </w:p>
    <w:p>
      <w:pPr>
        <w:ind w:left="1160" w:right="1259"/>
        <w:spacing w:after="0" w:line="233" w:lineRule="auto"/>
        <w:rPr>
          <w:sz w:val="20"/>
          <w:szCs w:val="20"/>
          <w:color w:val="auto"/>
        </w:rPr>
      </w:pPr>
      <w:r>
        <w:rPr>
          <w:rFonts w:ascii="Arial" w:cs="Arial" w:eastAsia="Arial" w:hAnsi="Arial"/>
          <w:sz w:val="15"/>
          <w:szCs w:val="15"/>
          <w:color w:val="auto"/>
        </w:rPr>
        <w:t>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56" w:lineRule="exact"/>
        <w:rPr>
          <w:sz w:val="20"/>
          <w:szCs w:val="20"/>
          <w:color w:val="auto"/>
        </w:rPr>
      </w:pPr>
    </w:p>
    <w:p>
      <w:pPr>
        <w:ind w:left="1600" w:hanging="143"/>
        <w:spacing w:after="0"/>
        <w:tabs>
          <w:tab w:leader="none" w:pos="1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Increased level of control to optimize and utilize maintenance value;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Competitive financing costs at investment grade rates;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Flexibility to sell or retire aircraft at any time.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Trends and Uncertainties Affecting Our Business</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i w:val="1"/>
          <w:iCs w:val="1"/>
          <w:color w:val="auto"/>
        </w:rPr>
        <w:t>COVID-19 Pandemic</w:t>
      </w:r>
      <w:r>
        <w:rPr>
          <w:rFonts w:ascii="Arial" w:cs="Arial" w:eastAsia="Arial" w:hAnsi="Arial"/>
          <w:sz w:val="14"/>
          <w:szCs w:val="14"/>
          <w:color w:val="auto"/>
        </w:rPr>
        <w:t>: The COVID-19 pandemic and shelter-in-place directives greatly impacted our</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results for the year ended 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 including “</w:t>
      </w:r>
      <w:r>
        <w:rPr>
          <w:rFonts w:ascii="Arial" w:cs="Arial" w:eastAsia="Arial" w:hAnsi="Arial"/>
          <w:sz w:val="14"/>
          <w:szCs w:val="14"/>
          <w:i w:val="1"/>
          <w:iCs w:val="1"/>
          <w:color w:val="auto"/>
        </w:rPr>
        <w:t>Risk Factors—Risks Related to Our Industry—The global pandemic</w:t>
      </w:r>
      <w:r>
        <w:rPr>
          <w:rFonts w:ascii="Arial" w:cs="Arial" w:eastAsia="Arial" w:hAnsi="Arial"/>
          <w:sz w:val="14"/>
          <w:szCs w:val="14"/>
          <w:color w:val="auto"/>
        </w:rPr>
        <w:t xml:space="preserve"> </w:t>
      </w:r>
      <w:r>
        <w:rPr>
          <w:rFonts w:ascii="Arial" w:cs="Arial" w:eastAsia="Arial" w:hAnsi="Arial"/>
          <w:sz w:val="14"/>
          <w:szCs w:val="14"/>
          <w:i w:val="1"/>
          <w:iCs w:val="1"/>
          <w:color w:val="auto"/>
        </w:rPr>
        <w:t>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4"/>
          <w:szCs w:val="14"/>
          <w:color w:val="auto"/>
        </w:rPr>
        <w:t>” and “</w:t>
      </w:r>
      <w:r>
        <w:rPr>
          <w:rFonts w:ascii="Arial" w:cs="Arial" w:eastAsia="Arial" w:hAnsi="Arial"/>
          <w:sz w:val="14"/>
          <w:szCs w:val="14"/>
          <w:i w:val="1"/>
          <w:iCs w:val="1"/>
          <w:color w:val="auto"/>
        </w:rPr>
        <w:t>Risk Factors—Risks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4"/>
          <w:szCs w:val="14"/>
          <w:color w:val="auto"/>
        </w:rPr>
        <w:t>.”</w:t>
      </w:r>
    </w:p>
    <w:p>
      <w:pPr>
        <w:spacing w:after="0" w:line="96"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i w:val="1"/>
          <w:iCs w:val="1"/>
          <w:color w:val="auto"/>
        </w:rPr>
        <w:t>Additional factors impacting our business</w:t>
      </w:r>
      <w:r>
        <w:rPr>
          <w:rFonts w:ascii="Arial" w:cs="Arial" w:eastAsia="Arial" w:hAnsi="Arial"/>
          <w:sz w:val="15"/>
          <w:szCs w:val="15"/>
          <w:color w:val="auto"/>
        </w:rPr>
        <w:t>: We believe our operating performance is driven by</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factors 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02"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i w:val="1"/>
          <w:iCs w:val="1"/>
          <w:color w:val="auto"/>
        </w:rPr>
        <w:t>Competition</w:t>
      </w:r>
      <w:r>
        <w:rPr>
          <w:rFonts w:ascii="Arial" w:cs="Arial" w:eastAsia="Arial" w:hAnsi="Arial"/>
          <w:sz w:val="14"/>
          <w:szCs w:val="14"/>
          <w:color w:val="auto"/>
        </w:rPr>
        <w:t>. The airline industry is highly competitive. The principal competitive factors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airline industry are the fare, flight schedules, 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81"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4"/>
          <w:szCs w:val="14"/>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3" w:lineRule="auto"/>
        <w:rPr>
          <w:sz w:val="20"/>
          <w:szCs w:val="20"/>
          <w:color w:val="auto"/>
        </w:rPr>
      </w:pPr>
      <w:r>
        <w:rPr>
          <w:rFonts w:ascii="Arial" w:cs="Arial" w:eastAsia="Arial" w:hAnsi="Arial"/>
          <w:sz w:val="14"/>
          <w:szCs w:val="14"/>
          <w:color w:val="auto"/>
        </w:rPr>
        <w:t>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4"/>
          <w:szCs w:val="14"/>
          <w:i w:val="1"/>
          <w:iCs w:val="1"/>
          <w:color w:val="auto"/>
        </w:rPr>
        <w:t>Risk Factors</w:t>
      </w:r>
      <w:r>
        <w:rPr>
          <w:rFonts w:ascii="Arial" w:cs="Arial" w:eastAsia="Arial" w:hAnsi="Arial"/>
          <w:sz w:val="14"/>
          <w:szCs w:val="14"/>
          <w:color w:val="auto"/>
        </w:rPr>
        <w:t>” included elsewhere in this prospectus for additional information.</w:t>
      </w:r>
    </w:p>
    <w:p>
      <w:pPr>
        <w:spacing w:after="0" w:line="80"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Additionally, as a result of COVID- 19, we have experienced increased competition for domestic charters as competitors are now offering charter services with otherwise grounded aircraft due to a decline in their passenger service.</w:t>
      </w:r>
    </w:p>
    <w:p>
      <w:pPr>
        <w:spacing w:after="0" w:line="100"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Fuel expense generally represents our single largest operating expense. Jet fuel prices</w:t>
      </w:r>
      <w:r>
        <w:rPr>
          <w:rFonts w:ascii="Arial" w:cs="Arial" w:eastAsia="Arial" w:hAnsi="Arial"/>
          <w:sz w:val="15"/>
          <w:szCs w:val="15"/>
          <w:i w:val="1"/>
          <w:iCs w:val="1"/>
          <w:color w:val="auto"/>
        </w:rPr>
        <w:t xml:space="preserve"> </w:t>
      </w:r>
      <w:r>
        <w:rPr>
          <w:rFonts w:ascii="Arial" w:cs="Arial" w:eastAsia="Arial" w:hAnsi="Arial"/>
          <w:sz w:val="15"/>
          <w:szCs w:val="15"/>
          <w:color w:val="auto"/>
        </w:rPr>
        <w:t>and availability are subject to market 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01"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8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00"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02"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i w:val="1"/>
          <w:iCs w:val="1"/>
          <w:color w:val="auto"/>
        </w:rPr>
        <w:t>Seasonality and Volatility</w:t>
      </w:r>
      <w:r>
        <w:rPr>
          <w:rFonts w:ascii="Arial" w:cs="Arial" w:eastAsia="Arial" w:hAnsi="Arial"/>
          <w:sz w:val="14"/>
          <w:szCs w:val="14"/>
          <w:color w:val="auto"/>
        </w:rPr>
        <w:t>. The airline industry is affected by economic cycles and trends, where</w:t>
      </w:r>
      <w:r>
        <w:rPr>
          <w:rFonts w:ascii="Arial" w:cs="Arial" w:eastAsia="Arial" w:hAnsi="Arial"/>
          <w:sz w:val="14"/>
          <w:szCs w:val="14"/>
          <w:i w:val="1"/>
          <w:iCs w:val="1"/>
          <w:color w:val="auto"/>
        </w:rPr>
        <w:t xml:space="preserve"> </w:t>
      </w:r>
      <w:r>
        <w:rPr>
          <w:rFonts w:ascii="Arial" w:cs="Arial" w:eastAsia="Arial" w:hAnsi="Arial"/>
          <w:sz w:val="14"/>
          <w:szCs w:val="14"/>
          <w:color w:val="auto"/>
        </w:rPr>
        <w:t>unfavorable economic conditions have 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82"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68" w:lineRule="auto"/>
        <w:rPr>
          <w:sz w:val="20"/>
          <w:szCs w:val="20"/>
          <w:color w:val="auto"/>
        </w:rPr>
      </w:pPr>
      <w:r>
        <w:rPr>
          <w:rFonts w:ascii="Arial" w:cs="Arial" w:eastAsia="Arial" w:hAnsi="Arial"/>
          <w:sz w:val="14"/>
          <w:szCs w:val="14"/>
          <w:color w:val="auto"/>
        </w:rPr>
        <w:t>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8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Due to normal seasonality, our first quarter of each fiscal year typically outperforms relative to our second quarter: during normal industry conditions our average fares and ASMs are typically lower in the second quarter than the first quarter and CASM and Adjusted CASM are typically higher in the second quarter than the first quarter. Although we believe industry conditions during the remainder of 2021 should slowly return to more normalized conditions than the past several quarters, we expect the second quarter of 2021 to reflect the ongoing trend towards our normal seasonality, with lower average fares and higher CASM and Adjusted CASM than in the first quarter, despite the continuing overall capacity growth quarter-over-quarter.</w:t>
      </w:r>
    </w:p>
    <w:p>
      <w:pPr>
        <w:spacing w:after="0" w:line="10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i w:val="1"/>
          <w:iCs w:val="1"/>
          <w:color w:val="auto"/>
        </w:rPr>
        <w:t>Labor</w:t>
      </w:r>
      <w:r>
        <w:rPr>
          <w:rFonts w:ascii="Arial" w:cs="Arial" w:eastAsia="Arial" w:hAnsi="Arial"/>
          <w:sz w:val="14"/>
          <w:szCs w:val="14"/>
          <w:color w:val="auto"/>
        </w:rPr>
        <w:t>. The airline industry is heavily unionized and our business is labor intensive. The wages,</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and work rules of unionized airline 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88" w:lineRule="exact"/>
        <w:rPr>
          <w:sz w:val="20"/>
          <w:szCs w:val="20"/>
          <w:color w:val="auto"/>
        </w:rPr>
      </w:pPr>
    </w:p>
    <w:p>
      <w:pPr>
        <w:ind w:left="1160" w:right="1339" w:firstLine="293"/>
        <w:spacing w:after="0" w:line="302" w:lineRule="auto"/>
        <w:rPr>
          <w:sz w:val="20"/>
          <w:szCs w:val="20"/>
          <w:color w:val="auto"/>
        </w:rPr>
      </w:pPr>
      <w:r>
        <w:rPr>
          <w:rFonts w:ascii="Arial" w:cs="Arial" w:eastAsia="Arial" w:hAnsi="Arial"/>
          <w:sz w:val="13"/>
          <w:szCs w:val="13"/>
          <w:i w:val="1"/>
          <w:iCs w:val="1"/>
          <w:color w:val="auto"/>
        </w:rPr>
        <w:t>Aircraft Maintenance</w:t>
      </w:r>
      <w:r>
        <w:rPr>
          <w:rFonts w:ascii="Arial" w:cs="Arial" w:eastAsia="Arial" w:hAnsi="Arial"/>
          <w:sz w:val="13"/>
          <w:szCs w:val="13"/>
          <w:color w:val="auto"/>
        </w:rPr>
        <w:t>. The amount of total maintenance costs and related depreciation of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expense is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72"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Maintenance expense has increased mainly as a result of a growing fleet, a trend that we expect to continue for the next several years as we take delivery of additional aircraft.</w:t>
      </w:r>
    </w:p>
    <w:p>
      <w:pPr>
        <w:spacing w:after="0" w:line="93" w:lineRule="exact"/>
        <w:rPr>
          <w:sz w:val="20"/>
          <w:szCs w:val="20"/>
          <w:color w:val="auto"/>
        </w:rPr>
      </w:pPr>
    </w:p>
    <w:p>
      <w:pPr>
        <w:ind w:left="1160" w:right="1419" w:firstLine="293"/>
        <w:spacing w:after="0" w:line="266" w:lineRule="auto"/>
        <w:rPr>
          <w:sz w:val="20"/>
          <w:szCs w:val="20"/>
          <w:color w:val="auto"/>
        </w:rPr>
      </w:pPr>
      <w:r>
        <w:rPr>
          <w:rFonts w:ascii="Arial" w:cs="Arial" w:eastAsia="Arial" w:hAnsi="Arial"/>
          <w:sz w:val="14"/>
          <w:szCs w:val="14"/>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4"/>
          <w:szCs w:val="14"/>
          <w:i w:val="1"/>
          <w:iCs w:val="1"/>
          <w:color w:val="auto"/>
        </w:rPr>
        <w:t>Critical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 and Estimates—Aircraft Maintenance</w:t>
      </w:r>
      <w:r>
        <w:rPr>
          <w:rFonts w:ascii="Arial" w:cs="Arial" w:eastAsia="Arial" w:hAnsi="Arial"/>
          <w:sz w:val="14"/>
          <w:szCs w:val="14"/>
          <w:color w:val="auto"/>
        </w:rPr>
        <w: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Components of Operations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Revenues</w:t>
      </w:r>
    </w:p>
    <w:p>
      <w:pPr>
        <w:spacing w:after="0" w:line="124"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i w:val="1"/>
          <w:iCs w:val="1"/>
          <w:color w:val="auto"/>
        </w:rPr>
        <w:t>Scheduled service</w:t>
      </w:r>
      <w:r>
        <w:rPr>
          <w:rFonts w:ascii="Arial" w:cs="Arial" w:eastAsia="Arial" w:hAnsi="Arial"/>
          <w:sz w:val="15"/>
          <w:szCs w:val="15"/>
          <w:color w:val="auto"/>
        </w:rPr>
        <w:t>. Scheduled service revenue consists of base fares, unused and expired passenger</w:t>
      </w:r>
      <w:r>
        <w:rPr>
          <w:rFonts w:ascii="Arial" w:cs="Arial" w:eastAsia="Arial" w:hAnsi="Arial"/>
          <w:sz w:val="15"/>
          <w:szCs w:val="15"/>
          <w:i w:val="1"/>
          <w:iCs w:val="1"/>
          <w:color w:val="auto"/>
        </w:rPr>
        <w:t xml:space="preserve"> </w:t>
      </w:r>
      <w:r>
        <w:rPr>
          <w:rFonts w:ascii="Arial" w:cs="Arial" w:eastAsia="Arial" w:hAnsi="Arial"/>
          <w:sz w:val="15"/>
          <w:szCs w:val="15"/>
          <w:color w:val="auto"/>
        </w:rPr>
        <w:t>credits and expired travel credits.</w:t>
      </w:r>
    </w:p>
    <w:p>
      <w:pPr>
        <w:spacing w:after="0" w:line="83" w:lineRule="exact"/>
        <w:rPr>
          <w:sz w:val="20"/>
          <w:szCs w:val="20"/>
          <w:color w:val="auto"/>
        </w:rPr>
      </w:pPr>
    </w:p>
    <w:p>
      <w:pPr>
        <w:jc w:val="both"/>
        <w:ind w:left="1160" w:right="1519" w:firstLine="293"/>
        <w:spacing w:after="0" w:line="239" w:lineRule="auto"/>
        <w:rPr>
          <w:sz w:val="20"/>
          <w:szCs w:val="20"/>
          <w:color w:val="auto"/>
        </w:rPr>
      </w:pPr>
      <w:r>
        <w:rPr>
          <w:rFonts w:ascii="Arial" w:cs="Arial" w:eastAsia="Arial" w:hAnsi="Arial"/>
          <w:sz w:val="15"/>
          <w:szCs w:val="15"/>
          <w:i w:val="1"/>
          <w:iCs w:val="1"/>
          <w:color w:val="auto"/>
        </w:rPr>
        <w:t>Charter service</w:t>
      </w:r>
      <w:r>
        <w:rPr>
          <w:rFonts w:ascii="Arial" w:cs="Arial" w:eastAsia="Arial" w:hAnsi="Arial"/>
          <w:sz w:val="15"/>
          <w:szCs w:val="15"/>
          <w:color w:val="auto"/>
        </w:rPr>
        <w:t>. Charter service revenue consists of revenue earned from our charter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generated through our service to the U.S. Department of Defense, collegiate and professional sports teams and casinos.</w:t>
      </w:r>
    </w:p>
    <w:p>
      <w:pPr>
        <w:spacing w:after="0" w:line="10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i w:val="1"/>
          <w:iCs w:val="1"/>
          <w:color w:val="auto"/>
        </w:rPr>
        <w:t xml:space="preserve">Ancillary </w:t>
      </w:r>
      <w:r>
        <w:rPr>
          <w:rFonts w:ascii="Arial" w:cs="Arial" w:eastAsia="Arial" w:hAnsi="Arial"/>
          <w:sz w:val="15"/>
          <w:szCs w:val="15"/>
          <w:color w:val="auto"/>
        </w:rPr>
        <w:t>. Ancillary revenue consists of revenue generated from air travel-related services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baggage fees, seat selection and upgrade fees, itinerary service fees, on-board sales and sales of trip insurance.</w:t>
      </w:r>
    </w:p>
    <w:p>
      <w:pPr>
        <w:spacing w:after="0" w:line="100"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Cargo revenue consists of air cargo transportation services under the ATSA primarily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e-commerce delivery services.</w:t>
      </w:r>
    </w:p>
    <w:p>
      <w:pPr>
        <w:spacing w:after="0" w:line="83"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Other</w:t>
      </w:r>
      <w:r>
        <w:rPr>
          <w:rFonts w:ascii="Arial" w:cs="Arial" w:eastAsia="Arial" w:hAnsi="Arial"/>
          <w:sz w:val="14"/>
          <w:szCs w:val="14"/>
          <w:color w:val="auto"/>
        </w:rPr>
        <w:t>. Other revenue consists primarily of revenue from services in connection with our Sun Country</w:t>
      </w:r>
      <w:r>
        <w:rPr>
          <w:rFonts w:ascii="Arial" w:cs="Arial" w:eastAsia="Arial" w:hAnsi="Arial"/>
          <w:sz w:val="14"/>
          <w:szCs w:val="14"/>
          <w:i w:val="1"/>
          <w:iCs w:val="1"/>
          <w:color w:val="auto"/>
        </w:rPr>
        <w:t xml:space="preserve"> </w:t>
      </w:r>
      <w:r>
        <w:rPr>
          <w:rFonts w:ascii="Arial" w:cs="Arial" w:eastAsia="Arial" w:hAnsi="Arial"/>
          <w:sz w:val="14"/>
          <w:szCs w:val="14"/>
          <w:color w:val="auto"/>
        </w:rPr>
        <w:t>Vacations 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2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includes jet fuel, federal and state taxes, other fees and the mark-to-market 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0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i w:val="1"/>
          <w:iCs w:val="1"/>
          <w:color w:val="auto"/>
        </w:rPr>
        <w:t>Salaries, Wages, and Benefits</w:t>
      </w:r>
      <w:r>
        <w:rPr>
          <w:rFonts w:ascii="Arial" w:cs="Arial" w:eastAsia="Arial" w:hAnsi="Arial"/>
          <w:sz w:val="15"/>
          <w:szCs w:val="15"/>
          <w:color w:val="auto"/>
        </w:rPr>
        <w:t>. Salaries, wages, and benefits expense includes salaries, hourly wages,</w:t>
      </w:r>
      <w:r>
        <w:rPr>
          <w:rFonts w:ascii="Arial" w:cs="Arial" w:eastAsia="Arial" w:hAnsi="Arial"/>
          <w:sz w:val="15"/>
          <w:szCs w:val="15"/>
          <w:i w:val="1"/>
          <w:iCs w:val="1"/>
          <w:color w:val="auto"/>
        </w:rPr>
        <w:t xml:space="preserve"> </w:t>
      </w:r>
      <w:r>
        <w:rPr>
          <w:rFonts w:ascii="Arial" w:cs="Arial" w:eastAsia="Arial" w:hAnsi="Arial"/>
          <w:sz w:val="15"/>
          <w:szCs w:val="15"/>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9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consists of monthly lease charges for aircraft and spare engines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96"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expense includes the cost of all parts, materials and fees for repairs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performed by us 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4"/>
          <w:szCs w:val="14"/>
          <w:i w:val="1"/>
          <w:iCs w:val="1"/>
          <w:color w:val="auto"/>
        </w:rPr>
        <w:t>Critical Accounting Policies and Estimates—Aircraft Maintenance</w:t>
      </w:r>
      <w:r>
        <w:rPr>
          <w:rFonts w:ascii="Arial" w:cs="Arial" w:eastAsia="Arial" w:hAnsi="Arial"/>
          <w:sz w:val="14"/>
          <w:szCs w:val="14"/>
          <w:color w:val="auto"/>
        </w:rPr>
        <w:t>.”</w:t>
      </w:r>
    </w:p>
    <w:p>
      <w:pPr>
        <w:spacing w:after="0" w:line="95"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Sales and marketing expense includes credit card processing fees, travel agent</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commissions and related global distribution systems fees, advertising, sponsorship and distribution costs,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300" w:lineRule="auto"/>
        <w:rPr>
          <w:sz w:val="20"/>
          <w:szCs w:val="20"/>
          <w:color w:val="auto"/>
        </w:rPr>
      </w:pPr>
      <w:r>
        <w:rPr>
          <w:rFonts w:ascii="Arial" w:cs="Arial" w:eastAsia="Arial" w:hAnsi="Arial"/>
          <w:sz w:val="14"/>
          <w:szCs w:val="14"/>
          <w:color w:val="auto"/>
        </w:rPr>
        <w:t>such as the costs of our call centers, and costs associated with our frequent flier program. It excludes related salary and wages of personnel, which are included in salaries, wages and benefits expense.</w:t>
      </w:r>
    </w:p>
    <w:p>
      <w:pPr>
        <w:spacing w:after="0" w:line="59"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includes depreciation of fixed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we own and leasehold improvements, amortization of finance leased assets, as well as the amortization of finite-lived intangible assets. It also includes the depreciation of significant maintenance expenses we deferred under the built-in overhaul method for owned aircraft.</w:t>
      </w:r>
    </w:p>
    <w:p>
      <w:pPr>
        <w:spacing w:after="0" w:line="102"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i w:val="1"/>
          <w:iCs w:val="1"/>
          <w:color w:val="auto"/>
        </w:rPr>
        <w:t xml:space="preserve">Ground Handling. </w:t>
      </w:r>
      <w:r>
        <w:rPr>
          <w:rFonts w:ascii="Arial" w:cs="Arial" w:eastAsia="Arial" w:hAnsi="Arial"/>
          <w:sz w:val="15"/>
          <w:szCs w:val="15"/>
          <w:color w:val="auto"/>
        </w:rPr>
        <w:t>Ground handling includes ground activities including baggage handling, ticket</w:t>
      </w:r>
      <w:r>
        <w:rPr>
          <w:rFonts w:ascii="Arial" w:cs="Arial" w:eastAsia="Arial" w:hAnsi="Arial"/>
          <w:sz w:val="15"/>
          <w:szCs w:val="15"/>
          <w:i w:val="1"/>
          <w:iCs w:val="1"/>
          <w:color w:val="auto"/>
        </w:rPr>
        <w:t xml:space="preserve"> </w:t>
      </w:r>
      <w:r>
        <w:rPr>
          <w:rFonts w:ascii="Arial" w:cs="Arial" w:eastAsia="Arial" w:hAnsi="Arial"/>
          <w:sz w:val="15"/>
          <w:szCs w:val="15"/>
          <w:color w:val="auto"/>
        </w:rPr>
        <w:t>counter and other ground services.</w:t>
      </w:r>
    </w:p>
    <w:p>
      <w:pPr>
        <w:spacing w:after="0" w:line="93"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i w:val="1"/>
          <w:iCs w:val="1"/>
          <w:color w:val="auto"/>
        </w:rPr>
        <w:t xml:space="preserve">Landing Fees and Airport Rent. </w:t>
      </w:r>
      <w:r>
        <w:rPr>
          <w:rFonts w:ascii="Arial" w:cs="Arial" w:eastAsia="Arial" w:hAnsi="Arial"/>
          <w:sz w:val="15"/>
          <w:szCs w:val="15"/>
          <w:color w:val="auto"/>
        </w:rPr>
        <w:t>Landing fees and airport rent includes aircraft landing fees and</w:t>
      </w:r>
      <w:r>
        <w:rPr>
          <w:rFonts w:ascii="Arial" w:cs="Arial" w:eastAsia="Arial" w:hAnsi="Arial"/>
          <w:sz w:val="15"/>
          <w:szCs w:val="15"/>
          <w:i w:val="1"/>
          <w:iCs w:val="1"/>
          <w:color w:val="auto"/>
        </w:rPr>
        <w:t xml:space="preserve"> </w:t>
      </w:r>
      <w:r>
        <w:rPr>
          <w:rFonts w:ascii="Arial" w:cs="Arial" w:eastAsia="Arial" w:hAnsi="Arial"/>
          <w:sz w:val="15"/>
          <w:szCs w:val="15"/>
          <w:color w:val="auto"/>
        </w:rPr>
        <w:t>charges for the use of airport facilities.</w:t>
      </w:r>
    </w:p>
    <w:p>
      <w:pPr>
        <w:spacing w:after="0" w:line="82" w:lineRule="exact"/>
        <w:rPr>
          <w:sz w:val="20"/>
          <w:szCs w:val="20"/>
          <w:color w:val="auto"/>
        </w:rPr>
      </w:pPr>
    </w:p>
    <w:p>
      <w:pPr>
        <w:ind w:left="1160" w:right="1339" w:firstLine="293"/>
        <w:spacing w:after="0" w:line="254" w:lineRule="auto"/>
        <w:rPr>
          <w:sz w:val="20"/>
          <w:szCs w:val="20"/>
          <w:color w:val="auto"/>
        </w:rPr>
      </w:pPr>
      <w:r>
        <w:rPr>
          <w:rFonts w:ascii="Arial" w:cs="Arial" w:eastAsia="Arial" w:hAnsi="Arial"/>
          <w:sz w:val="15"/>
          <w:szCs w:val="15"/>
          <w:i w:val="1"/>
          <w:iCs w:val="1"/>
          <w:color w:val="auto"/>
        </w:rPr>
        <w:t xml:space="preserve">Special Items, net. </w:t>
      </w:r>
      <w:r>
        <w:rPr>
          <w:rFonts w:ascii="Arial" w:cs="Arial" w:eastAsia="Arial" w:hAnsi="Arial"/>
          <w:sz w:val="15"/>
          <w:szCs w:val="15"/>
          <w:color w:val="auto"/>
        </w:rPr>
        <w:t>Special items, net reflects expenses, or credits to expense, that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 of our ongoing costs for the period presented and may vary from period to period in nature, frequency and amount.</w:t>
      </w:r>
    </w:p>
    <w:p>
      <w:pPr>
        <w:spacing w:after="0" w:line="101"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i w:val="1"/>
          <w:iCs w:val="1"/>
          <w:color w:val="auto"/>
        </w:rPr>
        <w:t xml:space="preserve">Other Operating. </w:t>
      </w:r>
      <w:r>
        <w:rPr>
          <w:rFonts w:ascii="Arial" w:cs="Arial" w:eastAsia="Arial" w:hAnsi="Arial"/>
          <w:sz w:val="14"/>
          <w:szCs w:val="14"/>
          <w:color w:val="auto"/>
        </w:rPr>
        <w:t>Other operating expenses include crew and other employee travel, interrupted trip</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information technology, property taxes and insurance, including hull-liability insurance, supplies, legal and other professional fees, facilities and all other administrative and operational overhead expenses.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Non-operating Income (Expense)</w:t>
      </w:r>
    </w:p>
    <w:p>
      <w:pPr>
        <w:spacing w:after="0" w:line="12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includes interest on our cash and equivalent and investment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income is generally immaterial to our results of operations, reflecting the current low interest rate environment and our unrestricted cash balances.</w:t>
      </w:r>
    </w:p>
    <w:p>
      <w:pPr>
        <w:spacing w:after="0" w:line="90"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includes interest related to our outstanding debt and our finance/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leases, as well as the amortization of debt financing costs.</w:t>
      </w:r>
    </w:p>
    <w:p>
      <w:pPr>
        <w:spacing w:after="0" w:line="93"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expenses include activities not classified in any other area of the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of operations, such as gain or loss on sale or retirement of assets and certain consulting expenses.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24"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94"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three months ended March 31, 2021 and 2020</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rPr>
              <w:t>Three Months Ended March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2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6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26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54,620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$114,228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$(59,608)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(52)%</w:t>
            </w:r>
          </w:p>
        </w:tc>
      </w:tr>
      <w:tr>
        <w:trPr>
          <w:trHeight w:val="209"/>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25,805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29,227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(3,422)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4260" w:type="dxa"/>
            <w:vAlign w:val="bottom"/>
            <w:gridSpan w:val="2"/>
          </w:tcPr>
          <w:p>
            <w:pPr>
              <w:spacing w:after="0"/>
              <w:rPr>
                <w:sz w:val="20"/>
                <w:szCs w:val="20"/>
                <w:color w:val="auto"/>
              </w:rPr>
            </w:pPr>
            <w:r>
              <w:rPr>
                <w:rFonts w:ascii="Arial" w:cs="Arial" w:eastAsia="Arial" w:hAnsi="Arial"/>
                <w:sz w:val="15"/>
                <w:szCs w:val="15"/>
                <w:color w:val="auto"/>
              </w:rPr>
              <w:t>Ancillary</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23,770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35,031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(11,261)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(32)%</w:t>
            </w:r>
          </w:p>
        </w:tc>
      </w:tr>
      <w:tr>
        <w:trPr>
          <w:trHeight w:val="20"/>
        </w:trPr>
        <w:tc>
          <w:tcPr>
            <w:tcW w:w="42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104,195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178,486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(74,291)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Cargo</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21,585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21,585</w:t>
            </w:r>
          </w:p>
        </w:tc>
        <w:tc>
          <w:tcPr>
            <w:tcW w:w="400" w:type="dxa"/>
            <w:vAlign w:val="bottom"/>
            <w:gridSpan w:val="2"/>
          </w:tcPr>
          <w:p>
            <w:pPr>
              <w:jc w:val="right"/>
              <w:ind w:right="107"/>
              <w:spacing w:after="0"/>
              <w:rPr>
                <w:sz w:val="20"/>
                <w:szCs w:val="20"/>
                <w:color w:val="auto"/>
              </w:rPr>
            </w:pPr>
            <w:r>
              <w:rPr>
                <w:rFonts w:ascii="Arial" w:cs="Arial" w:eastAsia="Arial" w:hAnsi="Arial"/>
                <w:sz w:val="15"/>
                <w:szCs w:val="15"/>
                <w:color w:val="auto"/>
              </w:rPr>
              <w:t>na</w:t>
            </w:r>
          </w:p>
        </w:tc>
      </w:tr>
      <w:tr>
        <w:trPr>
          <w:trHeight w:val="214"/>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1,831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1,844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260" w:type="dxa"/>
            <w:vAlign w:val="bottom"/>
            <w:gridSpan w:val="2"/>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127,611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180,330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(52,719)</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(29)%</w:t>
            </w:r>
          </w:p>
        </w:tc>
      </w:tr>
      <w:tr>
        <w:trPr>
          <w:trHeight w:val="205"/>
        </w:trPr>
        <w:tc>
          <w:tcPr>
            <w:tcW w:w="42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24,274</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55,561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(31,287)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(56)%</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44,075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38,091</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5,984</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5,599</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11,032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(5,433)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(49)%</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9,210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6,478</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2,732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5,110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8,572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(3,462)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(40)%</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12,615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10,527</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2,088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5,230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9,292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(4,062)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(44)%</w:t>
            </w:r>
          </w:p>
        </w:tc>
      </w:tr>
      <w:tr>
        <w:trPr>
          <w:trHeight w:val="209"/>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8,785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11,114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(2,329)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(26,871)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(26,871)</w:t>
            </w:r>
          </w:p>
        </w:tc>
        <w:tc>
          <w:tcPr>
            <w:tcW w:w="400" w:type="dxa"/>
            <w:vAlign w:val="bottom"/>
            <w:gridSpan w:val="2"/>
          </w:tcPr>
          <w:p>
            <w:pPr>
              <w:jc w:val="right"/>
              <w:ind w:right="107"/>
              <w:spacing w:after="0"/>
              <w:rPr>
                <w:sz w:val="20"/>
                <w:szCs w:val="20"/>
                <w:color w:val="auto"/>
              </w:rPr>
            </w:pPr>
            <w:r>
              <w:rPr>
                <w:rFonts w:ascii="Arial" w:cs="Arial" w:eastAsia="Arial" w:hAnsi="Arial"/>
                <w:sz w:val="15"/>
                <w:szCs w:val="15"/>
                <w:color w:val="auto"/>
              </w:rPr>
              <w:t>na</w:t>
            </w:r>
          </w:p>
        </w:tc>
      </w:tr>
      <w:tr>
        <w:trPr>
          <w:trHeight w:val="214"/>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14,651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14,433</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218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06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102,678</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165,100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(62,422)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(38)%</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24,933</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15,230</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9,703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64%</w:t>
            </w:r>
          </w:p>
        </w:tc>
      </w:tr>
      <w:tr>
        <w:trPr>
          <w:trHeight w:val="216"/>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(94)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(7,121)</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(5,616)</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225"/>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2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(97)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260" w:type="dxa"/>
            <w:vAlign w:val="bottom"/>
            <w:gridSpan w:val="2"/>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(7,111)</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(5,534)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(1,577)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313"/>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17,822</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9,696</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8,126</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84%</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Income Tax Expense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5,406</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2,445</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2,961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83"/>
              </w:rPr>
              <w:t>121%</w:t>
            </w: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12,416</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  7,251</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5,165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71%</w:t>
            </w:r>
          </w:p>
        </w:tc>
      </w:tr>
      <w:tr>
        <w:trPr>
          <w:trHeight w:val="44"/>
        </w:trPr>
        <w:tc>
          <w:tcPr>
            <w:tcW w:w="4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-3313430</wp:posOffset>
            </wp:positionV>
            <wp:extent cx="4241800" cy="139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-2755265</wp:posOffset>
            </wp:positionV>
            <wp:extent cx="4241800" cy="132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4241800" cy="132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-2225040</wp:posOffset>
            </wp:positionV>
            <wp:extent cx="4241800" cy="132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-1694815</wp:posOffset>
            </wp:positionV>
            <wp:extent cx="4241800" cy="139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-536575</wp:posOffset>
            </wp:positionV>
            <wp:extent cx="4241800" cy="2025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41800" cy="20256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167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41800" cy="16764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-1408430</wp:posOffset>
            </wp:positionV>
            <wp:extent cx="4241800" cy="1536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-3027045</wp:posOffset>
            </wp:positionV>
            <wp:extent cx="11874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-3027045</wp:posOffset>
            </wp:positionV>
            <wp:extent cx="36417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-3585210</wp:posOffset>
            </wp:positionV>
            <wp:extent cx="11874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-3585210</wp:posOffset>
            </wp:positionV>
            <wp:extent cx="36417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-4129405</wp:posOffset>
            </wp:positionV>
            <wp:extent cx="409511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95115" cy="6985"/>
                    </a:xfrm>
                    <a:prstGeom prst="rect">
                      <a:avLst/>
                    </a:prstGeom>
                    <a:noFill/>
                  </pic:spPr>
                </pic:pic>
              </a:graphicData>
            </a:graphic>
          </wp:anchor>
        </w:drawing>
      </w:r>
    </w:p>
    <w:p>
      <w:pPr>
        <w:spacing w:after="0" w:line="178" w:lineRule="exact"/>
        <w:rPr>
          <w:sz w:val="20"/>
          <w:szCs w:val="20"/>
          <w:color w:val="auto"/>
        </w:rPr>
      </w:pPr>
    </w:p>
    <w:p>
      <w:pPr>
        <w:ind w:left="1160" w:right="1319" w:firstLine="293"/>
        <w:spacing w:after="0" w:line="311" w:lineRule="auto"/>
        <w:rPr>
          <w:sz w:val="20"/>
          <w:szCs w:val="20"/>
          <w:color w:val="auto"/>
        </w:rPr>
      </w:pPr>
      <w:r>
        <w:rPr>
          <w:rFonts w:ascii="Arial" w:cs="Arial" w:eastAsia="Arial" w:hAnsi="Arial"/>
          <w:sz w:val="13"/>
          <w:szCs w:val="13"/>
          <w:color w:val="auto"/>
        </w:rPr>
        <w:t>Total operating revenues decreased by $52.7 million, or 29%, to $127.6 million for the three months ended March 31, 2021 from $180.3 million for the three months ended March 31, 2020. The dramatic decline is due to a significant decline in passenger service demand as a result of the COVID-19 pandemic.</w:t>
      </w:r>
    </w:p>
    <w:p>
      <w:pPr>
        <w:spacing w:after="0" w:line="67"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$59.6 million, or 52%, to $54.6 million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months ended March 31, 2021 from $114.2 million for the three months ended March 31, 2020. The decrease in scheduled service revenue was driven by a dramatic decline in passenger demand due to government travel restrictions and quarantine requirements related to the COVID-19 pandemic.</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table below presents select operating data for scheduled service, expressed as quarter-over-quarter changes:</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2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Three Months Ended March 31,</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0"/>
              </w:rPr>
              <w:t>Increase</w:t>
            </w:r>
          </w:p>
        </w:tc>
        <w:tc>
          <w:tcPr>
            <w:tcW w:w="36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72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1"/>
              </w:rPr>
              <w:t>(Decrease)</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77"/>
              </w:rPr>
              <w:t>Change</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5"/>
                <w:szCs w:val="15"/>
                <w:color w:val="auto"/>
              </w:rPr>
              <w:t>Passengers (thousands)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553,032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813,938</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(260,906)</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5"/>
                <w:szCs w:val="15"/>
                <w:color w:val="auto"/>
              </w:rPr>
              <w:t>Average base fare per passenger</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98.77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   140.34</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(41.57)</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5"/>
                <w:szCs w:val="15"/>
                <w:color w:val="auto"/>
              </w:rPr>
              <w:t>RPMs (thousands)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774,999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1,149,906</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(374,907)</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5"/>
                <w:szCs w:val="15"/>
                <w:color w:val="auto"/>
              </w:rPr>
              <w:t>ASMs (thousands)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3"/>
              </w:rPr>
              <w:t>1,158,012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1,508,196</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(350,184)</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5"/>
                <w:szCs w:val="15"/>
                <w:color w:val="auto"/>
              </w:rPr>
              <w:t>PRASM (cents)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4.72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7.57</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(2.85)</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5"/>
                <w:szCs w:val="15"/>
                <w:color w:val="auto"/>
              </w:rPr>
              <w:t>Passenger load factor</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66.9%</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76.2%</w:t>
            </w:r>
          </w:p>
        </w:tc>
        <w:tc>
          <w:tcPr>
            <w:tcW w:w="1160" w:type="dxa"/>
            <w:vAlign w:val="bottom"/>
            <w:gridSpan w:val="4"/>
          </w:tcPr>
          <w:p>
            <w:pPr>
              <w:jc w:val="right"/>
              <w:ind w:right="80"/>
              <w:spacing w:after="0"/>
              <w:rPr>
                <w:sz w:val="20"/>
                <w:szCs w:val="20"/>
                <w:color w:val="auto"/>
              </w:rPr>
            </w:pPr>
            <w:r>
              <w:rPr>
                <w:rFonts w:ascii="Arial" w:cs="Arial" w:eastAsia="Arial" w:hAnsi="Arial"/>
                <w:sz w:val="15"/>
                <w:szCs w:val="15"/>
                <w:color w:val="auto"/>
              </w:rPr>
              <w:t>(9.3)pts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-550545</wp:posOffset>
            </wp:positionV>
            <wp:extent cx="4241800" cy="132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-278765</wp:posOffset>
            </wp:positionV>
            <wp:extent cx="4241800" cy="139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-822325</wp:posOffset>
            </wp:positionV>
            <wp:extent cx="4241800" cy="139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68"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The 32% decline in the number of scheduled service passengers in the three months ended March 31, 2021, as compared to the three months ended March 31, 2020, was primarily due to COVID-19 pandemic related demand reductions. For the three months ended March 31, 2021, our average base fare was $98.77, compared to $140.34 for the three months ended March 31, 2020. The 30% reduction in average base fare was due to lower prices in the airline industry due to significantly lower demand and fewer higher priced international passengers.</w:t>
      </w:r>
    </w:p>
    <w:p>
      <w:pPr>
        <w:spacing w:after="0" w:line="101"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$3.4 million, or 12%, to $25.8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ended March 31, 2021, from $29.2 million for the three months ended March 31, 2020. The COVID-19 pandemic drove a decrease in our casino charter service revenue of 62.5% due to a delayed recovery in demand. This was offset by an increase in our custom charters service revenue of 47.4%, driven by increase in NCAA operations, other custom charters, and U.S. Department of Defense. Charter revenue per block hour was $7.7 million for the three months ended March 31, 2021, as compared to $8.1 million for the three months ended March 31, 2020, for a decrease of 4%.</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$11.3 million, or 32%, to $23.8 million for the three months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ended March 31, 2021, from $35.0 million for the three months ended March 31, 2020. The number of</w:t>
      </w:r>
    </w:p>
    <w:p>
      <w:pPr>
        <w:ind w:left="1160"/>
        <w:spacing w:after="0"/>
        <w:rPr>
          <w:sz w:val="20"/>
          <w:szCs w:val="20"/>
          <w:color w:val="auto"/>
        </w:rPr>
      </w:pPr>
      <w:r>
        <w:rPr>
          <w:rFonts w:ascii="Arial" w:cs="Arial" w:eastAsia="Arial" w:hAnsi="Arial"/>
          <w:sz w:val="13"/>
          <w:szCs w:val="13"/>
          <w:color w:val="auto"/>
        </w:rPr>
        <w:t>scheduled service passengers was 553 thousand in the three months ended March 31, 2021, down 32% from</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814 thousand in the three months ended March 31, 2020. The decline in passenger demand due to the</w:t>
      </w:r>
    </w:p>
    <w:p>
      <w:pPr>
        <w:ind w:left="1160"/>
        <w:spacing w:after="0" w:line="234" w:lineRule="auto"/>
        <w:rPr>
          <w:sz w:val="20"/>
          <w:szCs w:val="20"/>
          <w:color w:val="auto"/>
        </w:rPr>
      </w:pPr>
      <w:r>
        <w:rPr>
          <w:rFonts w:ascii="Arial" w:cs="Arial" w:eastAsia="Arial" w:hAnsi="Arial"/>
          <w:sz w:val="15"/>
          <w:szCs w:val="15"/>
          <w:color w:val="auto"/>
        </w:rPr>
        <w:t>COVID-19 pandemic resulted in a corresponding decline in sales of air travel-related services such as</w:t>
      </w:r>
    </w:p>
    <w:p>
      <w:pPr>
        <w:ind w:left="1160"/>
        <w:spacing w:after="0"/>
        <w:rPr>
          <w:sz w:val="20"/>
          <w:szCs w:val="20"/>
          <w:color w:val="auto"/>
        </w:rPr>
      </w:pPr>
      <w:r>
        <w:rPr>
          <w:rFonts w:ascii="Arial" w:cs="Arial" w:eastAsia="Arial" w:hAnsi="Arial"/>
          <w:sz w:val="14"/>
          <w:szCs w:val="14"/>
          <w:color w:val="auto"/>
        </w:rPr>
        <w:t>baggage fees, seat selection and upgrade fees, and on-board sales. Specifically, ancillary revenue was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$42.98 per passenger in the three months ended March 31, 2021, down from $43.04 per passenger in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2020.</w:t>
      </w:r>
    </w:p>
    <w:p>
      <w:pPr>
        <w:spacing w:after="0" w:line="90"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Revenue from cargo services was $21.6 million for the three months ended March 31, 2021,</w:t>
      </w:r>
      <w:r>
        <w:rPr>
          <w:rFonts w:ascii="Arial" w:cs="Arial" w:eastAsia="Arial" w:hAnsi="Arial"/>
          <w:sz w:val="15"/>
          <w:szCs w:val="15"/>
          <w:i w:val="1"/>
          <w:iCs w:val="1"/>
          <w:color w:val="auto"/>
        </w:rPr>
        <w:t xml:space="preserve"> </w:t>
      </w:r>
      <w:r>
        <w:rPr>
          <w:rFonts w:ascii="Arial" w:cs="Arial" w:eastAsia="Arial" w:hAnsi="Arial"/>
          <w:sz w:val="15"/>
          <w:szCs w:val="15"/>
          <w:color w:val="auto"/>
        </w:rPr>
        <w:t>with no comparative revenue for the three months ended March 31, 2020. All of our 2021 cargo service revenue related to the commencement of air cargo transportation services under the ATSA with Amazon in May 2020.</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at $1.8 million for the three months ended March 31, 2021 was flat to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three months ended March 31, 2020. There was an observed decrease in co-brand credit card revenue from</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lower card spending and lower mail revenue due to decreased flights, offset by increased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Vacations revenue.</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13"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$31.3 million, or 56%, to $24.3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as compared to $55.6 million for the three months ended March 31, 2020. The decrease was largely driven by a $24.4 million change in the mark-to-market gains/losses from our fuel derivative contracts, consisting of a $2.4 million gain in the three months ended March 31, 2021 compared to a $22.0 million loss in the three months ended March 31, 2020. The decrease was further driven by a 25% decrease in fuel gallons consumed, due to our decreased level of operations as a result of reduced demand relating to the COVID-19 pandemic, as demonstrated by a 20% decrease in passenger service block hours. Partially offsetting these decreases was a 5% increase in the average price per gallon of fuel.</w:t>
      </w:r>
    </w:p>
    <w:p>
      <w:pPr>
        <w:spacing w:after="0" w:line="10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i w:val="1"/>
          <w:iCs w:val="1"/>
          <w:color w:val="auto"/>
        </w:rPr>
        <w:t>Salaries</w:t>
      </w:r>
      <w:r>
        <w:rPr>
          <w:rFonts w:ascii="Arial" w:cs="Arial" w:eastAsia="Arial" w:hAnsi="Arial"/>
          <w:sz w:val="15"/>
          <w:szCs w:val="15"/>
          <w:color w:val="auto"/>
        </w:rPr>
        <w:t>,</w:t>
      </w:r>
      <w:r>
        <w:rPr>
          <w:rFonts w:ascii="Arial" w:cs="Arial" w:eastAsia="Arial" w:hAnsi="Arial"/>
          <w:sz w:val="15"/>
          <w:szCs w:val="15"/>
          <w:i w:val="1"/>
          <w:iCs w:val="1"/>
          <w:color w:val="auto"/>
        </w:rPr>
        <w:t xml:space="preserve"> Wages and Benefits</w:t>
      </w:r>
      <w:r>
        <w:rPr>
          <w:rFonts w:ascii="Arial" w:cs="Arial" w:eastAsia="Arial" w:hAnsi="Arial"/>
          <w:sz w:val="15"/>
          <w:szCs w:val="15"/>
          <w:color w:val="auto"/>
        </w:rPr>
        <w:t>. Salaries, wages and benefits expense increased by $6.0 million, or 16%,</w:t>
      </w:r>
      <w:r>
        <w:rPr>
          <w:rFonts w:ascii="Arial" w:cs="Arial" w:eastAsia="Arial" w:hAnsi="Arial"/>
          <w:sz w:val="15"/>
          <w:szCs w:val="15"/>
          <w:i w:val="1"/>
          <w:iCs w:val="1"/>
          <w:color w:val="auto"/>
        </w:rPr>
        <w:t xml:space="preserve"> </w:t>
      </w:r>
      <w:r>
        <w:rPr>
          <w:rFonts w:ascii="Arial" w:cs="Arial" w:eastAsia="Arial" w:hAnsi="Arial"/>
          <w:sz w:val="15"/>
          <w:szCs w:val="15"/>
          <w:color w:val="auto"/>
        </w:rPr>
        <w:t>to $44.1 million for the three months ended March 31, 2021, as compared to $38.1 million for the three months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67" w:lineRule="auto"/>
        <w:rPr>
          <w:sz w:val="20"/>
          <w:szCs w:val="20"/>
          <w:color w:val="auto"/>
        </w:rPr>
      </w:pPr>
      <w:r>
        <w:rPr>
          <w:rFonts w:ascii="Arial" w:cs="Arial" w:eastAsia="Arial" w:hAnsi="Arial"/>
          <w:sz w:val="14"/>
          <w:szCs w:val="14"/>
          <w:color w:val="auto"/>
        </w:rPr>
        <w:t>ended March 31, 2020. A portion of the increase was primarily due to insourcing MSP ground handling operations in April 2020, resulting in approximately $1.2 million in higher salaries, wages and benefits, along with increased pilot pay and per diems to support operations under the ATSA. Since the probability of partial vesting was triggered by our IPO, we expensed $2.5 million for our performance-based stock options for the three months ended March 31, 2021. No expense was recorded in the three months ended March 31, 2020 for performance-based stock options. Our cargo segment was responsible for $11.2 million of the consolidated salaries, wages, and benefits expense for the three months ended March 31, 2021, and was driven by headcount required to support the operations and aircraft under the ATSA.</w:t>
      </w:r>
    </w:p>
    <w:p>
      <w:pPr>
        <w:spacing w:after="0" w:line="83" w:lineRule="exact"/>
        <w:rPr>
          <w:sz w:val="20"/>
          <w:szCs w:val="20"/>
          <w:color w:val="auto"/>
        </w:rPr>
      </w:pPr>
    </w:p>
    <w:p>
      <w:pPr>
        <w:ind w:left="1160" w:right="1419" w:firstLine="293"/>
        <w:spacing w:after="0" w:line="247" w:lineRule="auto"/>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 Aircraft rent expense decreased by $5.4 million, or 49%, to $5.6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as compared to $11.0 million for the three months ended March 31, 2020. Aircraft rent expense decreased primarily due to the composition of our aircraft fleet shifting from aircraft under operating leases (for which expense is recorded within aircraft rent) to owned aircraft. Specifically, in the year ended December 31, 2020 we purchased two aircraft previously under operating lease and leased two fewer seasonal aircraft. In addition, in late first quarter 2021, we purchased five aircraft previously under operating lease. Additionally, a 20% decrease in passenger service block hours resulted in a decrease in supplemental rent.</w:t>
      </w:r>
    </w:p>
    <w:p>
      <w:pPr>
        <w:spacing w:after="0" w:line="107"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materials and repair expense increased by $2.7 million, or 42%, to $9.2</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for the three months ended March 31, 2021, as compared to $6.5 million for the three months ended March 31, 2020. Our cargo segment was responsible for $2.6 million of the consolidated maintenance expense for the three months ended March 31, 2021, as compared to none for the prior year quarter since cargo segment shipments did not begin until May 2020. The cargo segment expense primarily relates to line maintenance, since heavy maintenance is reimbursed under the ATSA.</w:t>
      </w:r>
    </w:p>
    <w:p>
      <w:pPr>
        <w:spacing w:after="0" w:line="93"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 decreased by $3.5 million, or 40%, to $5.1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three months ended March 31, 2021, as compared to $8.6 million for the three months ended March 31, 2020. The passenger revenue decrease between these two periods was 42%, resulting in a $2.0 million reduction in credit card processing fees, related to lower sales on our scheduled service. The remaining $1.5 million reduction relates to lower advertising costs, global distribution system fees and travel agent commissions, all due to the COVID-19 pandemic.</w:t>
      </w:r>
    </w:p>
    <w:p>
      <w:pPr>
        <w:spacing w:after="0" w:line="95"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increased by $2.1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20%, to $12.6 million for the three months ended March 31, 2021, as compared to $10.5 million for the three months ended March 31, 2020. The increase was primarily due to the impact of a change in the composition of our aircraft fleet to an increased number of owned aircraft in connection with our 2019-1 EETC and aircraft under finance leases (for which expense is recorded within depreciation and amortization).</w:t>
      </w:r>
    </w:p>
    <w:p>
      <w:pPr>
        <w:spacing w:after="0" w:line="106"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i w:val="1"/>
          <w:iCs w:val="1"/>
          <w:color w:val="auto"/>
        </w:rPr>
        <w:t>Ground Handling</w:t>
      </w:r>
      <w:r>
        <w:rPr>
          <w:rFonts w:ascii="Arial" w:cs="Arial" w:eastAsia="Arial" w:hAnsi="Arial"/>
          <w:sz w:val="14"/>
          <w:szCs w:val="14"/>
          <w:color w:val="auto"/>
        </w:rPr>
        <w:t>. Ground handling expense decreased by $4.1 million, or 44%, to $5.2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ended March 31, 2021, as compared to $9.3 million for the three months ended March 31, 2020. The decrease was primarily due to the 26% decline in scheduled departures during the same time periods. Additionally, we insourced our MSP operations in April 2020, contributing to a reduction of $2.2 million in ground handling expenses for the three months ended March 31, 2021 compared to March 31, 2020, but resulting in higher salaries, wages and benefits.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$2.3 million, or 21%, to</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$8.8 million for the three months ended March 31, 2021, as compared to $11.1 million for the three months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ended March 31, 2020. The decrease was driven by the 26% reduction in scheduled departures for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2021.</w:t>
      </w:r>
    </w:p>
    <w:p>
      <w:pPr>
        <w:spacing w:after="0" w:line="102"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 contra-expense of $26.9 million for the three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March 31, 2021, and zero for the three months ended March 31, 2020. For the three months ended</w:t>
      </w:r>
    </w:p>
    <w:p>
      <w:pPr>
        <w:ind w:left="1160" w:right="1179"/>
        <w:spacing w:after="0" w:line="245" w:lineRule="auto"/>
        <w:rPr>
          <w:sz w:val="20"/>
          <w:szCs w:val="20"/>
          <w:color w:val="auto"/>
        </w:rPr>
      </w:pPr>
      <w:r>
        <w:rPr>
          <w:rFonts w:ascii="Arial" w:cs="Arial" w:eastAsia="Arial" w:hAnsi="Arial"/>
          <w:sz w:val="15"/>
          <w:szCs w:val="15"/>
          <w:color w:val="auto"/>
        </w:rPr>
        <w:t>March 31, 2021, Special items, net included a $32.2 million of income related to funds received under PSP2 of the CARES Act, to be used exclusively for the continuation of payments for salaries, wages, and benefits, and $0.3 million in refundable tax credits related to employee retention under the CARES Act. This was partially offset by a $5.7 million net loss on lease termination costs on the purchase of five aircraft during the quarter that were previously under operating leases. Our cargo segment was responsible for $8.7 million of</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99"/>
        <w:spacing w:after="0" w:line="239" w:lineRule="auto"/>
        <w:rPr>
          <w:sz w:val="20"/>
          <w:szCs w:val="20"/>
          <w:color w:val="auto"/>
        </w:rPr>
      </w:pPr>
      <w:r>
        <w:rPr>
          <w:rFonts w:ascii="Arial" w:cs="Arial" w:eastAsia="Arial" w:hAnsi="Arial"/>
          <w:sz w:val="15"/>
          <w:szCs w:val="15"/>
          <w:color w:val="auto"/>
        </w:rPr>
        <w:t>the consolidated income from Special items, net for the three months ended March 31, 2021, driven by allocated amounts received under the CARES Act, based on the respective segment salaries, wages and benefits.</w:t>
      </w:r>
    </w:p>
    <w:p>
      <w:pPr>
        <w:spacing w:after="0" w:line="89"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i w:val="1"/>
          <w:iCs w:val="1"/>
          <w:color w:val="auto"/>
        </w:rPr>
        <w:t>Other Operating, net</w:t>
      </w:r>
      <w:r>
        <w:rPr>
          <w:rFonts w:ascii="Arial" w:cs="Arial" w:eastAsia="Arial" w:hAnsi="Arial"/>
          <w:sz w:val="14"/>
          <w:szCs w:val="14"/>
          <w:color w:val="auto"/>
        </w:rPr>
        <w:t>. Other operating, net expense increased by $0.2 million, or 2%, to $14.7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three months ended March 31, 2021, as compared to $14.4 million for the three months ended March 31, 2020. A passenger segment decrease of $3.9 million was primarily driven by our lower level of operations related to the COVID-19 pandemic which resulted in reduced crew and other employee travel costs, interrupted trip expenses, catering expenses, and other operational overhead costs. Our cargo segment was responsible for $4.1 million of our consolidated other operating, net expense for the three months ended March 31, 2021, driven by overhead expenses as well as crew and employee travel costs.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$1.5 million, or 27%, to $7.1 million for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three months ended March 31, 2021, as compared to $5.6 million for the three months ended March 31,</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2020. The increase was primarily due to debt issued for the acquisition of new aircraft and spare engines,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including new debt incurred in connection with the 2019-1 EETC. During the three months ended March 31,</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2021, the Company expensed $1.2 million of debt financing costs due to the $46.3 million repayment of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$45.0 million CARES Act Loan and the replacement of the ABL Facility.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80" w:type="dxa"/>
            <w:vAlign w:val="bottom"/>
            <w:gridSpan w:val="8"/>
            <w:vMerge w:val="restart"/>
          </w:tcPr>
          <w:p>
            <w:pPr>
              <w:ind w:left="40"/>
              <w:spacing w:after="0"/>
              <w:rPr>
                <w:sz w:val="20"/>
                <w:szCs w:val="20"/>
                <w:color w:val="auto"/>
              </w:rPr>
            </w:pPr>
            <w:r>
              <w:rPr>
                <w:rFonts w:ascii="Arial" w:cs="Arial" w:eastAsia="Arial" w:hAnsi="Arial"/>
                <w:sz w:val="12"/>
                <w:szCs w:val="12"/>
                <w:b w:val="1"/>
                <w:bCs w:val="1"/>
                <w:color w:val="auto"/>
                <w:w w:val="86"/>
              </w:rPr>
              <w:t>Three Months Ended March 31, 2021</w:t>
            </w:r>
            <w:r>
              <w:rPr>
                <w:rFonts w:ascii="Arial" w:cs="Arial" w:eastAsia="Arial" w:hAnsi="Arial"/>
                <w:sz w:val="17"/>
                <w:szCs w:val="17"/>
                <w:b w:val="1"/>
                <w:bCs w:val="1"/>
                <w:color w:val="auto"/>
                <w:w w:val="86"/>
                <w:vertAlign w:val="superscript"/>
              </w:rPr>
              <w:t>(1)</w:t>
            </w:r>
          </w:p>
        </w:tc>
        <w:tc>
          <w:tcPr>
            <w:tcW w:w="180" w:type="dxa"/>
            <w:vAlign w:val="bottom"/>
            <w:vMerge w:val="restart"/>
          </w:tcPr>
          <w:p>
            <w:pPr>
              <w:spacing w:after="0"/>
              <w:rPr>
                <w:sz w:val="12"/>
                <w:szCs w:val="12"/>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4"/>
              </w:rPr>
              <w:t>Three Months Ended</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Borders>
              <w:bottom w:val="single" w:sz="8" w:color="auto"/>
            </w:tcBorders>
            <w:gridSpan w:val="8"/>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2"/>
                <w:szCs w:val="12"/>
                <w:b w:val="1"/>
                <w:bCs w:val="1"/>
                <w:color w:val="auto"/>
              </w:rPr>
              <w:t>March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Passenger</w:t>
            </w: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6"/>
              </w:rPr>
              <w:t>Cargo</w:t>
            </w:r>
          </w:p>
        </w:tc>
        <w:tc>
          <w:tcPr>
            <w:tcW w:w="8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Passenger</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8"/>
              </w:rPr>
              <w:t>$ Change</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106,026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2"/>
              </w:rPr>
              <w:t>21,585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127,611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$180,330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(74,304)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24,253</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24,274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55,561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(31,308)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32,839</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82"/>
              </w:rPr>
              <w:t>11,236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44,075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38,091</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(5,252)</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11,032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6,603</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2,607</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9,210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6,478</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8,572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12,589</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12,615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10,527</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9,292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8,655</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8,785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11,114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(2,459)</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(18,206)</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(8,665)</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(26,871)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(18,206)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10,580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4,071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14,651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14,433</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(3,853)</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9,426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102,678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165,100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(71,848)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12,774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82"/>
              </w:rPr>
              <w:t>12,159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24,933</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$ 15,230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w w:val="96"/>
              </w:rPr>
              <w:t>$ (2,456)</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Adjustment for Special Items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(18,206)</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(8,665)</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(26,871)</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5"/>
                <w:szCs w:val="15"/>
                <w:b w:val="1"/>
                <w:bCs w:val="1"/>
                <w:color w:val="auto"/>
              </w:rPr>
              <w:t>Adjusted Operating Income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(5,432)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3,494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(1,938)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Operating Margin %</w:t>
            </w: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(5)%</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16%</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90"/>
              <w:spacing w:after="0"/>
              <w:rPr>
                <w:sz w:val="20"/>
                <w:szCs w:val="20"/>
                <w:color w:val="auto"/>
              </w:rPr>
            </w:pPr>
            <w:r>
              <w:rPr>
                <w:rFonts w:ascii="Arial" w:cs="Arial" w:eastAsia="Arial" w:hAnsi="Arial"/>
                <w:sz w:val="15"/>
                <w:szCs w:val="15"/>
                <w:b w:val="1"/>
                <w:bCs w:val="1"/>
                <w:color w:val="auto"/>
              </w:rPr>
              <w:t>(2)%</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-864235</wp:posOffset>
            </wp:positionV>
            <wp:extent cx="11874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-864235</wp:posOffset>
            </wp:positionV>
            <wp:extent cx="11874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-864235</wp:posOffset>
            </wp:positionV>
            <wp:extent cx="11874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-864235</wp:posOffset>
            </wp:positionV>
            <wp:extent cx="252539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-2468880</wp:posOffset>
            </wp:positionV>
            <wp:extent cx="11176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-2468880</wp:posOffset>
            </wp:positionV>
            <wp:extent cx="11176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-2468880</wp:posOffset>
            </wp:positionV>
            <wp:extent cx="1117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-2468880</wp:posOffset>
            </wp:positionV>
            <wp:extent cx="25184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1841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period information.</w:t>
      </w:r>
    </w:p>
    <w:p>
      <w:pPr>
        <w:spacing w:after="0" w:line="12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$2.5 million, or 16%, to $ 12.8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from $15.2 million for the three months ended March 31, 2020. For more information on the changes in the components of operating income for the passenger segment, refer to the consolidated results of operations discussion above.</w:t>
      </w:r>
    </w:p>
    <w:p>
      <w:pPr>
        <w:spacing w:after="0" w:line="102"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i w:val="1"/>
          <w:iCs w:val="1"/>
          <w:color w:val="auto"/>
        </w:rPr>
        <w:t xml:space="preserve">Cargo. </w:t>
      </w:r>
      <w:r>
        <w:rPr>
          <w:rFonts w:ascii="Arial" w:cs="Arial" w:eastAsia="Arial" w:hAnsi="Arial"/>
          <w:sz w:val="13"/>
          <w:szCs w:val="13"/>
          <w:color w:val="auto"/>
        </w:rPr>
        <w:t>Cargo operating income was $12.2 million for the three months ended March 31, 2021. As air</w:t>
      </w:r>
      <w:r>
        <w:rPr>
          <w:rFonts w:ascii="Arial" w:cs="Arial" w:eastAsia="Arial" w:hAnsi="Arial"/>
          <w:sz w:val="13"/>
          <w:szCs w:val="13"/>
          <w:i w:val="1"/>
          <w:iCs w:val="1"/>
          <w:color w:val="auto"/>
        </w:rPr>
        <w:t xml:space="preserve"> </w:t>
      </w:r>
      <w:r>
        <w:rPr>
          <w:rFonts w:ascii="Arial" w:cs="Arial" w:eastAsia="Arial" w:hAnsi="Arial"/>
          <w:sz w:val="13"/>
          <w:szCs w:val="13"/>
          <w:color w:val="auto"/>
        </w:rPr>
        <w:t>cargo operations commenced in May 2020, the cargo segment had no comparable operations for any other</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4" w:lineRule="auto"/>
        <w:rPr>
          <w:sz w:val="20"/>
          <w:szCs w:val="20"/>
          <w:color w:val="auto"/>
        </w:rPr>
      </w:pPr>
      <w:r>
        <w:rPr>
          <w:rFonts w:ascii="Arial" w:cs="Arial" w:eastAsia="Arial" w:hAnsi="Arial"/>
          <w:sz w:val="15"/>
          <w:szCs w:val="15"/>
          <w:color w:val="auto"/>
        </w:rPr>
        <w:t>prior period presented.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40" w:type="dxa"/>
            <w:vAlign w:val="bottom"/>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7"/>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359,232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688,833</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(329,601)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(48)%</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14"/>
        </w:trPr>
        <w:tc>
          <w:tcPr>
            <w:tcW w:w="41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(7,106)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401,486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701,384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(299,898)</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1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165,666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(82,274)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Salaries, Wages, and Benefits .</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141,641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(18,919)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(7,870)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(18,818)</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(21,123)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(13,144)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(64,563)</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(71,655)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25"/>
        </w:trPr>
        <w:tc>
          <w:tcPr>
            <w:tcW w:w="41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(19,469)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384,101</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623,262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(239,161)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(60,737)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(78)%</w:t>
            </w:r>
          </w:p>
        </w:tc>
      </w:tr>
      <w:tr>
        <w:trPr>
          <w:trHeight w:val="216"/>
        </w:trPr>
        <w:tc>
          <w:tcPr>
            <w:tcW w:w="41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1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(22,073)</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(17,170)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1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(22,067)</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(17,962)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14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(Benefit)</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(106)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40" w:type="dxa"/>
            <w:vAlign w:val="bottom"/>
          </w:tcPr>
          <w:p>
            <w:pPr>
              <w:ind w:left="300"/>
              <w:spacing w:after="0"/>
              <w:rPr>
                <w:sz w:val="20"/>
                <w:szCs w:val="20"/>
                <w:color w:val="auto"/>
              </w:rPr>
            </w:pPr>
            <w:r>
              <w:rPr>
                <w:rFonts w:ascii="Arial" w:cs="Arial" w:eastAsia="Arial" w:hAnsi="Arial"/>
                <w:sz w:val="15"/>
                <w:szCs w:val="15"/>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 (49,976)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(109)%</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414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Non-GAAP Financial Data:</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231"/>
        </w:trPr>
        <w:tc>
          <w:tcPr>
            <w:tcW w:w="4140" w:type="dxa"/>
            <w:vAlign w:val="bottom"/>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(47,916)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53,734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$(101,650)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(189)%</w:t>
            </w:r>
          </w:p>
        </w:tc>
      </w:tr>
      <w:tr>
        <w:trPr>
          <w:trHeight w:val="231"/>
        </w:trPr>
        <w:tc>
          <w:tcPr>
            <w:tcW w:w="4140" w:type="dxa"/>
            <w:vAlign w:val="bottom"/>
            <w:tcBorders>
              <w:right w:val="single" w:sz="8" w:color="CCEEFF"/>
            </w:tcBorders>
            <w:shd w:val="clear" w:color="auto" w:fill="CCEEFF"/>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38,930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171,129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8"/>
              </w:rPr>
              <w:t>$(132,199)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-746125</wp:posOffset>
            </wp:positionV>
            <wp:extent cx="29273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356489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-1038860</wp:posOffset>
            </wp:positionV>
            <wp:extent cx="29273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-1038860</wp:posOffset>
            </wp:positionV>
            <wp:extent cx="356489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-1610995</wp:posOffset>
            </wp:positionV>
            <wp:extent cx="29273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-1610995</wp:posOffset>
            </wp:positionV>
            <wp:extent cx="356489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-1917700</wp:posOffset>
            </wp:positionV>
            <wp:extent cx="29273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-1917700</wp:posOffset>
            </wp:positionV>
            <wp:extent cx="356489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-3543300</wp:posOffset>
            </wp:positionV>
            <wp:extent cx="29273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-3543300</wp:posOffset>
            </wp:positionV>
            <wp:extent cx="356489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-4087495</wp:posOffset>
            </wp:positionV>
            <wp:extent cx="406019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601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44640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9" w:lineRule="exact"/>
        <w:rPr>
          <w:sz w:val="20"/>
          <w:szCs w:val="20"/>
          <w:color w:val="auto"/>
        </w:rPr>
      </w:pPr>
    </w:p>
    <w:p>
      <w:pPr>
        <w:ind w:left="1460" w:right="1419" w:hanging="296"/>
        <w:spacing w:after="0" w:line="247" w:lineRule="auto"/>
        <w:tabs>
          <w:tab w:leader="none" w:pos="14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Non-GAAP Financial Measures</w:t>
      </w:r>
      <w:r>
        <w:rPr>
          <w:rFonts w:ascii="Arial" w:cs="Arial" w:eastAsia="Arial" w:hAnsi="Arial"/>
          <w:sz w:val="12"/>
          <w:szCs w:val="12"/>
          <w:color w:val="auto"/>
        </w:rPr>
        <w:t>” for definitions of these measures and reconciliations to the most comparable GAAP metric.</w:t>
      </w:r>
    </w:p>
    <w:p>
      <w:pPr>
        <w:spacing w:after="0" w:line="56" w:lineRule="exact"/>
        <w:rPr>
          <w:rFonts w:ascii="Arial" w:cs="Arial" w:eastAsia="Arial" w:hAnsi="Arial"/>
          <w:sz w:val="12"/>
          <w:szCs w:val="12"/>
          <w:color w:val="auto"/>
        </w:rPr>
      </w:pPr>
    </w:p>
    <w:p>
      <w:pPr>
        <w:ind w:left="1460" w:hanging="296"/>
        <w:spacing w:after="0"/>
        <w:tabs>
          <w:tab w:leader="none" w:pos="14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1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$193,047</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$396,113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$(203,066)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2"/>
          </w:tcPr>
          <w:p>
            <w:pPr>
              <w:spacing w:after="0"/>
              <w:rPr>
                <w:sz w:val="20"/>
                <w:szCs w:val="20"/>
                <w:color w:val="auto"/>
              </w:rPr>
            </w:pPr>
            <w:r>
              <w:rPr>
                <w:rFonts w:ascii="Arial" w:cs="Arial" w:eastAsia="Arial" w:hAnsi="Arial"/>
                <w:sz w:val="15"/>
                <w:szCs w:val="15"/>
                <w:color w:val="auto"/>
              </w:rPr>
              <w:t>Charter service</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98,130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174,562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(76,432)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(44)%</w:t>
            </w:r>
          </w:p>
        </w:tc>
      </w:tr>
      <w:tr>
        <w:trPr>
          <w:trHeight w:val="214"/>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Ancillary</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68,055</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9"/>
              </w:rPr>
              <w:t>118,158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(50,103)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Passenger</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359,232</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688,833</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(329,601)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(48)%</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214"/>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Other</w:t>
            </w:r>
          </w:p>
        </w:tc>
        <w:tc>
          <w:tcPr>
            <w:tcW w:w="560" w:type="dxa"/>
            <w:vAlign w:val="bottom"/>
          </w:tcPr>
          <w:p>
            <w:pPr>
              <w:jc w:val="right"/>
              <w:spacing w:after="0"/>
              <w:rPr>
                <w:sz w:val="20"/>
                <w:szCs w:val="20"/>
                <w:color w:val="auto"/>
              </w:rPr>
            </w:pPr>
            <w:r>
              <w:rPr>
                <w:rFonts w:ascii="Arial" w:cs="Arial" w:eastAsia="Arial" w:hAnsi="Arial"/>
                <w:sz w:val="15"/>
                <w:szCs w:val="15"/>
                <w:color w:val="auto"/>
              </w:rPr>
              <w:t>5,445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(7,106)</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(57)%</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1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$401,486</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$701,384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$(299,898)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95"/>
        </w:trPr>
        <w:tc>
          <w:tcPr>
            <w:tcW w:w="700" w:type="dxa"/>
            <w:vAlign w:val="bottom"/>
            <w:tcBorders>
              <w:top w:val="single" w:sz="8" w:color="CCEEFF"/>
              <w:bottom w:val="single" w:sz="8" w:color="auto"/>
            </w:tcBorders>
          </w:tcPr>
          <w:p>
            <w:pPr>
              <w:spacing w:after="0"/>
              <w:rPr>
                <w:sz w:val="8"/>
                <w:szCs w:val="8"/>
                <w:color w:val="auto"/>
              </w:rPr>
            </w:pPr>
          </w:p>
        </w:tc>
        <w:tc>
          <w:tcPr>
            <w:tcW w:w="346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-222885</wp:posOffset>
            </wp:positionV>
            <wp:extent cx="27178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-222885</wp:posOffset>
            </wp:positionV>
            <wp:extent cx="358584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5858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-1045845</wp:posOffset>
            </wp:positionV>
            <wp:extent cx="408114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Total operating revenues decreased by $299.9 million, or 43%, to $401.5 million for the year ended December 31, 2020 from $701.4 million for the year ended December 31, 2019.</w:t>
      </w:r>
    </w:p>
    <w:p>
      <w:pPr>
        <w:spacing w:after="0" w:line="9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$203.1 million, or 51%, to $193.0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year ended December 31, 2020 from $396.1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18 percentage point decrease in load factor. The decrease in load factor resulted in a decrease in PRASM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19% to $5.57 from $6.89. Further, our scheduled service capacity, as measured by ASMs, decreased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w:t>
      </w:r>
    </w:p>
    <w:p>
      <w:pPr>
        <w:spacing w:after="0" w:line="90" w:lineRule="exact"/>
        <w:rPr>
          <w:sz w:val="20"/>
          <w:szCs w:val="20"/>
          <w:color w:val="auto"/>
        </w:rPr>
      </w:pPr>
    </w:p>
    <w:p>
      <w:pPr>
        <w:ind w:left="1160" w:right="1239" w:firstLine="293"/>
        <w:spacing w:after="0" w:line="250"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$76.4 million, or 44%, to $98.1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December 31, 2020 from $174.6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95"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$50.1 million, or 42%, to $68.1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from $118.2 million for the year ended December 31, 2019. The decline in passenger demand due to the COVID-19 pandemic resulted in lower demand for air travel- related services such as baggage fees, seat selection and upgrade fees, and on- 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91"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i w:val="1"/>
          <w:iCs w:val="1"/>
          <w:color w:val="auto"/>
        </w:rPr>
        <w:t xml:space="preserve">Cargo. </w:t>
      </w:r>
      <w:r>
        <w:rPr>
          <w:rFonts w:ascii="Arial" w:cs="Arial" w:eastAsia="Arial" w:hAnsi="Arial"/>
          <w:sz w:val="14"/>
          <w:szCs w:val="14"/>
          <w:color w:val="auto"/>
        </w:rPr>
        <w:t>Revenue from cargo services was $36.8 million for the year ended December 31, 2020, with</w:t>
      </w:r>
      <w:r>
        <w:rPr>
          <w:rFonts w:ascii="Arial" w:cs="Arial" w:eastAsia="Arial" w:hAnsi="Arial"/>
          <w:sz w:val="14"/>
          <w:szCs w:val="14"/>
          <w:i w:val="1"/>
          <w:iCs w:val="1"/>
          <w:color w:val="auto"/>
        </w:rPr>
        <w:t xml:space="preserve"> </w:t>
      </w:r>
      <w:r>
        <w:rPr>
          <w:rFonts w:ascii="Arial" w:cs="Arial" w:eastAsia="Arial" w:hAnsi="Arial"/>
          <w:sz w:val="14"/>
          <w:szCs w:val="14"/>
          <w:color w:val="auto"/>
        </w:rPr>
        <w:t>no comparative revenue for the year ended December 31, 2019. All of our 2020 cargo service revenue related to the commencement of air cargo transportation services under the ATSA with Amazon in</w:t>
      </w:r>
    </w:p>
    <w:p>
      <w:pPr>
        <w:spacing w:after="0" w:line="1" w:lineRule="exact"/>
        <w:rPr>
          <w:sz w:val="20"/>
          <w:szCs w:val="20"/>
          <w:color w:val="auto"/>
        </w:rPr>
      </w:pPr>
    </w:p>
    <w:p>
      <w:pPr>
        <w:ind w:left="1160" w:right="1359"/>
        <w:spacing w:after="0" w:line="233" w:lineRule="auto"/>
        <w:rPr>
          <w:sz w:val="20"/>
          <w:szCs w:val="20"/>
          <w:color w:val="auto"/>
        </w:rPr>
      </w:pPr>
      <w:r>
        <w:rPr>
          <w:rFonts w:ascii="Arial" w:cs="Arial" w:eastAsia="Arial" w:hAnsi="Arial"/>
          <w:sz w:val="15"/>
          <w:szCs w:val="15"/>
          <w:color w:val="auto"/>
        </w:rPr>
        <w:t>May 2020. In June 2020, we entered into an amendment to the ATSA with Amazon that added two additional aircraft to the agreement, which were delivered in the fourth quarter of 2020, bringing the total number of aircraft we fly for Amazon to 12.</w:t>
      </w:r>
    </w:p>
    <w:p>
      <w:pPr>
        <w:spacing w:after="0" w:line="90"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decreased by $7.1 million, or 57%, to $5.4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from $12.6 million for the year ended December 31, 2019. The decrease in our other revenue was driven by lower bookings for our Sun Country Vacations products due to a decline in demand for leisure travel related to the COVID-19 pandemic.</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$165,666</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 (82,274)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(50)%</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141,641</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30,989</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49,908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(18,919)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27,416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35,286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(7,870)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16,570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35,388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(18,818)</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(53)%</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48,086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20,596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41,719</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(21,123)</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(51)%</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31,256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44,400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(64,563)</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7,092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(71,655)</w:t>
            </w:r>
          </w:p>
        </w:tc>
        <w:tc>
          <w:tcPr>
            <w:tcW w:w="420" w:type="dxa"/>
            <w:vAlign w:val="bottom"/>
            <w:gridSpan w:val="2"/>
          </w:tcPr>
          <w:p>
            <w:pPr>
              <w:jc w:val="right"/>
              <w:spacing w:after="0" w:line="220" w:lineRule="exact"/>
              <w:rPr>
                <w:sz w:val="20"/>
                <w:szCs w:val="20"/>
                <w:color w:val="auto"/>
              </w:rPr>
            </w:pPr>
            <w:r>
              <w:rPr>
                <w:rFonts w:ascii="Arial" w:cs="Arial" w:eastAsia="Arial" w:hAnsi="Arial"/>
                <w:sz w:val="25"/>
                <w:szCs w:val="25"/>
                <w:color w:val="auto"/>
                <w:w w:val="94"/>
                <w:vertAlign w:val="subscript"/>
              </w:rPr>
              <w:t>NM</w:t>
            </w:r>
            <w:r>
              <w:rPr>
                <w:rFonts w:ascii="Arial" w:cs="Arial" w:eastAsia="Arial" w:hAnsi="Arial"/>
                <w:sz w:val="10"/>
                <w:szCs w:val="10"/>
                <w:color w:val="auto"/>
                <w:w w:val="94"/>
              </w:rPr>
              <w:t>(1)</w:t>
            </w:r>
          </w:p>
        </w:tc>
      </w:tr>
      <w:tr>
        <w:trPr>
          <w:trHeight w:val="225"/>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68,187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384,101</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$623,262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$(239,161)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-1457325</wp:posOffset>
            </wp:positionV>
            <wp:extent cx="4241800" cy="132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-927100</wp:posOffset>
            </wp:positionV>
            <wp:extent cx="4241800" cy="132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-1729740</wp:posOffset>
            </wp:positionV>
            <wp:extent cx="408114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2"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24" w:lineRule="exact"/>
        <w:rPr>
          <w:sz w:val="20"/>
          <w:szCs w:val="20"/>
          <w:color w:val="auto"/>
        </w:rPr>
      </w:pPr>
    </w:p>
    <w:p>
      <w:pPr>
        <w:ind w:left="1160" w:right="125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$82.3 million, or 50%, to $83.4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increased by $ 0.9 million, or 1%,</w:t>
      </w:r>
      <w:r>
        <w:rPr>
          <w:rFonts w:ascii="Arial" w:cs="Arial" w:eastAsia="Arial" w:hAnsi="Arial"/>
          <w:sz w:val="14"/>
          <w:szCs w:val="14"/>
          <w:i w:val="1"/>
          <w:iCs w:val="1"/>
          <w:color w:val="auto"/>
        </w:rPr>
        <w:t xml:space="preserve"> </w:t>
      </w:r>
      <w:r>
        <w:rPr>
          <w:rFonts w:ascii="Arial" w:cs="Arial" w:eastAsia="Arial" w:hAnsi="Arial"/>
          <w:sz w:val="14"/>
          <w:szCs w:val="14"/>
          <w:color w:val="auto"/>
        </w:rPr>
        <w:t>to $141.6 million for the year ended 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$20.5 million of the consolidated salaries, wages, and benefits expense for the year ended December 31, 2020 and was driven by headcount to support the operations and aircraft under the ATSA.</w:t>
      </w:r>
    </w:p>
    <w:p>
      <w:pPr>
        <w:spacing w:after="0" w:line="9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decreased by $18.9 million, or 38%, to $31.0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2020, as compared to $49.9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 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85" w:lineRule="exact"/>
        <w:rPr>
          <w:sz w:val="20"/>
          <w:szCs w:val="20"/>
          <w:color w:val="auto"/>
        </w:rPr>
      </w:pPr>
    </w:p>
    <w:p>
      <w:pPr>
        <w:ind w:left="1160" w:right="1619" w:firstLine="293"/>
        <w:spacing w:after="0" w:line="323" w:lineRule="auto"/>
        <w:rPr>
          <w:sz w:val="20"/>
          <w:szCs w:val="20"/>
          <w:color w:val="auto"/>
        </w:rPr>
      </w:pPr>
      <w:r>
        <w:rPr>
          <w:rFonts w:ascii="Arial" w:cs="Arial" w:eastAsia="Arial" w:hAnsi="Arial"/>
          <w:sz w:val="13"/>
          <w:szCs w:val="13"/>
          <w:i w:val="1"/>
          <w:iCs w:val="1"/>
          <w:color w:val="auto"/>
        </w:rPr>
        <w:t>Maintenance</w:t>
      </w:r>
      <w:r>
        <w:rPr>
          <w:rFonts w:ascii="Arial" w:cs="Arial" w:eastAsia="Arial" w:hAnsi="Arial"/>
          <w:sz w:val="13"/>
          <w:szCs w:val="13"/>
          <w:color w:val="auto"/>
        </w:rPr>
        <w:t>. Maintenance materials and repair expense decreased by $7.9 million, or 22%, to</w:t>
      </w:r>
      <w:r>
        <w:rPr>
          <w:rFonts w:ascii="Arial" w:cs="Arial" w:eastAsia="Arial" w:hAnsi="Arial"/>
          <w:sz w:val="13"/>
          <w:szCs w:val="13"/>
          <w:i w:val="1"/>
          <w:iCs w:val="1"/>
          <w:color w:val="auto"/>
        </w:rPr>
        <w:t xml:space="preserve"> </w:t>
      </w:r>
      <w:r>
        <w:rPr>
          <w:rFonts w:ascii="Arial" w:cs="Arial" w:eastAsia="Arial" w:hAnsi="Arial"/>
          <w:sz w:val="13"/>
          <w:szCs w:val="13"/>
          <w:color w:val="auto"/>
        </w:rPr>
        <w:t>$27.4 million for the year ended December 31, 2020, as compared to $35.3 million for the year ended</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3" w:lineRule="auto"/>
        <w:rPr>
          <w:sz w:val="20"/>
          <w:szCs w:val="20"/>
          <w:color w:val="auto"/>
        </w:rPr>
      </w:pPr>
      <w:r>
        <w:rPr>
          <w:rFonts w:ascii="Arial" w:cs="Arial" w:eastAsia="Arial" w:hAnsi="Arial"/>
          <w:sz w:val="15"/>
          <w:szCs w:val="15"/>
          <w:color w:val="auto"/>
        </w:rPr>
        <w:t>December 31, 2019. The decrease was driven primarily by the COVID -19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89"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decreased by $18.8 million, or 53%,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$16.6 million for the year ended December 31, 2020, as compared to $35.4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The decrease was primarily due to a $7.1 million reduction in credit card processing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fees related to lower sales on our scheduled service. Additionally, there was a $2.0 million decrease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advertising costs, a $6.1 million decrease in global distribution systems fees associated with the decrease in</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scheduled service and a $1.3 million decrease in travel agent commissions, all due to the COVID-19</w:t>
      </w:r>
    </w:p>
    <w:p>
      <w:pPr>
        <w:ind w:left="1160"/>
        <w:spacing w:after="0"/>
        <w:rPr>
          <w:sz w:val="20"/>
          <w:szCs w:val="20"/>
          <w:color w:val="auto"/>
        </w:rPr>
      </w:pPr>
      <w:r>
        <w:rPr>
          <w:rFonts w:ascii="Arial" w:cs="Arial" w:eastAsia="Arial" w:hAnsi="Arial"/>
          <w:sz w:val="15"/>
          <w:szCs w:val="15"/>
          <w:color w:val="auto"/>
        </w:rPr>
        <w:t>pandemic.</w:t>
      </w:r>
    </w:p>
    <w:p>
      <w:pPr>
        <w:spacing w:after="0" w:line="10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increased by $13.2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38%, to $48.1 million for the year ended 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9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i w:val="1"/>
          <w:iCs w:val="1"/>
          <w:color w:val="auto"/>
        </w:rPr>
        <w:t>Ground Handling</w:t>
      </w:r>
      <w:r>
        <w:rPr>
          <w:rFonts w:ascii="Arial" w:cs="Arial" w:eastAsia="Arial" w:hAnsi="Arial"/>
          <w:sz w:val="15"/>
          <w:szCs w:val="15"/>
          <w:color w:val="auto"/>
        </w:rPr>
        <w:t>. Ground handling expense decreased by $21.1 million, or 51%, to $20.6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2020, as 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89"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$ 13.1 million, or 30%, to</w:t>
      </w:r>
      <w:r>
        <w:rPr>
          <w:rFonts w:ascii="Arial" w:cs="Arial" w:eastAsia="Arial" w:hAnsi="Arial"/>
          <w:sz w:val="14"/>
          <w:szCs w:val="14"/>
          <w:i w:val="1"/>
          <w:iCs w:val="1"/>
          <w:color w:val="auto"/>
        </w:rPr>
        <w:t xml:space="preserve"> </w:t>
      </w:r>
      <w:r>
        <w:rPr>
          <w:rFonts w:ascii="Arial" w:cs="Arial" w:eastAsia="Arial" w:hAnsi="Arial"/>
          <w:sz w:val="14"/>
          <w:szCs w:val="14"/>
          <w:color w:val="auto"/>
        </w:rPr>
        <w:t>$31.3 million for the year ended December 31, 2020, as compared to $ 44.4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an income of $64.6 million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2020 and an expense of $7.1 million for the year ended December 31, 2019. For the year ended December 31, 2020, Special items, net included a $62.3 million credit related to funds received under the CARES Act Payroll Support Program, to be used exclusively for the continuation of payments for salaries, wages, and benefits, and $2.3 million in refundable tax credits related to employee retention under the CARES Act. For the year ended December 31, 2019, Special items, net included a charge of $ 7.6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94"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decreased by $19.5 million, or 29%,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$48.7 million for the year ended December 31, 2020, as compared to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71" w:lineRule="auto"/>
        <w:rPr>
          <w:sz w:val="20"/>
          <w:szCs w:val="20"/>
          <w:color w:val="auto"/>
        </w:rPr>
      </w:pPr>
      <w:r>
        <w:rPr>
          <w:rFonts w:ascii="Arial" w:cs="Arial" w:eastAsia="Arial" w:hAnsi="Arial"/>
          <w:sz w:val="14"/>
          <w:szCs w:val="14"/>
          <w:color w:val="auto"/>
        </w:rPr>
        <w:t>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19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   (560)</w:t>
            </w:r>
          </w:p>
        </w:tc>
        <w:tc>
          <w:tcPr>
            <w:tcW w:w="460" w:type="dxa"/>
            <w:vAlign w:val="bottom"/>
            <w:gridSpan w:val="3"/>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9"/>
        </w:trPr>
        <w:tc>
          <w:tcPr>
            <w:tcW w:w="4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(22,073)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(17,170)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3"/>
          </w:tcPr>
          <w:p>
            <w:pPr>
              <w:jc w:val="right"/>
              <w:ind w:right="6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42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Non-operating Expense, Net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(22,067)</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(17,962)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Arial" w:cs="Arial" w:eastAsia="Arial" w:hAnsi="Arial"/>
                <w:sz w:val="15"/>
                <w:szCs w:val="15"/>
                <w:color w:val="auto"/>
              </w:rPr>
              <w:t>Income (Loss) Before Income Tax</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60,160</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3"/>
          </w:tcPr>
          <w:p>
            <w:pPr>
              <w:jc w:val="right"/>
              <w:spacing w:after="0"/>
              <w:rPr>
                <w:sz w:val="20"/>
                <w:szCs w:val="20"/>
                <w:color w:val="auto"/>
              </w:rPr>
            </w:pPr>
            <w:r>
              <w:rPr>
                <w:rFonts w:ascii="Arial" w:cs="Arial" w:eastAsia="Arial" w:hAnsi="Arial"/>
                <w:sz w:val="15"/>
                <w:szCs w:val="15"/>
                <w:color w:val="auto"/>
                <w:w w:val="90"/>
              </w:rPr>
              <w:t>(108)%</w:t>
            </w:r>
          </w:p>
        </w:tc>
        <w:tc>
          <w:tcPr>
            <w:tcW w:w="0" w:type="dxa"/>
            <w:vAlign w:val="bottom"/>
          </w:tcPr>
          <w:p>
            <w:pPr>
              <w:spacing w:after="0"/>
              <w:rPr>
                <w:sz w:val="1"/>
                <w:szCs w:val="1"/>
                <w:color w:val="auto"/>
              </w:rPr>
            </w:pPr>
          </w:p>
        </w:tc>
      </w:tr>
      <w:tr>
        <w:trPr>
          <w:trHeight w:val="209"/>
        </w:trPr>
        <w:tc>
          <w:tcPr>
            <w:tcW w:w="4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14,088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2"/>
        </w:trPr>
        <w:tc>
          <w:tcPr>
            <w:tcW w:w="700" w:type="dxa"/>
            <w:vAlign w:val="bottom"/>
            <w:shd w:val="clear" w:color="auto" w:fill="CCEEFF"/>
          </w:tcPr>
          <w:p>
            <w:pPr>
              <w:spacing w:after="0" w:line="20" w:lineRule="exact"/>
              <w:rPr>
                <w:sz w:val="1"/>
                <w:szCs w:val="1"/>
                <w:color w:val="auto"/>
              </w:rPr>
            </w:pPr>
          </w:p>
        </w:tc>
        <w:tc>
          <w:tcPr>
            <w:tcW w:w="3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line="20" w:lineRule="exact"/>
              <w:rPr>
                <w:sz w:val="1"/>
                <w:szCs w:val="1"/>
                <w:color w:val="auto"/>
              </w:rPr>
            </w:pPr>
          </w:p>
        </w:tc>
      </w:tr>
      <w:tr>
        <w:trPr>
          <w:trHeight w:val="220"/>
        </w:trPr>
        <w:tc>
          <w:tcPr>
            <w:tcW w:w="4240" w:type="dxa"/>
            <w:vAlign w:val="bottom"/>
            <w:gridSpan w:val="2"/>
          </w:tcPr>
          <w:p>
            <w:pPr>
              <w:spacing w:after="0"/>
              <w:rPr>
                <w:sz w:val="20"/>
                <w:szCs w:val="20"/>
                <w:color w:val="auto"/>
              </w:rPr>
            </w:pPr>
            <w:r>
              <w:rPr>
                <w:rFonts w:ascii="Arial" w:cs="Arial" w:eastAsia="Arial" w:hAnsi="Arial"/>
                <w:sz w:val="15"/>
                <w:szCs w:val="15"/>
                <w:b w:val="1"/>
                <w:bCs w:val="1"/>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46,072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$(49,976)</w:t>
            </w:r>
          </w:p>
        </w:tc>
        <w:tc>
          <w:tcPr>
            <w:tcW w:w="280" w:type="dxa"/>
            <w:vAlign w:val="bottom"/>
          </w:tcPr>
          <w:p>
            <w:pPr>
              <w:jc w:val="right"/>
              <w:spacing w:after="0"/>
              <w:rPr>
                <w:sz w:val="20"/>
                <w:szCs w:val="20"/>
                <w:color w:val="auto"/>
              </w:rPr>
            </w:pPr>
            <w:r>
              <w:rPr>
                <w:rFonts w:ascii="Arial" w:cs="Arial" w:eastAsia="Arial" w:hAnsi="Arial"/>
                <w:sz w:val="15"/>
                <w:szCs w:val="15"/>
                <w:color w:val="auto"/>
              </w:rPr>
              <w:t>NM</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-669290</wp:posOffset>
            </wp:positionV>
            <wp:extent cx="11874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-669290</wp:posOffset>
            </wp:positionV>
            <wp:extent cx="360680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-1213485</wp:posOffset>
            </wp:positionV>
            <wp:extent cx="406019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60190" cy="6985"/>
                    </a:xfrm>
                    <a:prstGeom prst="rect">
                      <a:avLst/>
                    </a:prstGeom>
                    <a:noFill/>
                  </pic:spPr>
                </pic:pic>
              </a:graphicData>
            </a:graphic>
          </wp:anchor>
        </w:drawing>
      </w:r>
    </w:p>
    <w:p>
      <w:pPr>
        <w:spacing w:after="0" w:line="1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decreased in the year ended December 31, 2020 related to lower</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cash balances.</w:t>
      </w:r>
    </w:p>
    <w:p>
      <w:pPr>
        <w:spacing w:after="0" w:line="137"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$4.9 million, or 29%, to $22.1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$17.2 million for the year ended December 31, 2019. The increase was primarily due to debt issued for the acquisition of new aircraft and spare engines, including new debt incurred in connection with the 2019-1 EETC.</w:t>
      </w:r>
    </w:p>
    <w:p>
      <w:pPr>
        <w:spacing w:after="0" w:line="146" w:lineRule="exact"/>
        <w:rPr>
          <w:sz w:val="20"/>
          <w:szCs w:val="20"/>
          <w:color w:val="auto"/>
        </w:rPr>
      </w:pPr>
    </w:p>
    <w:p>
      <w:pPr>
        <w:ind w:left="1160" w:right="1439" w:firstLine="293"/>
        <w:spacing w:after="0" w:line="249" w:lineRule="auto"/>
        <w:rPr>
          <w:sz w:val="20"/>
          <w:szCs w:val="20"/>
          <w:color w:val="auto"/>
        </w:rPr>
      </w:pPr>
      <w:r>
        <w:rPr>
          <w:rFonts w:ascii="Arial" w:cs="Arial" w:eastAsia="Arial" w:hAnsi="Arial"/>
          <w:sz w:val="15"/>
          <w:szCs w:val="15"/>
          <w:i w:val="1"/>
          <w:iCs w:val="1"/>
          <w:color w:val="auto"/>
        </w:rPr>
        <w:t>Other, net</w:t>
      </w:r>
      <w:r>
        <w:rPr>
          <w:rFonts w:ascii="Arial" w:cs="Arial" w:eastAsia="Arial" w:hAnsi="Arial"/>
          <w:sz w:val="15"/>
          <w:szCs w:val="15"/>
          <w:color w:val="auto"/>
        </w:rPr>
        <w:t>. Other, net expense decreased $1.4 million, or 79%, to $0.4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as compared to $1.7 million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49" w:lineRule="exact"/>
        <w:rPr>
          <w:sz w:val="20"/>
          <w:szCs w:val="20"/>
          <w:color w:val="auto"/>
        </w:rPr>
      </w:pPr>
    </w:p>
    <w:p>
      <w:pPr>
        <w:jc w:val="both"/>
        <w:ind w:left="1160" w:right="1279" w:firstLine="293"/>
        <w:spacing w:after="0" w:line="254"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effective tax rate was 16.6% for the year ended December 31, 2020,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23.5% for the year ended December 31, 2019. Our tax rate can vary depending on the amount of income we earn in each state and the state tax rate applicable to such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8"/>
          </w:tcPr>
          <w:p>
            <w:pPr>
              <w:ind w:left="40"/>
              <w:spacing w:after="0"/>
              <w:rPr>
                <w:sz w:val="20"/>
                <w:szCs w:val="20"/>
                <w:color w:val="auto"/>
              </w:rPr>
            </w:pPr>
            <w:r>
              <w:rPr>
                <w:rFonts w:ascii="Arial" w:cs="Arial" w:eastAsia="Arial" w:hAnsi="Arial"/>
                <w:sz w:val="12"/>
                <w:szCs w:val="12"/>
                <w:b w:val="1"/>
                <w:bCs w:val="1"/>
                <w:color w:val="auto"/>
                <w:w w:val="84"/>
              </w:rPr>
              <w:t>For the year ended December 31, 2020</w:t>
            </w:r>
            <w:r>
              <w:rPr>
                <w:rFonts w:ascii="Arial" w:cs="Arial" w:eastAsia="Arial" w:hAnsi="Arial"/>
                <w:sz w:val="17"/>
                <w:szCs w:val="17"/>
                <w:b w:val="1"/>
                <w:bCs w:val="1"/>
                <w:color w:val="auto"/>
                <w:w w:val="84"/>
                <w:vertAlign w:val="superscript"/>
              </w:rPr>
              <w:t>(1)</w:t>
            </w:r>
          </w:p>
        </w:tc>
        <w:tc>
          <w:tcPr>
            <w:tcW w:w="60" w:type="dxa"/>
            <w:vAlign w:val="bottom"/>
            <w:gridSpan w:val="2"/>
          </w:tcPr>
          <w:p>
            <w:pPr>
              <w:spacing w:after="0"/>
              <w:rPr>
                <w:sz w:val="17"/>
                <w:szCs w:val="17"/>
                <w:color w:val="auto"/>
              </w:rPr>
            </w:pPr>
          </w:p>
        </w:tc>
      </w:tr>
      <w:tr>
        <w:trPr>
          <w:trHeight w:val="157"/>
        </w:trPr>
        <w:tc>
          <w:tcPr>
            <w:tcW w:w="466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Passenger</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Cargo</w:t>
            </w:r>
          </w:p>
        </w:tc>
        <w:tc>
          <w:tcPr>
            <w:tcW w:w="80" w:type="dxa"/>
            <w:vAlign w:val="bottom"/>
          </w:tcPr>
          <w:p>
            <w:pPr>
              <w:spacing w:after="0"/>
              <w:rPr>
                <w:sz w:val="13"/>
                <w:szCs w:val="13"/>
                <w:color w:val="auto"/>
              </w:rPr>
            </w:pPr>
          </w:p>
        </w:tc>
        <w:tc>
          <w:tcPr>
            <w:tcW w:w="54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364,677</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401,486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83,392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121,189</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20,452</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w w:val="84"/>
              </w:rPr>
              <w:t>141,641</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30,989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22,457</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4,959</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27,416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16,570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48,086</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48,086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20,596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30,975</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281</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31,256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(53,842)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(64,563)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Other operating, net</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41,880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6,838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21,809</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384,101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2,385</w:t>
            </w:r>
          </w:p>
        </w:tc>
        <w:tc>
          <w:tcPr>
            <w:tcW w:w="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17,385</w:t>
            </w:r>
          </w:p>
        </w:tc>
        <w:tc>
          <w:tcPr>
            <w:tcW w:w="4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-417830</wp:posOffset>
            </wp:positionV>
            <wp:extent cx="388620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-2022475</wp:posOffset>
            </wp:positionV>
            <wp:extent cx="387921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9215" cy="6985"/>
                    </a:xfrm>
                    <a:prstGeom prst="rect">
                      <a:avLst/>
                    </a:prstGeom>
                    <a:noFill/>
                  </pic:spPr>
                </pic:pic>
              </a:graphicData>
            </a:graphic>
          </wp:anchor>
        </w:drawing>
      </w:r>
    </w:p>
    <w:p>
      <w:pPr>
        <w:spacing w:after="0" w:line="1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year information.</w:t>
      </w:r>
    </w:p>
    <w:p>
      <w:pPr>
        <w:spacing w:after="0" w:line="13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$75.7 million, or 97%, to $2.4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year-ended December 31, 2020, as compared to $78.1 million for the year ended December 31, 2019. For more information on the changes in the components of operating income for the passenger segment, refer to the consolidated results of operations discussion above.</w:t>
      </w:r>
    </w:p>
    <w:p>
      <w:pPr>
        <w:spacing w:after="0" w:line="146"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Cargo operating income was $15.0 million as of the year-ended December 31, 2020. As air</w:t>
      </w:r>
      <w:r>
        <w:rPr>
          <w:rFonts w:ascii="Arial" w:cs="Arial" w:eastAsia="Arial" w:hAnsi="Arial"/>
          <w:sz w:val="15"/>
          <w:szCs w:val="15"/>
          <w:i w:val="1"/>
          <w:iCs w:val="1"/>
          <w:color w:val="auto"/>
        </w:rPr>
        <w:t xml:space="preserve"> </w:t>
      </w:r>
      <w:r>
        <w:rPr>
          <w:rFonts w:ascii="Arial" w:cs="Arial" w:eastAsia="Arial" w:hAnsi="Arial"/>
          <w:sz w:val="15"/>
          <w:szCs w:val="15"/>
          <w:color w:val="auto"/>
        </w:rPr>
        <w:t>cargo operations commenced in May 2020, the 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 ended December 31, 2019 and the Successor and Predecessor 2018 periods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80" w:type="dxa"/>
            <w:vAlign w:val="bottom"/>
          </w:tcPr>
          <w:p>
            <w:pPr>
              <w:spacing w:after="0"/>
              <w:rPr>
                <w:sz w:val="11"/>
                <w:szCs w:val="11"/>
                <w:color w:val="auto"/>
              </w:rPr>
            </w:pPr>
          </w:p>
        </w:tc>
        <w:tc>
          <w:tcPr>
            <w:tcW w:w="6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April 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9"/>
              <w:spacing w:after="0" w:line="132" w:lineRule="exact"/>
              <w:rPr>
                <w:sz w:val="20"/>
                <w:szCs w:val="20"/>
                <w:color w:val="auto"/>
              </w:rPr>
            </w:pPr>
            <w:r>
              <w:rPr>
                <w:rFonts w:ascii="Arial" w:cs="Arial" w:eastAsia="Arial" w:hAnsi="Arial"/>
                <w:sz w:val="12"/>
                <w:szCs w:val="12"/>
                <w:b w:val="1"/>
                <w:bCs w:val="1"/>
                <w:color w:val="auto"/>
                <w:w w:val="82"/>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84"/>
              </w:rPr>
              <w:t>ended</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80" w:type="dxa"/>
            <w:vAlign w:val="bottom"/>
          </w:tcPr>
          <w:p>
            <w:pPr>
              <w:spacing w:after="0"/>
              <w:rPr>
                <w:sz w:val="11"/>
                <w:szCs w:val="11"/>
                <w:color w:val="auto"/>
              </w:rPr>
            </w:pPr>
          </w:p>
        </w:tc>
        <w:tc>
          <w:tcPr>
            <w:tcW w:w="6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11"/>
                <w:szCs w:val="11"/>
                <w:color w:val="auto"/>
              </w:rPr>
            </w:pPr>
          </w:p>
        </w:tc>
        <w:tc>
          <w:tcPr>
            <w:tcW w:w="6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27"/>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Passenger</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688,833</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335,824</w:t>
            </w:r>
          </w:p>
        </w:tc>
        <w:tc>
          <w:tcPr>
            <w:tcW w:w="100" w:type="dxa"/>
            <w:vAlign w:val="bottom"/>
            <w:tcBorders>
              <w:right w:val="single" w:sz="8" w:color="auto"/>
            </w:tcBorders>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172,897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24,555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4"/>
              </w:rPr>
              <w:t>701,384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4"/>
              </w:rPr>
              <w:t>384,931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w w:val="84"/>
              </w:rPr>
              <w:t>197,452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4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Operating Expenses:</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Aircraft Fuel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119,553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45,790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140,739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Depreciation and Amortization</w:t>
            </w:r>
            <w:r>
              <w:rPr>
                <w:rFonts w:ascii="Arial" w:cs="Arial" w:eastAsia="Arial" w:hAnsi="Arial"/>
                <w:sz w:val="21"/>
                <w:szCs w:val="21"/>
                <w:color w:val="auto"/>
                <w:vertAlign w:val="superscript"/>
              </w:rPr>
              <w:t>(3)</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Ground Handling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Special Items,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 net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623,262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377,699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Operating Income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78,122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7,232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26,116</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Non-operating Income (Expense):</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Non-operating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93"/>
              </w:rPr>
              <w:t>(17,962)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(7,438)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(206)</w:t>
            </w: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60,160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5"/>
                <w:szCs w:val="15"/>
                <w:color w:val="auto"/>
              </w:rPr>
              <w:t>Income Tax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Net Income (Loss)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46,072</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(367)</w:t>
            </w:r>
          </w:p>
        </w:tc>
        <w:tc>
          <w:tcPr>
            <w:tcW w:w="1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25,910</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Non-GAAP Financial Data:</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(4)</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53,734</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(5,871)</w:t>
            </w:r>
          </w:p>
        </w:tc>
        <w:tc>
          <w:tcPr>
            <w:tcW w:w="1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line="224"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(4)</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49,688</w:t>
            </w:r>
          </w:p>
        </w:tc>
        <w:tc>
          <w:tcPr>
            <w:tcW w:w="100" w:type="dxa"/>
            <w:vAlign w:val="bottom"/>
            <w:tcBorders>
              <w:right w:val="single" w:sz="8" w:color="auto"/>
            </w:tcBorders>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57,279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-725170</wp:posOffset>
            </wp:positionV>
            <wp:extent cx="1397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-725170</wp:posOffset>
            </wp:positionV>
            <wp:extent cx="387223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22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-878205</wp:posOffset>
            </wp:positionV>
            <wp:extent cx="1397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-1171575</wp:posOffset>
            </wp:positionV>
            <wp:extent cx="1397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-1889760</wp:posOffset>
            </wp:positionV>
            <wp:extent cx="1397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-1889760</wp:posOffset>
            </wp:positionV>
            <wp:extent cx="387223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22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-2036445</wp:posOffset>
            </wp:positionV>
            <wp:extent cx="1397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-3676015</wp:posOffset>
            </wp:positionV>
            <wp:extent cx="1397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3" w:lineRule="exact"/>
        <w:rPr>
          <w:sz w:val="20"/>
          <w:szCs w:val="20"/>
          <w:color w:val="auto"/>
        </w:rPr>
      </w:pPr>
    </w:p>
    <w:p>
      <w:pPr>
        <w:ind w:left="1460" w:right="1279" w:hanging="296"/>
        <w:spacing w:after="0" w:line="237" w:lineRule="auto"/>
        <w:tabs>
          <w:tab w:leader="none" w:pos="1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60" w:right="1399" w:hanging="296"/>
        <w:spacing w:after="0" w:line="306" w:lineRule="auto"/>
        <w:tabs>
          <w:tab w:leader="none" w:pos="1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Maintenance expense for the Successor periods is reduced due to recognizing a liability (or contra-asset) to represent the Successor’s obligation to perform planned maintenance events paid for by the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239"/>
        <w:spacing w:after="0" w:line="241" w:lineRule="auto"/>
        <w:rPr>
          <w:sz w:val="20"/>
          <w:szCs w:val="20"/>
          <w:color w:val="auto"/>
        </w:rPr>
      </w:pPr>
      <w:r>
        <w:rPr>
          <w:rFonts w:ascii="Arial" w:cs="Arial" w:eastAsia="Arial" w:hAnsi="Arial"/>
          <w:sz w:val="14"/>
          <w:szCs w:val="14"/>
          <w:color w:val="auto"/>
        </w:rPr>
        <w:t>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4" w:lineRule="exact"/>
        <w:rPr>
          <w:sz w:val="20"/>
          <w:szCs w:val="20"/>
          <w:color w:val="auto"/>
        </w:rPr>
      </w:pPr>
    </w:p>
    <w:p>
      <w:pPr>
        <w:ind w:left="1460" w:right="1319" w:hanging="296"/>
        <w:spacing w:after="0" w:line="225" w:lineRule="auto"/>
        <w:tabs>
          <w:tab w:leader="none" w:pos="1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ind w:left="1460" w:right="1419" w:hanging="296"/>
        <w:spacing w:after="0" w:line="236" w:lineRule="auto"/>
        <w:tabs>
          <w:tab w:leader="none" w:pos="1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660" w:type="dxa"/>
            <w:vAlign w:val="bottom"/>
            <w:tcBorders>
              <w:left w:val="single" w:sz="8" w:color="auto"/>
            </w:tcBorders>
            <w:gridSpan w:val="2"/>
          </w:tcPr>
          <w:p>
            <w:pPr>
              <w:jc w:val="center"/>
              <w:ind w:left="10"/>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left w:val="single" w:sz="8" w:color="auto"/>
            </w:tcBorders>
            <w:gridSpan w:val="2"/>
          </w:tcPr>
          <w:p>
            <w:pPr>
              <w:jc w:val="center"/>
              <w:ind w:left="30"/>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$396,113</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$ 224,507</w:t>
            </w:r>
          </w:p>
        </w:tc>
        <w:tc>
          <w:tcPr>
            <w:tcW w:w="80" w:type="dxa"/>
            <w:vAlign w:val="bottom"/>
          </w:tcPr>
          <w:p>
            <w:pPr>
              <w:spacing w:after="0"/>
              <w:rPr>
                <w:sz w:val="18"/>
                <w:szCs w:val="18"/>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$132,234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174,562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111,317</w:t>
            </w:r>
          </w:p>
        </w:tc>
        <w:tc>
          <w:tcPr>
            <w:tcW w:w="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40,663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40" w:type="dxa"/>
            <w:vAlign w:val="bottom"/>
            <w:gridSpan w:val="2"/>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118,158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auto"/>
            </w:tcBorders>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Passenger</w:t>
            </w:r>
          </w:p>
        </w:tc>
        <w:tc>
          <w:tcPr>
            <w:tcW w:w="2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spacing w:after="0"/>
              <w:rPr>
                <w:sz w:val="17"/>
                <w:szCs w:val="17"/>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172,897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41,065</w:t>
            </w:r>
          </w:p>
        </w:tc>
        <w:tc>
          <w:tcPr>
            <w:tcW w:w="80" w:type="dxa"/>
            <w:vAlign w:val="bottom"/>
          </w:tcPr>
          <w:p>
            <w:pPr>
              <w:spacing w:after="0"/>
              <w:rPr>
                <w:sz w:val="19"/>
                <w:szCs w:val="19"/>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15,670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8,042</w:t>
            </w:r>
          </w:p>
        </w:tc>
        <w:tc>
          <w:tcPr>
            <w:tcW w:w="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revenues</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$701,384</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$ 384,931</w:t>
            </w:r>
          </w:p>
        </w:tc>
        <w:tc>
          <w:tcPr>
            <w:tcW w:w="80" w:type="dxa"/>
            <w:vAlign w:val="bottom"/>
          </w:tcPr>
          <w:p>
            <w:pPr>
              <w:spacing w:after="0"/>
              <w:rPr>
                <w:sz w:val="18"/>
                <w:szCs w:val="18"/>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$197,452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-222885</wp:posOffset>
            </wp:positionV>
            <wp:extent cx="1397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-641350</wp:posOffset>
            </wp:positionV>
            <wp:extent cx="1397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-641350</wp:posOffset>
            </wp:positionV>
            <wp:extent cx="387223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2230" cy="6985"/>
                    </a:xfrm>
                    <a:prstGeom prst="rect">
                      <a:avLst/>
                    </a:prstGeom>
                    <a:noFill/>
                  </pic:spPr>
                </pic:pic>
              </a:graphicData>
            </a:graphic>
          </wp:anchor>
        </w:drawing>
      </w:r>
    </w:p>
    <w:p>
      <w:pPr>
        <w:spacing w:after="0" w:line="2" w:lineRule="exact"/>
        <w:rPr>
          <w:sz w:val="20"/>
          <w:szCs w:val="20"/>
          <w:color w:val="auto"/>
        </w:rPr>
      </w:pPr>
    </w:p>
    <w:p>
      <w:pPr>
        <w:ind w:left="1460" w:right="1359" w:hanging="296"/>
        <w:spacing w:after="0" w:line="221"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 Total operating revenues were $701.4 million for the year ended December 31, 2019, $384.9 million for the Successor 2018 period and $197.5 million for the Predecessor 2018 period.</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was $396.1 million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2019, $224.5 million for the Successor 2018 period and $132.2 million for the Predecessor 2018 period. The increase in scheduled service revenue was primarily related to increases in our capacity and departures along with a slight increase in load factor. Our scheduled service capacity, as measured by ASMs, increased by 30%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99"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i w:val="1"/>
          <w:iCs w:val="1"/>
          <w:color w:val="auto"/>
        </w:rPr>
        <w:t xml:space="preserve">Charter Service. </w:t>
      </w:r>
      <w:r>
        <w:rPr>
          <w:rFonts w:ascii="Arial" w:cs="Arial" w:eastAsia="Arial" w:hAnsi="Arial"/>
          <w:sz w:val="15"/>
          <w:szCs w:val="15"/>
          <w:color w:val="auto"/>
        </w:rPr>
        <w:t>Charter service revenue was $174.6 million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$111.3 million for the Successor 2018 period and $40.7 million for the Predecessor 2018 period. The increase in our charter service revenue was primarily due to an increase in the number of charter flights for our casino and sports customers and the U.S. Department of Defense.</w:t>
      </w:r>
    </w:p>
    <w:p>
      <w:pPr>
        <w:spacing w:after="0" w:line="102"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 xml:space="preserve">Ancillary. </w:t>
      </w:r>
      <w:r>
        <w:rPr>
          <w:rFonts w:ascii="Arial" w:cs="Arial" w:eastAsia="Arial" w:hAnsi="Arial"/>
          <w:sz w:val="13"/>
          <w:szCs w:val="13"/>
          <w:color w:val="auto"/>
        </w:rPr>
        <w:t>Ancillary revenue was $ 118.2 million for the year ended December 31, 2019, $41.1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Successor 2018 period and $15.7 million for the Predecessor 2018 period. The increase in ancillary revenue was driven by the unbundling of our services to improve our product segmentation in January 2018,</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64" w:lineRule="auto"/>
        <w:rPr>
          <w:sz w:val="20"/>
          <w:szCs w:val="20"/>
          <w:color w:val="auto"/>
        </w:rPr>
      </w:pPr>
      <w:r>
        <w:rPr>
          <w:rFonts w:ascii="Arial" w:cs="Arial" w:eastAsia="Arial" w:hAnsi="Arial"/>
          <w:sz w:val="15"/>
          <w:szCs w:val="15"/>
          <w:color w:val="auto"/>
        </w:rPr>
        <w:t>which previously were offered as a component of the base fares. Our focus on ancillary services has driven an increase in ancillary revenue on a per passenger basis of $11.44, or 53%.</w:t>
      </w:r>
    </w:p>
    <w:p>
      <w:pPr>
        <w:spacing w:after="0" w:line="82"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was $12.6 million for the year ended December 31, 2019, $8.0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and $8.9 million for the Predecessor 2018 period. The decrease in our other revenue was primarily due to a temporary delay in implementing our Sun Country Vacations products in our new booking system in June 2019.</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0"/>
              </w:rPr>
              <w:t>January 1,</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31"/>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13"/>
                <w:szCs w:val="13"/>
                <w:color w:val="auto"/>
              </w:rPr>
            </w:pPr>
          </w:p>
        </w:tc>
        <w:tc>
          <w:tcPr>
            <w:tcW w:w="800" w:type="dxa"/>
            <w:vAlign w:val="bottom"/>
            <w:gridSpan w:val="2"/>
          </w:tcPr>
          <w:p>
            <w:pPr>
              <w:jc w:val="center"/>
              <w:ind w:left="188"/>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left="11"/>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11"/>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Aircraft fuel</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$165,666</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$ 119,553</w:t>
            </w:r>
          </w:p>
        </w:tc>
        <w:tc>
          <w:tcPr>
            <w:tcW w:w="80" w:type="dxa"/>
            <w:vAlign w:val="bottom"/>
          </w:tcPr>
          <w:p>
            <w:pPr>
              <w:spacing w:after="0"/>
              <w:rPr>
                <w:sz w:val="18"/>
                <w:szCs w:val="18"/>
                <w:color w:val="auto"/>
              </w:rPr>
            </w:pPr>
          </w:p>
        </w:tc>
        <w:tc>
          <w:tcPr>
            <w:tcW w:w="180" w:type="dxa"/>
            <w:vAlign w:val="bottom"/>
            <w:tcBorders>
              <w:left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45,790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Aircraft rent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Maintenance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Sales and marketing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Ground handling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5"/>
                <w:szCs w:val="15"/>
                <w:color w:val="auto"/>
              </w:rPr>
              <w:t>Special items, net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2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$623,262</w:t>
            </w:r>
          </w:p>
        </w:tc>
        <w:tc>
          <w:tcPr>
            <w:tcW w:w="16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$ 377,699</w:t>
            </w:r>
          </w:p>
        </w:tc>
        <w:tc>
          <w:tcPr>
            <w:tcW w:w="80" w:type="dxa"/>
            <w:vAlign w:val="bottom"/>
          </w:tcPr>
          <w:p>
            <w:pPr>
              <w:spacing w:after="0"/>
              <w:rPr>
                <w:sz w:val="21"/>
                <w:szCs w:val="21"/>
                <w:color w:val="auto"/>
              </w:rPr>
            </w:pPr>
          </w:p>
        </w:tc>
        <w:tc>
          <w:tcPr>
            <w:tcW w:w="180" w:type="dxa"/>
            <w:vAlign w:val="bottom"/>
            <w:tcBorders>
              <w:left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-180975</wp:posOffset>
            </wp:positionV>
            <wp:extent cx="1397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56"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fuel expense was $165.7 million for the year ended December 31, 2019,</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$119.6 million for the Successor 2018 period and $45.8 million for the Predecessor 2018 period. The change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aircraft fuel expense was primarily due to an increase in fuel gallons consumed of 20% due to our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increased level of operations, as measured by an increase of 18% in block hours, partially offset by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decrease in average price per gallon of fuel of 3%. Aircraft fuel expense also includes mark-to-market gains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or losses from fuel derivative contracts associated with our economic fuel hedges. We recognized a mark-to-</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market gain of $10.8 million in the year ended December 31, 2019 compared to a loss of $12.0 million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Successor 2018 period, and none for the Predecessor 2018 period.</w:t>
      </w:r>
    </w:p>
    <w:p>
      <w:pPr>
        <w:spacing w:after="0" w:line="11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was $140.7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$90.3 million for 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83"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Aircraft rent expense was $50.0 million for the year ended December 31, 2019,</w:t>
      </w:r>
    </w:p>
    <w:p>
      <w:pPr>
        <w:spacing w:after="0" w:line="14" w:lineRule="exact"/>
        <w:rPr>
          <w:sz w:val="20"/>
          <w:szCs w:val="20"/>
          <w:color w:val="auto"/>
        </w:rPr>
      </w:pPr>
    </w:p>
    <w:p>
      <w:pPr>
        <w:ind w:left="1160" w:right="1199"/>
        <w:spacing w:after="0" w:line="269" w:lineRule="auto"/>
        <w:rPr>
          <w:sz w:val="20"/>
          <w:szCs w:val="20"/>
          <w:color w:val="auto"/>
        </w:rPr>
      </w:pPr>
      <w:r>
        <w:rPr>
          <w:rFonts w:ascii="Arial" w:cs="Arial" w:eastAsia="Arial" w:hAnsi="Arial"/>
          <w:sz w:val="14"/>
          <w:szCs w:val="14"/>
          <w:color w:val="auto"/>
        </w:rPr>
        <w:t>$36.8 million for the Successor 2018 period and $28.3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 decrease was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5" w:lineRule="auto"/>
        <w:rPr>
          <w:sz w:val="20"/>
          <w:szCs w:val="20"/>
          <w:color w:val="auto"/>
        </w:rPr>
      </w:pPr>
      <w:r>
        <w:rPr>
          <w:rFonts w:ascii="Arial" w:cs="Arial" w:eastAsia="Arial" w:hAnsi="Arial"/>
          <w:sz w:val="15"/>
          <w:szCs w:val="15"/>
          <w:color w:val="auto"/>
        </w:rPr>
        <w:t>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8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materials and repair expense was $35.3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$15.5 million for the Successor 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 asset) that was recorded as a result of acquisition accounting for the acquisition by the Apollo Funds. The maintenance liability (or contra-asset) is reduced as reimbursable maintenance events are performed and maintenance expense is incurred.</w:t>
      </w:r>
    </w:p>
    <w:p>
      <w:pPr>
        <w:spacing w:after="0" w:line="96"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was $35.4 million for the year ended</w:t>
      </w:r>
    </w:p>
    <w:p>
      <w:pPr>
        <w:spacing w:after="0" w:line="4" w:lineRule="exact"/>
        <w:rPr>
          <w:sz w:val="20"/>
          <w:szCs w:val="20"/>
          <w:color w:val="auto"/>
        </w:rPr>
      </w:pPr>
    </w:p>
    <w:p>
      <w:pPr>
        <w:ind w:left="1160" w:right="1199"/>
        <w:spacing w:after="0" w:line="232" w:lineRule="auto"/>
        <w:rPr>
          <w:sz w:val="20"/>
          <w:szCs w:val="20"/>
          <w:color w:val="auto"/>
        </w:rPr>
      </w:pPr>
      <w:r>
        <w:rPr>
          <w:rFonts w:ascii="Arial" w:cs="Arial" w:eastAsia="Arial" w:hAnsi="Arial"/>
          <w:sz w:val="15"/>
          <w:szCs w:val="15"/>
          <w:color w:val="auto"/>
        </w:rPr>
        <w:t>December 31, 2019, $17.2 million for the Successor 2018 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9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was $34.9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$14.4 million 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85"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Ground Handling</w:t>
      </w:r>
      <w:r>
        <w:rPr>
          <w:rFonts w:ascii="Arial" w:cs="Arial" w:eastAsia="Arial" w:hAnsi="Arial"/>
          <w:sz w:val="13"/>
          <w:szCs w:val="13"/>
          <w:color w:val="auto"/>
        </w:rPr>
        <w:t>. Ground handling expense was $41.7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2019, $23.8 million for the Successor 2018 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76"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Landing Fees and Airport Rent</w:t>
      </w:r>
      <w:r>
        <w:rPr>
          <w:rFonts w:ascii="Arial" w:cs="Arial" w:eastAsia="Arial" w:hAnsi="Arial"/>
          <w:sz w:val="13"/>
          <w:szCs w:val="13"/>
          <w:color w:val="auto"/>
        </w:rPr>
        <w:t>. Landing fees and airport rent was $44.4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$26.0 million for the Successor 2018 period and $10.5 million for the Predecessor 2018 period. The increase was due to the increase in departures and additional airports in our route network.</w:t>
      </w:r>
    </w:p>
    <w:p>
      <w:pPr>
        <w:spacing w:after="0" w:line="66" w:lineRule="exact"/>
        <w:rPr>
          <w:sz w:val="20"/>
          <w:szCs w:val="20"/>
          <w:color w:val="auto"/>
        </w:rPr>
      </w:pPr>
    </w:p>
    <w:p>
      <w:pPr>
        <w:ind w:left="1460"/>
        <w:spacing w:after="0"/>
        <w:tabs>
          <w:tab w:leader="none" w:pos="2680" w:val="left"/>
        </w:tabs>
        <w:rPr>
          <w:sz w:val="20"/>
          <w:szCs w:val="20"/>
          <w:color w:val="auto"/>
        </w:rPr>
      </w:pPr>
      <w:r>
        <w:rPr>
          <w:rFonts w:ascii="Arial" w:cs="Arial" w:eastAsia="Arial" w:hAnsi="Arial"/>
          <w:sz w:val="15"/>
          <w:szCs w:val="15"/>
          <w:i w:val="1"/>
          <w:iCs w:val="1"/>
          <w:color w:val="auto"/>
        </w:rPr>
        <w:t>Special Items,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Special items, net was an expense of $7.1 million for the year ended December 31,</w:t>
      </w:r>
    </w:p>
    <w:p>
      <w:pPr>
        <w:ind w:left="1160"/>
        <w:spacing w:after="0" w:line="235" w:lineRule="auto"/>
        <w:rPr>
          <w:sz w:val="20"/>
          <w:szCs w:val="20"/>
          <w:color w:val="auto"/>
        </w:rPr>
      </w:pPr>
      <w:r>
        <w:rPr>
          <w:rFonts w:ascii="Arial" w:cs="Arial" w:eastAsia="Arial" w:hAnsi="Arial"/>
          <w:sz w:val="15"/>
          <w:szCs w:val="15"/>
          <w:color w:val="auto"/>
        </w:rPr>
        <w:t>2019, income of $6.7 million for the Successor 2018 period and an expense of $0.3 million for the</w:t>
      </w:r>
    </w:p>
    <w:p>
      <w:pPr>
        <w:ind w:left="1160"/>
        <w:spacing w:after="0"/>
        <w:rPr>
          <w:sz w:val="20"/>
          <w:szCs w:val="20"/>
          <w:color w:val="auto"/>
        </w:rPr>
      </w:pPr>
      <w:r>
        <w:rPr>
          <w:rFonts w:ascii="Arial" w:cs="Arial" w:eastAsia="Arial" w:hAnsi="Arial"/>
          <w:sz w:val="14"/>
          <w:szCs w:val="14"/>
          <w:color w:val="auto"/>
        </w:rPr>
        <w:t>Predecessor 2018 period. Special items, net for the year ended December 31, 2019 include a charge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$7.6 million related to contractual obligations for retired technology. In connection with implementing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reservations systems, we incurred obligations under the contracts for our existing systems that were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being phased out ahead of their scheduled contract terms, creating an expense that is not reflective of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normal operations of the company. This expense was partially offset by $1.2 million of proceeds from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sale of unused airport slot rights. We are not in the business of buying and selling operating rights and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do not hold any other remaining airport slot rights, therefore this gain does not reflect our core business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operations. Special items, net recognized in the Successor 2018 period include the impact of changes to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terms of our rewards program implemented in the fourth quarter of 2018. The program changes included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net reduction in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expenses of $8.5 million due to the earlier expiration of outstanding points, partially offset by an increase in expense as a result of improved terms for members’ redemption of points. We also recognized an expense of $1.7 million for the Successor 2018 period and $0.3 million for the Predecessor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90"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was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$40.9 million for the Successor 2018 period and $18.0 million for the Predecessor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period. The increase was primarily due to our higher level of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4"/>
              </w:rPr>
              <w:t>Predecessor</w:t>
            </w:r>
          </w:p>
        </w:tc>
        <w:tc>
          <w:tcPr>
            <w:tcW w:w="0" w:type="dxa"/>
            <w:vAlign w:val="bottom"/>
          </w:tcPr>
          <w:p>
            <w:pPr>
              <w:spacing w:after="0" w:line="20" w:lineRule="exact"/>
              <w:rPr>
                <w:sz w:val="1"/>
                <w:szCs w:val="1"/>
                <w:color w:val="auto"/>
              </w:rPr>
            </w:pPr>
          </w:p>
        </w:tc>
      </w:tr>
      <w:tr>
        <w:trPr>
          <w:trHeight w:val="122"/>
        </w:trPr>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period</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120" w:type="dxa"/>
            <w:vAlign w:val="bottom"/>
          </w:tcPr>
          <w:p>
            <w:pPr>
              <w:spacing w:after="0"/>
              <w:rPr>
                <w:sz w:val="11"/>
                <w:szCs w:val="11"/>
                <w:color w:val="auto"/>
              </w:rPr>
            </w:pPr>
          </w:p>
        </w:tc>
        <w:tc>
          <w:tcPr>
            <w:tcW w:w="54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120" w:type="dxa"/>
            <w:vAlign w:val="bottom"/>
          </w:tcPr>
          <w:p>
            <w:pPr>
              <w:spacing w:after="0"/>
              <w:rPr>
                <w:sz w:val="11"/>
                <w:szCs w:val="11"/>
                <w:color w:val="auto"/>
              </w:rPr>
            </w:pPr>
          </w:p>
        </w:tc>
        <w:tc>
          <w:tcPr>
            <w:tcW w:w="700" w:type="dxa"/>
            <w:vAlign w:val="bottom"/>
            <w:tcBorders>
              <w:right w:val="single" w:sz="8" w:color="auto"/>
            </w:tcBorders>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8"/>
              </w:rPr>
              <w:t>April 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30"/>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2"/>
              </w:rPr>
              <w:t>2018 through</w:t>
            </w:r>
          </w:p>
        </w:tc>
        <w:tc>
          <w:tcPr>
            <w:tcW w:w="120" w:type="dxa"/>
            <w:vAlign w:val="bottom"/>
          </w:tcPr>
          <w:p>
            <w:pPr>
              <w:spacing w:after="0"/>
              <w:rPr>
                <w:sz w:val="11"/>
                <w:szCs w:val="11"/>
                <w:color w:val="auto"/>
              </w:rPr>
            </w:pPr>
          </w:p>
        </w:tc>
        <w:tc>
          <w:tcPr>
            <w:tcW w:w="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20" w:type="dxa"/>
            <w:vAlign w:val="bottom"/>
          </w:tcPr>
          <w:p>
            <w:pPr>
              <w:spacing w:after="0"/>
              <w:rPr>
                <w:sz w:val="11"/>
                <w:szCs w:val="11"/>
                <w:color w:val="auto"/>
              </w:rPr>
            </w:pPr>
          </w:p>
        </w:tc>
        <w:tc>
          <w:tcPr>
            <w:tcW w:w="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11"/>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937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(6,060)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14"/>
        </w:trPr>
        <w:tc>
          <w:tcPr>
            <w:tcW w:w="416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non-operating expense, net</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(17,962)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(7,438)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1"/>
              </w:rPr>
              <w:t>60,160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25,910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1"/>
              </w:rPr>
              <w:t>14,088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1"/>
              </w:rPr>
              <w:t>46,072</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25,910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-173990</wp:posOffset>
            </wp:positionV>
            <wp:extent cx="3492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-320040</wp:posOffset>
            </wp:positionV>
            <wp:extent cx="3492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89953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-599440</wp:posOffset>
            </wp:positionV>
            <wp:extent cx="3492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-599440</wp:posOffset>
            </wp:positionV>
            <wp:extent cx="389953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99535" cy="6985"/>
                    </a:xfrm>
                    <a:prstGeom prst="rect">
                      <a:avLst/>
                    </a:prstGeom>
                    <a:noFill/>
                  </pic:spPr>
                </pic:pic>
              </a:graphicData>
            </a:graphic>
          </wp:anchor>
        </w:drawing>
      </w:r>
    </w:p>
    <w:p>
      <w:pPr>
        <w:spacing w:after="0" w:line="156" w:lineRule="exact"/>
        <w:rPr>
          <w:sz w:val="20"/>
          <w:szCs w:val="20"/>
          <w:color w:val="auto"/>
        </w:rPr>
      </w:pPr>
    </w:p>
    <w:p>
      <w:pPr>
        <w:ind w:left="1160" w:right="1879" w:firstLine="293"/>
        <w:spacing w:after="0" w:line="248"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increased in the Successor 2018 period and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2019 related to higher average cash balances.</w:t>
      </w:r>
    </w:p>
    <w:p>
      <w:pPr>
        <w:spacing w:after="0" w:line="83" w:lineRule="exact"/>
        <w:rPr>
          <w:sz w:val="20"/>
          <w:szCs w:val="20"/>
          <w:color w:val="auto"/>
        </w:rPr>
      </w:pPr>
    </w:p>
    <w:p>
      <w:pPr>
        <w:ind w:left="1460"/>
        <w:spacing w:after="0"/>
        <w:tabs>
          <w:tab w:leader="none" w:pos="2600" w:val="left"/>
        </w:tabs>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Interest expense was $17.2 million for the year ended December 31, 2019,</w:t>
      </w:r>
    </w:p>
    <w:p>
      <w:pPr>
        <w:spacing w:after="0" w:line="4"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$6.1 million for the Successor 2018 period and $0.3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101"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net was an expense of $1.7 million for the year ended December 31, 2019,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of $ 1.6 million in the Successor 2018 period 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76"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 the year ended December 31, 2019, our effective tax rate was 23.5%.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our effective tax rate was (77.9%)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Non-GAAP Financial Measures</w:t>
      </w:r>
    </w:p>
    <w:p>
      <w:pPr>
        <w:spacing w:after="0" w:line="117"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We sometimes use information that is derived from the consolidated financial statements, but that is not presented in accordance with GAAP. We believe these non-GAAP measures provide a meaningful</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47" w:lineRule="auto"/>
        <w:rPr>
          <w:sz w:val="20"/>
          <w:szCs w:val="20"/>
          <w:color w:val="auto"/>
        </w:rPr>
      </w:pPr>
      <w:r>
        <w:rPr>
          <w:rFonts w:ascii="Arial" w:cs="Arial" w:eastAsia="Arial" w:hAnsi="Arial"/>
          <w:sz w:val="15"/>
          <w:szCs w:val="15"/>
          <w:color w:val="auto"/>
        </w:rPr>
        <w:t>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Adjusted Operating Income Margin, Adjusted Net Income and Adjusted EBITDAR</w:t>
      </w:r>
    </w:p>
    <w:p>
      <w:pPr>
        <w:spacing w:after="0" w:line="11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96"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103"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83"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color w:val="auto"/>
        </w:rPr>
        <w:t>The following table presents the reconciliation of operating income to Adjusted Operating Income Margin for the periods presented below.</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tbl>
      <w:tblPr>
        <w:tblLayout w:type="fixed"/>
        <w:tblInd w:w="140" w:type="dxa"/>
        <w:tblCellMar>
          <w:top w:w="0" w:type="dxa"/>
          <w:left w:w="0" w:type="dxa"/>
          <w:bottom w:w="0" w:type="dxa"/>
          <w:right w:w="0" w:type="dxa"/>
        </w:tblCellMar>
      </w:tblPr>
      <w:tr>
        <w:trPr>
          <w:trHeight w:val="139"/>
        </w:trPr>
        <w:tc>
          <w:tcPr>
            <w:tcW w:w="4680" w:type="dxa"/>
            <w:vAlign w:val="bottom"/>
            <w:gridSpan w:val="2"/>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4"/>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2"/>
                <w:szCs w:val="12"/>
                <w:b w:val="1"/>
                <w:bCs w:val="1"/>
                <w:color w:val="auto"/>
                <w:w w:val="94"/>
              </w:rPr>
              <w:t>For the three months ended</w:t>
            </w:r>
          </w:p>
        </w:tc>
        <w:tc>
          <w:tcPr>
            <w:tcW w:w="80" w:type="dxa"/>
            <w:vAlign w:val="bottom"/>
          </w:tcPr>
          <w:p>
            <w:pPr>
              <w:spacing w:after="0"/>
              <w:rPr>
                <w:sz w:val="24"/>
                <w:szCs w:val="24"/>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w w:val="91"/>
              </w:rPr>
              <w:t>For the year ended</w:t>
            </w: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3"/>
                <w:szCs w:val="13"/>
                <w:color w:val="auto"/>
              </w:rPr>
            </w:pPr>
          </w:p>
        </w:tc>
        <w:tc>
          <w:tcPr>
            <w:tcW w:w="134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Operating Income Margin reconciliation:</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Operating revenues</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127,611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180,330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401,486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701,384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24,933</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15,230</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5"/>
                <w:szCs w:val="15"/>
                <w:color w:val="auto"/>
              </w:rPr>
              <w:t>Stock compensation expense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2,110</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1,888</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9"/>
              </w:rPr>
              <w:t>(26,871)</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(64,563)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60" w:type="dxa"/>
            <w:vAlign w:val="bottom"/>
          </w:tcPr>
          <w:p>
            <w:pPr>
              <w:ind w:left="160"/>
              <w:spacing w:after="0" w:line="220" w:lineRule="exact"/>
              <w:rPr>
                <w:sz w:val="20"/>
                <w:szCs w:val="20"/>
                <w:color w:val="auto"/>
              </w:rPr>
            </w:pPr>
            <w:r>
              <w:rPr>
                <w:rFonts w:ascii="Arial" w:cs="Arial" w:eastAsia="Arial" w:hAnsi="Arial"/>
                <w:sz w:val="15"/>
                <w:szCs w:val="15"/>
                <w:color w:val="auto"/>
              </w:rPr>
              <w:t>Income tax receivable agreement expense</w:t>
            </w:r>
            <w:r>
              <w:rPr>
                <w:rFonts w:ascii="Arial" w:cs="Arial" w:eastAsia="Arial" w:hAnsi="Arial"/>
                <w:sz w:val="21"/>
                <w:szCs w:val="21"/>
                <w:color w:val="auto"/>
                <w:vertAlign w:val="superscript"/>
              </w:rPr>
              <w:t>(b)</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3660" w:type="dxa"/>
            <w:vAlign w:val="bottom"/>
            <w:shd w:val="clear" w:color="auto" w:fill="CCEEFF"/>
          </w:tcPr>
          <w:p>
            <w:pPr>
              <w:ind w:left="160"/>
              <w:spacing w:after="0" w:line="231"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(a)</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Adjusted Operating Income</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1,196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15,599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(45,068)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87,328</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Operating Income Margin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Adjusted Operating Income Margin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-271780</wp:posOffset>
            </wp:positionV>
            <wp:extent cx="4241800" cy="139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11" w:lineRule="exact"/>
        <w:rPr>
          <w:sz w:val="20"/>
          <w:szCs w:val="20"/>
          <w:color w:val="auto"/>
        </w:rPr>
      </w:pPr>
    </w:p>
    <w:p>
      <w:pPr>
        <w:ind w:left="1460" w:right="1239" w:hanging="296"/>
        <w:spacing w:after="0" w:line="236" w:lineRule="auto"/>
        <w:tabs>
          <w:tab w:leader="none" w:pos="1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the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34" w:lineRule="exact"/>
        <w:rPr>
          <w:rFonts w:ascii="Arial" w:cs="Arial" w:eastAsia="Arial" w:hAnsi="Arial"/>
          <w:sz w:val="14"/>
          <w:szCs w:val="14"/>
          <w:color w:val="auto"/>
        </w:rPr>
      </w:pPr>
    </w:p>
    <w:p>
      <w:pPr>
        <w:jc w:val="both"/>
        <w:ind w:left="1460" w:right="1579" w:hanging="296"/>
        <w:spacing w:after="0" w:line="229"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the one-time costs to establish the income tax receivable agreement with our pre-IPO stockholders. See Note 10 to our unaudited condensed consolidated financial statements included elsewhere in this prospectus.</w:t>
      </w:r>
    </w:p>
    <w:p>
      <w:pPr>
        <w:spacing w:after="0" w:line="10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The following tables present the reconciliation of Net Income (Loss) to Adjusted Net Income (Loss) for the periods presented below.</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8"/>
              </w:rPr>
              <w:t>Successor</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4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20" w:type="dxa"/>
            <w:vAlign w:val="bottom"/>
            <w:tcBorders>
              <w:right w:val="single" w:sz="8" w:color="auto"/>
            </w:tcBorders>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March 31,</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6"/>
              </w:rPr>
              <w:t>March 31,</w:t>
            </w:r>
          </w:p>
        </w:tc>
        <w:tc>
          <w:tcPr>
            <w:tcW w:w="74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left="73"/>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ind w:left="5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ind w:right="2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12,416</w:t>
            </w: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$7,251</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(26,871)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4"/>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7"/>
              </w:rPr>
              <w:t>Stock compensation expense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2,870</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Loss (gain) on asset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72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(811)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Early repayment of CARES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Act Loan</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300"/>
              <w:spacing w:after="0"/>
              <w:rPr>
                <w:sz w:val="20"/>
                <w:szCs w:val="20"/>
                <w:color w:val="auto"/>
              </w:rPr>
            </w:pPr>
            <w:r>
              <w:rPr>
                <w:rFonts w:ascii="Arial" w:cs="Arial" w:eastAsia="Arial" w:hAnsi="Arial"/>
                <w:sz w:val="15"/>
                <w:szCs w:val="15"/>
                <w:color w:val="auto"/>
              </w:rPr>
              <w:t>agreement expense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264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Loss on refinancing credit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facility</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10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8"/>
              </w:rPr>
              <w:t>Income tax effect of adjusting</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100" w:type="dxa"/>
            <w:vAlign w:val="bottom"/>
            <w:gridSpan w:val="2"/>
            <w:shd w:val="clear" w:color="auto" w:fill="CCEEFF"/>
          </w:tcPr>
          <w:p>
            <w:pPr>
              <w:ind w:left="300"/>
              <w:spacing w:after="0" w:line="227" w:lineRule="exact"/>
              <w:rPr>
                <w:sz w:val="20"/>
                <w:szCs w:val="20"/>
                <w:color w:val="auto"/>
              </w:rPr>
            </w:pPr>
            <w:r>
              <w:rPr>
                <w:rFonts w:ascii="Arial" w:cs="Arial" w:eastAsia="Arial" w:hAnsi="Arial"/>
                <w:sz w:val="15"/>
                <w:szCs w:val="15"/>
                <w:color w:val="auto"/>
              </w:rPr>
              <w:t>items, net</w:t>
            </w:r>
            <w:r>
              <w:rPr>
                <w:rFonts w:ascii="Arial" w:cs="Arial" w:eastAsia="Arial" w:hAnsi="Arial"/>
                <w:sz w:val="21"/>
                <w:szCs w:val="21"/>
                <w:color w:val="auto"/>
                <w:vertAlign w:val="superscript"/>
              </w:rPr>
              <w:t>(c)</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5,178</w:t>
            </w: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(2,289)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1,640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Adjusted Net Income (Loss) </w:t>
            </w:r>
            <w:r>
              <w:rPr>
                <w:rFonts w:ascii="Arial" w:cs="Arial" w:eastAsia="Arial" w:hAnsi="Arial"/>
                <w:sz w:val="15"/>
                <w:szCs w:val="15"/>
                <w:color w:val="auto"/>
              </w:rPr>
              <w:t>.</w:t>
            </w: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(4,919)</w:t>
            </w:r>
          </w:p>
        </w:tc>
        <w:tc>
          <w:tcPr>
            <w:tcW w:w="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7,591</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(47,916)</w:t>
            </w:r>
          </w:p>
        </w:tc>
        <w:tc>
          <w:tcPr>
            <w:tcW w:w="4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4"/>
              </w:rPr>
              <w:t>(5,871)</w:t>
            </w:r>
          </w:p>
        </w:tc>
        <w:tc>
          <w:tcPr>
            <w:tcW w:w="62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-1952625</wp:posOffset>
            </wp:positionV>
            <wp:extent cx="3492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-1952625</wp:posOffset>
            </wp:positionV>
            <wp:extent cx="2794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-1952625</wp:posOffset>
            </wp:positionV>
            <wp:extent cx="2794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-1952625</wp:posOffset>
            </wp:positionV>
            <wp:extent cx="2794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-1952625</wp:posOffset>
            </wp:positionV>
            <wp:extent cx="183451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34515" cy="6985"/>
                    </a:xfrm>
                    <a:prstGeom prst="rect">
                      <a:avLst/>
                    </a:prstGeom>
                    <a:noFill/>
                  </pic:spPr>
                </pic:pic>
              </a:graphicData>
            </a:graphic>
          </wp:anchor>
        </w:drawing>
      </w:r>
    </w:p>
    <w:p>
      <w:pPr>
        <w:spacing w:after="0" w:line="13" w:lineRule="exact"/>
        <w:rPr>
          <w:sz w:val="20"/>
          <w:szCs w:val="20"/>
          <w:color w:val="auto"/>
        </w:rPr>
      </w:pPr>
    </w:p>
    <w:p>
      <w:pPr>
        <w:jc w:val="center"/>
        <w:ind w:left="4400" w:right="1339" w:hanging="3236"/>
        <w:spacing w:after="0" w:line="722" w:lineRule="auto"/>
        <w:tabs>
          <w:tab w:leader="none" w:pos="1447" w:val="left"/>
        </w:tabs>
        <w:numPr>
          <w:ilvl w:val="0"/>
          <w:numId w:val="47"/>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-29210</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359"/>
        <w:spacing w:after="0" w:line="236" w:lineRule="auto"/>
        <w:rPr>
          <w:sz w:val="20"/>
          <w:szCs w:val="20"/>
          <w:color w:val="auto"/>
        </w:rPr>
      </w:pPr>
      <w:r>
        <w:rPr>
          <w:rFonts w:ascii="Arial" w:cs="Arial" w:eastAsia="Arial" w:hAnsi="Arial"/>
          <w:sz w:val="15"/>
          <w:szCs w:val="15"/>
          <w:color w:val="auto"/>
        </w:rPr>
        <w:t>consolidated financial statements included elsewhere in this prospectus for additional information on the components of Special items, net.</w:t>
      </w:r>
    </w:p>
    <w:p>
      <w:pPr>
        <w:spacing w:after="0" w:line="78" w:lineRule="exact"/>
        <w:rPr>
          <w:sz w:val="20"/>
          <w:szCs w:val="20"/>
          <w:color w:val="auto"/>
        </w:rPr>
      </w:pPr>
    </w:p>
    <w:p>
      <w:pPr>
        <w:ind w:left="1460" w:right="1259" w:hanging="296"/>
        <w:spacing w:after="0" w:line="249" w:lineRule="auto"/>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94" w:lineRule="exact"/>
        <w:rPr>
          <w:rFonts w:ascii="Arial" w:cs="Arial" w:eastAsia="Arial" w:hAnsi="Arial"/>
          <w:sz w:val="15"/>
          <w:szCs w:val="15"/>
          <w:color w:val="auto"/>
        </w:rPr>
      </w:pPr>
    </w:p>
    <w:p>
      <w:pPr>
        <w:ind w:left="1460" w:right="1419" w:hanging="296"/>
        <w:spacing w:after="0" w:line="264" w:lineRule="auto"/>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93"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The following tables present the reconciliation of Net Income (Loss) to Adjusted EBITDAR for the periods presented below.</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60" w:type="dxa"/>
            <w:vAlign w:val="bottom"/>
            <w:gridSpan w:val="3"/>
          </w:tcPr>
          <w:p>
            <w:pPr>
              <w:jc w:val="center"/>
              <w:ind w:left="4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$ 12,416</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7,251</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740" w:type="dxa"/>
            <w:vAlign w:val="bottom"/>
            <w:gridSpan w:val="4"/>
          </w:tcPr>
          <w:p>
            <w:pPr>
              <w:jc w:val="right"/>
              <w:ind w:right="20"/>
              <w:spacing w:after="0"/>
              <w:rPr>
                <w:sz w:val="20"/>
                <w:szCs w:val="20"/>
                <w:color w:val="auto"/>
              </w:rPr>
            </w:pPr>
            <w:r>
              <w:rPr>
                <w:rFonts w:ascii="Arial" w:cs="Arial" w:eastAsia="Arial" w:hAnsi="Arial"/>
                <w:sz w:val="15"/>
                <w:szCs w:val="15"/>
                <w:color w:val="auto"/>
              </w:rPr>
              <w:t>(26,871)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2"/>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7,121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22,073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17,170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160"/>
              <w:spacing w:after="0"/>
              <w:rPr>
                <w:sz w:val="20"/>
                <w:szCs w:val="20"/>
                <w:color w:val="auto"/>
              </w:rPr>
            </w:pPr>
            <w:r>
              <w:rPr>
                <w:rFonts w:ascii="Arial" w:cs="Arial" w:eastAsia="Arial" w:hAnsi="Arial"/>
                <w:sz w:val="15"/>
                <w:szCs w:val="15"/>
                <w:color w:val="auto"/>
                <w:w w:val="97"/>
              </w:rPr>
              <w:t>Stock compensation expense</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2,870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369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2,110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1,888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Loss (gain) on asset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(937)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(258)</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Provision for income taxes</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5,406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2,445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(778)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Depreciation and</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12,615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10,527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48,086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5,599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11,032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30,989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agreement expense</w:t>
            </w:r>
          </w:p>
        </w:tc>
        <w:tc>
          <w:tcPr>
            <w:tcW w:w="120" w:type="dxa"/>
            <w:vAlign w:val="bottom"/>
            <w:gridSpan w:val="2"/>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Adjusted EBITDAR</w:t>
            </w:r>
          </w:p>
        </w:tc>
        <w:tc>
          <w:tcPr>
            <w:tcW w:w="120" w:type="dxa"/>
            <w:vAlign w:val="bottom"/>
            <w:gridSpan w:val="2"/>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$ 19,405</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37,061</w:t>
            </w: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38,930</w:t>
            </w: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-1959610</wp:posOffset>
            </wp:positionV>
            <wp:extent cx="3492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-1959610</wp:posOffset>
            </wp:positionV>
            <wp:extent cx="2794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-1959610</wp:posOffset>
            </wp:positionV>
            <wp:extent cx="2794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-1959610</wp:posOffset>
            </wp:positionV>
            <wp:extent cx="2794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-1959610</wp:posOffset>
            </wp:positionV>
            <wp:extent cx="183451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34515" cy="6985"/>
                    </a:xfrm>
                    <a:prstGeom prst="rect">
                      <a:avLst/>
                    </a:prstGeom>
                    <a:noFill/>
                  </pic:spPr>
                </pic:pic>
              </a:graphicData>
            </a:graphic>
          </wp:anchor>
        </w:drawing>
      </w:r>
    </w:p>
    <w:p>
      <w:pPr>
        <w:spacing w:after="0" w:line="2" w:lineRule="exact"/>
        <w:rPr>
          <w:sz w:val="20"/>
          <w:szCs w:val="20"/>
          <w:color w:val="auto"/>
        </w:rPr>
      </w:pPr>
    </w:p>
    <w:p>
      <w:pPr>
        <w:jc w:val="both"/>
        <w:ind w:left="1460" w:right="1339" w:hanging="296"/>
        <w:spacing w:after="0" w:line="229" w:lineRule="auto"/>
        <w:tabs>
          <w:tab w:leader="none" w:pos="1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60" w:right="1259" w:hanging="296"/>
        <w:spacing w:after="0" w:line="223" w:lineRule="auto"/>
        <w:tabs>
          <w:tab w:leader="none" w:pos="1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CASM and Adjusted CASM</w:t>
      </w:r>
    </w:p>
    <w:p>
      <w:pPr>
        <w:spacing w:after="0" w:line="124"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CASM is a key airline cost metric defined as operating expenses divided by total available seat miles. Adjusted CASM is a non- 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9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00"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15"/>
          </w:tcPr>
          <w:p>
            <w:pPr>
              <w:ind w:left="80"/>
              <w:spacing w:after="0"/>
              <w:rPr>
                <w:sz w:val="20"/>
                <w:szCs w:val="20"/>
                <w:color w:val="auto"/>
              </w:rPr>
            </w:pPr>
            <w:r>
              <w:rPr>
                <w:rFonts w:ascii="Arial" w:cs="Arial" w:eastAsia="Arial" w:hAnsi="Arial"/>
                <w:sz w:val="12"/>
                <w:szCs w:val="12"/>
                <w:b w:val="1"/>
                <w:bCs w:val="1"/>
                <w:color w:val="auto"/>
                <w:w w:val="92"/>
              </w:rPr>
              <w:t>For the three months ended March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15"/>
          </w:tcPr>
          <w:p>
            <w:pPr>
              <w:jc w:val="center"/>
              <w:ind w:right="220"/>
              <w:spacing w:after="0"/>
              <w:rPr>
                <w:sz w:val="20"/>
                <w:szCs w:val="20"/>
                <w:color w:val="auto"/>
              </w:rPr>
            </w:pPr>
            <w:r>
              <w:rPr>
                <w:rFonts w:ascii="Arial" w:cs="Arial" w:eastAsia="Arial" w:hAnsi="Arial"/>
                <w:sz w:val="12"/>
                <w:szCs w:val="12"/>
                <w:b w:val="1"/>
                <w:bCs w:val="1"/>
                <w:color w:val="auto"/>
                <w:w w:val="83"/>
              </w:rPr>
              <w:t>For the year ended December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5"/>
          </w:tcPr>
          <w:p>
            <w:pPr>
              <w:jc w:val="right"/>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5"/>
              </w:rPr>
              <w:t>(in</w:t>
            </w:r>
          </w:p>
        </w:tc>
        <w:tc>
          <w:tcPr>
            <w:tcW w:w="5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3"/>
              </w:rPr>
              <w:t>Per ASM</w:t>
            </w:r>
          </w:p>
        </w:tc>
        <w:tc>
          <w:tcPr>
            <w:tcW w:w="40" w:type="dxa"/>
            <w:vAlign w:val="bottom"/>
          </w:tcPr>
          <w:p>
            <w:pPr>
              <w:spacing w:after="0"/>
              <w:rPr>
                <w:sz w:val="12"/>
                <w:szCs w:val="12"/>
                <w:color w:val="auto"/>
              </w:rPr>
            </w:pPr>
          </w:p>
        </w:tc>
        <w:tc>
          <w:tcPr>
            <w:tcW w:w="5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(in</w:t>
            </w:r>
          </w:p>
        </w:tc>
        <w:tc>
          <w:tcPr>
            <w:tcW w:w="5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3"/>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5"/>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(in</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9"/>
              </w:rPr>
              <w:t>Per ASM</w:t>
            </w:r>
          </w:p>
        </w:tc>
      </w:tr>
      <w:tr>
        <w:trPr>
          <w:trHeight w:val="150"/>
        </w:trPr>
        <w:tc>
          <w:tcPr>
            <w:tcW w:w="2400" w:type="dxa"/>
            <w:vAlign w:val="bottom"/>
          </w:tcPr>
          <w:p>
            <w:pPr>
              <w:spacing w:after="0"/>
              <w:rPr>
                <w:sz w:val="13"/>
                <w:szCs w:val="13"/>
                <w:color w:val="auto"/>
              </w:rPr>
            </w:pPr>
          </w:p>
        </w:tc>
        <w:tc>
          <w:tcPr>
            <w:tcW w:w="58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3"/>
              </w:rPr>
              <w:t>thousands)</w:t>
            </w:r>
          </w:p>
        </w:tc>
        <w:tc>
          <w:tcPr>
            <w:tcW w:w="5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3"/>
              </w:rPr>
              <w:t>thousands)</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2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CASM</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102,678</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7.46</w:t>
            </w:r>
          </w:p>
        </w:tc>
        <w:tc>
          <w:tcPr>
            <w:tcW w:w="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$165,100</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9.40</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$384,101</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8.91</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$623,262</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8.82</w:t>
            </w:r>
          </w:p>
        </w:tc>
        <w:tc>
          <w:tcPr>
            <w:tcW w:w="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$549,035</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10.05</w:t>
            </w:r>
          </w:p>
        </w:tc>
      </w:tr>
      <w:tr>
        <w:trPr>
          <w:trHeight w:val="182"/>
        </w:trPr>
        <w:tc>
          <w:tcPr>
            <w:tcW w:w="2400" w:type="dxa"/>
            <w:vAlign w:val="bottom"/>
          </w:tcPr>
          <w:p>
            <w:pPr>
              <w:spacing w:after="0"/>
              <w:rPr>
                <w:sz w:val="20"/>
                <w:szCs w:val="20"/>
                <w:color w:val="auto"/>
              </w:rPr>
            </w:pPr>
            <w:r>
              <w:rPr>
                <w:rFonts w:ascii="Arial" w:cs="Arial" w:eastAsia="Arial" w:hAnsi="Arial"/>
                <w:sz w:val="12"/>
                <w:szCs w:val="12"/>
                <w:color w:val="auto"/>
              </w:rPr>
              <w:t>Aircraft fuel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24,274</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1.76</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55,561</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3.17</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83,392</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165,666</w:t>
            </w:r>
          </w:p>
        </w:tc>
        <w:tc>
          <w:tcPr>
            <w:tcW w:w="4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2.35</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165,343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3.03</w:t>
            </w:r>
          </w:p>
        </w:tc>
      </w:tr>
      <w:tr>
        <w:trPr>
          <w:trHeight w:val="192"/>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Cargo expenses</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17,195</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1.25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31,429</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0.73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82"/>
        </w:trPr>
        <w:tc>
          <w:tcPr>
            <w:tcW w:w="2400" w:type="dxa"/>
            <w:vAlign w:val="bottom"/>
          </w:tcPr>
          <w:p>
            <w:pPr>
              <w:spacing w:after="0"/>
              <w:rPr>
                <w:sz w:val="20"/>
                <w:szCs w:val="20"/>
                <w:color w:val="auto"/>
              </w:rPr>
            </w:pPr>
            <w:r>
              <w:rPr>
                <w:rFonts w:ascii="Arial" w:cs="Arial" w:eastAsia="Arial" w:hAnsi="Arial"/>
                <w:sz w:val="12"/>
                <w:szCs w:val="12"/>
                <w:color w:val="auto"/>
              </w:rPr>
              <w:t>Sun Country Vacations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0.02</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2,448</w:t>
            </w:r>
          </w:p>
        </w:tc>
        <w:tc>
          <w:tcPr>
            <w:tcW w:w="4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0.03</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4,543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0.08</w:t>
            </w:r>
          </w:p>
        </w:tc>
      </w:tr>
      <w:tr>
        <w:trPr>
          <w:trHeight w:val="192"/>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Special items, net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(26,871)</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(64,563)</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7,092</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0.10</w:t>
            </w:r>
          </w:p>
        </w:tc>
        <w:tc>
          <w:tcPr>
            <w:tcW w:w="6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(6,435)</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(0.12)</w:t>
            </w:r>
          </w:p>
        </w:tc>
      </w:tr>
      <w:tr>
        <w:trPr>
          <w:trHeight w:val="182"/>
        </w:trPr>
        <w:tc>
          <w:tcPr>
            <w:tcW w:w="240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0.21</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2,110</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0.05</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1,888</w:t>
            </w:r>
          </w:p>
        </w:tc>
        <w:tc>
          <w:tcPr>
            <w:tcW w:w="4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0.03</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373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0.01</w:t>
            </w:r>
          </w:p>
        </w:tc>
      </w:tr>
      <w:tr>
        <w:trPr>
          <w:trHeight w:val="192"/>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Income tax receivable agreement expense</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264</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7"/>
        </w:trPr>
        <w:tc>
          <w:tcPr>
            <w:tcW w:w="2400" w:type="dxa"/>
            <w:vAlign w:val="bottom"/>
          </w:tcPr>
          <w:p>
            <w:pPr>
              <w:spacing w:after="0"/>
              <w:rPr>
                <w:sz w:val="20"/>
                <w:szCs w:val="20"/>
                <w:color w:val="auto"/>
              </w:rPr>
            </w:pPr>
            <w:r>
              <w:rPr>
                <w:rFonts w:ascii="Arial" w:cs="Arial" w:eastAsia="Arial" w:hAnsi="Arial"/>
                <w:sz w:val="12"/>
                <w:szCs w:val="12"/>
                <w:color w:val="auto"/>
              </w:rPr>
              <w:t>Other adjustments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4,881</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0.12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1"/>
        </w:trPr>
        <w:tc>
          <w:tcPr>
            <w:tcW w:w="2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4"/>
        </w:trPr>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CASM</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84,732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6.15</w:t>
            </w:r>
          </w:p>
        </w:tc>
        <w:tc>
          <w:tcPr>
            <w:tcW w:w="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$108,982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6.20</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$326,263</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7.57</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$445,942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6.31</w:t>
            </w:r>
          </w:p>
        </w:tc>
        <w:tc>
          <w:tcPr>
            <w:tcW w:w="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$385,211</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7.05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-160020</wp:posOffset>
            </wp:positionV>
            <wp:extent cx="6985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-160020</wp:posOffset>
            </wp:positionV>
            <wp:extent cx="12573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-160020</wp:posOffset>
            </wp:positionV>
            <wp:extent cx="14668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-160020</wp:posOffset>
            </wp:positionV>
            <wp:extent cx="13970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-160020</wp:posOffset>
            </wp:positionV>
            <wp:extent cx="13271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-160020</wp:posOffset>
            </wp:positionV>
            <wp:extent cx="13271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-160020</wp:posOffset>
            </wp:positionV>
            <wp:extent cx="14668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-160020</wp:posOffset>
            </wp:positionV>
            <wp:extent cx="13970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-160020</wp:posOffset>
            </wp:positionV>
            <wp:extent cx="226060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60600" cy="698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-1122680</wp:posOffset>
            </wp:positionV>
            <wp:extent cx="2794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-1122680</wp:posOffset>
            </wp:positionV>
            <wp:extent cx="2794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-1122680</wp:posOffset>
            </wp:positionV>
            <wp:extent cx="2794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-1122680</wp:posOffset>
            </wp:positionV>
            <wp:extent cx="2794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-1122680</wp:posOffset>
            </wp:positionV>
            <wp:extent cx="2794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-1122680</wp:posOffset>
            </wp:positionV>
            <wp:extent cx="2794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-1122680</wp:posOffset>
            </wp:positionV>
            <wp:extent cx="2794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-1122680</wp:posOffset>
            </wp:positionV>
            <wp:extent cx="2794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-1122680</wp:posOffset>
            </wp:positionV>
            <wp:extent cx="189039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17" w:lineRule="exact"/>
        <w:rPr>
          <w:sz w:val="20"/>
          <w:szCs w:val="20"/>
          <w:color w:val="auto"/>
        </w:rPr>
      </w:pPr>
    </w:p>
    <w:p>
      <w:pPr>
        <w:ind w:left="1160" w:right="1279" w:firstLine="293"/>
        <w:spacing w:after="0" w:line="281" w:lineRule="auto"/>
        <w:rPr>
          <w:sz w:val="20"/>
          <w:szCs w:val="20"/>
          <w:color w:val="auto"/>
        </w:rPr>
      </w:pPr>
      <w:r>
        <w:rPr>
          <w:rFonts w:ascii="Arial" w:cs="Arial" w:eastAsia="Arial" w:hAnsi="Arial"/>
          <w:sz w:val="14"/>
          <w:szCs w:val="14"/>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color w:val="auto"/>
        </w:rPr>
        <w:t>cash from operations, proceeds from equityholders’ capital contributions, the issuance of promissory notes and our 2019-1 EETC financing.</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primary sources of liquidity as of March 31, 2021 included our existing cash and equivalents of</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$269.6 million and short-term investments of $5.8 million, our expected cash generated from operations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$25.0 million Revolving Credit Facility, which had availability of $25.0 as of March 31, 2021. In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addition, we had restricted cash of $6.0 million as of March 31, 2021, which consists of cash received as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prepayment for chartered flights that is maintained in separate escrow accounts in accordance with DOT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regulations requiring that charter revenue receipts received prior to the date of transportation are maintained</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a separate third-party escrow account. The restrictions are released once transportation is provided.</w:t>
      </w:r>
    </w:p>
    <w:p>
      <w:pPr>
        <w:spacing w:after="0" w:line="125"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will be used for general corporate purposes, including to acquire additional aircraft.</w:t>
      </w:r>
    </w:p>
    <w:p>
      <w:pPr>
        <w:spacing w:after="0" w:line="9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89"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On January 22, 2021, we were informed by Treasury that we would receive a grant of $32.2 million under the Payroll Support Program Extension under the Consolidated Appropriations Act, 2021. We received $16.1 million on February 2, 2021, an additional $16.1 million on March 26, 2021 and an additional $4.8 million in grants on April 22, 2021. Further, we were notified on April 15, 2021 that we would receive an additional grant of approximately $34.5 million, of which $17.3 million was received on April 29, 2021. All funds provided by Treasury to Payroll Support Program Extension participants may only be used for the continuation of payment of employee wages, salaries, and benefits.</w:t>
      </w:r>
    </w:p>
    <w:p>
      <w:pPr>
        <w:spacing w:after="0" w:line="93" w:lineRule="exact"/>
        <w:rPr>
          <w:sz w:val="20"/>
          <w:szCs w:val="20"/>
          <w:color w:val="auto"/>
        </w:rPr>
      </w:pPr>
    </w:p>
    <w:p>
      <w:pPr>
        <w:ind w:left="1160" w:right="1319" w:firstLine="293"/>
        <w:spacing w:after="0" w:line="265" w:lineRule="auto"/>
        <w:rPr>
          <w:sz w:val="20"/>
          <w:szCs w:val="20"/>
          <w:color w:val="auto"/>
        </w:rPr>
      </w:pPr>
      <w:r>
        <w:rPr>
          <w:rFonts w:ascii="Arial" w:cs="Arial" w:eastAsia="Arial" w:hAnsi="Arial"/>
          <w:sz w:val="14"/>
          <w:szCs w:val="14"/>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39"/>
        <w:spacing w:after="0" w:line="254" w:lineRule="auto"/>
        <w:rPr>
          <w:sz w:val="20"/>
          <w:szCs w:val="20"/>
          <w:color w:val="auto"/>
        </w:rPr>
      </w:pPr>
      <w:r>
        <w:rPr>
          <w:rFonts w:ascii="Arial" w:cs="Arial" w:eastAsia="Arial" w:hAnsi="Arial"/>
          <w:sz w:val="15"/>
          <w:szCs w:val="15"/>
          <w:color w:val="auto"/>
        </w:rPr>
        <w:t>liens on certain assets, make certain investments or pay certain dividends and make certain other restricted payments. In March 2021, we repaid the CARES Act Loan in full using the proceeds from our initial public offering.</w:t>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180 days prior to February 10, 2026. The Delayed Draw Term Loan Facility matures on February 10, 2026.</w:t>
      </w:r>
    </w:p>
    <w:p>
      <w:pPr>
        <w:spacing w:after="0" w:line="125"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 (x) with respect to the Delayed Draw Term Loan Facility, 5.00% per annum for Adjusted LIBOR loans and 4.00% per annum for ABR loans and</w:t>
      </w:r>
    </w:p>
    <w:p>
      <w:pPr>
        <w:spacing w:after="0" w:line="2" w:lineRule="exact"/>
        <w:rPr>
          <w:sz w:val="20"/>
          <w:szCs w:val="20"/>
          <w:color w:val="auto"/>
        </w:rPr>
      </w:pPr>
    </w:p>
    <w:p>
      <w:pPr>
        <w:ind w:left="1160" w:right="1379" w:firstLine="4"/>
        <w:spacing w:after="0" w:line="249" w:lineRule="auto"/>
        <w:tabs>
          <w:tab w:leader="none" w:pos="1379" w:val="left"/>
        </w:tabs>
        <w:numPr>
          <w:ilvl w:val="0"/>
          <w:numId w:val="50"/>
        </w:numPr>
        <w:rPr>
          <w:rFonts w:ascii="Arial" w:cs="Arial" w:eastAsia="Arial" w:hAnsi="Arial"/>
          <w:sz w:val="15"/>
          <w:szCs w:val="15"/>
          <w:color w:val="auto"/>
        </w:rPr>
      </w:pPr>
      <w:r>
        <w:rPr>
          <w:rFonts w:ascii="Arial" w:cs="Arial" w:eastAsia="Arial" w:hAnsi="Arial"/>
          <w:sz w:val="15"/>
          <w:szCs w:val="15"/>
          <w:color w:val="auto"/>
        </w:rPr>
        <w:t>with respect to the Revolving Credit Facility, 5.00% per annum for Adjusted LIBOR loans and 4.00% per annum for ABR loans.</w:t>
      </w:r>
    </w:p>
    <w:p>
      <w:pPr>
        <w:spacing w:after="0" w:line="104"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0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Borrower may only use borrowings under the Delayed Draw Term Facility to finance the acquisition of aircraft or engines and related fees and expenses. In March 2021 and April 2021, we borrowed $68.0 million and $12.5 million, respectively, under the Delayed Draw Term Loan Facility for the purpose of financing the acquisition of six additional aircraft that we previously leased, all of which have been acquired. The Borrower may use borrowings under the Revolving Credit Facility for general corporate purposes.</w:t>
      </w:r>
    </w:p>
    <w:p>
      <w:pPr>
        <w:spacing w:after="0" w:line="106"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06"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90"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4"/>
          <w:szCs w:val="14"/>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89" w:lineRule="exact"/>
        <w:rPr>
          <w:sz w:val="20"/>
          <w:szCs w:val="20"/>
          <w:color w:val="auto"/>
        </w:rPr>
      </w:pPr>
    </w:p>
    <w:p>
      <w:pPr>
        <w:ind w:left="1160" w:right="1259" w:firstLine="293"/>
        <w:spacing w:after="0" w:line="341" w:lineRule="auto"/>
        <w:rPr>
          <w:sz w:val="20"/>
          <w:szCs w:val="20"/>
          <w:color w:val="auto"/>
        </w:rPr>
      </w:pPr>
      <w:r>
        <w:rPr>
          <w:rFonts w:ascii="Arial" w:cs="Arial" w:eastAsia="Arial" w:hAnsi="Arial"/>
          <w:sz w:val="13"/>
          <w:szCs w:val="13"/>
          <w:color w:val="auto"/>
        </w:rPr>
        <w:t>Our primary uses of liquidity are for operating expenses, capital expenditures, lease rentals and maintenance reserve deposits, debt repayments and working capital requirements. Our single largest capital</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64" w:lineRule="auto"/>
        <w:rPr>
          <w:sz w:val="20"/>
          <w:szCs w:val="20"/>
          <w:color w:val="auto"/>
        </w:rPr>
      </w:pPr>
      <w:r>
        <w:rPr>
          <w:rFonts w:ascii="Arial" w:cs="Arial" w:eastAsia="Arial" w:hAnsi="Arial"/>
          <w:sz w:val="15"/>
          <w:szCs w:val="15"/>
          <w:color w:val="auto"/>
        </w:rPr>
        <w:t>expenditure requirement relates to the acquisition of aircraft, which we have historically acquired through operating and finance leases and debt.</w:t>
      </w:r>
    </w:p>
    <w:p>
      <w:pPr>
        <w:spacing w:after="0" w:line="82"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w:t>
      </w:r>
    </w:p>
    <w:p>
      <w:pPr>
        <w:spacing w:after="0" w:line="3"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 of the financed aircraft; Class B, 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94"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We recently executed leases for two additional Boeing 737-800 aircraft, in line with our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5"/>
          <w:szCs w:val="15"/>
          <w:i w:val="1"/>
          <w:iCs w:val="1"/>
          <w:color w:val="auto"/>
        </w:rPr>
        <w:t>Contractual</w:t>
      </w:r>
      <w:r>
        <w:rPr>
          <w:rFonts w:ascii="Arial" w:cs="Arial" w:eastAsia="Arial" w:hAnsi="Arial"/>
          <w:sz w:val="15"/>
          <w:szCs w:val="15"/>
          <w:color w:val="auto"/>
        </w:rPr>
        <w:t xml:space="preserve"> </w:t>
      </w:r>
      <w:r>
        <w:rPr>
          <w:rFonts w:ascii="Arial" w:cs="Arial" w:eastAsia="Arial" w:hAnsi="Arial"/>
          <w:sz w:val="15"/>
          <w:szCs w:val="15"/>
          <w:i w:val="1"/>
          <w:iCs w:val="1"/>
          <w:color w:val="auto"/>
        </w:rPr>
        <w:t>Obligations and Commitments</w:t>
      </w:r>
      <w:r>
        <w:rPr>
          <w:rFonts w:ascii="Arial" w:cs="Arial" w:eastAsia="Arial" w:hAnsi="Arial"/>
          <w:sz w:val="15"/>
          <w:szCs w:val="15"/>
          <w:color w:val="auto"/>
        </w:rPr>
        <w:t>” below.</w:t>
      </w:r>
    </w:p>
    <w:p>
      <w:pPr>
        <w:spacing w:after="0" w:line="106"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80" w:lineRule="exact"/>
        <w:rPr>
          <w:sz w:val="20"/>
          <w:szCs w:val="20"/>
          <w:color w:val="auto"/>
        </w:rPr>
      </w:pPr>
    </w:p>
    <w:p>
      <w:pPr>
        <w:ind w:left="1160" w:right="1519" w:firstLine="293"/>
        <w:spacing w:after="0" w:line="266" w:lineRule="auto"/>
        <w:rPr>
          <w:sz w:val="20"/>
          <w:szCs w:val="20"/>
          <w:color w:val="auto"/>
        </w:rPr>
      </w:pPr>
      <w:r>
        <w:rPr>
          <w:rFonts w:ascii="Arial" w:cs="Arial" w:eastAsia="Arial" w:hAnsi="Arial"/>
          <w:sz w:val="14"/>
          <w:szCs w:val="14"/>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w:t>
      </w:r>
    </w:p>
    <w:p>
      <w:pPr>
        <w:ind w:left="1160" w:right="1179"/>
        <w:spacing w:after="0" w:line="249" w:lineRule="auto"/>
        <w:rPr>
          <w:sz w:val="20"/>
          <w:szCs w:val="20"/>
          <w:color w:val="auto"/>
        </w:rPr>
      </w:pPr>
      <w:r>
        <w:rPr>
          <w:rFonts w:ascii="Arial" w:cs="Arial" w:eastAsia="Arial" w:hAnsi="Arial"/>
          <w:sz w:val="15"/>
          <w:szCs w:val="15"/>
          <w:color w:val="auto"/>
        </w:rPr>
        <w:t>$2.2 million in accounts receivable as the eligible maintenance had been performed and reimbursement from the lessor is pending.</w:t>
      </w:r>
    </w:p>
    <w:p>
      <w:pPr>
        <w:spacing w:after="0" w:line="104"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93"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major indicators of financial condition and liquidity:</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March 31,</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December 31,</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As of December 31,</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82"/>
              </w:rPr>
              <w:t>As of December 31,</w:t>
            </w:r>
          </w:p>
        </w:tc>
        <w:tc>
          <w:tcPr>
            <w:tcW w:w="0" w:type="dxa"/>
            <w:vAlign w:val="bottom"/>
          </w:tcPr>
          <w:p>
            <w:pPr>
              <w:spacing w:after="0"/>
              <w:rPr>
                <w:sz w:val="1"/>
                <w:szCs w:val="1"/>
                <w:color w:val="auto"/>
              </w:rPr>
            </w:pPr>
          </w:p>
        </w:tc>
      </w:tr>
      <w:tr>
        <w:trPr>
          <w:trHeight w:val="150"/>
        </w:trPr>
        <w:tc>
          <w:tcPr>
            <w:tcW w:w="2420" w:type="dxa"/>
            <w:vAlign w:val="bottom"/>
          </w:tcPr>
          <w:p>
            <w:pPr>
              <w:spacing w:after="0"/>
              <w:rPr>
                <w:sz w:val="13"/>
                <w:szCs w:val="13"/>
                <w:color w:val="auto"/>
              </w:rPr>
            </w:pPr>
          </w:p>
        </w:tc>
        <w:tc>
          <w:tcPr>
            <w:tcW w:w="820" w:type="dxa"/>
            <w:vAlign w:val="bottom"/>
          </w:tcPr>
          <w:p>
            <w:pPr>
              <w:jc w:val="right"/>
              <w:ind w:right="231"/>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1"/>
        </w:trPr>
        <w:tc>
          <w:tcPr>
            <w:tcW w:w="2420" w:type="dxa"/>
            <w:vAlign w:val="bottom"/>
            <w:vMerge w:val="restart"/>
          </w:tcPr>
          <w:p>
            <w:pPr>
              <w:spacing w:after="0"/>
              <w:rPr>
                <w:sz w:val="20"/>
                <w:szCs w:val="20"/>
                <w:color w:val="auto"/>
              </w:rPr>
            </w:pPr>
            <w:r>
              <w:rPr>
                <w:rFonts w:ascii="Arial" w:cs="Arial" w:eastAsia="Arial" w:hAnsi="Arial"/>
                <w:sz w:val="12"/>
                <w:szCs w:val="12"/>
                <w:b w:val="1"/>
                <w:bCs w:val="1"/>
                <w:color w:val="auto"/>
                <w:w w:val="90"/>
              </w:rPr>
              <w:t>(in thousands, except debt to capital amounts)</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 .</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$269,599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$ 62,028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$ 51,006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$ 29,600</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5"/>
                <w:szCs w:val="15"/>
                <w:color w:val="auto"/>
              </w:rPr>
              <w:t>Investments</w:t>
            </w:r>
          </w:p>
        </w:tc>
        <w:tc>
          <w:tcPr>
            <w:tcW w:w="820" w:type="dxa"/>
            <w:vAlign w:val="bottom"/>
          </w:tcPr>
          <w:p>
            <w:pPr>
              <w:jc w:val="right"/>
              <w:ind w:right="51"/>
              <w:spacing w:after="0"/>
              <w:rPr>
                <w:sz w:val="20"/>
                <w:szCs w:val="20"/>
                <w:color w:val="auto"/>
              </w:rPr>
            </w:pPr>
            <w:r>
              <w:rPr>
                <w:rFonts w:ascii="Arial" w:cs="Arial" w:eastAsia="Arial" w:hAnsi="Arial"/>
                <w:sz w:val="15"/>
                <w:szCs w:val="15"/>
                <w:color w:val="auto"/>
              </w:rPr>
              <w:t>5,777</w:t>
            </w: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5,624</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5,694</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5,947</w:t>
            </w: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 of current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portion</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274,109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256,345</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73,720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49,823</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5"/>
                <w:szCs w:val="15"/>
                <w:color w:val="auto"/>
              </w:rPr>
              <w:t>Stockholders’ equity.</w:t>
            </w:r>
          </w:p>
        </w:tc>
        <w:tc>
          <w:tcPr>
            <w:tcW w:w="820" w:type="dxa"/>
            <w:vAlign w:val="bottom"/>
          </w:tcPr>
          <w:p>
            <w:pPr>
              <w:jc w:val="right"/>
              <w:ind w:right="51"/>
              <w:spacing w:after="0"/>
              <w:rPr>
                <w:sz w:val="20"/>
                <w:szCs w:val="20"/>
                <w:color w:val="auto"/>
              </w:rPr>
            </w:pPr>
            <w:r>
              <w:rPr>
                <w:rFonts w:ascii="Arial" w:cs="Arial" w:eastAsia="Arial" w:hAnsi="Arial"/>
                <w:sz w:val="15"/>
                <w:szCs w:val="15"/>
                <w:color w:val="auto"/>
              </w:rPr>
              <w:t>409,960</w:t>
            </w: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283,817</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283,724</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235,647</w:t>
            </w: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Debt-to-capital including aircraft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rPr>
              <w:t>operating and finance lease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obligations</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0.55</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0.65</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0.62</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339" w:hanging="296"/>
        <w:spacing w:after="0" w:line="221" w:lineRule="auto"/>
        <w:tabs>
          <w:tab w:leader="none" w:pos="1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Cash Flows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three months ended March 31, 2021 and 2020</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information regarding our cash flows the three months ended March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2021 and 2020:</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w w:val="83"/>
              </w:rPr>
              <w:t>For the three months ended</w:t>
            </w:r>
          </w:p>
        </w:tc>
      </w:tr>
      <w:tr>
        <w:trPr>
          <w:trHeight w:val="15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March 31,</w:t>
            </w:r>
          </w:p>
        </w:tc>
      </w:tr>
      <w:tr>
        <w:trPr>
          <w:trHeight w:val="21"/>
        </w:trPr>
        <w:tc>
          <w:tcPr>
            <w:tcW w:w="532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3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Pr>
          <w:p>
            <w:pPr>
              <w:jc w:val="right"/>
              <w:ind w:right="114"/>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$ 15,839</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$ 13,858</w:t>
            </w:r>
          </w:p>
        </w:tc>
        <w:tc>
          <w:tcPr>
            <w:tcW w:w="40" w:type="dxa"/>
            <w:vAlign w:val="bottom"/>
          </w:tcPr>
          <w:p>
            <w:pPr>
              <w:spacing w:after="0"/>
              <w:rPr>
                <w:sz w:val="17"/>
                <w:szCs w:val="17"/>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(54,552)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(75,048)</w:t>
            </w:r>
          </w:p>
        </w:tc>
      </w:tr>
      <w:tr>
        <w:trPr>
          <w:trHeight w:val="209"/>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243,968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54,855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-403860</wp:posOffset>
            </wp:positionV>
            <wp:extent cx="11176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-403860</wp:posOffset>
            </wp:positionV>
            <wp:extent cx="11176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Operating activities in the three months ended March 31, 2021 provided $15.8 million compared to providing $13.9 million in the three months ended March 31, 2020.</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operating cash flow is primarily impacted by the following factors:</w:t>
      </w:r>
    </w:p>
    <w:p>
      <w:pPr>
        <w:spacing w:after="0" w:line="124"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i w:val="1"/>
          <w:iCs w:val="1"/>
          <w:color w:val="auto"/>
        </w:rPr>
        <w:t>Seasonality of Advance Ticket Sales</w:t>
      </w:r>
      <w:r>
        <w:rPr>
          <w:rFonts w:ascii="Arial" w:cs="Arial" w:eastAsia="Arial" w:hAnsi="Arial"/>
          <w:sz w:val="14"/>
          <w:szCs w:val="14"/>
          <w:color w:val="auto"/>
        </w:rPr>
        <w:t>. We sell tickets for air travel in advance of the customer’s travel</w:t>
      </w:r>
      <w:r>
        <w:rPr>
          <w:rFonts w:ascii="Arial" w:cs="Arial" w:eastAsia="Arial" w:hAnsi="Arial"/>
          <w:sz w:val="14"/>
          <w:szCs w:val="14"/>
          <w:i w:val="1"/>
          <w:iCs w:val="1"/>
          <w:color w:val="auto"/>
        </w:rPr>
        <w:t xml:space="preserve"> </w:t>
      </w:r>
      <w:r>
        <w:rPr>
          <w:rFonts w:ascii="Arial" w:cs="Arial" w:eastAsia="Arial" w:hAnsi="Arial"/>
          <w:sz w:val="14"/>
          <w:szCs w:val="14"/>
          <w:color w:val="auto"/>
        </w:rPr>
        <w:t>date. When 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 The outlook for the remainder of the year is unclear, but we are currently planning for modest demand recovery to continue in the fourth quarter of 2021.</w:t>
      </w:r>
    </w:p>
    <w:p>
      <w:pPr>
        <w:spacing w:after="0" w:line="9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Fuel</w:t>
      </w:r>
      <w:r>
        <w:rPr>
          <w:rFonts w:ascii="Arial" w:cs="Arial" w:eastAsia="Arial" w:hAnsi="Arial"/>
          <w:sz w:val="15"/>
          <w:szCs w:val="15"/>
          <w:color w:val="auto"/>
        </w:rPr>
        <w:t>. Fuel expense represented approximately 24% and 34% of our total operating expense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94"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i w:val="1"/>
          <w:iCs w:val="1"/>
          <w:color w:val="auto"/>
        </w:rPr>
        <w:t>CARES Act</w:t>
      </w:r>
      <w:r>
        <w:rPr>
          <w:rFonts w:ascii="Arial" w:cs="Arial" w:eastAsia="Arial" w:hAnsi="Arial"/>
          <w:sz w:val="15"/>
          <w:szCs w:val="15"/>
          <w:color w:val="auto"/>
        </w:rPr>
        <w:t>. During the three months ended March 31, 2021 we received $32.2 million in CARES Act</w:t>
      </w:r>
      <w:r>
        <w:rPr>
          <w:rFonts w:ascii="Arial" w:cs="Arial" w:eastAsia="Arial" w:hAnsi="Arial"/>
          <w:sz w:val="15"/>
          <w:szCs w:val="15"/>
          <w:i w:val="1"/>
          <w:iCs w:val="1"/>
          <w:color w:val="auto"/>
        </w:rPr>
        <w:t xml:space="preserve"> </w:t>
      </w:r>
      <w:r>
        <w:rPr>
          <w:rFonts w:ascii="Arial" w:cs="Arial" w:eastAsia="Arial" w:hAnsi="Arial"/>
          <w:sz w:val="15"/>
          <w:szCs w:val="15"/>
          <w:color w:val="auto"/>
        </w:rPr>
        <w:t>grants. We did not receive a grant in the first quarter of 2020.</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Capital Expenditures</w:t>
      </w:r>
      <w:r>
        <w:rPr>
          <w:rFonts w:ascii="Arial" w:cs="Arial" w:eastAsia="Arial" w:hAnsi="Arial"/>
          <w:sz w:val="15"/>
          <w:szCs w:val="15"/>
          <w:color w:val="auto"/>
        </w:rPr>
        <w:t>. Our capital expenditures were $54.4 million and $75.3 million for the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2021 and 2020, respectively. Our capital expenditures during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three months ended March 31, 2021 were primarily related to the purchases of aircraft and technology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enhancements. We invested $52.8 million to purchase five aircraft in the first quarter of 2021 as compared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investing $72.5 million on three aircraft and one engine in the first quarter of 2020.</w:t>
      </w:r>
    </w:p>
    <w:p>
      <w:pPr>
        <w:spacing w:after="0" w:line="113" w:lineRule="exact"/>
        <w:rPr>
          <w:sz w:val="20"/>
          <w:szCs w:val="20"/>
          <w:color w:val="auto"/>
        </w:rPr>
      </w:pPr>
    </w:p>
    <w:p>
      <w:pPr>
        <w:jc w:val="both"/>
        <w:ind w:left="1160" w:right="1479" w:firstLine="293"/>
        <w:spacing w:after="0" w:line="254" w:lineRule="auto"/>
        <w:rPr>
          <w:sz w:val="20"/>
          <w:szCs w:val="20"/>
          <w:color w:val="auto"/>
        </w:rPr>
      </w:pPr>
      <w:r>
        <w:rPr>
          <w:rFonts w:ascii="Arial" w:cs="Arial" w:eastAsia="Arial" w:hAnsi="Arial"/>
          <w:sz w:val="15"/>
          <w:szCs w:val="15"/>
          <w:color w:val="auto"/>
        </w:rPr>
        <w:t>As of March 31, 2021, we were in the process of closing on the purchase of one additional aircraft, which closed on April 6, 2021. To finance this purchase, we drew down an additional $12.5 million the Delayed Draw Term Loan Facility.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24"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i w:val="1"/>
          <w:iCs w:val="1"/>
          <w:color w:val="auto"/>
        </w:rPr>
        <w:t>IPO</w:t>
      </w:r>
      <w:r>
        <w:rPr>
          <w:rFonts w:ascii="Arial" w:cs="Arial" w:eastAsia="Arial" w:hAnsi="Arial"/>
          <w:sz w:val="14"/>
          <w:szCs w:val="14"/>
          <w:color w:val="auto"/>
        </w:rPr>
        <w:t>. On March 19, 2021, the Company issued 9,090,909 shares of common stock to the public at</w:t>
      </w:r>
      <w:r>
        <w:rPr>
          <w:rFonts w:ascii="Arial" w:cs="Arial" w:eastAsia="Arial" w:hAnsi="Arial"/>
          <w:sz w:val="14"/>
          <w:szCs w:val="14"/>
          <w:i w:val="1"/>
          <w:iCs w:val="1"/>
          <w:color w:val="auto"/>
        </w:rPr>
        <w:t xml:space="preserve"> </w:t>
      </w:r>
      <w:r>
        <w:rPr>
          <w:rFonts w:ascii="Arial" w:cs="Arial" w:eastAsia="Arial" w:hAnsi="Arial"/>
          <w:sz w:val="14"/>
          <w:szCs w:val="14"/>
          <w:color w:val="auto"/>
        </w:rPr>
        <w:t>$24.00 per share. The underwriters had an option to purchase an additional 1,363,636 shares from the Company at the public offering price, which they exercised in full and which also closed on March 19, 2021. In total, all 10,454,545 shares were issued and the net proceeds to the Company were $224.7 million after deducting underwriting discounts and commissions, and other offering expenses.</w:t>
      </w:r>
    </w:p>
    <w:p>
      <w:pPr>
        <w:spacing w:after="0" w:line="80" w:lineRule="exact"/>
        <w:rPr>
          <w:sz w:val="20"/>
          <w:szCs w:val="20"/>
          <w:color w:val="auto"/>
        </w:rPr>
      </w:pPr>
    </w:p>
    <w:p>
      <w:pPr>
        <w:jc w:val="both"/>
        <w:ind w:left="1160" w:right="1259" w:firstLine="293"/>
        <w:spacing w:after="0" w:line="249" w:lineRule="auto"/>
        <w:rPr>
          <w:sz w:val="20"/>
          <w:szCs w:val="20"/>
          <w:color w:val="auto"/>
        </w:rPr>
      </w:pPr>
      <w:r>
        <w:rPr>
          <w:rFonts w:ascii="Arial" w:cs="Arial" w:eastAsia="Arial" w:hAnsi="Arial"/>
          <w:sz w:val="15"/>
          <w:szCs w:val="15"/>
          <w:i w:val="1"/>
          <w:iCs w:val="1"/>
          <w:color w:val="auto"/>
        </w:rPr>
        <w:t>Debt</w:t>
      </w:r>
      <w:r>
        <w:rPr>
          <w:rFonts w:ascii="Arial" w:cs="Arial" w:eastAsia="Arial" w:hAnsi="Arial"/>
          <w:sz w:val="15"/>
          <w:szCs w:val="15"/>
          <w:color w:val="auto"/>
        </w:rPr>
        <w:t>. In the three months ended March 31, 2021, we incurred $68.0 million in new debt, primarily to</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five aircraft. In the first quarter of 2020 we incurred $108.8 million in debt, primarily to purchase three aircraft and to refinance three others. In the first quarter of 2021, we repaid the $45.0 million CARES Act Loan, plus interest. In the first quarter of 2020 we repaid $47.3 million in debt, primarily related to the refinancing of three aircraft.</w:t>
      </w:r>
    </w:p>
    <w:p>
      <w:pPr>
        <w:spacing w:after="0" w:line="105" w:lineRule="exact"/>
        <w:rPr>
          <w:sz w:val="20"/>
          <w:szCs w:val="20"/>
          <w:color w:val="auto"/>
        </w:rPr>
      </w:pPr>
    </w:p>
    <w:p>
      <w:pPr>
        <w:ind w:left="1160" w:right="1699" w:firstLine="293"/>
        <w:spacing w:after="0" w:line="300" w:lineRule="auto"/>
        <w:rPr>
          <w:sz w:val="20"/>
          <w:szCs w:val="20"/>
          <w:color w:val="auto"/>
        </w:rPr>
      </w:pPr>
      <w:r>
        <w:rPr>
          <w:rFonts w:ascii="Arial" w:cs="Arial" w:eastAsia="Arial" w:hAnsi="Arial"/>
          <w:sz w:val="14"/>
          <w:szCs w:val="14"/>
          <w:color w:val="auto"/>
        </w:rPr>
        <w:t>For additional information regarding these financing arrangements, see Note 7 to our unaudited condensed consolidated financial statements included elsewhere in this prospectus.</w:t>
      </w:r>
    </w:p>
    <w:p>
      <w:pPr>
        <w:spacing w:after="0" w:line="12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table presents information regarding our cash flows the years ended December 31, 2020 and 2019:</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6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2"/>
                <w:szCs w:val="12"/>
                <w:b w:val="1"/>
                <w:bCs w:val="1"/>
                <w:color w:val="auto"/>
                <w:w w:val="83"/>
              </w:rPr>
              <w:t>For the year ended December 31,</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72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374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$ 63,272</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3"/>
              </w:rPr>
              <w:t>(96,028)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(69,564)</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84"/>
              </w:rPr>
              <w:t>101,539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27,329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mark-to-market losses on fuel derivatives of $12.2 million due to our fuel price hedging activity. Non-cash income included in net loss was amortization of over-market liabilities of $10.4 million related to acquisition accounting. These factors were largely offset by cash payments related to a decrease in our operating lease liabilities of $28.4 million, a decrease in air traffic liabilities of $15.6 million, a decrease in accrued transportation taxes of</w:t>
      </w:r>
    </w:p>
    <w:p>
      <w:pPr>
        <w:spacing w:after="0" w:line="2" w:lineRule="exact"/>
        <w:rPr>
          <w:sz w:val="20"/>
          <w:szCs w:val="20"/>
          <w:color w:val="auto"/>
        </w:rPr>
      </w:pPr>
    </w:p>
    <w:p>
      <w:pPr>
        <w:ind w:left="1160" w:right="1339"/>
        <w:spacing w:after="0" w:line="262" w:lineRule="auto"/>
        <w:rPr>
          <w:sz w:val="20"/>
          <w:szCs w:val="20"/>
          <w:color w:val="auto"/>
        </w:rPr>
      </w:pPr>
      <w:r>
        <w:rPr>
          <w:rFonts w:ascii="Arial" w:cs="Arial" w:eastAsia="Arial" w:hAnsi="Arial"/>
          <w:sz w:val="14"/>
          <w:szCs w:val="14"/>
          <w:color w:val="auto"/>
        </w:rPr>
        <w:t>$7.8 million, a decrease in accounts payable of $7.2 million, an increase in lessor maintenance deposits of $9.4 million, an increase in other assets of $5.4 million and an increase in accounts receivable of</w:t>
      </w:r>
    </w:p>
    <w:p>
      <w:pPr>
        <w:ind w:left="1160" w:right="1199"/>
        <w:spacing w:after="0" w:line="246" w:lineRule="auto"/>
        <w:rPr>
          <w:sz w:val="20"/>
          <w:szCs w:val="20"/>
          <w:color w:val="auto"/>
        </w:rPr>
      </w:pPr>
      <w:r>
        <w:rPr>
          <w:rFonts w:ascii="Arial" w:cs="Arial" w:eastAsia="Arial" w:hAnsi="Arial"/>
          <w:sz w:val="15"/>
          <w:szCs w:val="15"/>
          <w:color w:val="auto"/>
        </w:rPr>
        <w:t>$6.3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9" w:lineRule="auto"/>
        <w:rPr>
          <w:sz w:val="20"/>
          <w:szCs w:val="20"/>
          <w:color w:val="auto"/>
        </w:rPr>
      </w:pPr>
      <w:r>
        <w:rPr>
          <w:rFonts w:ascii="Arial" w:cs="Arial" w:eastAsia="Arial" w:hAnsi="Arial"/>
          <w:sz w:val="15"/>
          <w:szCs w:val="15"/>
          <w:color w:val="auto"/>
        </w:rPr>
        <w:t>Retention Credit. Furthermore, as a result of the COVID-19 pandemic, we negotiated rent payment deferrals of $7.6 million with a majority of our aircraft lessors, which are expected to be paid by the second half of 2021.</w:t>
      </w:r>
    </w:p>
    <w:p>
      <w:pPr>
        <w:spacing w:after="0" w:line="89" w:lineRule="exact"/>
        <w:rPr>
          <w:sz w:val="20"/>
          <w:szCs w:val="20"/>
          <w:color w:val="auto"/>
        </w:rPr>
      </w:pPr>
    </w:p>
    <w:p>
      <w:pPr>
        <w:ind w:left="1160" w:right="1419" w:firstLine="293"/>
        <w:spacing w:after="0" w:line="268" w:lineRule="auto"/>
        <w:rPr>
          <w:sz w:val="20"/>
          <w:szCs w:val="20"/>
          <w:color w:val="auto"/>
        </w:rPr>
      </w:pPr>
      <w:r>
        <w:rPr>
          <w:rFonts w:ascii="Arial" w:cs="Arial" w:eastAsia="Arial" w:hAnsi="Arial"/>
          <w:sz w:val="13"/>
          <w:szCs w:val="13"/>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w:t>
      </w:r>
    </w:p>
    <w:p>
      <w:pPr>
        <w:spacing w:after="0" w:line="1" w:lineRule="exact"/>
        <w:rPr>
          <w:sz w:val="20"/>
          <w:szCs w:val="20"/>
          <w:color w:val="auto"/>
        </w:rPr>
      </w:pPr>
    </w:p>
    <w:p>
      <w:pPr>
        <w:jc w:val="both"/>
        <w:ind w:left="1160" w:right="1259"/>
        <w:spacing w:after="0" w:line="255" w:lineRule="auto"/>
        <w:rPr>
          <w:sz w:val="20"/>
          <w:szCs w:val="20"/>
          <w:color w:val="auto"/>
        </w:rPr>
      </w:pPr>
      <w:r>
        <w:rPr>
          <w:rFonts w:ascii="Arial" w:cs="Arial" w:eastAsia="Arial" w:hAnsi="Arial"/>
          <w:sz w:val="14"/>
          <w:szCs w:val="14"/>
          <w:color w:val="auto"/>
        </w:rPr>
        <w:t>$10.8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02"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2020, net cash provided by financing activities was $101.5 million,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primarily due to $220.3 million in proceeds from borrowings in connection with the 2019-1 EETC for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purchase of nine aircraft, including seven previously under operating or finance leases, and the refinance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owned aircraft, $45.0 million in borrowings related to the CARES Act Loan, partially offset by</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$89.7 million of principal payments related to our finance leases, $69.9 million in debt repayments related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refinancing of three owned aircraft, and payment of debt issuance costs of $4.2 million.</w:t>
      </w:r>
    </w:p>
    <w:p>
      <w:pPr>
        <w:spacing w:after="0" w:line="113" w:lineRule="exact"/>
        <w:rPr>
          <w:sz w:val="20"/>
          <w:szCs w:val="20"/>
          <w:color w:val="auto"/>
        </w:rPr>
      </w:pPr>
    </w:p>
    <w:p>
      <w:pPr>
        <w:ind w:left="1160" w:right="1419" w:firstLine="293"/>
        <w:spacing w:after="0" w:line="290" w:lineRule="auto"/>
        <w:rPr>
          <w:sz w:val="20"/>
          <w:szCs w:val="20"/>
          <w:color w:val="auto"/>
        </w:rPr>
      </w:pPr>
      <w:r>
        <w:rPr>
          <w:rFonts w:ascii="Arial" w:cs="Arial" w:eastAsia="Arial" w:hAnsi="Arial"/>
          <w:sz w:val="13"/>
          <w:szCs w:val="13"/>
          <w:color w:val="auto"/>
        </w:rPr>
        <w:t>For the year ended December 31, 2019, net cash provided by financing activities was $27.3 million, primarily due $41.6 million in proceeds from borrowings in connection with the 2019-1 EETC and</w:t>
      </w:r>
    </w:p>
    <w:p>
      <w:pPr>
        <w:spacing w:after="0" w:line="1" w:lineRule="exact"/>
        <w:rPr>
          <w:sz w:val="20"/>
          <w:szCs w:val="20"/>
          <w:color w:val="auto"/>
        </w:rPr>
      </w:pPr>
    </w:p>
    <w:p>
      <w:pPr>
        <w:ind w:left="1160" w:right="1299"/>
        <w:spacing w:after="0" w:line="246"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 offset by $8.3 million of principal payments related to our finance leases and $10.2 million in debt repayments.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Year ended December 31, 2019 and Successor and Predecessor 2018 periods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information regarding our cash flows for the year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 and the Successor 2018 and Predecessor 2018 periods: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620" w:type="dxa"/>
            <w:vAlign w:val="bottom"/>
          </w:tcPr>
          <w:p>
            <w:pPr>
              <w:spacing w:after="0"/>
              <w:rPr>
                <w:sz w:val="2"/>
                <w:szCs w:val="2"/>
                <w:color w:val="auto"/>
              </w:rPr>
            </w:pPr>
          </w:p>
        </w:tc>
        <w:tc>
          <w:tcPr>
            <w:tcW w:w="2180" w:type="dxa"/>
            <w:vAlign w:val="bottom"/>
            <w:gridSpan w:val="4"/>
            <w:vMerge w:val="restart"/>
          </w:tcPr>
          <w:p>
            <w:pPr>
              <w:ind w:left="820"/>
              <w:spacing w:after="0"/>
              <w:rPr>
                <w:sz w:val="20"/>
                <w:szCs w:val="20"/>
                <w:color w:val="auto"/>
              </w:rPr>
            </w:pPr>
            <w:r>
              <w:rPr>
                <w:rFonts w:ascii="Arial" w:cs="Arial" w:eastAsia="Arial" w:hAnsi="Arial"/>
                <w:sz w:val="12"/>
                <w:szCs w:val="12"/>
                <w:b w:val="1"/>
                <w:bCs w:val="1"/>
                <w:color w:val="auto"/>
              </w:rPr>
              <w:t>Successor</w:t>
            </w:r>
          </w:p>
        </w:tc>
        <w:tc>
          <w:tcPr>
            <w:tcW w:w="20" w:type="dxa"/>
            <w:vAlign w:val="bottom"/>
          </w:tcPr>
          <w:p>
            <w:pPr>
              <w:spacing w:after="0"/>
              <w:rPr>
                <w:sz w:val="2"/>
                <w:szCs w:val="2"/>
                <w:color w:val="auto"/>
              </w:rPr>
            </w:pPr>
          </w:p>
        </w:tc>
        <w:tc>
          <w:tcPr>
            <w:tcW w:w="860" w:type="dxa"/>
            <w:vAlign w:val="bottom"/>
            <w:vMerge w:val="restart"/>
          </w:tcPr>
          <w:p>
            <w:pPr>
              <w:jc w:val="center"/>
              <w:ind w:left="16"/>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6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shd w:val="clear" w:color="auto" w:fill="000000"/>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shd w:val="clear" w:color="auto" w:fill="000000"/>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 2018</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1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 the year ended</w:t>
            </w: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shd w:val="clear" w:color="auto" w:fill="000000"/>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0"/>
        </w:trPr>
        <w:tc>
          <w:tcPr>
            <w:tcW w:w="36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December 31, 2019</w:t>
            </w:r>
          </w:p>
        </w:tc>
        <w:tc>
          <w:tcPr>
            <w:tcW w:w="10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December 31, 2018</w:t>
            </w:r>
          </w:p>
        </w:tc>
        <w:tc>
          <w:tcPr>
            <w:tcW w:w="20" w:type="dxa"/>
            <w:vAlign w:val="bottom"/>
            <w:shd w:val="clear" w:color="auto" w:fill="000000"/>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$ 63,272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$ 13,764</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60" w:type="dxa"/>
            <w:vAlign w:val="bottom"/>
            <w:tcBorders>
              <w:left w:val="single" w:sz="8" w:color="CCEEFF"/>
            </w:tcBorders>
            <w:shd w:val="clear" w:color="auto" w:fill="CCEEFF"/>
          </w:tcPr>
          <w:p>
            <w:pPr>
              <w:jc w:val="right"/>
              <w:ind w:right="56"/>
              <w:spacing w:after="0"/>
              <w:rPr>
                <w:sz w:val="20"/>
                <w:szCs w:val="20"/>
                <w:color w:val="auto"/>
              </w:rPr>
            </w:pPr>
            <w:r>
              <w:rPr>
                <w:rFonts w:ascii="Arial" w:cs="Arial" w:eastAsia="Arial" w:hAnsi="Arial"/>
                <w:sz w:val="15"/>
                <w:szCs w:val="15"/>
                <w:color w:val="auto"/>
              </w:rPr>
              <w:t>$  4,583</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Pr>
          <w:p>
            <w:pPr>
              <w:jc w:val="right"/>
              <w:ind w:right="94"/>
              <w:spacing w:after="0"/>
              <w:rPr>
                <w:sz w:val="20"/>
                <w:szCs w:val="20"/>
                <w:color w:val="auto"/>
              </w:rPr>
            </w:pPr>
            <w:r>
              <w:rPr>
                <w:rFonts w:ascii="Arial" w:cs="Arial" w:eastAsia="Arial" w:hAnsi="Arial"/>
                <w:sz w:val="15"/>
                <w:szCs w:val="15"/>
                <w:color w:val="auto"/>
              </w:rPr>
              <w:t>(69,564)</w:t>
            </w:r>
          </w:p>
        </w:tc>
        <w:tc>
          <w:tcPr>
            <w:tcW w:w="18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5"/>
                <w:szCs w:val="15"/>
                <w:color w:val="auto"/>
              </w:rPr>
              <w:t>(80,823)</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27,329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102,193</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60" w:type="dxa"/>
            <w:vAlign w:val="bottom"/>
            <w:tcBorders>
              <w:left w:val="single" w:sz="8" w:color="CCEEFF"/>
            </w:tcBorders>
            <w:shd w:val="clear" w:color="auto" w:fill="CCEEFF"/>
          </w:tcPr>
          <w:p>
            <w:pPr>
              <w:jc w:val="right"/>
              <w:ind w:right="16"/>
              <w:spacing w:after="0"/>
              <w:rPr>
                <w:sz w:val="20"/>
                <w:szCs w:val="20"/>
                <w:color w:val="auto"/>
              </w:rPr>
            </w:pPr>
            <w:r>
              <w:rPr>
                <w:rFonts w:ascii="Arial" w:cs="Arial" w:eastAsia="Arial" w:hAnsi="Arial"/>
                <w:sz w:val="15"/>
                <w:szCs w:val="15"/>
                <w:color w:val="auto"/>
              </w:rPr>
              <w:t>(10,680)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-410845</wp:posOffset>
            </wp:positionV>
            <wp:extent cx="10477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-410845</wp:posOffset>
            </wp:positionV>
            <wp:extent cx="302069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20695"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jc w:val="both"/>
        <w:ind w:left="1160" w:right="1259" w:firstLine="293"/>
        <w:spacing w:after="0" w:line="249" w:lineRule="auto"/>
        <w:rPr>
          <w:sz w:val="20"/>
          <w:szCs w:val="20"/>
          <w:color w:val="auto"/>
        </w:rPr>
      </w:pPr>
      <w:r>
        <w:rPr>
          <w:rFonts w:ascii="Arial" w:cs="Arial" w:eastAsia="Arial" w:hAnsi="Arial"/>
          <w:sz w:val="15"/>
          <w:szCs w:val="15"/>
          <w:color w:val="auto"/>
        </w:rPr>
        <w:t>For the year ended December 31, 2019, net cash provided by operating activities was $63.3 million, primarily due to net income of $46.1 million, increased by depreciation and amortization of $34.9 million related to additional owned and finance leased aircraft, deferred income taxes of $14.0 million, an increase in air traffic liabilities of $11.3 million, and an increase in accounts payable of $9.0 million, partially offset by</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color w:val="auto"/>
        </w:rPr>
        <w:t>$14.1 million in amortization of over-market liabilities related to acquisition accounting, an increase in accounts receivable of $11.4 million, an increase in lessor maintenance deposits of $17.5 million and mark-to-market losses on fuel derivatives of $10.8 million due to our fuel price hedging activity.</w:t>
      </w:r>
    </w:p>
    <w:p>
      <w:pPr>
        <w:spacing w:after="0" w:line="9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 hedging activity, a decrease in accounts receivable of $20.7 million driven by a one-time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w:t>
      </w:r>
    </w:p>
    <w:p>
      <w:pPr>
        <w:spacing w:after="0" w:line="2" w:lineRule="exact"/>
        <w:rPr>
          <w:sz w:val="20"/>
          <w:szCs w:val="20"/>
          <w:color w:val="auto"/>
        </w:rPr>
      </w:pPr>
    </w:p>
    <w:p>
      <w:pPr>
        <w:ind w:left="1160" w:right="1919"/>
        <w:spacing w:after="0" w:line="249" w:lineRule="auto"/>
        <w:rPr>
          <w:sz w:val="20"/>
          <w:szCs w:val="20"/>
          <w:color w:val="auto"/>
        </w:rPr>
      </w:pPr>
      <w:r>
        <w:rPr>
          <w:rFonts w:ascii="Arial" w:cs="Arial" w:eastAsia="Arial" w:hAnsi="Arial"/>
          <w:sz w:val="15"/>
          <w:szCs w:val="15"/>
          <w:color w:val="auto"/>
        </w:rPr>
        <w:t>$14.2 million, a decrease in accounts payable of $9.7 million, an increase in prepaid expenses of $6.2 million and a decrease in other liabilities of $5.5 million.</w:t>
      </w:r>
    </w:p>
    <w:p>
      <w:pPr>
        <w:spacing w:after="0" w:line="10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$34.0 million, an increase in receivable due from the predecessor parent of $7.4 million, an increase in prepaid expenses of $5.5 million and an increase in lessor maintenance deposits of $3.1 million.</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78"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02"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For the Predecessor 2018 period, net cash used in investing activities was $2.6 million, primarily due to purchases of property and equipment of $2.6 million.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(Used In)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2019, net cash provided by financing activities was $27.3 million,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primarily due to $41.6 million in proceeds from borrowings in connection with the 2019-1 EETC and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$4.7 million of proceeds received for the vesting of warrants issued in connection with the ATSA, partially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offset by $8.3 million of principal payments related to our finance leases and $10.2 million in debt</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repayments.</w:t>
      </w:r>
    </w:p>
    <w:p>
      <w:pPr>
        <w:spacing w:after="0" w:line="102"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02"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the Predecessor 2018 period, net cash used in financing activities was $10.7 million, primarily due to cash distributions to SCA common stockholders of $10.5 million.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Commitments and Contractual Obligations</w:t>
      </w:r>
    </w:p>
    <w:p>
      <w:pPr>
        <w:spacing w:after="0" w:line="128" w:lineRule="exact"/>
        <w:rPr>
          <w:sz w:val="20"/>
          <w:szCs w:val="20"/>
          <w:color w:val="auto"/>
        </w:rPr>
      </w:pPr>
    </w:p>
    <w:p>
      <w:pPr>
        <w:ind w:left="1160" w:right="1199" w:firstLine="293"/>
        <w:spacing w:after="0" w:line="341" w:lineRule="auto"/>
        <w:rPr>
          <w:sz w:val="20"/>
          <w:szCs w:val="20"/>
          <w:color w:val="auto"/>
        </w:rPr>
      </w:pPr>
      <w:r>
        <w:rPr>
          <w:rFonts w:ascii="Arial" w:cs="Arial" w:eastAsia="Arial" w:hAnsi="Arial"/>
          <w:sz w:val="13"/>
          <w:szCs w:val="13"/>
          <w:color w:val="auto"/>
        </w:rPr>
        <w:t>We have contractual obligations comprised of aircraft leases and supplemental maintenance reserves, payment of debt and interest and other lease arrangements. As of March 31, 2021 we also have a contractual</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39" w:lineRule="auto"/>
        <w:rPr>
          <w:sz w:val="20"/>
          <w:szCs w:val="20"/>
          <w:color w:val="auto"/>
        </w:rPr>
      </w:pPr>
      <w:r>
        <w:rPr>
          <w:rFonts w:ascii="Arial" w:cs="Arial" w:eastAsia="Arial" w:hAnsi="Arial"/>
          <w:sz w:val="15"/>
          <w:szCs w:val="15"/>
          <w:color w:val="auto"/>
        </w:rPr>
        <w:t>obligation to pay our pre -IPO stockholders under the terms of the income tax receivable agreement. The following table includes our contractual obligations as of December 31, 2020 for the periods in which payments are due:</w:t>
      </w:r>
    </w:p>
    <w:p>
      <w:pPr>
        <w:spacing w:after="0" w:line="10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81"/>
              </w:rPr>
              <w:t>2022 - 2023</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4"/>
              </w:rPr>
              <w:t>2024 - 2025</w:t>
            </w:r>
          </w:p>
        </w:tc>
        <w:tc>
          <w:tcPr>
            <w:tcW w:w="2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Thereafter</w:t>
            </w: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1"/>
        </w:trPr>
        <w:tc>
          <w:tcPr>
            <w:tcW w:w="3120" w:type="dxa"/>
            <w:vAlign w:val="bottom"/>
            <w:tcBorders>
              <w:right w:val="single" w:sz="8" w:color="CCEEFF"/>
            </w:tcBorders>
            <w:gridSpan w:val="2"/>
            <w:shd w:val="clear" w:color="auto" w:fill="CCEEFF"/>
          </w:tcPr>
          <w:p>
            <w:pPr>
              <w:spacing w:after="0" w:line="211" w:lineRule="exact"/>
              <w:rPr>
                <w:sz w:val="20"/>
                <w:szCs w:val="20"/>
                <w:color w:val="auto"/>
              </w:rPr>
            </w:pPr>
            <w:r>
              <w:rPr>
                <w:rFonts w:ascii="Arial" w:cs="Arial" w:eastAsia="Arial" w:hAnsi="Arial"/>
                <w:sz w:val="15"/>
                <w:szCs w:val="15"/>
                <w:color w:val="auto"/>
              </w:rPr>
              <w:t>Current and long-term debt</w:t>
            </w:r>
            <w:r>
              <w:rPr>
                <w:rFonts w:ascii="Arial" w:cs="Arial" w:eastAsia="Arial" w:hAnsi="Arial"/>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72,665</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$132,469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53,739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$285,801</w:t>
            </w:r>
          </w:p>
        </w:tc>
      </w:tr>
      <w:tr>
        <w:trPr>
          <w:trHeight w:val="220"/>
        </w:trPr>
        <w:tc>
          <w:tcPr>
            <w:tcW w:w="3120" w:type="dxa"/>
            <w:vAlign w:val="bottom"/>
            <w:gridSpan w:val="2"/>
          </w:tcPr>
          <w:p>
            <w:pPr>
              <w:spacing w:after="0" w:line="220" w:lineRule="exact"/>
              <w:rPr>
                <w:sz w:val="20"/>
                <w:szCs w:val="20"/>
                <w:color w:val="auto"/>
              </w:rPr>
            </w:pPr>
            <w:r>
              <w:rPr>
                <w:rFonts w:ascii="Arial" w:cs="Arial" w:eastAsia="Arial" w:hAnsi="Arial"/>
                <w:sz w:val="15"/>
                <w:szCs w:val="15"/>
                <w:color w:val="auto"/>
              </w:rPr>
              <w:t>Interest obligations</w:t>
            </w:r>
            <w:r>
              <w:rPr>
                <w:rFonts w:ascii="Arial" w:cs="Arial" w:eastAsia="Arial" w:hAnsi="Arial"/>
                <w:sz w:val="21"/>
                <w:szCs w:val="21"/>
                <w:color w:val="auto"/>
                <w:vertAlign w:val="superscript"/>
              </w:rPr>
              <w:t>(2)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14,678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25,651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12,737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3,146</w:t>
            </w:r>
          </w:p>
        </w:tc>
        <w:tc>
          <w:tcPr>
            <w:tcW w:w="560" w:type="dxa"/>
            <w:vAlign w:val="bottom"/>
          </w:tcPr>
          <w:p>
            <w:pPr>
              <w:jc w:val="right"/>
              <w:spacing w:after="0"/>
              <w:rPr>
                <w:sz w:val="20"/>
                <w:szCs w:val="20"/>
                <w:color w:val="auto"/>
              </w:rPr>
            </w:pPr>
            <w:r>
              <w:rPr>
                <w:rFonts w:ascii="Arial" w:cs="Arial" w:eastAsia="Arial" w:hAnsi="Arial"/>
                <w:sz w:val="15"/>
                <w:szCs w:val="15"/>
                <w:color w:val="auto"/>
              </w:rPr>
              <w:t>56,212</w:t>
            </w:r>
          </w:p>
        </w:tc>
      </w:tr>
      <w:tr>
        <w:trPr>
          <w:trHeight w:val="220"/>
        </w:trPr>
        <w:tc>
          <w:tcPr>
            <w:tcW w:w="3120" w:type="dxa"/>
            <w:vAlign w:val="bottom"/>
            <w:tcBorders>
              <w:right w:val="single" w:sz="8" w:color="CCEEFF"/>
            </w:tcBorders>
            <w:gridSpan w:val="2"/>
            <w:shd w:val="clear" w:color="auto" w:fill="CCEEFF"/>
          </w:tcPr>
          <w:p>
            <w:pPr>
              <w:spacing w:after="0" w:line="220"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41,969</w:t>
            </w: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71,082</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37,038</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13,293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163,382</w:t>
            </w:r>
          </w:p>
        </w:tc>
      </w:tr>
      <w:tr>
        <w:trPr>
          <w:trHeight w:val="214"/>
        </w:trPr>
        <w:tc>
          <w:tcPr>
            <w:tcW w:w="3120" w:type="dxa"/>
            <w:vAlign w:val="bottom"/>
            <w:gridSpan w:val="2"/>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17,572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30,920</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37,666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52,949</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139,107</w:t>
            </w:r>
          </w:p>
        </w:tc>
      </w:tr>
      <w:tr>
        <w:trPr>
          <w:trHeight w:val="20"/>
        </w:trPr>
        <w:tc>
          <w:tcPr>
            <w:tcW w:w="70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36"/>
        </w:trPr>
        <w:tc>
          <w:tcPr>
            <w:tcW w:w="3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101,147</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200,318</w:t>
            </w: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$219,910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123,127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$644,502</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-243840</wp:posOffset>
            </wp:positionV>
            <wp:extent cx="11874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-243840</wp:posOffset>
            </wp:positionV>
            <wp:extent cx="12573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-243840</wp:posOffset>
            </wp:positionV>
            <wp:extent cx="12573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-243840</wp:posOffset>
            </wp:positionV>
            <wp:extent cx="244856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4856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-808355</wp:posOffset>
            </wp:positionV>
            <wp:extent cx="11176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-808355</wp:posOffset>
            </wp:positionV>
            <wp:extent cx="11176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-808355</wp:posOffset>
            </wp:positionV>
            <wp:extent cx="11176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-808355</wp:posOffset>
            </wp:positionV>
            <wp:extent cx="244157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41575" cy="6985"/>
                    </a:xfrm>
                    <a:prstGeom prst="rect">
                      <a:avLst/>
                    </a:prstGeom>
                    <a:noFill/>
                  </pic:spPr>
                </pic:pic>
              </a:graphicData>
            </a:graphic>
          </wp:anchor>
        </w:drawing>
      </w:r>
    </w:p>
    <w:p>
      <w:pPr>
        <w:spacing w:after="0" w:line="2" w:lineRule="exact"/>
        <w:rPr>
          <w:sz w:val="20"/>
          <w:szCs w:val="20"/>
          <w:color w:val="auto"/>
        </w:rPr>
      </w:pPr>
    </w:p>
    <w:p>
      <w:pPr>
        <w:ind w:left="1460" w:hanging="296"/>
        <w:spacing w:after="0"/>
        <w:tabs>
          <w:tab w:leader="none" w:pos="1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principal portion only, exclusive of deferred financing costs.</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interest on current and long-term debt.</w:t>
      </w:r>
    </w:p>
    <w:p>
      <w:pPr>
        <w:spacing w:after="0" w:line="36"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non-cancelable contractual payment commitments for aircraft and engines, and includes non-aircraft operating lease obligations.</w:t>
      </w:r>
    </w:p>
    <w:p>
      <w:pPr>
        <w:spacing w:after="0" w:line="100"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In connection with our initial public offering, we entered into an income tax receivable agreement with our pre-IPO stockholders. The agreement provides for the payment by the Company to the pre-IPO stockholders of 85% of the amount of cash savings, if any, in U.S. federal, state, local, and foreign income tax that the Company realizes.</w:t>
      </w:r>
    </w:p>
    <w:p>
      <w:pPr>
        <w:spacing w:after="0" w:line="91"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$130 million in total, including $15 million in 2021, $40 million for 2022 and 2023, $33 million for 2024 and 2025, and $42 million thereafter. We used a portion of the proceeds from our initial public offering to repay in full all amounts outstanding under the CARES Act Loan on March 24, 2021.</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Off Balance Sheet Arrangements</w:t>
      </w:r>
    </w:p>
    <w:p>
      <w:pPr>
        <w:spacing w:after="0" w:line="128"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i w:val="1"/>
          <w:iCs w:val="1"/>
          <w:color w:val="auto"/>
        </w:rPr>
        <w:t>Indemnities</w:t>
      </w:r>
      <w:r>
        <w:rPr>
          <w:rFonts w:ascii="Arial" w:cs="Arial" w:eastAsia="Arial" w:hAnsi="Arial"/>
          <w:sz w:val="14"/>
          <w:szCs w:val="14"/>
          <w:color w:val="auto"/>
        </w:rPr>
        <w:t>. Our aircraft, equipment and other leases and certain operating agreements typically</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9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05"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i w:val="1"/>
          <w:iCs w:val="1"/>
          <w:color w:val="auto"/>
        </w:rPr>
        <w:t>Pass-Through Trusts</w:t>
      </w:r>
      <w:r>
        <w:rPr>
          <w:rFonts w:ascii="Arial" w:cs="Arial" w:eastAsia="Arial" w:hAnsi="Arial"/>
          <w:sz w:val="15"/>
          <w:szCs w:val="15"/>
          <w:color w:val="auto"/>
        </w:rPr>
        <w:t>. We have equipment notes outstanding issued under the 2019-1 EETC.</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the 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71" w:lineRule="auto"/>
        <w:rPr>
          <w:sz w:val="20"/>
          <w:szCs w:val="20"/>
          <w:color w:val="auto"/>
        </w:rPr>
      </w:pPr>
      <w:r>
        <w:rPr>
          <w:rFonts w:ascii="Arial" w:cs="Arial" w:eastAsia="Arial" w:hAnsi="Arial"/>
          <w:sz w:val="14"/>
          <w:szCs w:val="14"/>
          <w:color w:val="auto"/>
        </w:rPr>
        <w:t>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8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i w:val="1"/>
          <w:iCs w:val="1"/>
          <w:color w:val="auto"/>
        </w:rPr>
        <w:t>Fuel Consortia</w:t>
      </w:r>
      <w:r>
        <w:rPr>
          <w:rFonts w:ascii="Arial" w:cs="Arial" w:eastAsia="Arial" w:hAnsi="Arial"/>
          <w:sz w:val="14"/>
          <w:szCs w:val="14"/>
          <w:color w:val="auto"/>
        </w:rPr>
        <w:t>. We currently participate in fuel consortia at Minneapolis-Saint Paul International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have no other off-balance sheet arrangements.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28" w:lineRule="exact"/>
        <w:rPr>
          <w:sz w:val="20"/>
          <w:szCs w:val="20"/>
          <w:color w:val="auto"/>
        </w:rPr>
      </w:pPr>
    </w:p>
    <w:p>
      <w:pPr>
        <w:ind w:left="1160" w:right="1459" w:firstLine="293"/>
        <w:spacing w:after="0" w:line="292" w:lineRule="auto"/>
        <w:rPr>
          <w:sz w:val="20"/>
          <w:szCs w:val="20"/>
          <w:color w:val="auto"/>
        </w:rPr>
      </w:pPr>
      <w:r>
        <w:rPr>
          <w:rFonts w:ascii="Arial" w:cs="Arial" w:eastAsia="Arial" w:hAnsi="Arial"/>
          <w:sz w:val="13"/>
          <w:szCs w:val="13"/>
          <w:color w:val="auto"/>
        </w:rPr>
        <w:t>Our financial position and results of operations are affected by significant judgments and estimates made by management in accordance with GAAP. These estimates are based on historical experience and 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13"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i w:val="1"/>
          <w:iCs w:val="1"/>
          <w:color w:val="auto"/>
        </w:rPr>
        <w:t>Scheduled Service and Ancillary Revenue</w:t>
      </w:r>
      <w:r>
        <w:rPr>
          <w:rFonts w:ascii="Arial" w:cs="Arial" w:eastAsia="Arial" w:hAnsi="Arial"/>
          <w:sz w:val="14"/>
          <w:szCs w:val="14"/>
          <w:color w:val="auto"/>
        </w:rPr>
        <w:t>. We generate the majority of our revenue from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passenger tickets and ancillary services along 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9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06"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color w:val="auto"/>
        </w:rPr>
        <w:t>We estimate and record breakage for travel credits we expect will expire unused. Estimating the amount of breakage involves subjectivity and judgment. These estimates are based on our historical experience of</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839"/>
        <w:spacing w:after="0" w:line="264" w:lineRule="auto"/>
        <w:rPr>
          <w:sz w:val="20"/>
          <w:szCs w:val="20"/>
          <w:color w:val="auto"/>
        </w:rPr>
      </w:pPr>
      <w:r>
        <w:rPr>
          <w:rFonts w:ascii="Arial" w:cs="Arial" w:eastAsia="Arial" w:hAnsi="Arial"/>
          <w:sz w:val="15"/>
          <w:szCs w:val="15"/>
          <w:color w:val="auto"/>
        </w:rPr>
        <w:t>unused travel credits and consider other factors, such as recent aging trends, program changes and modifications that could affect the ultimate usage patterns of travel credits.</w:t>
      </w:r>
    </w:p>
    <w:p>
      <w:pPr>
        <w:spacing w:after="0" w:line="82"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 xml:space="preserve">Effective January 1, 2019, we adopted Accounting Standards Update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r>
        <w:rPr>
          <w:rFonts w:ascii="Arial" w:cs="Arial" w:eastAsia="Arial" w:hAnsi="Arial"/>
          <w:sz w:val="15"/>
          <w:szCs w:val="15"/>
          <w:color w:val="auto"/>
        </w:rPr>
        <w:t>. The adoption of ASC 606 impacts the timing of recognition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10" w:lineRule="exact"/>
        <w:rPr>
          <w:sz w:val="20"/>
          <w:szCs w:val="20"/>
          <w:color w:val="auto"/>
        </w:rPr>
      </w:pPr>
    </w:p>
    <w:p>
      <w:pPr>
        <w:ind w:left="1160" w:right="1579" w:firstLine="293"/>
        <w:spacing w:after="0" w:line="254" w:lineRule="auto"/>
        <w:rPr>
          <w:sz w:val="20"/>
          <w:szCs w:val="20"/>
          <w:color w:val="auto"/>
        </w:rPr>
      </w:pPr>
      <w:r>
        <w:rPr>
          <w:rFonts w:ascii="Arial" w:cs="Arial" w:eastAsia="Arial" w:hAnsi="Arial"/>
          <w:sz w:val="15"/>
          <w:szCs w:val="15"/>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01"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82"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i w:val="1"/>
          <w:iCs w:val="1"/>
          <w:color w:val="auto"/>
        </w:rPr>
        <w:t>Charter Service Revenue</w:t>
      </w:r>
      <w:r>
        <w:rPr>
          <w:rFonts w:ascii="Arial" w:cs="Arial" w:eastAsia="Arial" w:hAnsi="Arial"/>
          <w:sz w:val="15"/>
          <w:szCs w:val="15"/>
          <w:color w:val="auto"/>
        </w:rPr>
        <w:t>. Charter revenue is recognized at the time of departure when transportation</w:t>
      </w:r>
      <w:r>
        <w:rPr>
          <w:rFonts w:ascii="Arial" w:cs="Arial" w:eastAsia="Arial" w:hAnsi="Arial"/>
          <w:sz w:val="15"/>
          <w:szCs w:val="15"/>
          <w:i w:val="1"/>
          <w:iCs w:val="1"/>
          <w:color w:val="auto"/>
        </w:rPr>
        <w:t xml:space="preserve"> </w:t>
      </w:r>
      <w:r>
        <w:rPr>
          <w:rFonts w:ascii="Arial" w:cs="Arial" w:eastAsia="Arial" w:hAnsi="Arial"/>
          <w:sz w:val="15"/>
          <w:szCs w:val="15"/>
          <w:color w:val="auto"/>
        </w:rPr>
        <w:t>is provided.</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Revenue for cargo services is typically recognized based on hours flown and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aircraft operated during a reporting period. Revenues for certain performance obligations that are reimbursed through airline service agreements, including consumption of aircraft fuel, are generally recognized net of the related costs incurred. Under the ATSA, $5.6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07" w:lineRule="exact"/>
        <w:rPr>
          <w:sz w:val="20"/>
          <w:szCs w:val="20"/>
          <w:color w:val="auto"/>
        </w:rPr>
      </w:pPr>
    </w:p>
    <w:p>
      <w:pPr>
        <w:ind w:left="1160" w:right="1359" w:firstLine="293"/>
        <w:spacing w:after="0" w:line="287" w:lineRule="auto"/>
        <w:rPr>
          <w:sz w:val="20"/>
          <w:szCs w:val="20"/>
          <w:color w:val="auto"/>
        </w:rPr>
      </w:pPr>
      <w:r>
        <w:rPr>
          <w:rFonts w:ascii="Arial" w:cs="Arial" w:eastAsia="Arial" w:hAnsi="Arial"/>
          <w:sz w:val="13"/>
          <w:szCs w:val="13"/>
          <w:i w:val="1"/>
          <w:iCs w:val="1"/>
          <w:color w:val="auto"/>
        </w:rPr>
        <w:t>Frequent Flyer Program</w:t>
      </w:r>
      <w:r>
        <w:rPr>
          <w:rFonts w:ascii="Arial" w:cs="Arial" w:eastAsia="Arial" w:hAnsi="Arial"/>
          <w:sz w:val="13"/>
          <w:szCs w:val="13"/>
          <w:color w:val="auto"/>
        </w:rPr>
        <w:t>. The Sun Country Rewards program provides frequent flyer rewards to</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members based on accumulated loyalty points. Loyalty points are earned as a result of travel and purchases using our co-branded credit card. The program terms include expiration of loyalty points after</w:t>
      </w:r>
    </w:p>
    <w:p>
      <w:pPr>
        <w:spacing w:after="0" w:line="2" w:lineRule="exact"/>
        <w:rPr>
          <w:sz w:val="20"/>
          <w:szCs w:val="20"/>
          <w:color w:val="auto"/>
        </w:rPr>
      </w:pPr>
    </w:p>
    <w:p>
      <w:pPr>
        <w:jc w:val="both"/>
        <w:ind w:left="1160" w:right="1219"/>
        <w:spacing w:after="0" w:line="303" w:lineRule="auto"/>
        <w:rPr>
          <w:sz w:val="20"/>
          <w:szCs w:val="20"/>
          <w:color w:val="auto"/>
        </w:rPr>
      </w:pPr>
      <w:r>
        <w:rPr>
          <w:rFonts w:ascii="Arial" w:cs="Arial" w:eastAsia="Arial" w:hAnsi="Arial"/>
          <w:sz w:val="13"/>
          <w:szCs w:val="13"/>
          <w:color w:val="auto"/>
        </w:rPr>
        <w:t>36 months from the date they were earned, except members who are holders of the Sun Country co-branded credit card are not subject to the expiration terms. For loyalty points earned under the Sun Country Rewards program, we have an obligation to provide future services when these loyalty points are redeemed.</w:t>
      </w:r>
    </w:p>
    <w:p>
      <w:pPr>
        <w:spacing w:after="0" w:line="60" w:lineRule="exact"/>
        <w:rPr>
          <w:sz w:val="20"/>
          <w:szCs w:val="20"/>
          <w:color w:val="auto"/>
        </w:rPr>
      </w:pPr>
    </w:p>
    <w:p>
      <w:pPr>
        <w:ind w:left="1160" w:right="1279" w:firstLine="293"/>
        <w:spacing w:after="0" w:line="246" w:lineRule="auto"/>
        <w:rPr>
          <w:sz w:val="20"/>
          <w:szCs w:val="20"/>
          <w:color w:val="auto"/>
        </w:rPr>
      </w:pPr>
      <w:r>
        <w:rPr>
          <w:rFonts w:ascii="Arial" w:cs="Arial" w:eastAsia="Arial" w:hAnsi="Arial"/>
          <w:sz w:val="15"/>
          <w:szCs w:val="15"/>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11"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83" w:lineRule="auto"/>
        <w:rPr>
          <w:sz w:val="20"/>
          <w:szCs w:val="20"/>
          <w:color w:val="auto"/>
        </w:rPr>
      </w:pPr>
      <w:r>
        <w:rPr>
          <w:rFonts w:ascii="Arial" w:cs="Arial" w:eastAsia="Arial" w:hAnsi="Arial"/>
          <w:sz w:val="14"/>
          <w:szCs w:val="14"/>
          <w:color w:val="auto"/>
        </w:rPr>
        <w:t>policy or the program rules and program redemption opportunities may result in material changes to the loyalty program liability balance, as well as revenue recognized from the program.</w:t>
      </w:r>
    </w:p>
    <w:p>
      <w:pPr>
        <w:spacing w:after="0" w:line="60"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i w:val="1"/>
          <w:iCs w:val="1"/>
          <w:color w:val="auto"/>
        </w:rPr>
        <w:t>Co-Brand Credit Card Program</w:t>
      </w:r>
      <w:r>
        <w:rPr>
          <w:rFonts w:ascii="Arial" w:cs="Arial" w:eastAsia="Arial" w:hAnsi="Arial"/>
          <w:sz w:val="15"/>
          <w:szCs w:val="15"/>
          <w:color w:val="auto"/>
        </w:rPr>
        <w:t>. Our co-branded credit card with First Bank, a division of First</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 Bank of Omaha, provides members with 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00"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Aircraft Maintenance</w:t>
      </w:r>
    </w:p>
    <w:p>
      <w:pPr>
        <w:spacing w:after="0" w:line="124" w:lineRule="exact"/>
        <w:rPr>
          <w:sz w:val="20"/>
          <w:szCs w:val="20"/>
          <w:color w:val="auto"/>
        </w:rPr>
      </w:pPr>
    </w:p>
    <w:p>
      <w:pPr>
        <w:ind w:left="1160" w:right="1339" w:firstLine="293"/>
        <w:spacing w:after="0" w:line="234" w:lineRule="auto"/>
        <w:rPr>
          <w:sz w:val="20"/>
          <w:szCs w:val="20"/>
          <w:color w:val="auto"/>
        </w:rPr>
      </w:pPr>
      <w:r>
        <w:rPr>
          <w:rFonts w:ascii="Arial" w:cs="Arial" w:eastAsia="Arial" w:hAnsi="Arial"/>
          <w:sz w:val="15"/>
          <w:szCs w:val="15"/>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9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96"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9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For leased aircraft, we expense maintenance as incurred. Routine cost for maintaining the airframes and engines and line maintenance are charged to maintenance expense as performed.</w:t>
      </w:r>
    </w:p>
    <w:p>
      <w:pPr>
        <w:spacing w:after="0" w:line="82" w:lineRule="exact"/>
        <w:rPr>
          <w:sz w:val="20"/>
          <w:szCs w:val="20"/>
          <w:color w:val="auto"/>
        </w:rPr>
      </w:pPr>
    </w:p>
    <w:p>
      <w:pPr>
        <w:ind w:left="1160" w:right="1259" w:firstLine="293"/>
        <w:spacing w:after="0" w:line="286" w:lineRule="auto"/>
        <w:rPr>
          <w:sz w:val="20"/>
          <w:szCs w:val="20"/>
          <w:color w:val="auto"/>
        </w:rPr>
      </w:pPr>
      <w:r>
        <w:rPr>
          <w:rFonts w:ascii="Arial" w:cs="Arial" w:eastAsia="Arial" w:hAnsi="Arial"/>
          <w:sz w:val="13"/>
          <w:szCs w:val="13"/>
          <w:i w:val="1"/>
          <w:iCs w:val="1"/>
          <w:color w:val="auto"/>
        </w:rPr>
        <w:t>Maintenance Reserves</w:t>
      </w:r>
      <w:r>
        <w:rPr>
          <w:rFonts w:ascii="Arial" w:cs="Arial" w:eastAsia="Arial" w:hAnsi="Arial"/>
          <w:sz w:val="13"/>
          <w:szCs w:val="13"/>
          <w:color w:val="auto"/>
        </w:rPr>
        <w:t>. Our aircraft lease agreements provide that we pay maintenance reserves to</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lessors to be held as collateral in advance of our required performance of significant maintenance events. Our lease agreements with maintenance reserve requirements provide that maintenance reserves are reimbursable to us upon completion of the maintenance event in an amount equal to the lesser of either</w:t>
      </w:r>
    </w:p>
    <w:p>
      <w:pPr>
        <w:spacing w:after="0" w:line="1" w:lineRule="exact"/>
        <w:rPr>
          <w:sz w:val="20"/>
          <w:szCs w:val="20"/>
          <w:color w:val="auto"/>
        </w:rPr>
      </w:pPr>
    </w:p>
    <w:p>
      <w:pPr>
        <w:ind w:left="1160" w:right="1239" w:firstLine="4"/>
        <w:spacing w:after="0" w:line="246" w:lineRule="auto"/>
        <w:tabs>
          <w:tab w:leader="none" w:pos="1379"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95"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Goodwill and Indefinite-Lived Intangible Assets</w:t>
      </w:r>
    </w:p>
    <w:p>
      <w:pPr>
        <w:spacing w:after="0" w:line="124"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02" w:lineRule="exact"/>
        <w:rPr>
          <w:sz w:val="20"/>
          <w:szCs w:val="20"/>
          <w:color w:val="auto"/>
        </w:rPr>
      </w:pPr>
    </w:p>
    <w:p>
      <w:pPr>
        <w:ind w:left="1160" w:right="1219" w:firstLine="293"/>
        <w:spacing w:after="0" w:line="285" w:lineRule="auto"/>
        <w:rPr>
          <w:sz w:val="20"/>
          <w:szCs w:val="20"/>
          <w:color w:val="auto"/>
        </w:rPr>
      </w:pPr>
      <w:r>
        <w:rPr>
          <w:rFonts w:ascii="Arial" w:cs="Arial" w:eastAsia="Arial" w:hAnsi="Arial"/>
          <w:sz w:val="13"/>
          <w:szCs w:val="13"/>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w:t>
      </w:r>
    </w:p>
    <w:p>
      <w:pPr>
        <w:spacing w:after="0" w:line="2" w:lineRule="exact"/>
        <w:rPr>
          <w:sz w:val="20"/>
          <w:szCs w:val="20"/>
          <w:color w:val="auto"/>
        </w:rPr>
      </w:pPr>
    </w:p>
    <w:p>
      <w:pPr>
        <w:ind w:left="1160" w:right="1539" w:firstLine="4"/>
        <w:spacing w:after="0" w:line="282" w:lineRule="auto"/>
        <w:tabs>
          <w:tab w:leader="none" w:pos="1379" w:val="left"/>
        </w:tabs>
        <w:numPr>
          <w:ilvl w:val="0"/>
          <w:numId w:val="54"/>
        </w:numPr>
        <w:rPr>
          <w:rFonts w:ascii="Arial" w:cs="Arial" w:eastAsia="Arial" w:hAnsi="Arial"/>
          <w:sz w:val="13"/>
          <w:szCs w:val="13"/>
          <w:color w:val="auto"/>
        </w:rPr>
      </w:pPr>
      <w:r>
        <w:rPr>
          <w:rFonts w:ascii="Arial" w:cs="Arial" w:eastAsia="Arial" w:hAnsi="Arial"/>
          <w:sz w:val="13"/>
          <w:szCs w:val="13"/>
          <w:color w:val="auto"/>
        </w:rPr>
        <w:t>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w:t>
      </w:r>
    </w:p>
    <w:p>
      <w:pPr>
        <w:ind w:left="1380" w:hanging="216"/>
        <w:spacing w:after="0"/>
        <w:tabs>
          <w:tab w:leader="none" w:pos="13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strategic changes to our operations leading to diminished utilization of the intangible assets.</w:t>
      </w:r>
    </w:p>
    <w:p>
      <w:pPr>
        <w:spacing w:after="0" w:line="102"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0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9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these assumptions are consistent with those a hypothetical market participant would use given circumstances that were present at the time the estimates were made.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13" w:lineRule="exact"/>
        <w:rPr>
          <w:sz w:val="20"/>
          <w:szCs w:val="20"/>
          <w:color w:val="auto"/>
        </w:rPr>
      </w:pPr>
    </w:p>
    <w:p>
      <w:pPr>
        <w:ind w:left="1160" w:right="1359" w:firstLine="293"/>
        <w:spacing w:after="0" w:line="247" w:lineRule="auto"/>
        <w:rPr>
          <w:sz w:val="20"/>
          <w:szCs w:val="20"/>
          <w:color w:val="auto"/>
        </w:rPr>
      </w:pPr>
      <w:r>
        <w:rPr>
          <w:rFonts w:ascii="Arial" w:cs="Arial" w:eastAsia="Arial" w:hAnsi="Arial"/>
          <w:sz w:val="15"/>
          <w:szCs w:val="15"/>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64" w:lineRule="auto"/>
        <w:rPr>
          <w:sz w:val="20"/>
          <w:szCs w:val="20"/>
          <w:color w:val="auto"/>
        </w:rPr>
      </w:pPr>
      <w:r>
        <w:rPr>
          <w:rFonts w:ascii="Arial" w:cs="Arial" w:eastAsia="Arial" w:hAnsi="Arial"/>
          <w:sz w:val="15"/>
          <w:szCs w:val="15"/>
          <w:color w:val="auto"/>
        </w:rPr>
        <w:t>be impaired. Indicators may include operating or cash flow losses, significant decreases in market value, or changes in technology.</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 Compensation Valuation</w:t>
      </w:r>
    </w:p>
    <w:p>
      <w:pPr>
        <w:spacing w:after="0" w:line="113"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 Given the absence of a public</w:t>
      </w:r>
      <w:r>
        <w:rPr>
          <w:rFonts w:ascii="Arial" w:cs="Arial" w:eastAsia="Arial" w:hAnsi="Arial"/>
          <w:sz w:val="14"/>
          <w:szCs w:val="14"/>
          <w:i w:val="1"/>
          <w:iCs w:val="1"/>
          <w:color w:val="auto"/>
        </w:rPr>
        <w:t xml:space="preserve"> </w:t>
      </w:r>
      <w:r>
        <w:rPr>
          <w:rFonts w:ascii="Arial" w:cs="Arial" w:eastAsia="Arial" w:hAnsi="Arial"/>
          <w:sz w:val="14"/>
          <w:szCs w:val="14"/>
          <w:color w:val="auto"/>
        </w:rPr>
        <w:t>trading market of our capital stock, the assumptions used to determine the estimated fair value of our SCA common stock was based on a number of objective and subjective factors, including:</w:t>
      </w:r>
    </w:p>
    <w:p>
      <w:pPr>
        <w:spacing w:after="0" w:line="72" w:lineRule="exact"/>
        <w:rPr>
          <w:sz w:val="20"/>
          <w:szCs w:val="20"/>
          <w:color w:val="auto"/>
        </w:rPr>
      </w:pPr>
    </w:p>
    <w:p>
      <w:pPr>
        <w:ind w:left="1600" w:hanging="143"/>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our stage of development and business strategy;</w:t>
      </w:r>
    </w:p>
    <w:p>
      <w:pPr>
        <w:spacing w:after="0" w:line="102" w:lineRule="exact"/>
        <w:rPr>
          <w:rFonts w:ascii="Arial" w:cs="Arial" w:eastAsia="Arial" w:hAnsi="Arial"/>
          <w:sz w:val="15"/>
          <w:szCs w:val="15"/>
          <w:color w:val="auto"/>
        </w:rPr>
      </w:pPr>
    </w:p>
    <w:p>
      <w:pPr>
        <w:ind w:left="1600" w:right="1219" w:hanging="143"/>
        <w:spacing w:after="0" w:line="264"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our business, financial condition and results of operations, including related industry trends affecting our operations;</w:t>
      </w:r>
    </w:p>
    <w:p>
      <w:pPr>
        <w:spacing w:after="0" w:line="81"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initial public offering or sale of our company, given prevailing market conditions;</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lack of marketability of our SCA common stock;</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w:t>
      </w:r>
    </w:p>
    <w:p>
      <w:pPr>
        <w:spacing w:after="0" w:line="113" w:lineRule="exact"/>
        <w:rPr>
          <w:rFonts w:ascii="Arial" w:cs="Arial" w:eastAsia="Arial" w:hAnsi="Arial"/>
          <w:sz w:val="15"/>
          <w:szCs w:val="15"/>
          <w:color w:val="auto"/>
        </w:rPr>
      </w:pPr>
    </w:p>
    <w:p>
      <w:pPr>
        <w:ind w:left="1600" w:hanging="143"/>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U.S. and global economic and capital market conditions and outlook.</w:t>
      </w:r>
    </w:p>
    <w:p>
      <w:pPr>
        <w:spacing w:after="0" w:line="113"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93" w:lineRule="exact"/>
        <w:rPr>
          <w:sz w:val="20"/>
          <w:szCs w:val="20"/>
          <w:color w:val="auto"/>
        </w:rPr>
      </w:pPr>
    </w:p>
    <w:p>
      <w:pPr>
        <w:ind w:left="1160" w:right="1279" w:firstLine="293"/>
        <w:spacing w:after="0" w:line="286" w:lineRule="auto"/>
        <w:rPr>
          <w:sz w:val="20"/>
          <w:szCs w:val="20"/>
          <w:color w:val="auto"/>
        </w:rPr>
      </w:pPr>
      <w:r>
        <w:rPr>
          <w:rFonts w:ascii="Arial" w:cs="Arial" w:eastAsia="Arial" w:hAnsi="Arial"/>
          <w:sz w:val="13"/>
          <w:szCs w:val="13"/>
          <w:color w:val="auto"/>
        </w:rPr>
        <w:t>The determination of the fair values of our non-public shares of SCA common stock and stock-based awards were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Future stock-based grant values will be based on quoted market prices.</w:t>
      </w:r>
    </w:p>
    <w:p>
      <w:pPr>
        <w:spacing w:after="0" w:line="11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9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05"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 About Market Risk</w:t>
      </w:r>
    </w:p>
    <w:p>
      <w:pPr>
        <w:spacing w:after="0" w:line="117"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76"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Unexpected pricing changes of aircraft fuel could have a material adverse effect on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 increase our 2021 annual aircraft fuel expense by $0.6 million, excluding any impact associated with fuel derivative instruments held and reimbursed cargo fuel.</w:t>
      </w:r>
    </w:p>
    <w:p>
      <w:pPr>
        <w:spacing w:after="0" w:line="9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i w:val="1"/>
          <w:iCs w:val="1"/>
          <w:color w:val="auto"/>
        </w:rPr>
        <w:t>Interest Rates</w:t>
      </w:r>
      <w:r>
        <w:rPr>
          <w:rFonts w:ascii="Arial" w:cs="Arial" w:eastAsia="Arial" w:hAnsi="Arial"/>
          <w:sz w:val="15"/>
          <w:szCs w:val="15"/>
          <w:color w:val="auto"/>
        </w:rPr>
        <w:t>. We have exposure to market risk associated with changes in interest rates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JOBS Act Accounting Election</w:t>
      </w:r>
    </w:p>
    <w:p>
      <w:pPr>
        <w:spacing w:after="0" w:line="11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00"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3"/>
          <w:szCs w:val="13"/>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w:t>
      </w:r>
    </w:p>
    <w:p>
      <w:pPr>
        <w:spacing w:after="0" w:line="5" w:lineRule="exact"/>
        <w:rPr>
          <w:sz w:val="20"/>
          <w:szCs w:val="20"/>
          <w:color w:val="auto"/>
        </w:rPr>
      </w:pPr>
    </w:p>
    <w:p>
      <w:pPr>
        <w:ind w:left="1160" w:right="1199" w:firstLine="4"/>
        <w:spacing w:after="0" w:line="249" w:lineRule="auto"/>
        <w:tabs>
          <w:tab w:leader="none" w:pos="1423" w:val="left"/>
        </w:tabs>
        <w:numPr>
          <w:ilvl w:val="0"/>
          <w:numId w:val="57"/>
        </w:numPr>
        <w:rPr>
          <w:rFonts w:ascii="Arial" w:cs="Arial" w:eastAsia="Arial" w:hAnsi="Arial"/>
          <w:sz w:val="14"/>
          <w:szCs w:val="14"/>
          <w:color w:val="auto"/>
        </w:rPr>
      </w:pPr>
      <w:r>
        <w:rPr>
          <w:rFonts w:ascii="Arial" w:cs="Arial" w:eastAsia="Arial" w:hAnsi="Arial"/>
          <w:sz w:val="14"/>
          <w:szCs w:val="14"/>
          <w:color w:val="auto"/>
        </w:rPr>
        <w:t>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ending December 31, 2026.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28" w:lineRule="exact"/>
        <w:rPr>
          <w:sz w:val="20"/>
          <w:szCs w:val="20"/>
          <w:color w:val="auto"/>
        </w:rPr>
      </w:pPr>
    </w:p>
    <w:p>
      <w:pPr>
        <w:jc w:val="both"/>
        <w:ind w:left="1160" w:right="1359" w:firstLine="293"/>
        <w:spacing w:after="0" w:line="239" w:lineRule="auto"/>
        <w:rPr>
          <w:sz w:val="20"/>
          <w:szCs w:val="20"/>
          <w:color w:val="auto"/>
        </w:rPr>
      </w:pPr>
      <w:r>
        <w:rPr>
          <w:rFonts w:ascii="Arial" w:cs="Arial" w:eastAsia="Arial" w:hAnsi="Arial"/>
          <w:sz w:val="15"/>
          <w:szCs w:val="15"/>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INDUSTRY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Scheduled Passenger</w:t>
      </w:r>
    </w:p>
    <w:p>
      <w:pPr>
        <w:spacing w:after="0" w:line="117"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101"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8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 -spoke”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 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In contrast, the LCC model focuses on operating a more simplified operation, providing point-to-point service without the high fixed costs and inefficiencies required for a hub-and- 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95"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ULCC model, which was pioneered by Ryanair in Europe and Spirit Airlines in the United States, was built on the LCC model, but combined with a focus on increased aircraft utilization, increased seat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71" w:lineRule="auto"/>
        <w:rPr>
          <w:sz w:val="20"/>
          <w:szCs w:val="20"/>
          <w:color w:val="auto"/>
        </w:rPr>
      </w:pPr>
      <w:r>
        <w:rPr>
          <w:rFonts w:ascii="Arial" w:cs="Arial" w:eastAsia="Arial" w:hAnsi="Arial"/>
          <w:sz w:val="14"/>
          <w:szCs w:val="14"/>
          <w:color w:val="auto"/>
        </w:rPr>
        <w:t>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80"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Charter</w:t>
      </w:r>
    </w:p>
    <w:p>
      <w:pPr>
        <w:spacing w:after="0" w:line="12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05" w:lineRule="exact"/>
        <w:rPr>
          <w:sz w:val="20"/>
          <w:szCs w:val="20"/>
          <w:color w:val="auto"/>
        </w:rPr>
      </w:pPr>
    </w:p>
    <w:p>
      <w:pPr>
        <w:ind w:left="1160" w:right="1179" w:firstLine="293"/>
        <w:spacing w:after="0" w:line="289" w:lineRule="auto"/>
        <w:rPr>
          <w:sz w:val="20"/>
          <w:szCs w:val="20"/>
          <w:color w:val="auto"/>
        </w:rPr>
      </w:pPr>
      <w:r>
        <w:rPr>
          <w:rFonts w:ascii="Arial" w:cs="Arial" w:eastAsia="Arial" w:hAnsi="Arial"/>
          <w:sz w:val="13"/>
          <w:szCs w:val="13"/>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7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Cargo</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long-and medium-range carriers such as Air Transport Services Group, Inc. (“ATSG”) and Atlas Air, as well as a host of smaller regional operators.</w:t>
      </w:r>
    </w:p>
    <w:p>
      <w:pPr>
        <w:spacing w:after="0" w:line="10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two options for air cargo transport are dedicated freighters and passenger aircraft lower holds, also referred to as passenger belly capacity. Freighters are particularly well suited for transporting high-value goods 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64" w:lineRule="auto"/>
        <w:rPr>
          <w:sz w:val="20"/>
          <w:szCs w:val="20"/>
          <w:color w:val="auto"/>
        </w:rPr>
      </w:pPr>
      <w:r>
        <w:rPr>
          <w:rFonts w:ascii="Arial" w:cs="Arial" w:eastAsia="Arial" w:hAnsi="Arial"/>
          <w:sz w:val="15"/>
          <w:szCs w:val="15"/>
          <w:color w:val="auto"/>
        </w:rPr>
        <w:t>growth rate through 2039. The U.S. domestic air cargo market is more mature and expected by Boeing to grow at a 2.7% compound annual growth rate through 2039.</w:t>
      </w:r>
    </w:p>
    <w:p>
      <w:pPr>
        <w:spacing w:after="0" w:line="8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06" w:lineRule="exact"/>
        <w:rPr>
          <w:sz w:val="20"/>
          <w:szCs w:val="20"/>
          <w:color w:val="auto"/>
        </w:rPr>
      </w:pPr>
    </w:p>
    <w:p>
      <w:pPr>
        <w:ind w:left="1160" w:right="1279" w:firstLine="293"/>
        <w:spacing w:after="0" w:line="287" w:lineRule="auto"/>
        <w:rPr>
          <w:sz w:val="20"/>
          <w:szCs w:val="20"/>
          <w:color w:val="auto"/>
        </w:rPr>
      </w:pPr>
      <w:r>
        <w:rPr>
          <w:rFonts w:ascii="Arial" w:cs="Arial" w:eastAsia="Arial" w:hAnsi="Arial"/>
          <w:sz w:val="13"/>
          <w:szCs w:val="13"/>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85" w:lineRule="exact"/>
        <w:rPr>
          <w:sz w:val="20"/>
          <w:szCs w:val="20"/>
          <w:color w:val="auto"/>
        </w:rPr>
      </w:pPr>
    </w:p>
    <w:p>
      <w:pPr>
        <w:ind w:left="1160" w:right="1279" w:firstLine="293"/>
        <w:spacing w:after="0" w:line="246" w:lineRule="auto"/>
        <w:rPr>
          <w:sz w:val="20"/>
          <w:szCs w:val="20"/>
          <w:color w:val="auto"/>
        </w:rPr>
      </w:pPr>
      <w:r>
        <w:rPr>
          <w:rFonts w:ascii="Arial" w:cs="Arial" w:eastAsia="Arial" w:hAnsi="Arial"/>
          <w:sz w:val="15"/>
          <w:szCs w:val="15"/>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COVID-19 Impact on the Airline Industry</w:t>
      </w:r>
    </w:p>
    <w:p>
      <w:pPr>
        <w:spacing w:after="0" w:line="117"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a monthly average of 24.6 million passengers for the period from July 1, 2020 to October 31, 2020, those levels are still down 65%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continue to become more widely distributed in 2021. The initial beneficiaries of the travel rebound are expected to be leisure and VFR focused LCCs and ULCCs, while the more international and business travel exposed legacy network airlines are expected to lag behind.</w:t>
      </w:r>
    </w:p>
    <w:p>
      <w:pPr>
        <w:spacing w:after="0" w:line="103" w:lineRule="exact"/>
        <w:rPr>
          <w:sz w:val="20"/>
          <w:szCs w:val="20"/>
          <w:color w:val="auto"/>
        </w:rPr>
      </w:pPr>
    </w:p>
    <w:p>
      <w:pPr>
        <w:ind w:left="1160" w:right="1239" w:firstLine="293"/>
        <w:spacing w:after="0" w:line="294" w:lineRule="auto"/>
        <w:rPr>
          <w:sz w:val="20"/>
          <w:szCs w:val="20"/>
          <w:color w:val="auto"/>
        </w:rPr>
      </w:pPr>
      <w:r>
        <w:rPr>
          <w:rFonts w:ascii="Arial" w:cs="Arial" w:eastAsia="Arial" w:hAnsi="Arial"/>
          <w:sz w:val="13"/>
          <w:szCs w:val="13"/>
          <w:color w:val="auto"/>
        </w:rPr>
        <w:t>As COVID-19 has spread globally, many countries imposed strict international travel restrictions and more recently enacted mandatory quarantines or COVID testing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spacing w:after="0" w:line="254" w:lineRule="auto"/>
        <w:rPr>
          <w:sz w:val="20"/>
          <w:szCs w:val="20"/>
          <w:color w:val="auto"/>
        </w:rPr>
      </w:pPr>
      <w:r>
        <w:rPr>
          <w:rFonts w:ascii="Arial" w:cs="Arial" w:eastAsia="Arial" w:hAnsi="Arial"/>
          <w:sz w:val="15"/>
          <w:szCs w:val="15"/>
          <w:color w:val="auto"/>
        </w:rPr>
        <w:t>volumes since April 2020. For the period from January 1, 2021 to April 30, 2021, international capacity for U.S. airlines was down 60% compared to the same timeframe in 2019, whereas domestic capacity was down 32% for the same period.</w:t>
      </w:r>
    </w:p>
    <w:p>
      <w:pPr>
        <w:spacing w:after="0" w:line="90"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Pre-and post-flight COVID-19 rapid testing has recently been introduced as an additional tool to avoid mandatory quarantine periods for international and some domestic travel, and it is expected to, along with widely distributed vaccines, facilitate the recovery in air passenger traffic as travel restrictions are lifted across the globe.</w:t>
      </w:r>
    </w:p>
    <w:p>
      <w:pPr>
        <w:spacing w:after="0" w:line="8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 -to-point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9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b w:val="1"/>
          <w:bCs w:val="1"/>
          <w:i w:val="1"/>
          <w:iCs w:val="1"/>
          <w:color w:val="auto"/>
        </w:rPr>
        <w:t>Charter</w:t>
      </w:r>
      <w:r>
        <w:rPr>
          <w:rFonts w:ascii="Arial" w:cs="Arial" w:eastAsia="Arial" w:hAnsi="Arial"/>
          <w:sz w:val="14"/>
          <w:szCs w:val="14"/>
          <w:color w:val="auto"/>
        </w:rPr>
        <w:t>. Our charter business, which is one of the largest narrow body charter operations in the United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 -term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 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5" w:lineRule="auto"/>
        <w:rPr>
          <w:sz w:val="20"/>
          <w:szCs w:val="20"/>
          <w:color w:val="auto"/>
        </w:rPr>
      </w:pPr>
      <w:r>
        <w:rPr>
          <w:rFonts w:ascii="Arial" w:cs="Arial" w:eastAsia="Arial" w:hAnsi="Arial"/>
          <w:sz w:val="14"/>
          <w:szCs w:val="14"/>
          <w:color w:val="auto"/>
        </w:rPr>
        <w:t>charter revenue by approximately 32% while providing charter services to 395 destinations in 27 countries across the world. While our charter revenues were down as a result of COVID-19, they rebounded in the second half of 2020 and into the first quarter of 2021.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75"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color w:val="auto"/>
        </w:rPr>
        <w:t>On December 13, 2019, we signed the ATSA with Amazon to provide air cargo services.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ind w:left="1160"/>
        <w:spacing w:after="0" w:line="234" w:lineRule="auto"/>
        <w:rPr>
          <w:sz w:val="20"/>
          <w:szCs w:val="20"/>
          <w:color w:val="auto"/>
        </w:rPr>
      </w:pPr>
      <w:r>
        <w:rPr>
          <w:rFonts w:ascii="Arial" w:cs="Arial" w:eastAsia="Arial" w:hAnsi="Arial"/>
          <w:sz w:val="15"/>
          <w:szCs w:val="15"/>
          <w:color w:val="auto"/>
        </w:rPr>
        <w:t>737-800 cargo aircraft for Amazon (having been awarded two additional aircraft in October and</w:t>
      </w:r>
    </w:p>
    <w:p>
      <w:pPr>
        <w:ind w:left="116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ind w:left="1160"/>
        <w:spacing w:after="0" w:line="234" w:lineRule="auto"/>
        <w:rPr>
          <w:sz w:val="20"/>
          <w:szCs w:val="20"/>
          <w:color w:val="auto"/>
        </w:rPr>
      </w:pPr>
      <w:r>
        <w:rPr>
          <w:rFonts w:ascii="Arial" w:cs="Arial" w:eastAsia="Arial" w:hAnsi="Arial"/>
          <w:sz w:val="15"/>
          <w:szCs w:val="15"/>
          <w:color w:val="auto"/>
        </w:rPr>
        <w:t>carrier certificate, crew, aircraft line maintenance and insurance, all of which allow us to leverage our</w:t>
      </w:r>
    </w:p>
    <w:p>
      <w:pPr>
        <w:ind w:left="1160"/>
        <w:spacing w:after="0"/>
        <w:rPr>
          <w:sz w:val="20"/>
          <w:szCs w:val="20"/>
          <w:color w:val="auto"/>
        </w:rPr>
      </w:pPr>
      <w:r>
        <w:rPr>
          <w:rFonts w:ascii="Arial" w:cs="Arial" w:eastAsia="Arial" w:hAnsi="Arial"/>
          <w:sz w:val="14"/>
          <w:szCs w:val="14"/>
          <w:color w:val="auto"/>
        </w:rPr>
        <w:t>existing operational expertise from our scheduled service and charter businesses. The ATSA has generated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growth opportunities by establishing a long-term partnership with Amazon. Our cargo business also enables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company. For example, we believe that by deploying pilots across each of our business lines, we</w:t>
      </w:r>
    </w:p>
    <w:p>
      <w:pPr>
        <w:ind w:left="1160"/>
        <w:spacing w:after="0"/>
        <w:rPr>
          <w:sz w:val="20"/>
          <w:szCs w:val="20"/>
          <w:color w:val="auto"/>
        </w:rPr>
      </w:pPr>
      <w:r>
        <w:rPr>
          <w:rFonts w:ascii="Arial" w:cs="Arial" w:eastAsia="Arial" w:hAnsi="Arial"/>
          <w:sz w:val="15"/>
          <w:szCs w:val="15"/>
          <w:color w:val="auto"/>
        </w:rPr>
        <w:t>increase the efficiency of our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7" w:lineRule="exact"/>
        <w:rPr>
          <w:sz w:val="20"/>
          <w:szCs w:val="20"/>
          <w:color w:val="auto"/>
        </w:rPr>
      </w:pPr>
    </w:p>
    <w:p>
      <w:pPr>
        <w:ind w:left="1600" w:right="1319" w:hanging="143"/>
        <w:spacing w:after="0" w:line="251"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58" w:lineRule="exact"/>
        <w:rPr>
          <w:rFonts w:ascii="Arial" w:cs="Arial" w:eastAsia="Arial" w:hAnsi="Arial"/>
          <w:sz w:val="15"/>
          <w:szCs w:val="15"/>
          <w:color w:val="auto"/>
        </w:rPr>
      </w:pPr>
    </w:p>
    <w:p>
      <w:pPr>
        <w:ind w:left="1600" w:right="1279" w:hanging="143"/>
        <w:spacing w:after="0" w:line="297" w:lineRule="auto"/>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00" w:right="1219" w:hanging="143"/>
        <w:spacing w:after="0" w:line="25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67"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24"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net proceeds from the initial public offering to repay all amounts outstanding under the CARES Act Loan. A portion of the proceeds was used to pay fees and expenses in connection with the initial public offering. The remaining net proceeds will be used for general corporate purposes, including to acquire additional aircraft.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1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97"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which has now been repaid in full, without issuing any warrants, unlike nearly all other carriers with whom we compete that received government assistance. We have also maintained our pre-COVID-19 corporate credit ratings throughout the downturn. With the expectation that COVID-19 vaccines continue to become more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109"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Competitive Strengths</w:t>
      </w:r>
    </w:p>
    <w:p>
      <w:pPr>
        <w:spacing w:after="0" w:line="11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93"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b w:val="1"/>
          <w:bCs w:val="1"/>
          <w:i w:val="1"/>
          <w:iCs w:val="1"/>
          <w:color w:val="auto"/>
        </w:rPr>
        <w:t xml:space="preserve">Diversified and Resilient Business Model. </w:t>
      </w:r>
      <w:r>
        <w:rPr>
          <w:rFonts w:ascii="Arial" w:cs="Arial" w:eastAsia="Arial" w:hAnsi="Arial"/>
          <w:sz w:val="15"/>
          <w:szCs w:val="15"/>
          <w:color w:val="auto"/>
        </w:rPr>
        <w:t>Our diversified business model, which includes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in June 2020. Our cargo business exhibited steady growth in 2020 and into 2021 as flying ramped up and demand remained strong, driven by underlying secular growth in e-commerce.</w:t>
      </w:r>
    </w:p>
    <w:p>
      <w:pPr>
        <w:spacing w:after="0" w:line="83"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3"/>
          <w:szCs w:val="13"/>
          <w:b w:val="1"/>
          <w:bCs w:val="1"/>
          <w:i w:val="1"/>
          <w:iCs w:val="1"/>
          <w:color w:val="auto"/>
        </w:rPr>
        <w:t xml:space="preserve">Agile Peak Demand Scheduling Strategy. </w:t>
      </w:r>
      <w:r>
        <w:rPr>
          <w:rFonts w:ascii="Arial" w:cs="Arial" w:eastAsia="Arial" w:hAnsi="Arial"/>
          <w:sz w:val="13"/>
          <w:szCs w:val="13"/>
          <w:color w:val="auto"/>
        </w:rPr>
        <w:t>We flex our capacity by day of the week, month of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line of 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179070</wp:posOffset>
            </wp:positionV>
            <wp:extent cx="4241800" cy="254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4180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99" w:lineRule="exact"/>
        <w:rPr>
          <w:sz w:val="20"/>
          <w:szCs w:val="20"/>
          <w:color w:val="auto"/>
        </w:rPr>
      </w:pPr>
    </w:p>
    <w:p>
      <w:pPr>
        <w:ind w:left="1160" w:right="1259" w:firstLine="293"/>
        <w:spacing w:after="0" w:line="258"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83" w:lineRule="exact"/>
        <w:rPr>
          <w:sz w:val="20"/>
          <w:szCs w:val="20"/>
          <w:color w:val="auto"/>
        </w:rPr>
      </w:pPr>
    </w:p>
    <w:p>
      <w:pPr>
        <w:jc w:val="both"/>
        <w:ind w:left="1160" w:right="1199" w:firstLine="293"/>
        <w:spacing w:after="0" w:line="294"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3" w:lineRule="exact"/>
        <w:rPr>
          <w:sz w:val="20"/>
          <w:szCs w:val="20"/>
          <w:color w:val="auto"/>
        </w:rPr>
      </w:pPr>
    </w:p>
    <w:p>
      <w:pPr>
        <w:ind w:left="1600" w:right="1179" w:hanging="143"/>
        <w:spacing w:after="0" w:line="247"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75"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71% of our Minneapolis originating passengers have checked in either online or at a kiosk. System wide over 66% of our passengers have checked in electronically. These tools increase the chances that the passenger can skip the check in counter, which we believe improves our customers’ experience while also reducing costs.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83" w:lineRule="exact"/>
        <w:rPr>
          <w:sz w:val="20"/>
          <w:szCs w:val="20"/>
          <w:color w:val="auto"/>
        </w:rPr>
      </w:pPr>
    </w:p>
    <w:p>
      <w:pPr>
        <w:jc w:val="both"/>
        <w:ind w:left="1160" w:right="1179" w:firstLine="293"/>
        <w:spacing w:after="0" w:line="279" w:lineRule="auto"/>
        <w:rPr>
          <w:sz w:val="20"/>
          <w:szCs w:val="20"/>
          <w:color w:val="auto"/>
        </w:rPr>
      </w:pPr>
      <w:r>
        <w:rPr>
          <w:rFonts w:ascii="Arial" w:cs="Arial" w:eastAsia="Arial" w:hAnsi="Arial"/>
          <w:sz w:val="13"/>
          <w:szCs w:val="13"/>
          <w:b w:val="1"/>
          <w:bCs w:val="1"/>
          <w:i w:val="1"/>
          <w:iCs w:val="1"/>
          <w:color w:val="auto"/>
        </w:rPr>
        <w:t xml:space="preserve">Competitive Low Cost Structure. </w:t>
      </w:r>
      <w:r>
        <w:rPr>
          <w:rFonts w:ascii="Arial" w:cs="Arial" w:eastAsia="Arial" w:hAnsi="Arial"/>
          <w:sz w:val="13"/>
          <w:szCs w:val="13"/>
          <w:color w:val="auto"/>
        </w:rPr>
        <w:t>Our CASM declined from 10.09 cents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2" w:lineRule="auto"/>
        <w:rPr>
          <w:sz w:val="20"/>
          <w:szCs w:val="20"/>
          <w:color w:val="auto"/>
        </w:rPr>
      </w:pPr>
      <w:r>
        <w:rPr>
          <w:rFonts w:ascii="Arial" w:cs="Arial" w:eastAsia="Arial" w:hAnsi="Arial"/>
          <w:sz w:val="14"/>
          <w:szCs w:val="14"/>
          <w:color w:val="auto"/>
        </w:rPr>
        <w:t>renegotiation of distribution contracts, consolidation of staff at headquarters on airport property and various other initiatives. Our CASM and Adjusted CASM for the year ended December 31, 2020 of 8.91 cents and 7.57 cents and for the three months ended March 31, 2021 of 7.46 cents and 6.15 cents, respectively, were adversely impacted due to the COVID-19 pandemic. While Adjusted CASM for all U.S. airlines increased in 2020 as a result of the COVID -19 induced downturn, we believe that our business model and strategy positions us well to maintain and improve our Adjusted CASM in the future, while maintaining lower utilization rates than many other U.S. passenger airlines.</w:t>
      </w:r>
    </w:p>
    <w:p>
      <w:pPr>
        <w:spacing w:after="0" w:line="8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97"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16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60" w:right="157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00" w:right="1579" w:hanging="143"/>
        <w:spacing w:after="0" w:line="25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Network</w:t>
      </w:r>
      <w:r>
        <w:rPr>
          <w:rFonts w:ascii="Arial" w:cs="Arial" w:eastAsia="Arial" w:hAnsi="Arial"/>
          <w:sz w:val="15"/>
          <w:szCs w:val="15"/>
          <w:color w:val="auto"/>
        </w:rPr>
        <w:t>. 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Our network strategy is expected to support passenger fleet growth to approximately 50 aircraft by the end of 2023.</w:t>
      </w:r>
    </w:p>
    <w:p>
      <w:pPr>
        <w:spacing w:after="0" w:line="67" w:lineRule="exact"/>
        <w:rPr>
          <w:rFonts w:ascii="Arial" w:cs="Arial" w:eastAsia="Arial" w:hAnsi="Arial"/>
          <w:sz w:val="15"/>
          <w:szCs w:val="15"/>
          <w:color w:val="auto"/>
        </w:rPr>
      </w:pPr>
    </w:p>
    <w:p>
      <w:pPr>
        <w:ind w:left="1600" w:right="1359" w:hanging="143"/>
        <w:spacing w:after="0" w:line="251"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Fleet</w:t>
      </w:r>
      <w:r>
        <w:rPr>
          <w:rFonts w:ascii="Arial" w:cs="Arial" w:eastAsia="Arial" w:hAnsi="Arial"/>
          <w:sz w:val="15"/>
          <w:szCs w:val="15"/>
          <w:color w:val="auto"/>
        </w:rPr>
        <w:t>. 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69" w:lineRule="exact"/>
        <w:rPr>
          <w:rFonts w:ascii="Arial" w:cs="Arial" w:eastAsia="Arial" w:hAnsi="Arial"/>
          <w:sz w:val="15"/>
          <w:szCs w:val="15"/>
          <w:color w:val="auto"/>
        </w:rPr>
      </w:pPr>
    </w:p>
    <w:p>
      <w:pPr>
        <w:ind w:left="1600" w:right="1259" w:hanging="143"/>
        <w:spacing w:after="0" w:line="25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Customer</w:t>
      </w:r>
      <w:r>
        <w:rPr>
          <w:rFonts w:ascii="Arial" w:cs="Arial" w:eastAsia="Arial" w:hAnsi="Arial"/>
          <w:sz w:val="15"/>
          <w:szCs w:val="15"/>
          <w:color w:val="auto"/>
        </w:rPr>
        <w:t>. 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Culture</w:t>
      </w:r>
      <w:r>
        <w:rPr>
          <w:rFonts w:ascii="Arial" w:cs="Arial" w:eastAsia="Arial" w:hAnsi="Arial"/>
          <w:sz w:val="15"/>
          <w:szCs w:val="15"/>
          <w:color w:val="auto"/>
        </w:rPr>
        <w:t>. 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59" w:lineRule="exact"/>
        <w:rPr>
          <w:rFonts w:ascii="Arial" w:cs="Arial" w:eastAsia="Arial" w:hAnsi="Arial"/>
          <w:sz w:val="15"/>
          <w:szCs w:val="15"/>
          <w:color w:val="auto"/>
        </w:rPr>
      </w:pPr>
    </w:p>
    <w:p>
      <w:pPr>
        <w:ind w:left="1600" w:right="1819" w:hanging="143"/>
        <w:spacing w:after="0" w:line="26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Operations</w:t>
      </w:r>
      <w:r>
        <w:rPr>
          <w:rFonts w:ascii="Arial" w:cs="Arial" w:eastAsia="Arial" w:hAnsi="Arial"/>
          <w:sz w:val="15"/>
          <w:szCs w:val="15"/>
          <w:color w:val="auto"/>
        </w:rPr>
        <w:t>. 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82"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94"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1"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84"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9"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b w:val="1"/>
          <w:bCs w:val="1"/>
          <w:i w:val="1"/>
          <w:iCs w:val="1"/>
          <w:color w:val="auto"/>
        </w:rPr>
        <w:t>Continue to Increase Our Margins and Free Cash Flow</w:t>
      </w:r>
      <w:r>
        <w:rPr>
          <w:rFonts w:ascii="Arial" w:cs="Arial" w:eastAsia="Arial" w:hAnsi="Arial"/>
          <w:sz w:val="13"/>
          <w:szCs w:val="13"/>
          <w:color w:val="auto"/>
        </w:rPr>
        <w:t>. 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spacing w:after="0" w:line="1" w:lineRule="exact"/>
        <w:rPr>
          <w:sz w:val="20"/>
          <w:szCs w:val="20"/>
          <w:color w:val="auto"/>
        </w:rPr>
      </w:pPr>
    </w:p>
    <w:p>
      <w:pPr>
        <w:ind w:left="1160" w:right="1199"/>
        <w:spacing w:after="0" w:line="286" w:lineRule="auto"/>
        <w:rPr>
          <w:sz w:val="20"/>
          <w:szCs w:val="20"/>
          <w:color w:val="auto"/>
        </w:rPr>
      </w:pPr>
      <w:r>
        <w:rPr>
          <w:rFonts w:ascii="Arial" w:cs="Arial" w:eastAsia="Arial" w:hAnsi="Arial"/>
          <w:sz w:val="13"/>
          <w:szCs w:val="13"/>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Scheduled Service Business</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3"/>
          <w:szCs w:val="13"/>
          <w:color w:val="auto"/>
        </w:rPr>
        <w:t>We provide low- fare passenger airline service primarily to leisure and VFR travelers. Our low fares are designed to stimulate demand from price-sensitive travelers seeking a superior product to ULCCs. For 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w:t>
      </w:r>
    </w:p>
    <w:p>
      <w:pPr>
        <w:spacing w:after="0" w:line="3" w:lineRule="exact"/>
        <w:rPr>
          <w:sz w:val="20"/>
          <w:szCs w:val="20"/>
          <w:color w:val="auto"/>
        </w:rPr>
      </w:pPr>
    </w:p>
    <w:p>
      <w:pPr>
        <w:jc w:val="both"/>
        <w:ind w:left="1160" w:right="1319"/>
        <w:spacing w:after="0" w:line="233" w:lineRule="auto"/>
        <w:rPr>
          <w:sz w:val="20"/>
          <w:szCs w:val="20"/>
          <w:color w:val="auto"/>
        </w:rPr>
      </w:pPr>
      <w:r>
        <w:rPr>
          <w:rFonts w:ascii="Arial" w:cs="Arial" w:eastAsia="Arial" w:hAnsi="Arial"/>
          <w:sz w:val="15"/>
          <w:szCs w:val="15"/>
          <w:color w:val="auto"/>
        </w:rPr>
        <w:t>1.7 million passengers, which was impacted dramatically by the COVID-19 pandemic. We believe that the year ended 2019 is a more useful indicator of our average base fare and passenger statistics during normal industry conditions.</w:t>
      </w:r>
    </w:p>
    <w:p>
      <w:pPr>
        <w:spacing w:after="0" w:line="10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COVID- 19 pandemic, which drove a decline in the number of passengers, and during which we ceased onboard sales, among other actions to reduce the spread of the virus. We believe that the year ended 2019 is a more useful indicator of our ancillary revenue per passenger during normal industry conditions.</w:t>
      </w:r>
    </w:p>
    <w:p>
      <w:pPr>
        <w:spacing w:after="0" w:line="99"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3"/>
          <w:szCs w:val="13"/>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7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 xml:space="preserve">We also offer interline connectivity with international and domestic airlines. In mid-2019, prior to our transition to </w:t>
      </w:r>
      <w:r>
        <w:rPr>
          <w:rFonts w:ascii="Arial" w:cs="Arial" w:eastAsia="Arial" w:hAnsi="Arial"/>
          <w:sz w:val="15"/>
          <w:szCs w:val="15"/>
          <w:i w:val="1"/>
          <w:iCs w:val="1"/>
          <w:color w:val="auto"/>
        </w:rPr>
        <w:t>Navitaire</w:t>
      </w:r>
      <w:r>
        <w:rPr>
          <w:rFonts w:ascii="Arial" w:cs="Arial" w:eastAsia="Arial" w:hAnsi="Arial"/>
          <w:sz w:val="15"/>
          <w:szCs w:val="15"/>
          <w:color w:val="auto"/>
        </w:rPr>
        <w:t>, we offered interline connectivity with seven carriers. We have reestablished interline connectivity in our new booking system and have identified additional opportunities to grow our interline connectivity.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Charter Business</w:t>
      </w:r>
    </w:p>
    <w:p>
      <w:pPr>
        <w:spacing w:after="0" w:line="128"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 -term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95" w:lineRule="exact"/>
        <w:rPr>
          <w:sz w:val="20"/>
          <w:szCs w:val="20"/>
          <w:color w:val="auto"/>
        </w:rPr>
      </w:pPr>
    </w:p>
    <w:p>
      <w:pPr>
        <w:jc w:val="both"/>
        <w:ind w:left="1160" w:right="1219" w:firstLine="293"/>
        <w:spacing w:after="0" w:line="264" w:lineRule="auto"/>
        <w:rPr>
          <w:sz w:val="20"/>
          <w:szCs w:val="20"/>
          <w:color w:val="auto"/>
        </w:rPr>
      </w:pPr>
      <w:r>
        <w:rPr>
          <w:rFonts w:ascii="Arial" w:cs="Arial" w:eastAsia="Arial" w:hAnsi="Arial"/>
          <w:sz w:val="14"/>
          <w:szCs w:val="14"/>
          <w:color w:val="auto"/>
        </w:rPr>
        <w:t>Our charter business proved more resilient during the COVID-19 induced downturn by returning closer to pre -downturn levels more quickly than scheduled service. Our scheduled service revenue was down 59% in the fourth quarter of 2020, whereas our charter revenue was only down 24% for the same period.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w:t>
      </w:r>
    </w:p>
    <w:p>
      <w:pPr>
        <w:spacing w:after="0" w:line="1" w:lineRule="exact"/>
        <w:rPr>
          <w:sz w:val="20"/>
          <w:szCs w:val="20"/>
          <w:color w:val="auto"/>
        </w:rPr>
      </w:pPr>
    </w:p>
    <w:p>
      <w:pPr>
        <w:ind w:left="1160" w:right="1399"/>
        <w:spacing w:after="0" w:line="233" w:lineRule="auto"/>
        <w:rPr>
          <w:sz w:val="20"/>
          <w:szCs w:val="20"/>
          <w:color w:val="auto"/>
        </w:rPr>
      </w:pPr>
      <w:r>
        <w:rPr>
          <w:rFonts w:ascii="Arial" w:cs="Arial" w:eastAsia="Arial" w:hAnsi="Arial"/>
          <w:sz w:val="15"/>
          <w:szCs w:val="15"/>
          <w:color w:val="auto"/>
        </w:rPr>
        <w:t>$152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Cargo Business</w:t>
      </w:r>
    </w:p>
    <w:p>
      <w:pPr>
        <w:spacing w:after="0" w:line="117"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On December 13, 2019, we signed the ATSA with Amazon to provide air cargo services. The ATSA is a six -year contract and includes two, two-year extensions exercisable at Amazon’s option, providing for a total term of ten years if both extension options are exercised. The option to renew the ATSA for two additional two- year terms is at Amazon’s sole discretion, subject to Amazon providing Sun Country with at least 180 days’ prior written notice before the expiration of the then-current term. Flying under the ATSA began in May 2020 and, as of today, we are flying 12 Boeing 737 -800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9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COVID- 19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Route Network</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network strategy is optimized between four key segments: MSP, non-MSP, charter services and</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cargo services. As Minnesota’s hometown airline, a substantial portion of our business is serving markets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originating or ending in MSP. Our MSP network has grown 14% since 2017, as measured by ASMs, and,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2019, we served approximately 52 markets from MSP. We served 51 markets from MSP in 2020, in spite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COVID-19 downturn. We believe that our TRASM in our MSP network for the year ended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was higher than any ULCC in its hub. We have a leading position at Terminal 2 in MSP,</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which is preferred by many flyers because of its smaller layout, shorter security wait times, close parking</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relative to check-in and full suite of retail shops. We account for approximately 50% of the departures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operate out of eight or more of Terminal 2’s 14 gates, as needed. We are the number two carrier at MSP by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seat share. Moreover, we are the largest low-cost airline at MSP, with significant opportunity to continue to</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 both seat share and destinations. If we successfully implement our strategy, we believe we can grow</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seat share from 7.7% to 12.5%, which is roughly equivalent to what our competitors have in their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primary hubs.</w:t>
      </w:r>
    </w:p>
    <w:p>
      <w:pPr>
        <w:spacing w:after="0" w:line="10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Non-MSP service is an increasingly significant portion of our business, having grown from eight non-MSP markets in 2017 to 52 in 2019. Non-MSP service was a source of significant growth from 2017 to 2019. During 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Below are maps of the routes we operated in 2017 and 2020 (including routes we operate on a seasonal basis):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right="1279" w:firstLine="293"/>
        <w:spacing w:after="0" w:line="289" w:lineRule="auto"/>
        <w:rPr>
          <w:sz w:val="20"/>
          <w:szCs w:val="20"/>
          <w:color w:val="auto"/>
        </w:rPr>
      </w:pPr>
      <w:r>
        <w:rPr>
          <w:rFonts w:ascii="Arial" w:cs="Arial" w:eastAsia="Arial" w:hAnsi="Arial"/>
          <w:sz w:val="13"/>
          <w:szCs w:val="13"/>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83" w:lineRule="exact"/>
        <w:rPr>
          <w:sz w:val="20"/>
          <w:szCs w:val="20"/>
          <w:color w:val="auto"/>
        </w:rPr>
      </w:pPr>
    </w:p>
    <w:p>
      <w:pPr>
        <w:ind w:left="1160" w:right="1579" w:firstLine="293"/>
        <w:spacing w:after="0" w:line="300" w:lineRule="auto"/>
        <w:rPr>
          <w:sz w:val="20"/>
          <w:szCs w:val="20"/>
          <w:color w:val="auto"/>
        </w:rPr>
      </w:pPr>
      <w:r>
        <w:rPr>
          <w:rFonts w:ascii="Arial" w:cs="Arial" w:eastAsia="Arial" w:hAnsi="Arial"/>
          <w:sz w:val="14"/>
          <w:szCs w:val="14"/>
          <w:color w:val="auto"/>
        </w:rPr>
        <w:t>Our air carrier operating certificate, labor agreements and operating capabilities allow us to fly to numerous destinations worldwide, which we believe is a benefit to our charter service. We captured</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7" w:lineRule="auto"/>
        <w:rPr>
          <w:sz w:val="20"/>
          <w:szCs w:val="20"/>
          <w:color w:val="auto"/>
        </w:rPr>
      </w:pPr>
      <w:r>
        <w:rPr>
          <w:rFonts w:ascii="Arial" w:cs="Arial" w:eastAsia="Arial" w:hAnsi="Arial"/>
          <w:sz w:val="15"/>
          <w:szCs w:val="15"/>
          <w:color w:val="auto"/>
        </w:rPr>
        <w:t>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96"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28"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02"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95"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01"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9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82" w:lineRule="exact"/>
        <w:rPr>
          <w:sz w:val="20"/>
          <w:szCs w:val="20"/>
          <w:color w:val="auto"/>
        </w:rPr>
      </w:pPr>
    </w:p>
    <w:p>
      <w:pPr>
        <w:jc w:val="both"/>
        <w:ind w:left="1160" w:right="1359" w:firstLine="293"/>
        <w:spacing w:after="0" w:line="251" w:lineRule="auto"/>
        <w:rPr>
          <w:sz w:val="20"/>
          <w:szCs w:val="20"/>
          <w:color w:val="auto"/>
        </w:rPr>
      </w:pPr>
      <w:r>
        <w:rPr>
          <w:rFonts w:ascii="Arial" w:cs="Arial" w:eastAsia="Arial" w:hAnsi="Arial"/>
          <w:sz w:val="15"/>
          <w:szCs w:val="15"/>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02" w:lineRule="exact"/>
        <w:rPr>
          <w:sz w:val="20"/>
          <w:szCs w:val="20"/>
          <w:color w:val="auto"/>
        </w:rPr>
      </w:pPr>
    </w:p>
    <w:p>
      <w:pPr>
        <w:ind w:left="1160" w:right="1599" w:firstLine="293"/>
        <w:spacing w:after="0" w:line="281" w:lineRule="auto"/>
        <w:rPr>
          <w:sz w:val="20"/>
          <w:szCs w:val="20"/>
          <w:color w:val="auto"/>
        </w:rPr>
      </w:pPr>
      <w:r>
        <w:rPr>
          <w:rFonts w:ascii="Arial" w:cs="Arial" w:eastAsia="Arial" w:hAnsi="Arial"/>
          <w:sz w:val="14"/>
          <w:szCs w:val="14"/>
          <w:color w:val="auto"/>
        </w:rPr>
        <w:t xml:space="preserve">See also </w:t>
      </w:r>
      <w:r>
        <w:rPr>
          <w:rFonts w:ascii="Arial" w:cs="Arial" w:eastAsia="Arial" w:hAnsi="Arial"/>
          <w:sz w:val="14"/>
          <w:szCs w:val="14"/>
          <w:i w:val="1"/>
          <w:iCs w:val="1"/>
          <w:color w:val="auto"/>
        </w:rPr>
        <w:t>“Risk Factors—Risks Related to Our Industry—The airline industry is exceedingly</w:t>
      </w:r>
      <w:r>
        <w:rPr>
          <w:rFonts w:ascii="Arial" w:cs="Arial" w:eastAsia="Arial" w:hAnsi="Arial"/>
          <w:sz w:val="14"/>
          <w:szCs w:val="14"/>
          <w:color w:val="auto"/>
        </w:rPr>
        <w:t xml:space="preserve"> </w:t>
      </w:r>
      <w:r>
        <w:rPr>
          <w:rFonts w:ascii="Arial" w:cs="Arial" w:eastAsia="Arial" w:hAnsi="Arial"/>
          <w:sz w:val="14"/>
          <w:szCs w:val="14"/>
          <w:i w:val="1"/>
          <w:iCs w:val="1"/>
          <w:color w:val="auto"/>
        </w:rPr>
        <w:t>competitive, and we compete against LCCS, ULCCs and legacy network airlines; if we are not able to compete successfully in our markets, our business will be materially adversely affected.”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Seasonality</w:t>
      </w:r>
    </w:p>
    <w:p>
      <w:pPr>
        <w:spacing w:after="0" w:line="11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93"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w:t>
      </w:r>
    </w:p>
    <w:p>
      <w:pPr>
        <w:spacing w:after="0" w:line="12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7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5"/>
          <w:szCs w:val="15"/>
          <w:i w:val="1"/>
          <w:iCs w:val="1"/>
          <w:color w:val="auto"/>
        </w:rPr>
        <w:t>Navitaire</w:t>
      </w:r>
      <w:r>
        <w:rPr>
          <w:rFonts w:ascii="Arial" w:cs="Arial" w:eastAsia="Arial" w:hAnsi="Arial"/>
          <w:sz w:val="15"/>
          <w:szCs w:val="15"/>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09"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93" w:lineRule="exact"/>
        <w:rPr>
          <w:sz w:val="20"/>
          <w:szCs w:val="20"/>
          <w:color w:val="auto"/>
        </w:rPr>
      </w:pPr>
    </w:p>
    <w:p>
      <w:pPr>
        <w:ind w:left="1160" w:right="1379" w:firstLine="293"/>
        <w:spacing w:after="0" w:line="297" w:lineRule="auto"/>
        <w:rPr>
          <w:sz w:val="20"/>
          <w:szCs w:val="20"/>
          <w:color w:val="auto"/>
        </w:rPr>
      </w:pPr>
      <w:r>
        <w:rPr>
          <w:rFonts w:ascii="Arial" w:cs="Arial" w:eastAsia="Arial" w:hAnsi="Arial"/>
          <w:sz w:val="13"/>
          <w:szCs w:val="13"/>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Marketing</w:t>
      </w:r>
    </w:p>
    <w:p>
      <w:pPr>
        <w:spacing w:after="0" w:line="117"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02"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89"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Customers</w:t>
      </w:r>
    </w:p>
    <w:p>
      <w:pPr>
        <w:spacing w:after="0" w:line="128"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77" w:lineRule="exact"/>
        <w:rPr>
          <w:sz w:val="20"/>
          <w:szCs w:val="20"/>
          <w:color w:val="auto"/>
        </w:rPr>
      </w:pPr>
    </w:p>
    <w:p>
      <w:pPr>
        <w:jc w:val="both"/>
        <w:ind w:left="1160" w:right="1399" w:firstLine="293"/>
        <w:spacing w:after="0" w:line="281" w:lineRule="auto"/>
        <w:rPr>
          <w:sz w:val="20"/>
          <w:szCs w:val="20"/>
          <w:color w:val="auto"/>
        </w:rPr>
      </w:pPr>
      <w:r>
        <w:rPr>
          <w:rFonts w:ascii="Arial" w:cs="Arial" w:eastAsia="Arial" w:hAnsi="Arial"/>
          <w:sz w:val="14"/>
          <w:szCs w:val="14"/>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7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05"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Operational Performance</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439420</wp:posOffset>
            </wp:positionV>
            <wp:extent cx="4241800" cy="24276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241800" cy="242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Source: US DOT Bureau of Transportation Statistics, scheduled passenger service</w:t>
      </w:r>
    </w:p>
    <w:p>
      <w:pPr>
        <w:spacing w:after="0" w:line="102"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During 2020, in order to appropriately respond to changing demand patterns and control costs, due to the COVID- 19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00" w:lineRule="exact"/>
        <w:rPr>
          <w:sz w:val="20"/>
          <w:szCs w:val="20"/>
          <w:color w:val="auto"/>
        </w:rPr>
      </w:pPr>
    </w:p>
    <w:p>
      <w:pPr>
        <w:ind w:left="1160" w:right="1359" w:firstLine="293"/>
        <w:spacing w:after="0" w:line="233" w:lineRule="auto"/>
        <w:rPr>
          <w:sz w:val="20"/>
          <w:szCs w:val="20"/>
          <w:color w:val="auto"/>
        </w:rPr>
      </w:pPr>
      <w:r>
        <w:rPr>
          <w:rFonts w:ascii="Arial" w:cs="Arial" w:eastAsia="Arial" w:hAnsi="Arial"/>
          <w:sz w:val="15"/>
          <w:szCs w:val="15"/>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102"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67"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fly only Boeing 737-NG aircraft, which we believe provides us significant operational and cost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advantages compared to airlines that operate multiple fleet types. Flight crews are interchangeable across all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39" w:lineRule="auto"/>
        <w:rPr>
          <w:sz w:val="20"/>
          <w:szCs w:val="20"/>
          <w:color w:val="auto"/>
        </w:rPr>
      </w:pPr>
      <w:r>
        <w:rPr>
          <w:rFonts w:ascii="Arial" w:cs="Arial" w:eastAsia="Arial" w:hAnsi="Arial"/>
          <w:sz w:val="15"/>
          <w:szCs w:val="15"/>
          <w:color w:val="auto"/>
        </w:rPr>
        <w:t>of our aircraft, and maintenance, spare parts inventories and other operational support are highly simplified relative to more complex fleets. With the addition of CMI services, we expect that these efficiencies will remain intact.</w:t>
      </w:r>
    </w:p>
    <w:p>
      <w:pPr>
        <w:spacing w:after="0" w:line="89" w:lineRule="exact"/>
        <w:rPr>
          <w:sz w:val="20"/>
          <w:szCs w:val="20"/>
          <w:color w:val="auto"/>
        </w:rPr>
      </w:pPr>
    </w:p>
    <w:p>
      <w:pPr>
        <w:ind w:left="1160" w:right="1299" w:firstLine="293"/>
        <w:spacing w:after="0" w:line="270" w:lineRule="auto"/>
        <w:rPr>
          <w:sz w:val="20"/>
          <w:szCs w:val="20"/>
          <w:color w:val="auto"/>
        </w:rPr>
      </w:pPr>
      <w:r>
        <w:rPr>
          <w:rFonts w:ascii="Arial" w:cs="Arial" w:eastAsia="Arial" w:hAnsi="Arial"/>
          <w:sz w:val="13"/>
          <w:szCs w:val="13"/>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w:t>
      </w:r>
    </w:p>
    <w:p>
      <w:pPr>
        <w:spacing w:after="0" w:line="2" w:lineRule="exact"/>
        <w:rPr>
          <w:sz w:val="20"/>
          <w:szCs w:val="20"/>
          <w:color w:val="auto"/>
        </w:rPr>
      </w:pPr>
    </w:p>
    <w:p>
      <w:pPr>
        <w:ind w:left="1160" w:right="1179"/>
        <w:spacing w:after="0" w:line="230" w:lineRule="auto"/>
        <w:rPr>
          <w:sz w:val="20"/>
          <w:szCs w:val="20"/>
          <w:color w:val="auto"/>
        </w:rPr>
      </w:pPr>
      <w:r>
        <w:rPr>
          <w:rFonts w:ascii="Arial" w:cs="Arial" w:eastAsia="Arial" w:hAnsi="Arial"/>
          <w:sz w:val="15"/>
          <w:szCs w:val="15"/>
          <w:color w:val="auto"/>
        </w:rPr>
        <w:t>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05" w:lineRule="exact"/>
        <w:rPr>
          <w:sz w:val="20"/>
          <w:szCs w:val="20"/>
          <w:color w:val="auto"/>
        </w:rPr>
      </w:pPr>
    </w:p>
    <w:p>
      <w:pPr>
        <w:ind w:left="1160" w:right="1579" w:firstLine="293"/>
        <w:spacing w:after="0" w:line="274" w:lineRule="auto"/>
        <w:rPr>
          <w:sz w:val="20"/>
          <w:szCs w:val="20"/>
          <w:color w:val="auto"/>
        </w:rPr>
      </w:pPr>
      <w:r>
        <w:rPr>
          <w:rFonts w:ascii="Arial" w:cs="Arial" w:eastAsia="Arial" w:hAnsi="Arial"/>
          <w:sz w:val="13"/>
          <w:szCs w:val="13"/>
          <w:color w:val="auto"/>
        </w:rPr>
        <w:t>Our fleet of 12 freighters is subleased directly from Amazon and we operate them pursuant to the ATSA. Based upon review of the ATSA, the sublease arrangement does not qualify as a lease under</w:t>
      </w:r>
    </w:p>
    <w:p>
      <w:pPr>
        <w:ind w:left="1160" w:right="1179"/>
        <w:spacing w:after="0" w:line="255" w:lineRule="auto"/>
        <w:rPr>
          <w:sz w:val="20"/>
          <w:szCs w:val="20"/>
          <w:color w:val="auto"/>
        </w:rPr>
      </w:pPr>
      <w:r>
        <w:rPr>
          <w:rFonts w:ascii="Arial" w:cs="Arial" w:eastAsia="Arial" w:hAnsi="Arial"/>
          <w:sz w:val="14"/>
          <w:szCs w:val="14"/>
          <w:color w:val="auto"/>
        </w:rPr>
        <w:t>ASC 842, Leases, because we do not control the use of the aircraft. As such, no right-of -use asset and lease liability is recognized in our financial statements for the Amazon arrangement. We may expand our freighter fleet in order to serve additional cargo customers or provide additional service to Amazon.</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Fuel</w:t>
      </w:r>
    </w:p>
    <w:p>
      <w:pPr>
        <w:spacing w:after="0" w:line="12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1840" w:type="dxa"/>
            <w:vAlign w:val="bottom"/>
            <w:gridSpan w:val="5"/>
          </w:tcPr>
          <w:p>
            <w:pPr>
              <w:jc w:val="right"/>
              <w:ind w:right="212"/>
              <w:spacing w:after="0"/>
              <w:rPr>
                <w:sz w:val="20"/>
                <w:szCs w:val="20"/>
                <w:color w:val="auto"/>
              </w:rPr>
            </w:pPr>
            <w:r>
              <w:rPr>
                <w:rFonts w:ascii="Arial" w:cs="Arial" w:eastAsia="Arial" w:hAnsi="Arial"/>
                <w:sz w:val="12"/>
                <w:szCs w:val="12"/>
                <w:b w:val="1"/>
                <w:bCs w:val="1"/>
                <w:color w:val="auto"/>
              </w:rPr>
              <w:t>Year Ended December 31,</w:t>
            </w:r>
          </w:p>
        </w:tc>
      </w:tr>
      <w:tr>
        <w:trPr>
          <w:trHeight w:val="21"/>
        </w:trPr>
        <w:tc>
          <w:tcPr>
            <w:tcW w:w="4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7"/>
        </w:trPr>
        <w:tc>
          <w:tcPr>
            <w:tcW w:w="484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500" w:type="dxa"/>
            <w:vAlign w:val="bottom"/>
          </w:tcPr>
          <w:p>
            <w:pPr>
              <w:jc w:val="right"/>
              <w:ind w:right="52"/>
              <w:spacing w:after="0"/>
              <w:rPr>
                <w:sz w:val="20"/>
                <w:szCs w:val="20"/>
                <w:color w:val="auto"/>
              </w:rPr>
            </w:pPr>
            <w:r>
              <w:rPr>
                <w:rFonts w:ascii="Arial" w:cs="Arial" w:eastAsia="Arial" w:hAnsi="Arial"/>
                <w:sz w:val="12"/>
                <w:szCs w:val="12"/>
                <w:b w:val="1"/>
                <w:bCs w:val="1"/>
                <w:color w:val="auto"/>
              </w:rPr>
              <w:t>2018</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0"/>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Gallons consumed (in thousands)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43,844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78,042</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64,981</w:t>
            </w:r>
          </w:p>
        </w:tc>
      </w:tr>
      <w:tr>
        <w:trPr>
          <w:trHeight w:val="209"/>
        </w:trPr>
        <w:tc>
          <w:tcPr>
            <w:tcW w:w="4840" w:type="dxa"/>
            <w:vAlign w:val="bottom"/>
          </w:tcPr>
          <w:p>
            <w:pPr>
              <w:spacing w:after="0"/>
              <w:rPr>
                <w:sz w:val="20"/>
                <w:szCs w:val="20"/>
                <w:color w:val="auto"/>
              </w:rPr>
            </w:pPr>
            <w:r>
              <w:rPr>
                <w:rFonts w:ascii="Arial" w:cs="Arial" w:eastAsia="Arial" w:hAnsi="Arial"/>
                <w:sz w:val="15"/>
                <w:szCs w:val="15"/>
                <w:color w:val="auto"/>
              </w:rPr>
              <w:t>Average price per gallon</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  1.60</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  2.26</w:t>
            </w:r>
          </w:p>
        </w:tc>
        <w:tc>
          <w:tcPr>
            <w:tcW w:w="500" w:type="dxa"/>
            <w:vAlign w:val="bottom"/>
          </w:tcPr>
          <w:p>
            <w:pPr>
              <w:jc w:val="right"/>
              <w:spacing w:after="0"/>
              <w:rPr>
                <w:sz w:val="20"/>
                <w:szCs w:val="20"/>
                <w:color w:val="auto"/>
              </w:rPr>
            </w:pPr>
            <w:r>
              <w:rPr>
                <w:rFonts w:ascii="Arial" w:cs="Arial" w:eastAsia="Arial" w:hAnsi="Arial"/>
                <w:sz w:val="15"/>
                <w:szCs w:val="15"/>
                <w:color w:val="auto"/>
              </w:rPr>
              <w:t>$  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-271780</wp:posOffset>
            </wp:positionV>
            <wp:extent cx="392747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Gallons consumed includes scheduled service and charter operations but does not include cargo.</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Average price per gallon includes related fuel fees and taxes but excludes fuel-hedging gains and losses.</w:t>
      </w:r>
    </w:p>
    <w:p>
      <w:pPr>
        <w:spacing w:after="0" w:line="11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3"/>
          <w:szCs w:val="13"/>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 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Technical Operations: Maintenance, Repairs and Overhaul</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89"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9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100" w:lineRule="exact"/>
        <w:rPr>
          <w:sz w:val="20"/>
          <w:szCs w:val="20"/>
          <w:color w:val="auto"/>
        </w:rPr>
      </w:pPr>
    </w:p>
    <w:p>
      <w:pPr>
        <w:ind w:left="1160" w:right="1499" w:firstLine="293"/>
        <w:spacing w:after="0" w:line="236" w:lineRule="auto"/>
        <w:rPr>
          <w:sz w:val="20"/>
          <w:szCs w:val="20"/>
          <w:color w:val="auto"/>
        </w:rPr>
      </w:pPr>
      <w:r>
        <w:rPr>
          <w:rFonts w:ascii="Arial" w:cs="Arial" w:eastAsia="Arial" w:hAnsi="Arial"/>
          <w:sz w:val="15"/>
          <w:szCs w:val="15"/>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Employees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December 31, 2020, we had 1,699 employees.</w:t>
      </w:r>
    </w:p>
    <w:p>
      <w:pPr>
        <w:spacing w:after="0" w:line="113"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00"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w:t>
      </w:r>
    </w:p>
    <w:p>
      <w:pPr>
        <w:spacing w:after="0" w:line="102"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Negotiations were paused by mutual consent in March 2020 due to the COVID-19 pandemic. Our collective bargaining agreement with our pilots was amendable on October 31, 2020. Neither party chose to serve notice to the other party by the amendable date, therefore, the new amendable date is October 31, 2021, although the collective bargaining agreement provides for an “early open” 180 days in advance of such date.</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 of</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1"/>
              </w:rPr>
              <w:t>Status of</w:t>
            </w:r>
          </w:p>
        </w:tc>
      </w:tr>
      <w:tr>
        <w:trPr>
          <w:trHeight w:val="150"/>
        </w:trPr>
        <w:tc>
          <w:tcPr>
            <w:tcW w:w="2060" w:type="dxa"/>
            <w:vAlign w:val="bottom"/>
            <w:gridSpan w:val="2"/>
          </w:tcPr>
          <w:p>
            <w:pPr>
              <w:spacing w:after="0"/>
              <w:rPr>
                <w:sz w:val="20"/>
                <w:szCs w:val="20"/>
                <w:color w:val="auto"/>
              </w:rPr>
            </w:pPr>
            <w:r>
              <w:rPr>
                <w:rFonts w:ascii="Arial" w:cs="Arial" w:eastAsia="Arial" w:hAnsi="Arial"/>
                <w:sz w:val="12"/>
                <w:szCs w:val="12"/>
                <w:b w:val="1"/>
                <w:bCs w:val="1"/>
                <w:color w:val="auto"/>
              </w:rPr>
              <w:t>Employee Groups</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Employees</w:t>
            </w:r>
          </w:p>
        </w:tc>
        <w:tc>
          <w:tcPr>
            <w:tcW w:w="2000" w:type="dxa"/>
            <w:vAlign w:val="bottom"/>
            <w:gridSpan w:val="2"/>
          </w:tcPr>
          <w:p>
            <w:pPr>
              <w:ind w:left="560"/>
              <w:spacing w:after="0"/>
              <w:rPr>
                <w:sz w:val="20"/>
                <w:szCs w:val="20"/>
                <w:color w:val="auto"/>
              </w:rPr>
            </w:pPr>
            <w:r>
              <w:rPr>
                <w:rFonts w:ascii="Arial" w:cs="Arial" w:eastAsia="Arial" w:hAnsi="Arial"/>
                <w:sz w:val="12"/>
                <w:szCs w:val="12"/>
                <w:b w:val="1"/>
                <w:bCs w:val="1"/>
                <w:color w:val="auto"/>
              </w:rPr>
              <w:t>Representative</w:t>
            </w: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4"/>
              </w:rPr>
              <w:t>Agreement/Amendable Date</w:t>
            </w: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8"/>
        </w:trPr>
        <w:tc>
          <w:tcPr>
            <w:tcW w:w="2060" w:type="dxa"/>
            <w:vAlign w:val="bottom"/>
            <w:gridSpan w:val="2"/>
          </w:tcPr>
          <w:p>
            <w:pPr>
              <w:spacing w:after="0"/>
              <w:rPr>
                <w:sz w:val="20"/>
                <w:szCs w:val="20"/>
                <w:color w:val="auto"/>
              </w:rPr>
            </w:pPr>
            <w:r>
              <w:rPr>
                <w:rFonts w:ascii="Arial" w:cs="Arial" w:eastAsia="Arial" w:hAnsi="Arial"/>
                <w:sz w:val="15"/>
                <w:szCs w:val="15"/>
                <w:color w:val="auto"/>
              </w:rPr>
              <w:t>Pilots</w:t>
            </w:r>
          </w:p>
        </w:tc>
        <w:tc>
          <w:tcPr>
            <w:tcW w:w="560" w:type="dxa"/>
            <w:vAlign w:val="bottom"/>
          </w:tcPr>
          <w:p>
            <w:pPr>
              <w:jc w:val="center"/>
              <w:spacing w:after="0"/>
              <w:rPr>
                <w:sz w:val="20"/>
                <w:szCs w:val="20"/>
                <w:color w:val="auto"/>
              </w:rPr>
            </w:pPr>
            <w:r>
              <w:rPr>
                <w:rFonts w:ascii="Arial" w:cs="Arial" w:eastAsia="Arial" w:hAnsi="Arial"/>
                <w:sz w:val="15"/>
                <w:szCs w:val="15"/>
                <w:color w:val="auto"/>
                <w:w w:val="87"/>
              </w:rPr>
              <w:t>395</w:t>
            </w:r>
          </w:p>
        </w:tc>
        <w:tc>
          <w:tcPr>
            <w:tcW w:w="18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5"/>
                <w:szCs w:val="15"/>
                <w:color w:val="auto"/>
                <w:w w:val="96"/>
              </w:rPr>
              <w:t>Air Line Pilots Association</w:t>
            </w:r>
          </w:p>
        </w:tc>
        <w:tc>
          <w:tcPr>
            <w:tcW w:w="1880" w:type="dxa"/>
            <w:vAlign w:val="bottom"/>
          </w:tcPr>
          <w:p>
            <w:pPr>
              <w:jc w:val="center"/>
              <w:spacing w:after="0"/>
              <w:rPr>
                <w:sz w:val="20"/>
                <w:szCs w:val="20"/>
                <w:color w:val="auto"/>
              </w:rPr>
            </w:pPr>
            <w:r>
              <w:rPr>
                <w:rFonts w:ascii="Arial" w:cs="Arial" w:eastAsia="Arial" w:hAnsi="Arial"/>
                <w:sz w:val="15"/>
                <w:szCs w:val="15"/>
                <w:color w:val="auto"/>
                <w:w w:val="92"/>
              </w:rPr>
              <w:t>Amendable in October 2021</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(ALPA)</w:t>
            </w:r>
          </w:p>
        </w:tc>
        <w:tc>
          <w:tcPr>
            <w:tcW w:w="1880" w:type="dxa"/>
            <w:vAlign w:val="bottom"/>
          </w:tcPr>
          <w:p>
            <w:pPr>
              <w:spacing w:after="0"/>
              <w:rPr>
                <w:sz w:val="16"/>
                <w:szCs w:val="16"/>
                <w:color w:val="auto"/>
              </w:rPr>
            </w:pPr>
          </w:p>
        </w:tc>
      </w:tr>
      <w:tr>
        <w:trPr>
          <w:trHeight w:val="198"/>
        </w:trPr>
        <w:tc>
          <w:tcPr>
            <w:tcW w:w="2060" w:type="dxa"/>
            <w:vAlign w:val="bottom"/>
            <w:gridSpan w:val="2"/>
          </w:tcPr>
          <w:p>
            <w:pPr>
              <w:spacing w:after="0"/>
              <w:rPr>
                <w:sz w:val="20"/>
                <w:szCs w:val="20"/>
                <w:color w:val="auto"/>
              </w:rPr>
            </w:pPr>
            <w:r>
              <w:rPr>
                <w:rFonts w:ascii="Arial" w:cs="Arial" w:eastAsia="Arial" w:hAnsi="Arial"/>
                <w:sz w:val="15"/>
                <w:szCs w:val="15"/>
                <w:color w:val="auto"/>
              </w:rPr>
              <w:t>Flight Attendants</w:t>
            </w:r>
          </w:p>
        </w:tc>
        <w:tc>
          <w:tcPr>
            <w:tcW w:w="560" w:type="dxa"/>
            <w:vAlign w:val="bottom"/>
          </w:tcPr>
          <w:p>
            <w:pPr>
              <w:jc w:val="center"/>
              <w:spacing w:after="0"/>
              <w:rPr>
                <w:sz w:val="20"/>
                <w:szCs w:val="20"/>
                <w:color w:val="auto"/>
              </w:rPr>
            </w:pPr>
            <w:r>
              <w:rPr>
                <w:rFonts w:ascii="Arial" w:cs="Arial" w:eastAsia="Arial" w:hAnsi="Arial"/>
                <w:sz w:val="15"/>
                <w:szCs w:val="15"/>
                <w:color w:val="auto"/>
                <w:w w:val="87"/>
              </w:rPr>
              <w:t>466</w:t>
            </w:r>
          </w:p>
        </w:tc>
        <w:tc>
          <w:tcPr>
            <w:tcW w:w="18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International Brotherhood of</w:t>
            </w:r>
          </w:p>
        </w:tc>
        <w:tc>
          <w:tcPr>
            <w:tcW w:w="1880" w:type="dxa"/>
            <w:vAlign w:val="bottom"/>
          </w:tcPr>
          <w:p>
            <w:pPr>
              <w:jc w:val="center"/>
              <w:spacing w:after="0"/>
              <w:rPr>
                <w:sz w:val="20"/>
                <w:szCs w:val="20"/>
                <w:color w:val="auto"/>
              </w:rPr>
            </w:pPr>
            <w:r>
              <w:rPr>
                <w:rFonts w:ascii="Arial" w:cs="Arial" w:eastAsia="Arial" w:hAnsi="Arial"/>
                <w:sz w:val="15"/>
                <w:szCs w:val="15"/>
                <w:color w:val="auto"/>
                <w:w w:val="91"/>
              </w:rPr>
              <w:t>Currently amendable</w:t>
            </w:r>
          </w:p>
        </w:tc>
      </w:tr>
      <w:tr>
        <w:trPr>
          <w:trHeight w:val="176"/>
        </w:trPr>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Teamsters (IBT)</w:t>
            </w:r>
          </w:p>
        </w:tc>
        <w:tc>
          <w:tcPr>
            <w:tcW w:w="1880" w:type="dxa"/>
            <w:vAlign w:val="bottom"/>
          </w:tcPr>
          <w:p>
            <w:pPr>
              <w:jc w:val="center"/>
              <w:spacing w:after="0"/>
              <w:rPr>
                <w:sz w:val="20"/>
                <w:szCs w:val="20"/>
                <w:color w:val="auto"/>
              </w:rPr>
            </w:pPr>
            <w:r>
              <w:rPr>
                <w:rFonts w:ascii="Arial" w:cs="Arial" w:eastAsia="Arial" w:hAnsi="Arial"/>
                <w:sz w:val="15"/>
                <w:szCs w:val="15"/>
                <w:color w:val="auto"/>
                <w:w w:val="90"/>
              </w:rPr>
              <w:t>(commenced as of December</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5"/>
                <w:szCs w:val="15"/>
                <w:color w:val="auto"/>
                <w:w w:val="93"/>
              </w:rPr>
              <w:t>2019)</w:t>
            </w:r>
          </w:p>
        </w:tc>
      </w:tr>
      <w:tr>
        <w:trPr>
          <w:trHeight w:val="198"/>
        </w:trPr>
        <w:tc>
          <w:tcPr>
            <w:tcW w:w="2060" w:type="dxa"/>
            <w:vAlign w:val="bottom"/>
            <w:gridSpan w:val="2"/>
          </w:tcPr>
          <w:p>
            <w:pPr>
              <w:spacing w:after="0"/>
              <w:rPr>
                <w:sz w:val="20"/>
                <w:szCs w:val="20"/>
                <w:color w:val="auto"/>
              </w:rPr>
            </w:pPr>
            <w:r>
              <w:rPr>
                <w:rFonts w:ascii="Arial" w:cs="Arial" w:eastAsia="Arial" w:hAnsi="Arial"/>
                <w:sz w:val="15"/>
                <w:szCs w:val="15"/>
                <w:color w:val="auto"/>
              </w:rPr>
              <w:t>Dispatchers</w:t>
            </w:r>
          </w:p>
        </w:tc>
        <w:tc>
          <w:tcPr>
            <w:tcW w:w="560" w:type="dxa"/>
            <w:vAlign w:val="bottom"/>
          </w:tcPr>
          <w:p>
            <w:pPr>
              <w:jc w:val="center"/>
              <w:spacing w:after="0"/>
              <w:rPr>
                <w:sz w:val="20"/>
                <w:szCs w:val="20"/>
                <w:color w:val="auto"/>
              </w:rPr>
            </w:pPr>
            <w:r>
              <w:rPr>
                <w:rFonts w:ascii="Arial" w:cs="Arial" w:eastAsia="Arial" w:hAnsi="Arial"/>
                <w:sz w:val="15"/>
                <w:szCs w:val="15"/>
                <w:color w:val="auto"/>
                <w:w w:val="83"/>
              </w:rPr>
              <w:t>21</w:t>
            </w:r>
          </w:p>
        </w:tc>
        <w:tc>
          <w:tcPr>
            <w:tcW w:w="18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5"/>
                <w:szCs w:val="15"/>
                <w:color w:val="auto"/>
                <w:w w:val="93"/>
              </w:rPr>
              <w:t>Transport Workers Union</w:t>
            </w:r>
          </w:p>
        </w:tc>
        <w:tc>
          <w:tcPr>
            <w:tcW w:w="1880" w:type="dxa"/>
            <w:vAlign w:val="bottom"/>
          </w:tcPr>
          <w:p>
            <w:pPr>
              <w:jc w:val="center"/>
              <w:spacing w:after="0"/>
              <w:rPr>
                <w:sz w:val="20"/>
                <w:szCs w:val="20"/>
                <w:color w:val="auto"/>
              </w:rPr>
            </w:pPr>
            <w:r>
              <w:rPr>
                <w:rFonts w:ascii="Arial" w:cs="Arial" w:eastAsia="Arial" w:hAnsi="Arial"/>
                <w:sz w:val="15"/>
                <w:szCs w:val="15"/>
                <w:color w:val="auto"/>
                <w:w w:val="92"/>
              </w:rPr>
              <w:t>Amendable in November 2024</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5"/>
                <w:szCs w:val="15"/>
                <w:color w:val="auto"/>
              </w:rPr>
              <w:t>(TWU)</w:t>
            </w:r>
          </w:p>
        </w:tc>
        <w:tc>
          <w:tcPr>
            <w:tcW w:w="1880" w:type="dxa"/>
            <w:vAlign w:val="bottom"/>
          </w:tcPr>
          <w:p>
            <w:pPr>
              <w:spacing w:after="0"/>
              <w:rPr>
                <w:sz w:val="16"/>
                <w:szCs w:val="16"/>
                <w:color w:val="auto"/>
              </w:rPr>
            </w:pP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RLA governs our relations with labor organizations. Under the RLA, the collective bargaining</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agreements generally do not expire, but instead become amendable as of a stated date. If either party wishes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 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Safety and Security</w:t>
      </w:r>
    </w:p>
    <w:p>
      <w:pPr>
        <w:spacing w:after="0" w:line="117"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6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95"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w:t>
      </w:r>
    </w:p>
    <w:p>
      <w:pPr>
        <w:spacing w:after="0" w:line="90" w:lineRule="exact"/>
        <w:rPr>
          <w:sz w:val="20"/>
          <w:szCs w:val="20"/>
          <w:color w:val="auto"/>
        </w:rPr>
      </w:pPr>
    </w:p>
    <w:p>
      <w:pPr>
        <w:ind w:left="1160" w:right="1279" w:firstLine="293"/>
        <w:spacing w:after="0" w:line="258" w:lineRule="auto"/>
        <w:rPr>
          <w:sz w:val="20"/>
          <w:szCs w:val="20"/>
          <w:color w:val="auto"/>
        </w:rPr>
      </w:pPr>
      <w:r>
        <w:rPr>
          <w:rFonts w:ascii="Arial" w:cs="Arial" w:eastAsia="Arial" w:hAnsi="Arial"/>
          <w:sz w:val="14"/>
          <w:szCs w:val="14"/>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88"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 flight, dispatch and station operations. In addition, we recently conducted a safety culture survey, the results of which we have used to create action plans for areas of opportunity.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Facilities</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84" w:lineRule="auto"/>
        <w:rPr>
          <w:sz w:val="20"/>
          <w:szCs w:val="20"/>
          <w:color w:val="auto"/>
        </w:rPr>
      </w:pPr>
      <w:r>
        <w:rPr>
          <w:rFonts w:ascii="Arial" w:cs="Arial" w:eastAsia="Arial" w:hAnsi="Arial"/>
          <w:sz w:val="13"/>
          <w:szCs w:val="13"/>
          <w:color w:val="auto"/>
        </w:rPr>
        <w:t>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61"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 to-month basis. Gate space and ticket counter space is used and billed on a per operation (each arrival and departure) basis until an annual operating cap is met. Our operating lease also includes two hangars:</w:t>
      </w:r>
    </w:p>
    <w:p>
      <w:pPr>
        <w:spacing w:after="0" w:line="68" w:lineRule="exact"/>
        <w:rPr>
          <w:sz w:val="20"/>
          <w:szCs w:val="20"/>
          <w:color w:val="auto"/>
        </w:rPr>
      </w:pPr>
    </w:p>
    <w:p>
      <w:pPr>
        <w:ind w:left="1600" w:right="1619" w:hanging="14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108,000 square foot maintenance hangar, which includes office space and is where we provide certain maintenance on our aircraft; and</w:t>
      </w:r>
    </w:p>
    <w:p>
      <w:pPr>
        <w:spacing w:after="0" w:line="60" w:lineRule="exact"/>
        <w:rPr>
          <w:rFonts w:ascii="Arial" w:cs="Arial" w:eastAsia="Arial" w:hAnsi="Arial"/>
          <w:sz w:val="15"/>
          <w:szCs w:val="15"/>
          <w:color w:val="auto"/>
        </w:rPr>
      </w:pPr>
    </w:p>
    <w:p>
      <w:pPr>
        <w:ind w:left="1600" w:right="1919" w:hanging="14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90,000 square foot office and hangar facility which has been converted into our corporate headquarters.</w:t>
      </w:r>
    </w:p>
    <w:p>
      <w:pPr>
        <w:spacing w:after="0" w:line="82"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For charter service with an origin or destination where we do not have ground handling capabilities, we arrange with airports, fixed base operators or military bases to provide ground services on an as needed basis.</w:t>
      </w:r>
    </w:p>
    <w:p>
      <w:pPr>
        <w:spacing w:after="0" w:line="100"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Community Partnerships</w:t>
      </w:r>
    </w:p>
    <w:p>
      <w:pPr>
        <w:spacing w:after="0" w:line="128" w:lineRule="exact"/>
        <w:rPr>
          <w:sz w:val="20"/>
          <w:szCs w:val="20"/>
          <w:color w:val="auto"/>
        </w:rPr>
      </w:pPr>
    </w:p>
    <w:p>
      <w:pPr>
        <w:jc w:val="both"/>
        <w:ind w:left="1160" w:right="1259" w:firstLine="293"/>
        <w:spacing w:after="0" w:line="283" w:lineRule="auto"/>
        <w:rPr>
          <w:sz w:val="20"/>
          <w:szCs w:val="20"/>
          <w:color w:val="auto"/>
        </w:rPr>
      </w:pPr>
      <w:r>
        <w:rPr>
          <w:rFonts w:ascii="Arial" w:cs="Arial" w:eastAsia="Arial" w:hAnsi="Arial"/>
          <w:sz w:val="14"/>
          <w:szCs w:val="14"/>
          <w:color w:val="auto"/>
        </w:rPr>
        <w:t>As a Minnesota-based company, it is an important part of our culture to give back to the community in which we work and live. We have several key community partnership initiatives, some of which are:</w:t>
      </w:r>
    </w:p>
    <w:p>
      <w:pPr>
        <w:spacing w:after="0" w:line="27" w:lineRule="exact"/>
        <w:rPr>
          <w:sz w:val="20"/>
          <w:szCs w:val="20"/>
          <w:color w:val="auto"/>
        </w:rPr>
      </w:pPr>
    </w:p>
    <w:p>
      <w:pPr>
        <w:ind w:left="1600" w:right="1359" w:hanging="143"/>
        <w:spacing w:after="0" w:line="341" w:lineRule="auto"/>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Everyday Heroes—a program where we recognize one hero every month with a $500 Sun Country travel voucher, with recognition through TV and radio properties owned by our media partner.</w:t>
      </w:r>
    </w:p>
    <w:p>
      <w:pPr>
        <w:spacing w:after="0" w:line="14" w:lineRule="exact"/>
        <w:rPr>
          <w:rFonts w:ascii="Arial" w:cs="Arial" w:eastAsia="Arial" w:hAnsi="Arial"/>
          <w:sz w:val="13"/>
          <w:szCs w:val="13"/>
          <w:color w:val="auto"/>
        </w:rPr>
      </w:pPr>
    </w:p>
    <w:p>
      <w:pPr>
        <w:ind w:left="1600" w:right="145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Make-A-Wish Minnesota—we have a three-year commitment with Make-A-Wish MN to provide travel to every Minnesota Wish Kid flying to a destination Sun Country serves.</w:t>
      </w:r>
    </w:p>
    <w:p>
      <w:pPr>
        <w:spacing w:after="0" w:line="60"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Hennepin Theatre Trust—we support the Trust’s Spotlight Education program, focused on education for local performing arts students.</w:t>
      </w:r>
    </w:p>
    <w:p>
      <w:pPr>
        <w:spacing w:after="0" w:line="59" w:lineRule="exact"/>
        <w:rPr>
          <w:rFonts w:ascii="Arial" w:cs="Arial" w:eastAsia="Arial" w:hAnsi="Arial"/>
          <w:sz w:val="15"/>
          <w:szCs w:val="15"/>
          <w:color w:val="auto"/>
        </w:rPr>
      </w:pPr>
    </w:p>
    <w:p>
      <w:pPr>
        <w:ind w:left="1600" w:right="1239" w:hanging="143"/>
        <w:spacing w:after="0" w:line="274" w:lineRule="auto"/>
        <w:tabs>
          <w:tab w:leader="none" w:pos="1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Insurance</w:t>
      </w:r>
    </w:p>
    <w:p>
      <w:pPr>
        <w:spacing w:after="0" w:line="117"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Ownership</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 xml:space="preserve">“open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4"/>
          <w:szCs w:val="14"/>
          <w:i w:val="1"/>
          <w:iCs w:val="1"/>
          <w:color w:val="auto"/>
        </w:rPr>
        <w:t>“Description</w:t>
      </w:r>
      <w:r>
        <w:rPr>
          <w:rFonts w:ascii="Arial" w:cs="Arial" w:eastAsia="Arial" w:hAnsi="Arial"/>
          <w:sz w:val="14"/>
          <w:szCs w:val="14"/>
          <w:color w:val="auto"/>
        </w:rPr>
        <w:t xml:space="preserve"> </w:t>
      </w:r>
      <w:r>
        <w:rPr>
          <w:rFonts w:ascii="Arial" w:cs="Arial" w:eastAsia="Arial" w:hAnsi="Arial"/>
          <w:sz w:val="14"/>
          <w:szCs w:val="14"/>
          <w:i w:val="1"/>
          <w:iCs w:val="1"/>
          <w:color w:val="auto"/>
        </w:rPr>
        <w:t>of Capital Stock—Limited Ownership and Voting by Foreign Owners.”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Aviation Regulation</w:t>
      </w:r>
    </w:p>
    <w:p>
      <w:pPr>
        <w:spacing w:after="0" w:line="11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94"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05"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Airport Access</w:t>
      </w:r>
    </w:p>
    <w:p>
      <w:pPr>
        <w:spacing w:after="0" w:line="11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00"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Consumer Protection Regulation</w:t>
      </w:r>
    </w:p>
    <w:p>
      <w:pPr>
        <w:spacing w:after="0" w:line="113" w:lineRule="exact"/>
        <w:rPr>
          <w:sz w:val="20"/>
          <w:szCs w:val="20"/>
          <w:color w:val="auto"/>
        </w:rPr>
      </w:pPr>
    </w:p>
    <w:p>
      <w:pPr>
        <w:ind w:left="1160" w:right="1199" w:firstLine="293"/>
        <w:spacing w:after="0" w:line="270" w:lineRule="auto"/>
        <w:rPr>
          <w:sz w:val="20"/>
          <w:szCs w:val="20"/>
          <w:color w:val="auto"/>
        </w:rPr>
      </w:pPr>
      <w:r>
        <w:rPr>
          <w:rFonts w:ascii="Arial" w:cs="Arial" w:eastAsia="Arial" w:hAnsi="Arial"/>
          <w:sz w:val="13"/>
          <w:szCs w:val="13"/>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 leasing agreements (where one airline provides aircraft and crew to another airline) between carriers and regulates other economic matters such as slot transactions.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Security Regulation</w:t>
      </w:r>
    </w:p>
    <w:p>
      <w:pPr>
        <w:spacing w:after="0" w:line="124" w:lineRule="exact"/>
        <w:rPr>
          <w:sz w:val="20"/>
          <w:szCs w:val="20"/>
          <w:color w:val="auto"/>
        </w:rPr>
      </w:pPr>
    </w:p>
    <w:p>
      <w:pPr>
        <w:ind w:left="1160" w:right="1339" w:firstLine="293"/>
        <w:spacing w:after="0" w:line="279" w:lineRule="auto"/>
        <w:rPr>
          <w:sz w:val="20"/>
          <w:szCs w:val="20"/>
          <w:color w:val="auto"/>
        </w:rPr>
      </w:pPr>
      <w:r>
        <w:rPr>
          <w:rFonts w:ascii="Arial" w:cs="Arial" w:eastAsia="Arial" w:hAnsi="Arial"/>
          <w:sz w:val="13"/>
          <w:szCs w:val="13"/>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Environmental Regulation</w:t>
      </w:r>
    </w:p>
    <w:p>
      <w:pPr>
        <w:spacing w:after="0" w:line="12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7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GHG Emissions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 -production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In addition, in October 2016, the ICAO adopted the CORSIA, which is a global, market-based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emissions offset program designed to encourage carbon-neutral growth beyond 2020. The CORSIA will</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19"/>
        <w:spacing w:after="0" w:line="281" w:lineRule="auto"/>
        <w:rPr>
          <w:sz w:val="20"/>
          <w:szCs w:val="20"/>
          <w:color w:val="auto"/>
        </w:rPr>
      </w:pPr>
      <w:r>
        <w:rPr>
          <w:rFonts w:ascii="Arial" w:cs="Arial" w:eastAsia="Arial" w:hAnsi="Arial"/>
          <w:sz w:val="14"/>
          <w:szCs w:val="14"/>
          <w:color w:val="auto"/>
        </w:rPr>
        <w:t>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Noise</w:t>
      </w:r>
    </w:p>
    <w:p>
      <w:pPr>
        <w:spacing w:after="0" w:line="11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Regulations</w:t>
      </w:r>
    </w:p>
    <w:p>
      <w:pPr>
        <w:spacing w:after="0" w:line="12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128" w:lineRule="exact"/>
        <w:rPr>
          <w:sz w:val="20"/>
          <w:szCs w:val="20"/>
          <w:color w:val="auto"/>
        </w:rPr>
      </w:pPr>
    </w:p>
    <w:p>
      <w:pPr>
        <w:ind w:left="1160" w:right="1399" w:firstLine="293"/>
        <w:spacing w:after="0" w:line="274" w:lineRule="auto"/>
        <w:rPr>
          <w:sz w:val="20"/>
          <w:szCs w:val="20"/>
          <w:color w:val="auto"/>
        </w:rPr>
      </w:pPr>
      <w:r>
        <w:rPr>
          <w:rFonts w:ascii="Arial" w:cs="Arial" w:eastAsia="Arial" w:hAnsi="Arial"/>
          <w:sz w:val="14"/>
          <w:szCs w:val="14"/>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8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following table sets forth the name, age and position of each of our executive officers and directors as of the date of this prospectus.</w:t>
      </w:r>
    </w:p>
    <w:p>
      <w:pPr>
        <w:spacing w:after="0" w:line="5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Age</w:t>
            </w:r>
          </w:p>
        </w:tc>
        <w:tc>
          <w:tcPr>
            <w:tcW w:w="4360" w:type="dxa"/>
            <w:vAlign w:val="bottom"/>
          </w:tcPr>
          <w:p>
            <w:pPr>
              <w:spacing w:after="0"/>
              <w:rPr>
                <w:sz w:val="20"/>
                <w:szCs w:val="20"/>
                <w:color w:val="auto"/>
              </w:rPr>
            </w:pPr>
            <w:r>
              <w:rPr>
                <w:rFonts w:ascii="Arial" w:cs="Arial" w:eastAsia="Arial" w:hAnsi="Arial"/>
                <w:sz w:val="12"/>
                <w:szCs w:val="12"/>
                <w:b w:val="1"/>
                <w:bCs w:val="1"/>
                <w:color w:val="auto"/>
              </w:rPr>
              <w:t>Position</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00"/>
        </w:trPr>
        <w:tc>
          <w:tcPr>
            <w:tcW w:w="1940" w:type="dxa"/>
            <w:vAlign w:val="bottom"/>
            <w:gridSpan w:val="2"/>
          </w:tcPr>
          <w:p>
            <w:pPr>
              <w:spacing w:after="0"/>
              <w:rPr>
                <w:sz w:val="20"/>
                <w:szCs w:val="20"/>
                <w:color w:val="auto"/>
              </w:rPr>
            </w:pPr>
            <w:r>
              <w:rPr>
                <w:rFonts w:ascii="Arial" w:cs="Arial" w:eastAsia="Arial" w:hAnsi="Arial"/>
                <w:sz w:val="15"/>
                <w:szCs w:val="15"/>
                <w:color w:val="auto"/>
              </w:rPr>
              <w:t>Jude Bricker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47</w:t>
            </w:r>
          </w:p>
        </w:tc>
        <w:tc>
          <w:tcPr>
            <w:tcW w:w="1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Executive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Dave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54</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President and Chief Financial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Gregory Mays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Operating Officer and Executive Vice President</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Eric Levenhagen</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39</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Administrative Officer, General Counsel and Secretary</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Jeffrey Mader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Information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Brian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Marketing Officer and Senior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Grant Whitney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Revenue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John Gyurci</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Finance, and Chief Accounting Officer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Bill Trousdale</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Financial Planning &amp; Analysis, and Treasurer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Patrick Kearney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28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Thomas C. Kennedy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55</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Antoine Munfakh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Kerry Philipovitch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David Siegel</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Chairman; 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77"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The following are brief biographies describing the backgrounds of the executive officers and directors of the Company.</w:t>
      </w:r>
    </w:p>
    <w:p>
      <w:pPr>
        <w:spacing w:after="0" w:line="5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Jude Bricker </w:t>
      </w:r>
      <w:r>
        <w:rPr>
          <w:rFonts w:ascii="Arial" w:cs="Arial" w:eastAsia="Arial" w:hAnsi="Arial"/>
          <w:sz w:val="14"/>
          <w:szCs w:val="14"/>
          <w:color w:val="auto"/>
        </w:rPr>
        <w:t>has served as our Chief Executive Officer since July 2017 and is a member of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Mr. Bricker has 16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w:t>
      </w:r>
    </w:p>
    <w:p>
      <w:pPr>
        <w:spacing w:after="0" w:line="3" w:lineRule="exact"/>
        <w:rPr>
          <w:sz w:val="20"/>
          <w:szCs w:val="20"/>
          <w:color w:val="auto"/>
        </w:rPr>
      </w:pPr>
    </w:p>
    <w:p>
      <w:pPr>
        <w:ind w:left="1160" w:right="1679"/>
        <w:spacing w:after="0" w:line="249" w:lineRule="auto"/>
        <w:rPr>
          <w:sz w:val="20"/>
          <w:szCs w:val="20"/>
          <w:color w:val="auto"/>
        </w:rPr>
      </w:pPr>
      <w:r>
        <w:rPr>
          <w:rFonts w:ascii="Arial" w:cs="Arial" w:eastAsia="Arial" w:hAnsi="Arial"/>
          <w:sz w:val="15"/>
          <w:szCs w:val="15"/>
          <w:color w:val="auto"/>
        </w:rPr>
        <w:t>May 2006, Mr. Bricker was a finance manager at American Airlines. Mr. Bricker holds a BS in Civil Engineering from Texas A&amp;M University and an MBA from the University of Texas.</w:t>
      </w:r>
    </w:p>
    <w:p>
      <w:pPr>
        <w:spacing w:after="0" w:line="60" w:lineRule="exact"/>
        <w:rPr>
          <w:sz w:val="20"/>
          <w:szCs w:val="20"/>
          <w:color w:val="auto"/>
        </w:rPr>
      </w:pPr>
    </w:p>
    <w:p>
      <w:pPr>
        <w:ind w:left="1160" w:right="1639" w:firstLine="293"/>
        <w:spacing w:after="0" w:line="290" w:lineRule="auto"/>
        <w:rPr>
          <w:sz w:val="20"/>
          <w:szCs w:val="20"/>
          <w:color w:val="auto"/>
        </w:rPr>
      </w:pPr>
      <w:r>
        <w:rPr>
          <w:rFonts w:ascii="Arial" w:cs="Arial" w:eastAsia="Arial" w:hAnsi="Arial"/>
          <w:sz w:val="13"/>
          <w:szCs w:val="13"/>
          <w:b w:val="1"/>
          <w:bCs w:val="1"/>
          <w:i w:val="1"/>
          <w:iCs w:val="1"/>
          <w:color w:val="auto"/>
        </w:rPr>
        <w:t xml:space="preserve">Dave Davis </w:t>
      </w:r>
      <w:r>
        <w:rPr>
          <w:rFonts w:ascii="Arial" w:cs="Arial" w:eastAsia="Arial" w:hAnsi="Arial"/>
          <w:sz w:val="13"/>
          <w:szCs w:val="13"/>
          <w:color w:val="auto"/>
        </w:rPr>
        <w:t>has served as our Chief Financial Officer since April 2018 and as our President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2019 and is a member of our board of directors. Prior thereto, from December 2017 to</w:t>
      </w:r>
    </w:p>
    <w:p>
      <w:pPr>
        <w:spacing w:after="0" w:line="1" w:lineRule="exact"/>
        <w:rPr>
          <w:sz w:val="20"/>
          <w:szCs w:val="20"/>
          <w:color w:val="auto"/>
        </w:rPr>
      </w:pPr>
    </w:p>
    <w:p>
      <w:pPr>
        <w:ind w:left="1160" w:right="1259"/>
        <w:spacing w:after="0" w:line="264" w:lineRule="auto"/>
        <w:rPr>
          <w:sz w:val="20"/>
          <w:szCs w:val="20"/>
          <w:color w:val="auto"/>
        </w:rPr>
      </w:pPr>
      <w:r>
        <w:rPr>
          <w:rFonts w:ascii="Arial" w:cs="Arial" w:eastAsia="Arial" w:hAnsi="Arial"/>
          <w:sz w:val="14"/>
          <w:szCs w:val="14"/>
          <w:color w:val="auto"/>
        </w:rPr>
        <w:t>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53"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b w:val="1"/>
          <w:bCs w:val="1"/>
          <w:i w:val="1"/>
          <w:iCs w:val="1"/>
          <w:color w:val="auto"/>
        </w:rPr>
        <w:t xml:space="preserve">Gregory Mays </w:t>
      </w:r>
      <w:r>
        <w:rPr>
          <w:rFonts w:ascii="Arial" w:cs="Arial" w:eastAsia="Arial" w:hAnsi="Arial"/>
          <w:sz w:val="14"/>
          <w:szCs w:val="14"/>
          <w:color w:val="auto"/>
        </w:rPr>
        <w:t>has served as our Chief Operating Officer since June 2019. Mr. Mays has 29 years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 operations, cargo operations, labor relations, and design/test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19"/>
        <w:spacing w:after="0" w:line="248" w:lineRule="auto"/>
        <w:rPr>
          <w:sz w:val="20"/>
          <w:szCs w:val="20"/>
          <w:color w:val="auto"/>
        </w:rPr>
      </w:pPr>
      <w:r>
        <w:rPr>
          <w:rFonts w:ascii="Arial" w:cs="Arial" w:eastAsia="Arial" w:hAnsi="Arial"/>
          <w:sz w:val="15"/>
          <w:szCs w:val="15"/>
          <w:color w:val="auto"/>
        </w:rPr>
        <w:t>engineering. Mr. Mays earned a BS in Aerospace Engineering from the University and Alabama and an MBA from Emory University.</w:t>
      </w:r>
    </w:p>
    <w:p>
      <w:pPr>
        <w:spacing w:after="0" w:line="50"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b w:val="1"/>
          <w:bCs w:val="1"/>
          <w:i w:val="1"/>
          <w:iCs w:val="1"/>
          <w:color w:val="auto"/>
        </w:rPr>
        <w:t xml:space="preserve">Eric Levenhagen </w:t>
      </w:r>
      <w:r>
        <w:rPr>
          <w:rFonts w:ascii="Arial" w:cs="Arial" w:eastAsia="Arial" w:hAnsi="Arial"/>
          <w:sz w:val="14"/>
          <w:szCs w:val="14"/>
          <w:color w:val="auto"/>
        </w:rPr>
        <w:t>has served as our Chief Administrative Officer since April 2018 and has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5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b w:val="1"/>
          <w:bCs w:val="1"/>
          <w:i w:val="1"/>
          <w:iCs w:val="1"/>
          <w:color w:val="auto"/>
        </w:rPr>
        <w:t xml:space="preserve">Jeffrey Mader </w:t>
      </w:r>
      <w:r>
        <w:rPr>
          <w:rFonts w:ascii="Arial" w:cs="Arial" w:eastAsia="Arial" w:hAnsi="Arial"/>
          <w:sz w:val="15"/>
          <w:szCs w:val="15"/>
          <w:color w:val="auto"/>
        </w:rPr>
        <w:t>has served as our Chief Information Officer since April 2018. He previously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Information Officer at Imagine! Print 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51"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b w:val="1"/>
          <w:bCs w:val="1"/>
          <w:i w:val="1"/>
          <w:iCs w:val="1"/>
          <w:color w:val="auto"/>
        </w:rPr>
        <w:t xml:space="preserve">Brian Davis </w:t>
      </w:r>
      <w:r>
        <w:rPr>
          <w:rFonts w:ascii="Arial" w:cs="Arial" w:eastAsia="Arial" w:hAnsi="Arial"/>
          <w:sz w:val="14"/>
          <w:szCs w:val="14"/>
          <w:color w:val="auto"/>
        </w:rPr>
        <w:t>has served as our Chief Marketing Officer since January 2018. Mr. Davis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49"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b w:val="1"/>
          <w:bCs w:val="1"/>
          <w:i w:val="1"/>
          <w:iCs w:val="1"/>
          <w:color w:val="auto"/>
        </w:rPr>
        <w:t xml:space="preserve">Grant Whitney </w:t>
      </w:r>
      <w:r>
        <w:rPr>
          <w:rFonts w:ascii="Arial" w:cs="Arial" w:eastAsia="Arial" w:hAnsi="Arial"/>
          <w:sz w:val="14"/>
          <w:szCs w:val="14"/>
          <w:color w:val="auto"/>
        </w:rPr>
        <w:t>has served as our Chief Revenue Officer since May 2019. Prior thereto, he spent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years at 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49" w:lineRule="exact"/>
        <w:rPr>
          <w:sz w:val="20"/>
          <w:szCs w:val="20"/>
          <w:color w:val="auto"/>
        </w:rPr>
      </w:pPr>
    </w:p>
    <w:p>
      <w:pPr>
        <w:ind w:left="1160" w:right="1299" w:firstLine="293"/>
        <w:spacing w:after="0" w:line="267" w:lineRule="auto"/>
        <w:rPr>
          <w:sz w:val="20"/>
          <w:szCs w:val="20"/>
          <w:color w:val="auto"/>
        </w:rPr>
      </w:pPr>
      <w:r>
        <w:rPr>
          <w:rFonts w:ascii="Arial" w:cs="Arial" w:eastAsia="Arial" w:hAnsi="Arial"/>
          <w:sz w:val="14"/>
          <w:szCs w:val="14"/>
          <w:b w:val="1"/>
          <w:bCs w:val="1"/>
          <w:i w:val="1"/>
          <w:iCs w:val="1"/>
          <w:color w:val="auto"/>
        </w:rPr>
        <w:t xml:space="preserve">John Gyurci </w:t>
      </w:r>
      <w:r>
        <w:rPr>
          <w:rFonts w:ascii="Arial" w:cs="Arial" w:eastAsia="Arial" w:hAnsi="Arial"/>
          <w:sz w:val="14"/>
          <w:szCs w:val="14"/>
          <w:color w:val="auto"/>
        </w:rPr>
        <w:t>has served as our Chief Accounting Officer since October 2018. Mr. Gyurci previously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Corporate Controller at MTS Systems Corporation, a global manufacturing company, from October 2017 to October 2018. Prior thereto, Mr. Gyurci served as Vice President of Financial Accounting</w:t>
      </w:r>
    </w:p>
    <w:p>
      <w:pPr>
        <w:spacing w:after="0" w:line="1" w:lineRule="exact"/>
        <w:rPr>
          <w:sz w:val="20"/>
          <w:szCs w:val="20"/>
          <w:color w:val="auto"/>
        </w:rPr>
      </w:pPr>
    </w:p>
    <w:p>
      <w:pPr>
        <w:jc w:val="both"/>
        <w:ind w:left="1160" w:right="1339" w:firstLine="4"/>
        <w:spacing w:after="0" w:line="246" w:lineRule="auto"/>
        <w:tabs>
          <w:tab w:leader="none" w:pos="1316"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4"/>
          <w:szCs w:val="14"/>
          <w:b w:val="1"/>
          <w:bCs w:val="1"/>
          <w:i w:val="1"/>
          <w:iCs w:val="1"/>
          <w:color w:val="auto"/>
        </w:rPr>
        <w:t xml:space="preserve">Bill Trousdale </w:t>
      </w:r>
      <w:r>
        <w:rPr>
          <w:rFonts w:ascii="Arial" w:cs="Arial" w:eastAsia="Arial" w:hAnsi="Arial"/>
          <w:sz w:val="14"/>
          <w:szCs w:val="14"/>
          <w:color w:val="auto"/>
        </w:rPr>
        <w:t>has served as our Vice President of Financial Planning &amp; Analysis and Treasurer since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June 2018. Previously, he served as Vice President of Corporate Finance and Treasurer at Global Eagle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Entertainment from May 2016 to October 2017. Prior thereto, Mr. Trousdale worked at Laureate Education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from 2009 to 2016, most recently in the role of Vice President of Financial Transformation from</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October 2014 to March 2016. Prior thereto, he held senior finance positions at Northwest Airlines and US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Airways. Mr. Trousdale received a BS in Mechanical Engineering from MIT and an MBA from</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Northwestern University.</w:t>
      </w:r>
    </w:p>
    <w:p>
      <w:pPr>
        <w:spacing w:after="0" w:line="70"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b w:val="1"/>
          <w:bCs w:val="1"/>
          <w:i w:val="1"/>
          <w:iCs w:val="1"/>
          <w:color w:val="auto"/>
        </w:rPr>
        <w:t xml:space="preserve">Patrick Kearney </w:t>
      </w:r>
      <w:r>
        <w:rPr>
          <w:rFonts w:ascii="Arial" w:cs="Arial" w:eastAsia="Arial" w:hAnsi="Arial"/>
          <w:sz w:val="14"/>
          <w:szCs w:val="14"/>
          <w:color w:val="auto"/>
        </w:rPr>
        <w:t>is a member of our board of directors. Mr. Kearney joined Apollo in 2017 in the Private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Group and is responsible for 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49"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b w:val="1"/>
          <w:bCs w:val="1"/>
          <w:i w:val="1"/>
          <w:iCs w:val="1"/>
          <w:color w:val="auto"/>
        </w:rPr>
        <w:t xml:space="preserve">Thomas C. Kennedy </w:t>
      </w:r>
      <w:r>
        <w:rPr>
          <w:rFonts w:ascii="Arial" w:cs="Arial" w:eastAsia="Arial" w:hAnsi="Arial"/>
          <w:sz w:val="13"/>
          <w:szCs w:val="13"/>
          <w:color w:val="auto"/>
        </w:rPr>
        <w:t>is a member of our board of directors. Mr. Kennedy currently serves as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CFO of SIXT Rent a Car USA. Previously, Mr. Kennedy served as Senior Executive Vice President and Chief Financial Officer of Hertz Global Holdings from 2013 to 2018. Hertz filed for bankruptcy protection in May 2020. Prior to joining Hertz, Mr. Kennedy served as Executive Vice President and Chief</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53" w:lineRule="exact"/>
        <w:rPr>
          <w:sz w:val="20"/>
          <w:szCs w:val="20"/>
          <w:color w:val="auto"/>
        </w:rPr>
      </w:pPr>
    </w:p>
    <w:p>
      <w:pPr>
        <w:ind w:left="1160" w:right="1359" w:firstLine="293"/>
        <w:spacing w:after="0" w:line="285" w:lineRule="auto"/>
        <w:rPr>
          <w:sz w:val="20"/>
          <w:szCs w:val="20"/>
          <w:color w:val="auto"/>
        </w:rPr>
      </w:pPr>
      <w:r>
        <w:rPr>
          <w:rFonts w:ascii="Arial" w:cs="Arial" w:eastAsia="Arial" w:hAnsi="Arial"/>
          <w:sz w:val="13"/>
          <w:szCs w:val="13"/>
          <w:b w:val="1"/>
          <w:bCs w:val="1"/>
          <w:i w:val="1"/>
          <w:iCs w:val="1"/>
          <w:color w:val="auto"/>
        </w:rPr>
        <w:t xml:space="preserve">Antoine Munfakh </w:t>
      </w:r>
      <w:r>
        <w:rPr>
          <w:rFonts w:ascii="Arial" w:cs="Arial" w:eastAsia="Arial" w:hAnsi="Arial"/>
          <w:sz w:val="13"/>
          <w:szCs w:val="13"/>
          <w:color w:val="auto"/>
        </w:rPr>
        <w:t>is a member of our board of directors. Mr. Munfakh is a Senior Partner at Apollo,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having joined in 2008. Previously, Mr. Munfakh served as an Associate at the private equity firm Court Square Capital Partners, where he focused on investments into the Business &amp; Industrial Services sectors. Prior thereto, he started his career as an Analyst in the Financial Sponsor Investment Banking group at JPMorgan, where he provided M&amp;A and financing services in support of private equity transactions.</w:t>
      </w:r>
    </w:p>
    <w:p>
      <w:pPr>
        <w:spacing w:after="0" w:line="2"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52"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Kerry Philipovitch </w:t>
      </w:r>
      <w:r>
        <w:rPr>
          <w:rFonts w:ascii="Arial" w:cs="Arial" w:eastAsia="Arial" w:hAnsi="Arial"/>
          <w:sz w:val="14"/>
          <w:szCs w:val="14"/>
          <w:color w:val="auto"/>
        </w:rPr>
        <w:t>is a member of our board of directors. Ms. Philipovitch most recently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44" w:lineRule="exact"/>
        <w:rPr>
          <w:sz w:val="20"/>
          <w:szCs w:val="20"/>
          <w:color w:val="auto"/>
        </w:rPr>
      </w:pPr>
    </w:p>
    <w:p>
      <w:pPr>
        <w:ind w:left="1160" w:right="1459" w:firstLine="293"/>
        <w:spacing w:after="0" w:line="270" w:lineRule="auto"/>
        <w:rPr>
          <w:sz w:val="20"/>
          <w:szCs w:val="20"/>
          <w:color w:val="auto"/>
        </w:rPr>
      </w:pPr>
      <w:r>
        <w:rPr>
          <w:rFonts w:ascii="Arial" w:cs="Arial" w:eastAsia="Arial" w:hAnsi="Arial"/>
          <w:sz w:val="14"/>
          <w:szCs w:val="14"/>
          <w:b w:val="1"/>
          <w:bCs w:val="1"/>
          <w:i w:val="1"/>
          <w:iCs w:val="1"/>
          <w:color w:val="auto"/>
        </w:rPr>
        <w:t xml:space="preserve">David Siegel </w:t>
      </w:r>
      <w:r>
        <w:rPr>
          <w:rFonts w:ascii="Arial" w:cs="Arial" w:eastAsia="Arial" w:hAnsi="Arial"/>
          <w:sz w:val="14"/>
          <w:szCs w:val="14"/>
          <w:color w:val="auto"/>
        </w:rPr>
        <w:t>has served as our Chairman since March 2021, served as our Executive Chairman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April 2018 to March 2021 and is a member of our board of directors. Prior to joining Sun Country,</w:t>
      </w:r>
    </w:p>
    <w:p>
      <w:pPr>
        <w:jc w:val="both"/>
        <w:ind w:left="1160" w:right="1199"/>
        <w:spacing w:after="0" w:line="262" w:lineRule="auto"/>
        <w:rPr>
          <w:sz w:val="20"/>
          <w:szCs w:val="20"/>
          <w:color w:val="auto"/>
        </w:rPr>
      </w:pPr>
      <w:r>
        <w:rPr>
          <w:rFonts w:ascii="Arial" w:cs="Arial" w:eastAsia="Arial" w:hAnsi="Arial"/>
          <w:sz w:val="14"/>
          <w:szCs w:val="14"/>
          <w:color w:val="auto"/>
        </w:rPr>
        <w:t>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w:t>
      </w:r>
    </w:p>
    <w:p>
      <w:pPr>
        <w:jc w:val="both"/>
        <w:ind w:left="1160" w:right="1259"/>
        <w:spacing w:after="0" w:line="245" w:lineRule="auto"/>
        <w:rPr>
          <w:sz w:val="20"/>
          <w:szCs w:val="20"/>
          <w:color w:val="auto"/>
        </w:rPr>
      </w:pPr>
      <w:r>
        <w:rPr>
          <w:rFonts w:ascii="Arial" w:cs="Arial" w:eastAsia="Arial" w:hAnsi="Arial"/>
          <w:sz w:val="15"/>
          <w:szCs w:val="15"/>
          <w:color w:val="auto"/>
        </w:rPr>
        <w:t>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Mathematics—Economics.</w:t>
      </w:r>
    </w:p>
    <w:p>
      <w:pPr>
        <w:spacing w:after="0" w:line="65"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b w:val="1"/>
          <w:bCs w:val="1"/>
          <w:i w:val="1"/>
          <w:iCs w:val="1"/>
          <w:color w:val="auto"/>
        </w:rPr>
        <w:t xml:space="preserve">Juan Carlos Zuazua </w:t>
      </w:r>
      <w:r>
        <w:rPr>
          <w:rFonts w:ascii="Arial" w:cs="Arial" w:eastAsia="Arial" w:hAnsi="Arial"/>
          <w:sz w:val="14"/>
          <w:szCs w:val="14"/>
          <w:color w:val="auto"/>
        </w:rPr>
        <w:t>is a member of our board of directors. Mr. Zuazua has 13 years of experience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aviation industry serving as the Chief Commercial Officer and promoted to Chief Executive Officer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since 2010 of VivaAerobus. Mr. Zuazua holds a BS in Industrial Engineering from Tecnológico de Monterrey and a master degree in Public Policy from Tecnológico de Monterrey School of Government and Public Transformation.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Family Relationships</w:t>
      </w:r>
    </w:p>
    <w:p>
      <w:pPr>
        <w:spacing w:after="0" w:line="8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are no family relationships among our directors and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Controlled Company</w:t>
      </w:r>
    </w:p>
    <w:p>
      <w:pPr>
        <w:spacing w:after="0" w:line="8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Our common stock is listed on Nasdaq. As the Apollo Stockholder will continue to control more than 50% of our combined voting power upon the completion of this offering, we will continue to be considered a “controlled company” for the purposes of Nasdaq’s rules and corporate governance standards. As a “controlled company,” we are permitted to, and we intend to continue to, elect not to comply with certain corporate governance requirements, including (1) those that would otherwise require our board of directors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Independence</w:t>
      </w:r>
    </w:p>
    <w:p>
      <w:pPr>
        <w:spacing w:after="0" w:line="73"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 year transition period after we cease to be a “controlled company.” Our independent directors, as such term is defined by the applicable rules and regulations of Nasdaq, are Thomas C. Kennedy, Kerry Philipovitch and Juan Carlos Zuazua.</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Composition</w:t>
      </w:r>
    </w:p>
    <w:p>
      <w:pPr>
        <w:spacing w:after="0" w:line="8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Our board of directors currently consists of eight members. We have availed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w:t>
      </w:r>
    </w:p>
    <w:p>
      <w:pPr>
        <w:spacing w:after="0" w:line="44"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We are required, however, to have an audit committee with one independent director during the 90-day period beginning on the date of effectiveness of the Company’s registration statement on Form S-1 (File No. 333-252858), which was March 16, 2021. After such 90-day period and until one year from the date of effectiveness of such registration statement, which will be March 16, 2022, we are required to have a majority of independent directors on our audit committee. Thereafter, we will be required to have an audit committee comprised entirely of independent directors.</w:t>
      </w:r>
    </w:p>
    <w:p>
      <w:pPr>
        <w:spacing w:after="0" w:line="47"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58"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Our board of directors is divided into three classes. The members of each class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Our current directors are divided into the following classes:</w:t>
      </w:r>
    </w:p>
    <w:p>
      <w:pPr>
        <w:spacing w:after="0" w:line="57" w:lineRule="exact"/>
        <w:rPr>
          <w:sz w:val="20"/>
          <w:szCs w:val="20"/>
          <w:color w:val="auto"/>
        </w:rPr>
      </w:pPr>
    </w:p>
    <w:p>
      <w:pPr>
        <w:ind w:left="1600" w:right="119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Patrick Kearney, Thomas C. Kennedy and Antoine Munfakh are Class I directors, whose initial terms will expire at the fiscal 2022 annual meeting of stockholders;</w:t>
      </w:r>
    </w:p>
    <w:p>
      <w:pPr>
        <w:spacing w:after="0" w:line="59"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David Siegel and Juan Carlos Zuazua are Class II directors, whose initial terms will expire at the fiscal 2023 annual meeting of stockholders; and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49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Jude Bricker, Dave Davis and Kerry Philipovitch are Class III directors, whose initial terms will expire at the fiscal 2024 annual meeting of stockholders.</w:t>
      </w:r>
    </w:p>
    <w:p>
      <w:pPr>
        <w:spacing w:after="0" w:line="49" w:lineRule="exact"/>
        <w:rPr>
          <w:sz w:val="20"/>
          <w:szCs w:val="20"/>
          <w:color w:val="auto"/>
        </w:rPr>
      </w:pPr>
    </w:p>
    <w:p>
      <w:pPr>
        <w:ind w:left="1160" w:right="1379" w:firstLine="293"/>
        <w:spacing w:after="0" w:line="284" w:lineRule="auto"/>
        <w:rPr>
          <w:sz w:val="20"/>
          <w:szCs w:val="20"/>
          <w:color w:val="auto"/>
        </w:rPr>
      </w:pPr>
      <w:r>
        <w:rPr>
          <w:rFonts w:ascii="Arial" w:cs="Arial" w:eastAsia="Arial" w:hAnsi="Arial"/>
          <w:sz w:val="13"/>
          <w:szCs w:val="13"/>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28"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36"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47" w:lineRule="exact"/>
        <w:rPr>
          <w:sz w:val="20"/>
          <w:szCs w:val="20"/>
          <w:color w:val="auto"/>
        </w:rPr>
      </w:pPr>
    </w:p>
    <w:p>
      <w:pPr>
        <w:jc w:val="both"/>
        <w:ind w:left="1160" w:right="1179" w:firstLine="293"/>
        <w:spacing w:after="0" w:line="239"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56" w:lineRule="exact"/>
        <w:rPr>
          <w:sz w:val="20"/>
          <w:szCs w:val="20"/>
          <w:color w:val="auto"/>
        </w:rPr>
      </w:pPr>
    </w:p>
    <w:p>
      <w:pPr>
        <w:ind w:left="1160" w:right="1559" w:firstLine="293"/>
        <w:spacing w:after="0" w:line="283" w:lineRule="auto"/>
        <w:rPr>
          <w:sz w:val="20"/>
          <w:szCs w:val="20"/>
          <w:color w:val="auto"/>
        </w:rPr>
      </w:pPr>
      <w:r>
        <w:rPr>
          <w:rFonts w:ascii="Arial" w:cs="Arial" w:eastAsia="Arial" w:hAnsi="Arial"/>
          <w:sz w:val="14"/>
          <w:szCs w:val="14"/>
          <w:color w:val="auto"/>
        </w:rPr>
        <w:t>Patrick Kearney and Antoine Munfakh are the Apollo Directors. As of the date of this prospectus, Amazon has not exercised its right to nominate a member or an observer to our board of directors.</w:t>
      </w:r>
    </w:p>
    <w:p>
      <w:pPr>
        <w:spacing w:after="0" w:line="27" w:lineRule="exact"/>
        <w:rPr>
          <w:sz w:val="20"/>
          <w:szCs w:val="20"/>
          <w:color w:val="auto"/>
        </w:rPr>
      </w:pPr>
    </w:p>
    <w:p>
      <w:pPr>
        <w:jc w:val="both"/>
        <w:ind w:left="1160" w:right="1499" w:firstLine="293"/>
        <w:spacing w:after="0" w:line="239" w:lineRule="auto"/>
        <w:rPr>
          <w:sz w:val="20"/>
          <w:szCs w:val="20"/>
          <w:color w:val="auto"/>
        </w:rPr>
      </w:pPr>
      <w:r>
        <w:rPr>
          <w:rFonts w:ascii="Arial" w:cs="Arial" w:eastAsia="Arial" w:hAnsi="Arial"/>
          <w:sz w:val="15"/>
          <w:szCs w:val="15"/>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8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board committees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are citizens of the United States, as defined in 49 U.S.C. §40102(a)(15).</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80" w:lineRule="exact"/>
        <w:rPr>
          <w:sz w:val="20"/>
          <w:szCs w:val="20"/>
          <w:color w:val="auto"/>
        </w:rPr>
      </w:pPr>
    </w:p>
    <w:p>
      <w:pPr>
        <w:jc w:val="both"/>
        <w:ind w:left="1160" w:right="1199" w:firstLine="293"/>
        <w:spacing w:after="0" w:line="235" w:lineRule="auto"/>
        <w:rPr>
          <w:sz w:val="20"/>
          <w:szCs w:val="20"/>
          <w:color w:val="auto"/>
        </w:rPr>
      </w:pPr>
      <w:r>
        <w:rPr>
          <w:rFonts w:ascii="Arial" w:cs="Arial" w:eastAsia="Arial" w:hAnsi="Arial"/>
          <w:sz w:val="15"/>
          <w:szCs w:val="15"/>
          <w:color w:val="auto"/>
        </w:rPr>
        <w:t>Our executive committee consists of Jude Bricker, as chairperson, Antoine Munfakh and David Siegel.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Stockholder no longer owns a controlling interest in us.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80" w:lineRule="exact"/>
        <w:rPr>
          <w:sz w:val="20"/>
          <w:szCs w:val="20"/>
          <w:color w:val="auto"/>
        </w:rPr>
      </w:pPr>
    </w:p>
    <w:p>
      <w:pPr>
        <w:ind w:left="1160" w:right="1399" w:firstLine="293"/>
        <w:spacing w:after="0" w:line="236" w:lineRule="auto"/>
        <w:rPr>
          <w:sz w:val="20"/>
          <w:szCs w:val="20"/>
          <w:color w:val="auto"/>
        </w:rPr>
      </w:pPr>
      <w:r>
        <w:rPr>
          <w:rFonts w:ascii="Arial" w:cs="Arial" w:eastAsia="Arial" w:hAnsi="Arial"/>
          <w:sz w:val="15"/>
          <w:szCs w:val="15"/>
          <w:color w:val="auto"/>
        </w:rPr>
        <w:t>Our audit committee consists of Kerry Philipovitch, as chairperson, Juan Carlos Zuazua and Patrick Kearney. We expect to appoint Mr. Kennedy as chairperson of the audit committee. Ms. Philipovitch will remain on the audit committee. The Nasdaq listing rules allow us to phase in an independent audit committee.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We are currently required to have an audit committee with one independent director until June 14, 2021. After June 14, 2021 and until March 16, 2022, we will be required to have a majority of independent directors on our audit committee. After March 16, 2022, we will be required to have an audit committee comprised entirely of independent directors. Our board of directors has determined that Mr. Kearney qualifies as an “audit committee financial expert” as such term is defined in Item 407(d)(5) of Regulation S-K and that Ms. Philipovitch and Mr. Zuazua are independent as independence is defined in Rule 10A -3 of the Exchange Act and the Nasdaq’s listing standards. The principal duties and responsibilities of our audit committee are as follows:</w:t>
      </w:r>
    </w:p>
    <w:p>
      <w:pPr>
        <w:spacing w:after="0" w:line="56" w:lineRule="exact"/>
        <w:rPr>
          <w:sz w:val="20"/>
          <w:szCs w:val="20"/>
          <w:color w:val="auto"/>
        </w:rPr>
      </w:pPr>
    </w:p>
    <w:p>
      <w:pPr>
        <w:ind w:left="1600" w:hanging="143"/>
        <w:spacing w:after="0"/>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prepare the annual audit committee report to be included in our annual proxy statement;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oversee and monitor our accounting and financial reporting processes;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oversee and monitor the integrity of our financial statements and internal control system;</w:t>
      </w:r>
    </w:p>
    <w:p>
      <w:pPr>
        <w:spacing w:after="0" w:line="91" w:lineRule="exact"/>
        <w:rPr>
          <w:rFonts w:ascii="Arial" w:cs="Arial" w:eastAsia="Arial" w:hAnsi="Arial"/>
          <w:sz w:val="15"/>
          <w:szCs w:val="15"/>
          <w:color w:val="auto"/>
        </w:rPr>
      </w:pPr>
    </w:p>
    <w:p>
      <w:pPr>
        <w:ind w:left="1600" w:right="1859" w:hanging="143"/>
        <w:spacing w:after="0" w:line="26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oversee and monitor the independence, retention, performance and compensation of our independent auditor;</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oversee and monitor the performance, appointment and retention of our internal audit department;</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discuss, oversee and monitor policies with respect to risk assessment and risk management, and</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oversee and monitor our compliance with legal and regulatory matters.</w:t>
      </w:r>
    </w:p>
    <w:p>
      <w:pPr>
        <w:spacing w:after="0" w:line="8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The audit committee also has the authority to retain counsel and advisors to fulfill its responsibilities and duties and to form and delegate authority to subcommittees.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0" w:lineRule="exact"/>
        <w:rPr>
          <w:sz w:val="20"/>
          <w:szCs w:val="20"/>
          <w:color w:val="auto"/>
        </w:rPr>
      </w:pPr>
    </w:p>
    <w:p>
      <w:pPr>
        <w:jc w:val="both"/>
        <w:ind w:left="1160" w:right="1519" w:firstLine="293"/>
        <w:spacing w:after="0" w:line="323" w:lineRule="auto"/>
        <w:rPr>
          <w:sz w:val="20"/>
          <w:szCs w:val="20"/>
          <w:color w:val="auto"/>
        </w:rPr>
      </w:pPr>
      <w:r>
        <w:rPr>
          <w:rFonts w:ascii="Arial" w:cs="Arial" w:eastAsia="Arial" w:hAnsi="Arial"/>
          <w:sz w:val="13"/>
          <w:szCs w:val="13"/>
          <w:color w:val="auto"/>
        </w:rPr>
        <w:t>Our compensation committee consists of Antoine Munfakh, as chairperson, David Siegel and Juan Carlos Zuazua. The principal duties and responsibilities of the compensation committee are as follows:</w:t>
      </w:r>
    </w:p>
    <w:p>
      <w:pPr>
        <w:spacing w:after="0" w:line="15" w:lineRule="exact"/>
        <w:rPr>
          <w:sz w:val="20"/>
          <w:szCs w:val="20"/>
          <w:color w:val="auto"/>
        </w:rPr>
      </w:pPr>
    </w:p>
    <w:p>
      <w:pPr>
        <w:ind w:left="1600" w:right="185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 review, evaluate and make recommendations to the full board of directors regarding our compensation policies and programs;</w:t>
      </w:r>
    </w:p>
    <w:p>
      <w:pPr>
        <w:spacing w:after="0" w:line="59" w:lineRule="exact"/>
        <w:rPr>
          <w:rFonts w:ascii="Arial" w:cs="Arial" w:eastAsia="Arial" w:hAnsi="Arial"/>
          <w:sz w:val="15"/>
          <w:szCs w:val="15"/>
          <w:color w:val="auto"/>
        </w:rPr>
      </w:pPr>
    </w:p>
    <w:p>
      <w:pPr>
        <w:jc w:val="both"/>
        <w:ind w:left="1600" w:right="1319" w:hanging="143"/>
        <w:spacing w:after="0" w:line="25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56" w:lineRule="exact"/>
        <w:rPr>
          <w:rFonts w:ascii="Arial" w:cs="Arial" w:eastAsia="Arial" w:hAnsi="Arial"/>
          <w:sz w:val="15"/>
          <w:szCs w:val="15"/>
          <w:color w:val="auto"/>
        </w:rPr>
      </w:pPr>
    </w:p>
    <w:p>
      <w:pPr>
        <w:ind w:left="1600" w:right="1779" w:hanging="143"/>
        <w:spacing w:after="0" w:line="300" w:lineRule="auto"/>
        <w:tabs>
          <w:tab w:leader="none" w:pos="1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to review and make recommendations to the board of directors with respect to our incentive compensation plans and equity-based compensation plans and pension plans;</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 administer incentive compensation and equity-related plans and pension plans;</w:t>
      </w:r>
    </w:p>
    <w:p>
      <w:pPr>
        <w:spacing w:after="0" w:line="91"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 review and make recommendations to the board of directors with respect to the financial and other performance targets that must be met; and</w:t>
      </w:r>
    </w:p>
    <w:p>
      <w:pPr>
        <w:spacing w:after="0" w:line="59"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 prepare an annual compensation committee report and take such other actions as are necessary and consistent with the governing law and our organizational documents.</w:t>
      </w:r>
    </w:p>
    <w:p>
      <w:pPr>
        <w:spacing w:after="0" w:line="38" w:lineRule="exact"/>
        <w:rPr>
          <w:sz w:val="20"/>
          <w:szCs w:val="20"/>
          <w:color w:val="auto"/>
        </w:rPr>
      </w:pPr>
    </w:p>
    <w:p>
      <w:pPr>
        <w:ind w:left="1160" w:right="1219" w:firstLine="293"/>
        <w:spacing w:after="0" w:line="239"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compensation committee composed entirely of independent directors.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8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Our nominating and corporate governance committee consists of Antoine Munfakh, as chairperson, Kerry Philipovitch and David Siegel. The principal duties and responsibilities of the nominating and corporate governance committee are as follows:</w:t>
      </w:r>
    </w:p>
    <w:p>
      <w:pPr>
        <w:spacing w:after="0" w:line="67" w:lineRule="exact"/>
        <w:rPr>
          <w:sz w:val="20"/>
          <w:szCs w:val="20"/>
          <w:color w:val="auto"/>
        </w:rPr>
      </w:pPr>
    </w:p>
    <w:p>
      <w:pPr>
        <w:ind w:left="1600" w:right="1759" w:hanging="143"/>
        <w:spacing w:after="0" w:line="26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identify candidates qualified to become directors of the Company, consistent with criteria approved by our board of directors;</w:t>
      </w:r>
    </w:p>
    <w:p>
      <w:pPr>
        <w:spacing w:after="0" w:line="59" w:lineRule="exact"/>
        <w:rPr>
          <w:rFonts w:ascii="Arial" w:cs="Arial" w:eastAsia="Arial" w:hAnsi="Arial"/>
          <w:sz w:val="15"/>
          <w:szCs w:val="15"/>
          <w:color w:val="auto"/>
        </w:rPr>
      </w:pPr>
    </w:p>
    <w:p>
      <w:pPr>
        <w:jc w:val="both"/>
        <w:ind w:left="1600" w:right="1199" w:hanging="143"/>
        <w:spacing w:after="0" w:line="25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1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recommend to our board of directors candidates to fill vacancies and newly created directorships on the board of directors;</w:t>
      </w:r>
    </w:p>
    <w:p>
      <w:pPr>
        <w:spacing w:after="0" w:line="59" w:lineRule="exact"/>
        <w:rPr>
          <w:rFonts w:ascii="Arial" w:cs="Arial" w:eastAsia="Arial" w:hAnsi="Arial"/>
          <w:sz w:val="15"/>
          <w:szCs w:val="15"/>
          <w:color w:val="auto"/>
        </w:rPr>
      </w:pPr>
    </w:p>
    <w:p>
      <w:pPr>
        <w:jc w:val="both"/>
        <w:ind w:left="1600" w:right="1359" w:hanging="143"/>
        <w:spacing w:after="0" w:line="341" w:lineRule="auto"/>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to identify best practices and recommend corporate governance principles, including giving proper attention and making effective responses to stockholder concerns regarding corporate governance;</w:t>
      </w:r>
    </w:p>
    <w:p>
      <w:pPr>
        <w:spacing w:after="0" w:line="14" w:lineRule="exact"/>
        <w:rPr>
          <w:rFonts w:ascii="Arial" w:cs="Arial" w:eastAsia="Arial" w:hAnsi="Arial"/>
          <w:sz w:val="13"/>
          <w:szCs w:val="13"/>
          <w:color w:val="auto"/>
        </w:rPr>
      </w:pPr>
    </w:p>
    <w:p>
      <w:pPr>
        <w:ind w:left="1600" w:hanging="143"/>
        <w:spacing w:after="0"/>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set and review the compensation of the non-executive members of the board of directors;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develop and recommend to our board of directors guidelines setting forth corporate governance principles applicable to the Company;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oversee the evaluation of our board of directors.</w:t>
      </w:r>
    </w:p>
    <w:p>
      <w:pPr>
        <w:spacing w:after="0" w:line="80"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nominating and corporate governance committee composed entirely of independent directors.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Safety Committee</w:t>
      </w:r>
    </w:p>
    <w:p>
      <w:pPr>
        <w:spacing w:after="0" w:line="80"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Our safety committee consists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w:t>
      </w:r>
    </w:p>
    <w:p>
      <w:pPr>
        <w:ind w:left="1160" w:right="1219" w:firstLine="4"/>
        <w:spacing w:after="0" w:line="249" w:lineRule="auto"/>
        <w:tabs>
          <w:tab w:leader="none" w:pos="1423" w:val="left"/>
        </w:tabs>
        <w:numPr>
          <w:ilvl w:val="0"/>
          <w:numId w:val="70"/>
        </w:numPr>
        <w:rPr>
          <w:rFonts w:ascii="Arial" w:cs="Arial" w:eastAsia="Arial" w:hAnsi="Arial"/>
          <w:sz w:val="15"/>
          <w:szCs w:val="15"/>
          <w:color w:val="auto"/>
        </w:rPr>
      </w:pPr>
      <w:r>
        <w:rPr>
          <w:rFonts w:ascii="Arial" w:cs="Arial" w:eastAsia="Arial" w:hAnsi="Arial"/>
          <w:sz w:val="15"/>
          <w:szCs w:val="15"/>
          <w:color w:val="auto"/>
        </w:rPr>
        <w:t>periodically reviewing all aspects of airline safety and security with management and outside experts as necessary.</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73" w:lineRule="exact"/>
        <w:rPr>
          <w:sz w:val="20"/>
          <w:szCs w:val="20"/>
          <w:color w:val="auto"/>
        </w:rPr>
      </w:pPr>
    </w:p>
    <w:p>
      <w:pPr>
        <w:ind w:left="1160" w:right="1319" w:firstLine="293"/>
        <w:spacing w:after="0" w:line="247" w:lineRule="auto"/>
        <w:rPr>
          <w:sz w:val="20"/>
          <w:szCs w:val="20"/>
          <w:color w:val="auto"/>
        </w:rPr>
      </w:pPr>
      <w:r>
        <w:rPr>
          <w:rFonts w:ascii="Arial" w:cs="Arial" w:eastAsia="Arial" w:hAnsi="Arial"/>
          <w:sz w:val="15"/>
          <w:szCs w:val="15"/>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8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Our board of directors has adopted an amended code of business conduct and ethics that applies to all of our directors, officers and employees and is intended to comply with the relevant listing requirements for a code of conduct as well as qualify as a “code of ethics” as defined by the rules of the SEC. The code of business conduct and ethics contains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is available on our website.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Leadership Structure and Board’s Role in Risk Oversight</w:t>
      </w:r>
    </w:p>
    <w:p>
      <w:pPr>
        <w:spacing w:after="0" w:line="8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Summary</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124"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Option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16"/>
        </w:trPr>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2"/>
              </w:rPr>
              <w:t>Awards</w:t>
            </w:r>
          </w:p>
        </w:tc>
        <w:tc>
          <w:tcPr>
            <w:tcW w:w="80" w:type="dxa"/>
            <w:vAlign w:val="bottom"/>
          </w:tcPr>
          <w:p>
            <w:pPr>
              <w:spacing w:after="0"/>
              <w:rPr>
                <w:sz w:val="10"/>
                <w:szCs w:val="10"/>
                <w:color w:val="auto"/>
              </w:rPr>
            </w:pPr>
          </w:p>
        </w:tc>
        <w:tc>
          <w:tcPr>
            <w:tcW w:w="6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87"/>
              </w:rPr>
              <w:t>Awards</w:t>
            </w:r>
          </w:p>
        </w:tc>
        <w:tc>
          <w:tcPr>
            <w:tcW w:w="88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98"/>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Year</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Salary ($)</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Bonus ($)</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(3)</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89"/>
              </w:rPr>
              <w:t>Total ($)</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9"/>
              </w:rPr>
              <w:t>$340,000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$ 23,777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563,777</w:t>
            </w:r>
          </w:p>
        </w:tc>
      </w:tr>
      <w:tr>
        <w:trPr>
          <w:trHeight w:val="209"/>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Chief Executive Officer</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$200,000</w:t>
            </w: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w w:val="89"/>
              </w:rPr>
              <w:t>$338,300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$ 28,970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567,270</w:t>
            </w:r>
          </w:p>
        </w:tc>
      </w:tr>
      <w:tr>
        <w:trPr>
          <w:trHeight w:val="209"/>
        </w:trPr>
        <w:tc>
          <w:tcPr>
            <w:tcW w:w="1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Dave Davis</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$360,000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9"/>
              </w:rPr>
              <w:t>$270,000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644,456</w:t>
            </w:r>
          </w:p>
        </w:tc>
      </w:tr>
      <w:tr>
        <w:trPr>
          <w:trHeight w:val="187"/>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President and Chief</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w w:val="89"/>
              </w:rPr>
              <w:t>$182,275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549,098</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$ 17,662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1,109,035</w:t>
            </w:r>
          </w:p>
        </w:tc>
      </w:tr>
      <w:tr>
        <w:trPr>
          <w:trHeight w:val="192"/>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Financial Officer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5"/>
        </w:trPr>
        <w:tc>
          <w:tcPr>
            <w:tcW w:w="1880" w:type="dxa"/>
            <w:vAlign w:val="bottom"/>
            <w:gridSpan w:val="2"/>
            <w:shd w:val="clear" w:color="auto" w:fill="CCEEFF"/>
          </w:tcPr>
          <w:p>
            <w:pPr>
              <w:spacing w:after="0" w:line="225" w:lineRule="exact"/>
              <w:rPr>
                <w:sz w:val="20"/>
                <w:szCs w:val="20"/>
                <w:color w:val="auto"/>
              </w:rPr>
            </w:pPr>
            <w:r>
              <w:rPr>
                <w:rFonts w:ascii="Arial" w:cs="Arial" w:eastAsia="Arial" w:hAnsi="Arial"/>
                <w:sz w:val="15"/>
                <w:szCs w:val="15"/>
                <w:b w:val="1"/>
                <w:bCs w:val="1"/>
                <w:color w:val="auto"/>
              </w:rPr>
              <w:t>Gregory Mays</w:t>
            </w:r>
            <w:r>
              <w:rPr>
                <w:rFonts w:ascii="Arial" w:cs="Arial" w:eastAsia="Arial" w:hAnsi="Arial"/>
                <w:sz w:val="21"/>
                <w:szCs w:val="21"/>
                <w:b w:val="1"/>
                <w:bCs w:val="1"/>
                <w:color w:val="auto"/>
                <w:vertAlign w:val="superscript"/>
              </w:rPr>
              <w:t>(1)</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56,250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56,194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$ 14,663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427,107</w:t>
            </w:r>
          </w:p>
        </w:tc>
      </w:tr>
      <w:tr>
        <w:trPr>
          <w:trHeight w:val="209"/>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Chief Operating Officer</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$162,500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91"/>
              </w:rPr>
              <w:t>91,300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988,950</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$ 90,038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1,332,788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-920115</wp:posOffset>
            </wp:positionV>
            <wp:extent cx="9779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-920115</wp:posOffset>
            </wp:positionV>
            <wp:extent cx="9779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-920115</wp:posOffset>
            </wp:positionV>
            <wp:extent cx="9779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-920115</wp:posOffset>
            </wp:positionV>
            <wp:extent cx="9779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-920115</wp:posOffset>
            </wp:positionV>
            <wp:extent cx="9080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-920115</wp:posOffset>
            </wp:positionV>
            <wp:extent cx="8382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-920115</wp:posOffset>
            </wp:positionV>
            <wp:extent cx="8382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hanging="296"/>
        <w:spacing w:after="0"/>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Mr. Mays was hired in June 2019.</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an award of fully vested stock.</w:t>
      </w:r>
    </w:p>
    <w:p>
      <w:pPr>
        <w:spacing w:after="0" w:line="47" w:lineRule="exact"/>
        <w:rPr>
          <w:rFonts w:ascii="Arial" w:cs="Arial" w:eastAsia="Arial" w:hAnsi="Arial"/>
          <w:sz w:val="14"/>
          <w:szCs w:val="14"/>
          <w:color w:val="auto"/>
        </w:rPr>
      </w:pPr>
    </w:p>
    <w:p>
      <w:pPr>
        <w:ind w:left="1460" w:right="1259" w:hanging="296"/>
        <w:spacing w:after="0" w:line="237" w:lineRule="auto"/>
        <w:tabs>
          <w:tab w:leader="none" w:pos="1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spacing w:after="0" w:line="23" w:lineRule="exact"/>
        <w:rPr>
          <w:rFonts w:ascii="Arial" w:cs="Arial" w:eastAsia="Arial" w:hAnsi="Arial"/>
          <w:sz w:val="14"/>
          <w:szCs w:val="14"/>
          <w:color w:val="auto"/>
        </w:rPr>
      </w:pPr>
    </w:p>
    <w:p>
      <w:pPr>
        <w:ind w:left="1460" w:right="1259" w:hanging="296"/>
        <w:spacing w:after="0" w:line="231" w:lineRule="auto"/>
        <w:tabs>
          <w:tab w:leader="none" w:pos="1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w:t>
      </w:r>
    </w:p>
    <w:p>
      <w:pPr>
        <w:spacing w:after="0" w:line="3" w:lineRule="exact"/>
        <w:rPr>
          <w:rFonts w:ascii="Arial" w:cs="Arial" w:eastAsia="Arial" w:hAnsi="Arial"/>
          <w:sz w:val="14"/>
          <w:szCs w:val="14"/>
          <w:color w:val="auto"/>
        </w:rPr>
      </w:pPr>
    </w:p>
    <w:p>
      <w:pPr>
        <w:ind w:left="1460" w:right="1179"/>
        <w:spacing w:after="0" w:line="216" w:lineRule="auto"/>
        <w:rPr>
          <w:rFonts w:ascii="Arial" w:cs="Arial" w:eastAsia="Arial" w:hAnsi="Arial"/>
          <w:sz w:val="14"/>
          <w:szCs w:val="14"/>
          <w:color w:val="auto"/>
        </w:rPr>
      </w:pPr>
      <w:r>
        <w:rPr>
          <w:rFonts w:ascii="Arial" w:cs="Arial" w:eastAsia="Arial" w:hAnsi="Arial"/>
          <w:sz w:val="15"/>
          <w:szCs w:val="15"/>
          <w:color w:val="auto"/>
        </w:rPr>
        <w:t>Messrs. Bricker, Davis and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319"/>
        <w:spacing w:after="0" w:line="267" w:lineRule="auto"/>
        <w:rPr>
          <w:sz w:val="20"/>
          <w:szCs w:val="20"/>
          <w:color w:val="auto"/>
        </w:rPr>
      </w:pPr>
      <w:r>
        <w:rPr>
          <w:rFonts w:ascii="Arial" w:cs="Arial" w:eastAsia="Arial" w:hAnsi="Arial"/>
          <w:sz w:val="14"/>
          <w:szCs w:val="14"/>
          <w:color w:val="auto"/>
        </w:rPr>
        <w:t>Messrs, Davis and Mays). The amounts reflected in respect of the ATP benefit utilized for fiscal 2020 were adjusted to $11,799, $2,278 and $2,733 for Messrs, Bricker, Davis and Mays, respectively.</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Agreements with Named Executive Officers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Jude Bricker Employment Agreement</w:t>
      </w:r>
    </w:p>
    <w:p>
      <w:pPr>
        <w:spacing w:after="0" w:line="11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92"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102"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4"/>
          <w:szCs w:val="14"/>
          <w:color w:val="auto"/>
        </w:rPr>
        <w:t>Mr. Bricker is also entitled to travel benefits, including an annual credit of $15,000 in his ATP account for personal travel on Company scheduled flights for him and certain qualifying friends and family.</w:t>
      </w:r>
    </w:p>
    <w:p>
      <w:pPr>
        <w:spacing w:after="0" w:line="1"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81"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3"/>
          <w:szCs w:val="13"/>
          <w:i w:val="1"/>
          <w:iCs w:val="1"/>
          <w:color w:val="auto"/>
        </w:rPr>
        <w:t>Potential Payments upon Termination</w:t>
      </w:r>
      <w:r>
        <w:rPr>
          <w:rFonts w:ascii="Arial" w:cs="Arial" w:eastAsia="Arial" w:hAnsi="Arial"/>
          <w:sz w:val="13"/>
          <w:szCs w:val="13"/>
          <w:color w:val="auto"/>
        </w:rPr>
        <w:t>.”</w:t>
      </w:r>
    </w:p>
    <w:p>
      <w:pPr>
        <w:spacing w:after="0" w:line="6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Mr. Bricker is subject to restrictive covenants, including non-competition during employment and for</w:t>
      </w:r>
    </w:p>
    <w:p>
      <w:pPr>
        <w:spacing w:after="0" w:line="16" w:lineRule="exact"/>
        <w:rPr>
          <w:sz w:val="20"/>
          <w:szCs w:val="20"/>
          <w:color w:val="auto"/>
        </w:rPr>
      </w:pPr>
    </w:p>
    <w:p>
      <w:pPr>
        <w:ind w:left="1160" w:right="1259" w:firstLine="4"/>
        <w:spacing w:after="0" w:line="255" w:lineRule="auto"/>
        <w:tabs>
          <w:tab w:leader="none" w:pos="1352" w:val="left"/>
        </w:tabs>
        <w:numPr>
          <w:ilvl w:val="0"/>
          <w:numId w:val="72"/>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Dave Davis Employment Agreement</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shall be no less than $ 420,000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85" w:lineRule="exact"/>
        <w:rPr>
          <w:sz w:val="20"/>
          <w:szCs w:val="20"/>
          <w:color w:val="auto"/>
        </w:rPr>
      </w:pPr>
    </w:p>
    <w:p>
      <w:pPr>
        <w:ind w:left="1160" w:right="1499" w:firstLine="293"/>
        <w:spacing w:after="0" w:line="235" w:lineRule="auto"/>
        <w:rPr>
          <w:sz w:val="20"/>
          <w:szCs w:val="20"/>
          <w:color w:val="auto"/>
        </w:rPr>
      </w:pPr>
      <w:r>
        <w:rPr>
          <w:rFonts w:ascii="Arial" w:cs="Arial" w:eastAsia="Arial" w:hAnsi="Arial"/>
          <w:sz w:val="15"/>
          <w:szCs w:val="15"/>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Mr. Davis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81"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Mr. Davis is subject to restrictive covenants, including non-competition during employment and for</w:t>
      </w:r>
    </w:p>
    <w:p>
      <w:pPr>
        <w:spacing w:after="0" w:line="14" w:lineRule="exact"/>
        <w:rPr>
          <w:sz w:val="20"/>
          <w:szCs w:val="20"/>
          <w:color w:val="auto"/>
        </w:rPr>
      </w:pPr>
    </w:p>
    <w:p>
      <w:pPr>
        <w:ind w:left="1160" w:right="1259" w:firstLine="4"/>
        <w:spacing w:after="0" w:line="273" w:lineRule="auto"/>
        <w:tabs>
          <w:tab w:leader="none" w:pos="1352" w:val="left"/>
        </w:tabs>
        <w:numPr>
          <w:ilvl w:val="0"/>
          <w:numId w:val="73"/>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Gregory Mays Employment Agreement</w:t>
      </w:r>
    </w:p>
    <w:p>
      <w:pPr>
        <w:spacing w:after="0" w:line="12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83" w:lineRule="exact"/>
        <w:rPr>
          <w:sz w:val="20"/>
          <w:szCs w:val="20"/>
          <w:color w:val="auto"/>
        </w:rPr>
      </w:pPr>
    </w:p>
    <w:p>
      <w:pPr>
        <w:jc w:val="both"/>
        <w:ind w:left="1160" w:right="1199" w:firstLine="293"/>
        <w:spacing w:after="0" w:line="281" w:lineRule="auto"/>
        <w:rPr>
          <w:sz w:val="20"/>
          <w:szCs w:val="20"/>
          <w:color w:val="auto"/>
        </w:rPr>
      </w:pPr>
      <w:r>
        <w:rPr>
          <w:rFonts w:ascii="Arial" w:cs="Arial" w:eastAsia="Arial" w:hAnsi="Arial"/>
          <w:sz w:val="14"/>
          <w:szCs w:val="14"/>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83" w:lineRule="exact"/>
        <w:rPr>
          <w:sz w:val="20"/>
          <w:szCs w:val="20"/>
          <w:color w:val="auto"/>
        </w:rPr>
      </w:pPr>
    </w:p>
    <w:p>
      <w:pPr>
        <w:ind w:left="1160" w:right="1379" w:firstLine="293"/>
        <w:spacing w:after="0" w:line="270" w:lineRule="auto"/>
        <w:rPr>
          <w:sz w:val="20"/>
          <w:szCs w:val="20"/>
          <w:color w:val="auto"/>
        </w:rPr>
      </w:pPr>
      <w:r>
        <w:rPr>
          <w:rFonts w:ascii="Arial" w:cs="Arial" w:eastAsia="Arial" w:hAnsi="Arial"/>
          <w:sz w:val="14"/>
          <w:szCs w:val="14"/>
          <w:color w:val="auto"/>
        </w:rPr>
        <w:t>Mr. Mays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72"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Outstanding Equity Awards at Fiscal Year-End Table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lists each NEO’s outstanding equity awards at the end of fiscal 2020.</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Outstanding Equity Awards At Fiscal 2020 Year-End</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Incentive Plan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Awards: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9"/>
              </w:rPr>
              <w:t>Number of</w:t>
            </w: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Option</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Option</w:t>
            </w:r>
          </w:p>
        </w:tc>
      </w:tr>
      <w:tr>
        <w:trPr>
          <w:trHeight w:val="127"/>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1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Unearned</w:t>
            </w:r>
          </w:p>
        </w:tc>
        <w:tc>
          <w:tcPr>
            <w:tcW w:w="9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2"/>
              </w:rPr>
              <w:t>Exercise Price</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Expiration</w:t>
            </w:r>
          </w:p>
        </w:tc>
      </w:tr>
      <w:tr>
        <w:trPr>
          <w:trHeight w:val="187"/>
        </w:trPr>
        <w:tc>
          <w:tcPr>
            <w:tcW w:w="2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w:t>
            </w: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Exercisable</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 xml:space="preserve">Unexercisable </w:t>
            </w:r>
            <w:r>
              <w:rPr>
                <w:rFonts w:ascii="Arial" w:cs="Arial" w:eastAsia="Arial" w:hAnsi="Arial"/>
                <w:sz w:val="17"/>
                <w:szCs w:val="17"/>
                <w:b w:val="1"/>
                <w:bCs w:val="1"/>
                <w:color w:val="auto"/>
                <w:w w:val="79"/>
                <w:vertAlign w:val="superscript"/>
              </w:rPr>
              <w:t>(2) (3)</w:t>
            </w: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 xml:space="preserve">Options (#) </w:t>
            </w:r>
            <w:r>
              <w:rPr>
                <w:rFonts w:ascii="Arial" w:cs="Arial" w:eastAsia="Arial" w:hAnsi="Arial"/>
                <w:sz w:val="17"/>
                <w:szCs w:val="17"/>
                <w:b w:val="1"/>
                <w:bCs w:val="1"/>
                <w:color w:val="auto"/>
                <w:w w:val="79"/>
                <w:vertAlign w:val="superscript"/>
              </w:rPr>
              <w:t>(2) (4)</w:t>
            </w: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200"/>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JudeBricker</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95"/>
              </w:rPr>
              <w:t>310,339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rPr>
              <w:t>310,320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rPr>
              <w:t>991,405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11/21/2028</w:t>
            </w:r>
          </w:p>
        </w:tc>
      </w:tr>
      <w:tr>
        <w:trPr>
          <w:trHeight w:val="220"/>
        </w:trPr>
        <w:tc>
          <w:tcPr>
            <w:tcW w:w="2180" w:type="dxa"/>
            <w:vAlign w:val="bottom"/>
            <w:gridSpan w:val="2"/>
          </w:tcPr>
          <w:p>
            <w:pPr>
              <w:spacing w:after="0" w:line="220" w:lineRule="exact"/>
              <w:rPr>
                <w:sz w:val="20"/>
                <w:szCs w:val="20"/>
                <w:color w:val="auto"/>
              </w:rPr>
            </w:pPr>
            <w:r>
              <w:rPr>
                <w:rFonts w:ascii="Arial" w:cs="Arial" w:eastAsia="Arial" w:hAnsi="Arial"/>
                <w:sz w:val="15"/>
                <w:szCs w:val="15"/>
                <w:b w:val="1"/>
                <w:bCs w:val="1"/>
                <w:color w:val="auto"/>
              </w:rPr>
              <w:t>DaveDavis</w:t>
            </w:r>
            <w:r>
              <w:rPr>
                <w:rFonts w:ascii="Arial" w:cs="Arial" w:eastAsia="Arial" w:hAnsi="Arial"/>
                <w:sz w:val="21"/>
                <w:szCs w:val="21"/>
                <w:b w:val="1"/>
                <w:bCs w:val="1"/>
                <w:color w:val="auto"/>
                <w:vertAlign w:val="superscript"/>
              </w:rPr>
              <w:t>(1)</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w w:val="95"/>
              </w:rPr>
              <w:t>124,135</w:t>
            </w:r>
          </w:p>
        </w:tc>
        <w:tc>
          <w:tcPr>
            <w:tcW w:w="180" w:type="dxa"/>
            <w:vAlign w:val="bottom"/>
          </w:tcPr>
          <w:p>
            <w:pPr>
              <w:spacing w:after="0"/>
              <w:rPr>
                <w:sz w:val="19"/>
                <w:szCs w:val="19"/>
                <w:color w:val="auto"/>
              </w:rPr>
            </w:pPr>
          </w:p>
        </w:tc>
        <w:tc>
          <w:tcPr>
            <w:tcW w:w="940" w:type="dxa"/>
            <w:vAlign w:val="bottom"/>
          </w:tcPr>
          <w:p>
            <w:pPr>
              <w:jc w:val="right"/>
              <w:ind w:right="176"/>
              <w:spacing w:after="0"/>
              <w:rPr>
                <w:sz w:val="20"/>
                <w:szCs w:val="20"/>
                <w:color w:val="auto"/>
              </w:rPr>
            </w:pPr>
            <w:r>
              <w:rPr>
                <w:rFonts w:ascii="Arial" w:cs="Arial" w:eastAsia="Arial" w:hAnsi="Arial"/>
                <w:sz w:val="15"/>
                <w:szCs w:val="15"/>
                <w:color w:val="auto"/>
              </w:rPr>
              <w:t>124,116</w:t>
            </w:r>
          </w:p>
        </w:tc>
        <w:tc>
          <w:tcPr>
            <w:tcW w:w="180" w:type="dxa"/>
            <w:vAlign w:val="bottom"/>
          </w:tcPr>
          <w:p>
            <w:pPr>
              <w:spacing w:after="0"/>
              <w:rPr>
                <w:sz w:val="19"/>
                <w:szCs w:val="19"/>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color w:val="auto"/>
              </w:rPr>
              <w:t>396,566</w:t>
            </w: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2"/>
              </w:rPr>
              <w:t>4/17/2028</w:t>
            </w:r>
          </w:p>
        </w:tc>
      </w:tr>
      <w:tr>
        <w:trPr>
          <w:trHeight w:val="209"/>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12,938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rPr>
              <w:t>38,797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rPr>
              <w:t>82,618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$15.17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11/19/2029</w:t>
            </w:r>
          </w:p>
        </w:tc>
      </w:tr>
      <w:tr>
        <w:trPr>
          <w:trHeight w:val="209"/>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GregoryMays</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rPr>
              <w:t>51,716</w:t>
            </w:r>
          </w:p>
        </w:tc>
        <w:tc>
          <w:tcPr>
            <w:tcW w:w="18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5"/>
                <w:szCs w:val="15"/>
                <w:color w:val="auto"/>
              </w:rPr>
              <w:t>155,169</w:t>
            </w:r>
          </w:p>
        </w:tc>
        <w:tc>
          <w:tcPr>
            <w:tcW w:w="180" w:type="dxa"/>
            <w:vAlign w:val="bottom"/>
          </w:tcPr>
          <w:p>
            <w:pPr>
              <w:spacing w:after="0"/>
              <w:rPr>
                <w:sz w:val="18"/>
                <w:szCs w:val="18"/>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color w:val="auto"/>
              </w:rPr>
              <w:t>330,474</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5"/>
                <w:szCs w:val="15"/>
                <w:color w:val="auto"/>
                <w:w w:val="99"/>
              </w:rPr>
              <w:t>7/1/2029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-543560</wp:posOffset>
            </wp:positionV>
            <wp:extent cx="11176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-543560</wp:posOffset>
            </wp:positionV>
            <wp:extent cx="11176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-543560</wp:posOffset>
            </wp:positionV>
            <wp:extent cx="11176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-543560</wp:posOffset>
            </wp:positionV>
            <wp:extent cx="11176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-543560</wp:posOffset>
            </wp:positionV>
            <wp:extent cx="11176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9" w:lineRule="exact"/>
        <w:rPr>
          <w:sz w:val="20"/>
          <w:szCs w:val="20"/>
          <w:color w:val="auto"/>
        </w:rPr>
      </w:pPr>
    </w:p>
    <w:p>
      <w:pPr>
        <w:ind w:left="1460" w:right="1339" w:hanging="296"/>
        <w:spacing w:after="0" w:line="236" w:lineRule="auto"/>
        <w:tabs>
          <w:tab w:leader="none" w:pos="1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On November 19, 2019, Mr. Davis was granted additional options with an exercise price of $15.17 in connection with his promotion to President and Chief Financial Officer.</w:t>
      </w:r>
    </w:p>
    <w:p>
      <w:pPr>
        <w:spacing w:after="0" w:line="23" w:lineRule="exact"/>
        <w:rPr>
          <w:rFonts w:ascii="Arial" w:cs="Arial" w:eastAsia="Arial" w:hAnsi="Arial"/>
          <w:sz w:val="15"/>
          <w:szCs w:val="15"/>
          <w:color w:val="auto"/>
        </w:rPr>
      </w:pPr>
    </w:p>
    <w:p>
      <w:pPr>
        <w:ind w:left="1460" w:right="1419" w:hanging="296"/>
        <w:spacing w:after="0" w:line="267" w:lineRule="auto"/>
        <w:tabs>
          <w:tab w:leader="none" w:pos="1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spacing w:after="0" w:line="15" w:lineRule="exact"/>
        <w:rPr>
          <w:rFonts w:ascii="Arial" w:cs="Arial" w:eastAsia="Arial" w:hAnsi="Arial"/>
          <w:sz w:val="14"/>
          <w:szCs w:val="14"/>
          <w:color w:val="auto"/>
        </w:rPr>
      </w:pPr>
    </w:p>
    <w:p>
      <w:pPr>
        <w:ind w:left="1460" w:right="1179" w:hanging="296"/>
        <w:spacing w:after="0" w:line="218" w:lineRule="auto"/>
        <w:tabs>
          <w:tab w:leader="none" w:pos="1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26" w:lineRule="exact"/>
        <w:rPr>
          <w:rFonts w:ascii="Arial" w:cs="Arial" w:eastAsia="Arial" w:hAnsi="Arial"/>
          <w:sz w:val="15"/>
          <w:szCs w:val="15"/>
          <w:color w:val="auto"/>
        </w:rPr>
      </w:pPr>
    </w:p>
    <w:p>
      <w:pPr>
        <w:ind w:left="1460" w:right="1199" w:hanging="296"/>
        <w:spacing w:after="0" w:line="232" w:lineRule="auto"/>
        <w:tabs>
          <w:tab w:leader="none" w:pos="1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86"/>
              </w:rPr>
              <w:t>Months Post-IPO</w:t>
            </w:r>
          </w:p>
        </w:tc>
        <w:tc>
          <w:tcPr>
            <w:tcW w:w="142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5"/>
              </w:rPr>
              <w:t>% of Performance-Based</w:t>
            </w:r>
          </w:p>
        </w:tc>
        <w:tc>
          <w:tcPr>
            <w:tcW w:w="140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2"/>
              </w:rPr>
              <w:t>Vested Amount Based on</w:t>
            </w:r>
          </w:p>
        </w:tc>
        <w:tc>
          <w:tcPr>
            <w:tcW w:w="1400" w:type="dxa"/>
            <w:vAlign w:val="bottom"/>
            <w:gridSpan w:val="2"/>
          </w:tcPr>
          <w:p>
            <w:pPr>
              <w:jc w:val="center"/>
              <w:ind w:left="89"/>
              <w:spacing w:after="0"/>
              <w:rPr>
                <w:sz w:val="20"/>
                <w:szCs w:val="20"/>
                <w:color w:val="auto"/>
              </w:rPr>
            </w:pPr>
            <w:r>
              <w:rPr>
                <w:rFonts w:ascii="Arial" w:cs="Arial" w:eastAsia="Arial" w:hAnsi="Arial"/>
                <w:sz w:val="12"/>
                <w:szCs w:val="12"/>
                <w:b w:val="1"/>
                <w:bCs w:val="1"/>
                <w:color w:val="auto"/>
                <w:w w:val="82"/>
              </w:rPr>
              <w:t>Vested Amount Based on</w:t>
            </w:r>
          </w:p>
        </w:tc>
      </w:tr>
      <w:tr>
        <w:trPr>
          <w:trHeight w:val="150"/>
        </w:trPr>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0"/>
              </w:rPr>
              <w:t>(“MOIC Test Date”)</w:t>
            </w: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83"/>
              </w:rPr>
              <w:t>Options Eligible to Vest</w:t>
            </w: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7"/>
              </w:rPr>
              <w:t>3.0x TRMOIC</w:t>
            </w:r>
          </w:p>
        </w:tc>
        <w:tc>
          <w:tcPr>
            <w:tcW w:w="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4"/>
              </w:rPr>
              <w:t>5.0x TRMOIC</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12</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25%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7.5%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25%</w:t>
            </w:r>
          </w:p>
        </w:tc>
      </w:tr>
      <w:tr>
        <w:trPr>
          <w:trHeight w:val="209"/>
        </w:trPr>
        <w:tc>
          <w:tcPr>
            <w:tcW w:w="2160" w:type="dxa"/>
            <w:vAlign w:val="bottom"/>
          </w:tcPr>
          <w:p>
            <w:pPr>
              <w:jc w:val="center"/>
              <w:spacing w:after="0"/>
              <w:rPr>
                <w:sz w:val="20"/>
                <w:szCs w:val="20"/>
                <w:color w:val="auto"/>
              </w:rPr>
            </w:pPr>
            <w:r>
              <w:rPr>
                <w:rFonts w:ascii="Arial" w:cs="Arial" w:eastAsia="Arial" w:hAnsi="Arial"/>
                <w:sz w:val="15"/>
                <w:szCs w:val="15"/>
                <w:color w:val="auto"/>
                <w:w w:val="83"/>
              </w:rPr>
              <w:t>18</w:t>
            </w:r>
          </w:p>
        </w:tc>
        <w:tc>
          <w:tcPr>
            <w:tcW w:w="1420" w:type="dxa"/>
            <w:vAlign w:val="bottom"/>
            <w:gridSpan w:val="2"/>
          </w:tcPr>
          <w:p>
            <w:pPr>
              <w:jc w:val="center"/>
              <w:ind w:left="89"/>
              <w:spacing w:after="0"/>
              <w:rPr>
                <w:sz w:val="20"/>
                <w:szCs w:val="20"/>
                <w:color w:val="auto"/>
              </w:rPr>
            </w:pPr>
            <w:r>
              <w:rPr>
                <w:rFonts w:ascii="Arial" w:cs="Arial" w:eastAsia="Arial" w:hAnsi="Arial"/>
                <w:sz w:val="15"/>
                <w:szCs w:val="15"/>
                <w:color w:val="auto"/>
                <w:w w:val="89"/>
              </w:rPr>
              <w:t>37.5%</w:t>
            </w:r>
          </w:p>
        </w:tc>
        <w:tc>
          <w:tcPr>
            <w:tcW w:w="1400" w:type="dxa"/>
            <w:vAlign w:val="bottom"/>
            <w:gridSpan w:val="2"/>
          </w:tcPr>
          <w:p>
            <w:pPr>
              <w:jc w:val="center"/>
              <w:ind w:left="69"/>
              <w:spacing w:after="0"/>
              <w:rPr>
                <w:sz w:val="20"/>
                <w:szCs w:val="20"/>
                <w:color w:val="auto"/>
              </w:rPr>
            </w:pPr>
            <w:r>
              <w:rPr>
                <w:rFonts w:ascii="Arial" w:cs="Arial" w:eastAsia="Arial" w:hAnsi="Arial"/>
                <w:sz w:val="15"/>
                <w:szCs w:val="15"/>
                <w:color w:val="auto"/>
                <w:w w:val="90"/>
              </w:rPr>
              <w:t>11.25%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3"/>
              </w:rPr>
              <w:t>37.5%</w:t>
            </w:r>
          </w:p>
        </w:tc>
      </w:tr>
      <w:tr>
        <w:trPr>
          <w:trHeight w:val="209"/>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24</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50%</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15.0%</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50%</w:t>
            </w:r>
          </w:p>
        </w:tc>
      </w:tr>
      <w:tr>
        <w:trPr>
          <w:trHeight w:val="209"/>
        </w:trPr>
        <w:tc>
          <w:tcPr>
            <w:tcW w:w="2160" w:type="dxa"/>
            <w:vAlign w:val="bottom"/>
          </w:tcPr>
          <w:p>
            <w:pPr>
              <w:jc w:val="center"/>
              <w:spacing w:after="0"/>
              <w:rPr>
                <w:sz w:val="20"/>
                <w:szCs w:val="20"/>
                <w:color w:val="auto"/>
              </w:rPr>
            </w:pPr>
            <w:r>
              <w:rPr>
                <w:rFonts w:ascii="Arial" w:cs="Arial" w:eastAsia="Arial" w:hAnsi="Arial"/>
                <w:sz w:val="15"/>
                <w:szCs w:val="15"/>
                <w:color w:val="auto"/>
                <w:w w:val="83"/>
              </w:rPr>
              <w:t>30</w:t>
            </w:r>
          </w:p>
        </w:tc>
        <w:tc>
          <w:tcPr>
            <w:tcW w:w="1420" w:type="dxa"/>
            <w:vAlign w:val="bottom"/>
            <w:gridSpan w:val="2"/>
          </w:tcPr>
          <w:p>
            <w:pPr>
              <w:jc w:val="center"/>
              <w:ind w:left="89"/>
              <w:spacing w:after="0"/>
              <w:rPr>
                <w:sz w:val="20"/>
                <w:szCs w:val="20"/>
                <w:color w:val="auto"/>
              </w:rPr>
            </w:pPr>
            <w:r>
              <w:rPr>
                <w:rFonts w:ascii="Arial" w:cs="Arial" w:eastAsia="Arial" w:hAnsi="Arial"/>
                <w:sz w:val="15"/>
                <w:szCs w:val="15"/>
                <w:color w:val="auto"/>
                <w:w w:val="89"/>
              </w:rPr>
              <w:t>62.5%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4"/>
              </w:rPr>
              <w:t>18.75%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3"/>
              </w:rPr>
              <w:t>62.5%</w:t>
            </w:r>
          </w:p>
        </w:tc>
      </w:tr>
      <w:tr>
        <w:trPr>
          <w:trHeight w:val="220"/>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36</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75%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22.5%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-676275</wp:posOffset>
            </wp:positionV>
            <wp:extent cx="11176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-676275</wp:posOffset>
            </wp:positionV>
            <wp:extent cx="11176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-676275</wp:posOffset>
            </wp:positionV>
            <wp:extent cx="11176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Vesting in respect of achievement between a TRMOIC of 3.0x and a TRMOIC of 5.0x will be linearly interpolated. On each MOIC Test Date, the percentage of the performance- based options that will vest on that date will be added to the percentage of the performance-based options that vested prior to the applicable MOIC Test Date, provided, however, that on any given MOIC Test Date, the total percentage of the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color w:val="auto"/>
        </w:rPr>
        <w:t>performance-based options that may vest will not exceed the percentage shown for the applicable MOIC Test Date under the column heading “Vested Amount Based on 5.0x TRMOIC.”</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Potential Payments Upon Termination</w:t>
      </w:r>
    </w:p>
    <w:p>
      <w:pPr>
        <w:spacing w:after="0" w:line="117" w:lineRule="exact"/>
        <w:rPr>
          <w:sz w:val="20"/>
          <w:szCs w:val="20"/>
          <w:color w:val="auto"/>
        </w:rPr>
      </w:pPr>
    </w:p>
    <w:p>
      <w:pPr>
        <w:ind w:left="1160" w:right="1279" w:firstLine="293"/>
        <w:spacing w:after="0" w:line="270" w:lineRule="auto"/>
        <w:rPr>
          <w:sz w:val="20"/>
          <w:szCs w:val="20"/>
          <w:color w:val="auto"/>
        </w:rPr>
      </w:pPr>
      <w:r>
        <w:rPr>
          <w:rFonts w:ascii="Arial" w:cs="Arial" w:eastAsia="Arial" w:hAnsi="Arial"/>
          <w:sz w:val="13"/>
          <w:szCs w:val="13"/>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w:t>
      </w:r>
    </w:p>
    <w:p>
      <w:pPr>
        <w:spacing w:after="0" w:line="2" w:lineRule="exact"/>
        <w:rPr>
          <w:sz w:val="20"/>
          <w:szCs w:val="20"/>
          <w:color w:val="auto"/>
        </w:rPr>
      </w:pPr>
    </w:p>
    <w:p>
      <w:pPr>
        <w:ind w:left="1160" w:right="1439" w:firstLine="4"/>
        <w:spacing w:after="0" w:line="252" w:lineRule="auto"/>
        <w:tabs>
          <w:tab w:leader="none" w:pos="1423"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92"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00"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94"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For purposes of Mr. Bricker’s employment agreement, Good Reason shall mean any of the following actions are taken by the Company without his express written consent: (i) a material reduction of</w:t>
      </w:r>
    </w:p>
    <w:p>
      <w:pPr>
        <w:ind w:left="1160" w:right="1239"/>
        <w:spacing w:after="0" w:line="262" w:lineRule="auto"/>
        <w:rPr>
          <w:sz w:val="20"/>
          <w:szCs w:val="20"/>
          <w:color w:val="auto"/>
        </w:rPr>
      </w:pPr>
      <w:r>
        <w:rPr>
          <w:rFonts w:ascii="Arial" w:cs="Arial" w:eastAsia="Arial" w:hAnsi="Arial"/>
          <w:sz w:val="14"/>
          <w:szCs w:val="14"/>
          <w:color w:val="auto"/>
        </w:rPr>
        <w:t>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w:t>
      </w:r>
    </w:p>
    <w:p>
      <w:pPr>
        <w:ind w:left="1160" w:right="1219"/>
        <w:spacing w:after="0" w:line="246" w:lineRule="auto"/>
        <w:rPr>
          <w:sz w:val="20"/>
          <w:szCs w:val="20"/>
          <w:color w:val="auto"/>
        </w:rPr>
      </w:pPr>
      <w:r>
        <w:rPr>
          <w:rFonts w:ascii="Arial" w:cs="Arial" w:eastAsia="Arial" w:hAnsi="Arial"/>
          <w:sz w:val="15"/>
          <w:szCs w:val="15"/>
          <w:color w:val="auto"/>
        </w:rPr>
        <w:t>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79"/>
        <w:spacing w:after="0" w:line="248" w:lineRule="auto"/>
        <w:rPr>
          <w:sz w:val="20"/>
          <w:szCs w:val="20"/>
          <w:color w:val="auto"/>
        </w:rPr>
      </w:pPr>
      <w:r>
        <w:rPr>
          <w:rFonts w:ascii="Arial" w:cs="Arial" w:eastAsia="Arial" w:hAnsi="Arial"/>
          <w:sz w:val="15"/>
          <w:szCs w:val="15"/>
          <w:color w:val="auto"/>
        </w:rPr>
        <w:t>such notice, and Mr. Bricker shall have terminated his employment with the Company within ten days following the expiration of such remedial period.</w:t>
      </w:r>
    </w:p>
    <w:p>
      <w:pPr>
        <w:spacing w:after="0" w:line="83"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Equity Compensation Plans</w:t>
      </w:r>
    </w:p>
    <w:p>
      <w:pPr>
        <w:spacing w:after="0" w:line="128" w:lineRule="exact"/>
        <w:rPr>
          <w:sz w:val="20"/>
          <w:szCs w:val="20"/>
          <w:color w:val="auto"/>
        </w:rPr>
      </w:pPr>
    </w:p>
    <w:p>
      <w:pPr>
        <w:jc w:val="both"/>
        <w:ind w:left="1160" w:right="1679" w:firstLine="293"/>
        <w:spacing w:after="0" w:line="239" w:lineRule="auto"/>
        <w:rPr>
          <w:sz w:val="20"/>
          <w:szCs w:val="20"/>
          <w:color w:val="auto"/>
        </w:rPr>
      </w:pPr>
      <w:r>
        <w:rPr>
          <w:rFonts w:ascii="Arial" w:cs="Arial" w:eastAsia="Arial" w:hAnsi="Arial"/>
          <w:sz w:val="15"/>
          <w:szCs w:val="15"/>
          <w:color w:val="auto"/>
        </w:rPr>
        <w:t>We currently maintain the SCA Acquisition Equity Plan. In connection with the Reorganization Transactions, all outstanding options to purchase SCA common stock were converted into options to purchase common stock.</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Omnibus Incentive Plan</w:t>
      </w:r>
    </w:p>
    <w:p>
      <w:pPr>
        <w:spacing w:after="0" w:line="113"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spacing w:after="0" w:line="100"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compensation committee of our board of directors administers the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Any current or prospective employees, directors, officers,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91"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i w:val="1"/>
          <w:iCs w:val="1"/>
          <w:color w:val="auto"/>
        </w:rPr>
        <w:t>Number of Shares Authorized</w:t>
      </w:r>
      <w:r>
        <w:rPr>
          <w:rFonts w:ascii="Arial" w:cs="Arial" w:eastAsia="Arial" w:hAnsi="Arial"/>
          <w:sz w:val="15"/>
          <w:szCs w:val="15"/>
          <w:color w:val="auto"/>
        </w:rPr>
        <w:t>. Pursuant to the Omnibus Incentive Plan, we have reserved an aggregate</w:t>
      </w:r>
      <w:r>
        <w:rPr>
          <w:rFonts w:ascii="Arial" w:cs="Arial" w:eastAsia="Arial" w:hAnsi="Arial"/>
          <w:sz w:val="15"/>
          <w:szCs w:val="15"/>
          <w:i w:val="1"/>
          <w:iCs w:val="1"/>
          <w:color w:val="auto"/>
        </w:rPr>
        <w:t xml:space="preserve"> </w:t>
      </w:r>
      <w:r>
        <w:rPr>
          <w:rFonts w:ascii="Arial" w:cs="Arial" w:eastAsia="Arial" w:hAnsi="Arial"/>
          <w:sz w:val="15"/>
          <w:szCs w:val="15"/>
          <w:color w:val="auto"/>
        </w:rPr>
        <w:t>of 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88" w:lineRule="exact"/>
        <w:rPr>
          <w:sz w:val="20"/>
          <w:szCs w:val="20"/>
          <w:color w:val="auto"/>
        </w:rPr>
      </w:pPr>
    </w:p>
    <w:p>
      <w:pPr>
        <w:ind w:left="1160" w:right="1179" w:firstLine="293"/>
        <w:spacing w:after="0" w:line="270" w:lineRule="auto"/>
        <w:rPr>
          <w:sz w:val="20"/>
          <w:szCs w:val="20"/>
          <w:color w:val="auto"/>
        </w:rPr>
      </w:pPr>
      <w:r>
        <w:rPr>
          <w:rFonts w:ascii="Arial" w:cs="Arial" w:eastAsia="Arial" w:hAnsi="Arial"/>
          <w:sz w:val="13"/>
          <w:szCs w:val="13"/>
          <w:i w:val="1"/>
          <w:iCs w:val="1"/>
          <w:color w:val="auto"/>
        </w:rPr>
        <w:t xml:space="preserve">Change in Capitalization. </w:t>
      </w:r>
      <w:r>
        <w:rPr>
          <w:rFonts w:ascii="Arial" w:cs="Arial" w:eastAsia="Arial" w:hAnsi="Arial"/>
          <w:sz w:val="13"/>
          <w:szCs w:val="13"/>
          <w:color w:val="auto"/>
        </w:rPr>
        <w:t>If there is a change in our capitalization in the event of a stock or</w:t>
      </w:r>
      <w:r>
        <w:rPr>
          <w:rFonts w:ascii="Arial" w:cs="Arial" w:eastAsia="Arial" w:hAnsi="Arial"/>
          <w:sz w:val="13"/>
          <w:szCs w:val="13"/>
          <w:i w:val="1"/>
          <w:iCs w:val="1"/>
          <w:color w:val="auto"/>
        </w:rPr>
        <w:t xml:space="preserve"> </w:t>
      </w:r>
      <w:r>
        <w:rPr>
          <w:rFonts w:ascii="Arial" w:cs="Arial" w:eastAsia="Arial" w:hAnsi="Arial"/>
          <w:sz w:val="13"/>
          <w:szCs w:val="13"/>
          <w:color w:val="auto"/>
        </w:rPr>
        <w:t>extraordinary cash 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24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i w:val="1"/>
          <w:iCs w:val="1"/>
          <w:color w:val="auto"/>
        </w:rPr>
        <w:t xml:space="preserve">Awards Available for Grant. </w:t>
      </w:r>
      <w:r>
        <w:rPr>
          <w:rFonts w:ascii="Arial" w:cs="Arial" w:eastAsia="Arial" w:hAnsi="Arial"/>
          <w:sz w:val="14"/>
          <w:szCs w:val="14"/>
          <w:color w:val="auto"/>
        </w:rPr>
        <w:t>The compensation committee may grant awards of non-qualified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9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compensation committee is authorized to grant options to purchase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279"/>
        <w:spacing w:after="0" w:line="273" w:lineRule="auto"/>
        <w:rPr>
          <w:sz w:val="20"/>
          <w:szCs w:val="20"/>
          <w:color w:val="auto"/>
        </w:rPr>
      </w:pPr>
      <w:r>
        <w:rPr>
          <w:rFonts w:ascii="Arial" w:cs="Arial" w:eastAsia="Arial" w:hAnsi="Arial"/>
          <w:sz w:val="13"/>
          <w:szCs w:val="13"/>
          <w:color w:val="auto"/>
        </w:rPr>
        <w:t>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68"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The compensation committee is authorized to award SARs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94"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compensation committee is authorized to grant restricted stock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is authorized to grant restricted stock unit</w:t>
      </w:r>
      <w:r>
        <w:rPr>
          <w:rFonts w:ascii="Arial" w:cs="Arial" w:eastAsia="Arial" w:hAnsi="Arial"/>
          <w:sz w:val="14"/>
          <w:szCs w:val="14"/>
          <w:i w:val="1"/>
          <w:iCs w:val="1"/>
          <w:color w:val="auto"/>
        </w:rPr>
        <w:t xml:space="preserve"> </w:t>
      </w:r>
      <w:r>
        <w:rPr>
          <w:rFonts w:ascii="Arial" w:cs="Arial" w:eastAsia="Arial" w:hAnsi="Arial"/>
          <w:sz w:val="14"/>
          <w:szCs w:val="14"/>
          <w:color w:val="auto"/>
        </w:rPr>
        <w:t>awards, 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86"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i w:val="1"/>
          <w:iCs w:val="1"/>
          <w:color w:val="auto"/>
        </w:rPr>
        <w:t xml:space="preserve">Other Stock-Based Awards and Other Cash-Based Awards. </w:t>
      </w:r>
      <w:r>
        <w:rPr>
          <w:rFonts w:ascii="Arial" w:cs="Arial" w:eastAsia="Arial" w:hAnsi="Arial"/>
          <w:sz w:val="15"/>
          <w:szCs w:val="15"/>
          <w:color w:val="auto"/>
        </w:rPr>
        <w:t>The compensation committee is authorized</w:t>
      </w:r>
      <w:r>
        <w:rPr>
          <w:rFonts w:ascii="Arial" w:cs="Arial" w:eastAsia="Arial" w:hAnsi="Arial"/>
          <w:sz w:val="15"/>
          <w:szCs w:val="15"/>
          <w:i w:val="1"/>
          <w:iCs w:val="1"/>
          <w:color w:val="auto"/>
        </w:rPr>
        <w:t xml:space="preserve"> </w:t>
      </w:r>
      <w:r>
        <w:rPr>
          <w:rFonts w:ascii="Arial" w:cs="Arial" w:eastAsia="Arial" w:hAnsi="Arial"/>
          <w:sz w:val="15"/>
          <w:szCs w:val="15"/>
          <w:color w:val="auto"/>
        </w:rPr>
        <w:t>to grant 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01"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i w:val="1"/>
          <w:iCs w:val="1"/>
          <w:color w:val="auto"/>
        </w:rPr>
        <w:t xml:space="preserve">Effect of Termination of Service a Change in Control. </w:t>
      </w:r>
      <w:r>
        <w:rPr>
          <w:rFonts w:ascii="Arial" w:cs="Arial" w:eastAsia="Arial" w:hAnsi="Arial"/>
          <w:sz w:val="14"/>
          <w:szCs w:val="14"/>
          <w:color w:val="auto"/>
        </w:rPr>
        <w:t>To the extent permitted under Section 409A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Code, 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85"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 xml:space="preserve">Nontransferability. </w:t>
      </w:r>
      <w:r>
        <w:rPr>
          <w:rFonts w:ascii="Arial" w:cs="Arial" w:eastAsia="Arial" w:hAnsi="Arial"/>
          <w:sz w:val="14"/>
          <w:szCs w:val="14"/>
          <w:color w:val="auto"/>
        </w:rPr>
        <w:t>Each award may be exercised during the participant’s lifetime by the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or, if 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9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i w:val="1"/>
          <w:iCs w:val="1"/>
          <w:color w:val="auto"/>
        </w:rPr>
        <w:t xml:space="preserve">Amendment. </w:t>
      </w:r>
      <w:r>
        <w:rPr>
          <w:rFonts w:ascii="Arial" w:cs="Arial" w:eastAsia="Arial" w:hAnsi="Arial"/>
          <w:sz w:val="15"/>
          <w:szCs w:val="15"/>
          <w:color w:val="auto"/>
        </w:rPr>
        <w:t>The Omnibus Incentive Plan has a term of ten years. The board of directors may amend,</w:t>
      </w:r>
      <w:r>
        <w:rPr>
          <w:rFonts w:ascii="Arial" w:cs="Arial" w:eastAsia="Arial" w:hAnsi="Arial"/>
          <w:sz w:val="15"/>
          <w:szCs w:val="15"/>
          <w:i w:val="1"/>
          <w:iCs w:val="1"/>
          <w:color w:val="auto"/>
        </w:rPr>
        <w:t xml:space="preserve"> </w:t>
      </w:r>
      <w:r>
        <w:rPr>
          <w:rFonts w:ascii="Arial" w:cs="Arial" w:eastAsia="Arial" w:hAnsi="Arial"/>
          <w:sz w:val="15"/>
          <w:szCs w:val="15"/>
          <w:color w:val="auto"/>
        </w:rPr>
        <w:t>suspend 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00"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9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i w:val="1"/>
          <w:iCs w:val="1"/>
          <w:color w:val="auto"/>
        </w:rPr>
        <w:t xml:space="preserve">Clawback/Forfeiture. </w:t>
      </w:r>
      <w:r>
        <w:rPr>
          <w:rFonts w:ascii="Arial" w:cs="Arial" w:eastAsia="Arial" w:hAnsi="Arial"/>
          <w:sz w:val="14"/>
          <w:szCs w:val="14"/>
          <w:color w:val="auto"/>
        </w:rPr>
        <w:t>Awards may be subject to clawback or forfeiture to the extent required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law (including,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88"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i w:val="1"/>
          <w:iCs w:val="1"/>
          <w:color w:val="auto"/>
        </w:rPr>
        <w:t>Whistleblower Acknowledgments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Nothing in the Omnibus Incentive Plan or award agreement will</w:t>
      </w:r>
    </w:p>
    <w:p>
      <w:pPr>
        <w:spacing w:after="0" w:line="4" w:lineRule="exact"/>
        <w:rPr>
          <w:sz w:val="20"/>
          <w:szCs w:val="20"/>
          <w:color w:val="auto"/>
        </w:rPr>
      </w:pPr>
    </w:p>
    <w:p>
      <w:pPr>
        <w:ind w:left="1160" w:right="1319" w:firstLine="4"/>
        <w:spacing w:after="0" w:line="232" w:lineRule="auto"/>
        <w:tabs>
          <w:tab w:leader="none" w:pos="134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prohibit a 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 Federal Income Tax Consequences</w:t>
      </w:r>
    </w:p>
    <w:p>
      <w:pPr>
        <w:spacing w:after="0" w:line="113"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7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Holders of incentive stock options will generally incur no federal income tax 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w:t>
      </w:r>
    </w:p>
    <w:p>
      <w:pPr>
        <w:spacing w:after="0" w:line="5" w:lineRule="exact"/>
        <w:rPr>
          <w:sz w:val="20"/>
          <w:szCs w:val="20"/>
          <w:color w:val="auto"/>
        </w:rPr>
      </w:pPr>
    </w:p>
    <w:p>
      <w:pPr>
        <w:ind w:left="1160" w:right="1259"/>
        <w:spacing w:after="0" w:line="247" w:lineRule="auto"/>
        <w:rPr>
          <w:sz w:val="20"/>
          <w:szCs w:val="20"/>
          <w:color w:val="auto"/>
        </w:rPr>
      </w:pPr>
      <w:r>
        <w:rPr>
          <w:rFonts w:ascii="Arial" w:cs="Arial" w:eastAsia="Arial" w:hAnsi="Arial"/>
          <w:sz w:val="14"/>
          <w:szCs w:val="14"/>
          <w:color w:val="auto"/>
        </w:rPr>
        <w:t>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00"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8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i w:val="1"/>
          <w:iCs w:val="1"/>
          <w:color w:val="auto"/>
        </w:rPr>
        <w:t xml:space="preserve">SARs </w:t>
      </w:r>
      <w:r>
        <w:rPr>
          <w:rFonts w:ascii="Arial" w:cs="Arial" w:eastAsia="Arial" w:hAnsi="Arial"/>
          <w:sz w:val="14"/>
          <w:szCs w:val="14"/>
          <w:color w:val="auto"/>
        </w:rPr>
        <w:t>. No income will be realized by a participant upon grant or vesting of a SAR. Upon the exercise</w:t>
      </w:r>
      <w:r>
        <w:rPr>
          <w:rFonts w:ascii="Arial" w:cs="Arial" w:eastAsia="Arial" w:hAnsi="Arial"/>
          <w:sz w:val="14"/>
          <w:szCs w:val="14"/>
          <w:i w:val="1"/>
          <w:iCs w:val="1"/>
          <w:color w:val="auto"/>
        </w:rPr>
        <w:t xml:space="preserve"> </w:t>
      </w:r>
      <w:r>
        <w:rPr>
          <w:rFonts w:ascii="Arial" w:cs="Arial" w:eastAsia="Arial" w:hAnsi="Arial"/>
          <w:sz w:val="14"/>
          <w:szCs w:val="14"/>
          <w:color w:val="auto"/>
        </w:rPr>
        <w:t>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 participant will not be subject to tax upon the grant of an award of restricted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A participant will not be subject to tax upon the grant or vesting of a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0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 xml:space="preserve">Section 162(m). </w:t>
      </w:r>
      <w:r>
        <w:rPr>
          <w:rFonts w:ascii="Arial" w:cs="Arial" w:eastAsia="Arial" w:hAnsi="Arial"/>
          <w:sz w:val="14"/>
          <w:szCs w:val="14"/>
          <w:color w:val="auto"/>
        </w:rPr>
        <w:t>In general, Section 162(m) of the Code denies a publicly held corporation a deduction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U.S. 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w:t>
      </w:r>
    </w:p>
    <w:p>
      <w:pPr>
        <w:spacing w:after="0" w:line="1"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Compensation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Director Compensation</w:t>
      </w:r>
    </w:p>
    <w:p>
      <w:pPr>
        <w:spacing w:after="0" w:line="124"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During 2020, none of the members of our board of directors received any compensation from the Company for their services on the board, except as set forth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Fees earned</w:t>
            </w:r>
          </w:p>
        </w:tc>
        <w:tc>
          <w:tcPr>
            <w:tcW w:w="100" w:type="dxa"/>
            <w:vAlign w:val="bottom"/>
          </w:tcPr>
          <w:p>
            <w:pPr>
              <w:spacing w:after="0"/>
              <w:rPr>
                <w:sz w:val="12"/>
                <w:szCs w:val="12"/>
                <w:color w:val="auto"/>
              </w:rPr>
            </w:pPr>
          </w:p>
        </w:tc>
        <w:tc>
          <w:tcPr>
            <w:tcW w:w="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All Other</w:t>
            </w:r>
          </w:p>
        </w:tc>
        <w:tc>
          <w:tcPr>
            <w:tcW w:w="500" w:type="dxa"/>
            <w:vAlign w:val="bottom"/>
          </w:tcPr>
          <w:p>
            <w:pPr>
              <w:spacing w:after="0"/>
              <w:rPr>
                <w:sz w:val="12"/>
                <w:szCs w:val="12"/>
                <w:color w:val="auto"/>
              </w:rPr>
            </w:pPr>
          </w:p>
        </w:tc>
      </w:tr>
      <w:tr>
        <w:trPr>
          <w:trHeight w:val="116"/>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or Paid in</w:t>
            </w:r>
          </w:p>
        </w:tc>
        <w:tc>
          <w:tcPr>
            <w:tcW w:w="68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2"/>
              </w:rPr>
              <w:t>Awards</w:t>
            </w:r>
          </w:p>
        </w:tc>
        <w:tc>
          <w:tcPr>
            <w:tcW w:w="66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Option</w:t>
            </w:r>
          </w:p>
        </w:tc>
        <w:tc>
          <w:tcPr>
            <w:tcW w:w="90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500" w:type="dxa"/>
            <w:vAlign w:val="bottom"/>
          </w:tcPr>
          <w:p>
            <w:pPr>
              <w:spacing w:after="0"/>
              <w:rPr>
                <w:sz w:val="10"/>
                <w:szCs w:val="10"/>
                <w:color w:val="auto"/>
              </w:rPr>
            </w:pPr>
          </w:p>
        </w:tc>
      </w:tr>
      <w:tr>
        <w:trPr>
          <w:trHeight w:val="198"/>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88"/>
              </w:rPr>
              <w:t>Cash ($)</w:t>
            </w:r>
            <w:r>
              <w:rPr>
                <w:rFonts w:ascii="Arial" w:cs="Arial" w:eastAsia="Arial" w:hAnsi="Arial"/>
                <w:sz w:val="17"/>
                <w:szCs w:val="17"/>
                <w:b w:val="1"/>
                <w:bCs w:val="1"/>
                <w:color w:val="auto"/>
                <w:w w:val="88"/>
                <w:vertAlign w:val="superscript"/>
              </w:rPr>
              <w:t>(1)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0"/>
              </w:rPr>
              <w:t>Awards</w:t>
            </w:r>
            <w:r>
              <w:rPr>
                <w:rFonts w:ascii="Arial" w:cs="Arial" w:eastAsia="Arial" w:hAnsi="Arial"/>
                <w:sz w:val="17"/>
                <w:szCs w:val="17"/>
                <w:b w:val="1"/>
                <w:bCs w:val="1"/>
                <w:color w:val="auto"/>
                <w:w w:val="80"/>
                <w:vertAlign w:val="superscript"/>
              </w:rPr>
              <w:t>(2)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70"/>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(3)</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Total ($)</w:t>
            </w:r>
          </w:p>
        </w:tc>
      </w:tr>
      <w:tr>
        <w:trPr>
          <w:trHeight w:val="211"/>
        </w:trPr>
        <w:tc>
          <w:tcPr>
            <w:tcW w:w="3000" w:type="dxa"/>
            <w:vAlign w:val="bottom"/>
            <w:shd w:val="clear" w:color="auto" w:fill="CCEEFF"/>
          </w:tcPr>
          <w:p>
            <w:pPr>
              <w:spacing w:after="0" w:line="211" w:lineRule="exact"/>
              <w:rPr>
                <w:sz w:val="20"/>
                <w:szCs w:val="20"/>
                <w:color w:val="auto"/>
              </w:rPr>
            </w:pPr>
            <w:r>
              <w:rPr>
                <w:rFonts w:ascii="Arial" w:cs="Arial" w:eastAsia="Arial" w:hAnsi="Arial"/>
                <w:sz w:val="15"/>
                <w:szCs w:val="15"/>
                <w:b w:val="1"/>
                <w:bCs w:val="1"/>
                <w:color w:val="auto"/>
              </w:rPr>
              <w:t>David Siegel</w:t>
            </w:r>
            <w:r>
              <w:rPr>
                <w:rFonts w:ascii="Arial" w:cs="Arial" w:eastAsia="Arial" w:hAnsi="Arial"/>
                <w:sz w:val="21"/>
                <w:szCs w:val="21"/>
                <w:b w:val="1"/>
                <w:bCs w:val="1"/>
                <w:color w:val="auto"/>
                <w:vertAlign w:val="superscript"/>
              </w:rPr>
              <w:t>(4)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95"/>
              </w:rPr>
              <w:t>$60,000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9"/>
              </w:rPr>
              <w:t>2,458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$62,458</w:t>
            </w:r>
          </w:p>
        </w:tc>
      </w:tr>
      <w:tr>
        <w:trPr>
          <w:trHeight w:val="209"/>
        </w:trPr>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Juan Carlos ZuaZua</w:t>
            </w:r>
          </w:p>
        </w:tc>
        <w:tc>
          <w:tcPr>
            <w:tcW w:w="62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$50,000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87"/>
              </w:rPr>
              <w:t>38,743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88"/>
              </w:rPr>
              <w:t>$88,743</w:t>
            </w:r>
          </w:p>
        </w:tc>
      </w:tr>
      <w:tr>
        <w:trPr>
          <w:trHeight w:val="209"/>
        </w:trPr>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Kerry Philipovitch</w:t>
            </w: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49,987</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$49,987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-410845</wp:posOffset>
            </wp:positionV>
            <wp:extent cx="11176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-410845</wp:posOffset>
            </wp:positionV>
            <wp:extent cx="11176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-410845</wp:posOffset>
            </wp:positionV>
            <wp:extent cx="11176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-410845</wp:posOffset>
            </wp:positionV>
            <wp:extent cx="11176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-410845</wp:posOffset>
            </wp:positionV>
            <wp:extent cx="11176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right="1579" w:hanging="296"/>
        <w:spacing w:after="0" w:line="291" w:lineRule="auto"/>
        <w:tabs>
          <w:tab w:leader="none" w:pos="14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This reflects an annual cash retainer amount. Ms. Philipovitch joined our board of directors in December 2020 and beginning fiscal year 2021, her annual cash retainer amount will be $50,000.</w:t>
      </w:r>
    </w:p>
    <w:p>
      <w:pPr>
        <w:ind w:left="1460" w:right="1219" w:hanging="296"/>
        <w:spacing w:after="0" w:line="236" w:lineRule="auto"/>
        <w:tabs>
          <w:tab w:leader="none" w:pos="1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34" w:lineRule="exact"/>
        <w:rPr>
          <w:rFonts w:ascii="Arial" w:cs="Arial" w:eastAsia="Arial" w:hAnsi="Arial"/>
          <w:sz w:val="14"/>
          <w:szCs w:val="14"/>
          <w:color w:val="auto"/>
        </w:rPr>
      </w:pPr>
    </w:p>
    <w:p>
      <w:pPr>
        <w:ind w:left="1460" w:right="1239" w:hanging="296"/>
        <w:spacing w:after="0" w:line="229" w:lineRule="auto"/>
        <w:tabs>
          <w:tab w:leader="none" w:pos="1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77" w:lineRule="exact"/>
        <w:rPr>
          <w:rFonts w:ascii="Arial" w:cs="Arial" w:eastAsia="Arial" w:hAnsi="Arial"/>
          <w:sz w:val="15"/>
          <w:szCs w:val="15"/>
          <w:color w:val="auto"/>
        </w:rPr>
      </w:pPr>
    </w:p>
    <w:p>
      <w:pPr>
        <w:ind w:left="1460" w:right="1179" w:hanging="296"/>
        <w:spacing w:after="0" w:line="300" w:lineRule="auto"/>
        <w:tabs>
          <w:tab w:leader="none" w:pos="1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17"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Other than compensation arrangements for our executive officers and directors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 for a discussion of compensation arrangements for our named executive officers and</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the transactions discussed below, there were no transactions, to which we were a party or will be a party, in which:</w:t>
      </w:r>
    </w:p>
    <w:p>
      <w:pPr>
        <w:spacing w:after="0" w:line="69" w:lineRule="exact"/>
        <w:rPr>
          <w:sz w:val="20"/>
          <w:szCs w:val="20"/>
          <w:color w:val="auto"/>
        </w:rPr>
      </w:pPr>
    </w:p>
    <w:p>
      <w:pPr>
        <w:ind w:left="1600" w:hanging="143"/>
        <w:spacing w:after="0"/>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1" w:lineRule="exact"/>
        <w:rPr>
          <w:rFonts w:ascii="Arial" w:cs="Arial" w:eastAsia="Arial" w:hAnsi="Arial"/>
          <w:sz w:val="15"/>
          <w:szCs w:val="15"/>
          <w:color w:val="auto"/>
        </w:rPr>
      </w:pPr>
    </w:p>
    <w:p>
      <w:pPr>
        <w:jc w:val="both"/>
        <w:ind w:left="1600" w:right="1619" w:hanging="143"/>
        <w:spacing w:after="0" w:line="25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capital stock, or any member of the immediate family of the foregoing persons, had or will have a direct or indirect material interest.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2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91"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91"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Reorganization Transactions</w:t>
      </w:r>
    </w:p>
    <w:p>
      <w:pPr>
        <w:spacing w:after="0" w:line="117"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06"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49" w:lineRule="auto"/>
        <w:rPr>
          <w:sz w:val="20"/>
          <w:szCs w:val="20"/>
          <w:color w:val="auto"/>
        </w:rPr>
      </w:pPr>
      <w:r>
        <w:rPr>
          <w:rFonts w:ascii="Arial" w:cs="Arial" w:eastAsia="Arial" w:hAnsi="Arial"/>
          <w:sz w:val="15"/>
          <w:szCs w:val="15"/>
          <w:color w:val="auto"/>
        </w:rPr>
        <w:t>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94"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In this prospectus, we refer to the transactions described above as the “Reorganization Transactions.”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Transactions with Executive Officers and Directors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On April 11, 2018, Jude Bricker, our Chief Executive Officer and a director, purchased 1,227,759</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shares of SCA common stock at a purchase price of $5.30 per share. In addition, Mr. Bricker borrowed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$2,500,000 from SCA Acquisition Holdings, LLC pursuant to a promissory note issued on April 20,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loan was repaid in full in February 2021.</w:t>
      </w:r>
    </w:p>
    <w:p>
      <w:pPr>
        <w:spacing w:after="0" w:line="102"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in February 2021. On August 1, 2019, SCA Acquisition Holdings, LLC issued 56,665 shares of SCA common stock to Mr. Siegel as compensation for certain diligence services in connection with our acquisition by the Apollo Funds.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EETC Financing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 affiliate of Apollo, Apollo Global Securities, LLC, acted as co-manager in connection with the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2019-1 EETC financing and received customary placement agent fees of approximately $198,870.</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w:t>
      </w:r>
    </w:p>
    <w:p>
      <w:pPr>
        <w:spacing w:after="0" w:line="128"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This Offering</w:t>
      </w:r>
    </w:p>
    <w:p>
      <w:pPr>
        <w:spacing w:after="0" w:line="117" w:lineRule="exact"/>
        <w:rPr>
          <w:sz w:val="20"/>
          <w:szCs w:val="20"/>
          <w:color w:val="auto"/>
        </w:rPr>
      </w:pPr>
    </w:p>
    <w:p>
      <w:pPr>
        <w:ind w:left="1160" w:right="1639" w:firstLine="293"/>
        <w:spacing w:after="0" w:line="300" w:lineRule="auto"/>
        <w:rPr>
          <w:sz w:val="20"/>
          <w:szCs w:val="20"/>
          <w:color w:val="auto"/>
        </w:rPr>
      </w:pPr>
      <w:r>
        <w:rPr>
          <w:rFonts w:ascii="Arial" w:cs="Arial" w:eastAsia="Arial" w:hAnsi="Arial"/>
          <w:sz w:val="14"/>
          <w:szCs w:val="14"/>
          <w:color w:val="auto"/>
        </w:rPr>
        <w:t>An affiliate of Apollo, Apollo Global Securities, LLC, is an underwriter in this offering and will receive a portion of the underwriting discounts and commissions in connection with this offering.</w:t>
      </w:r>
    </w:p>
    <w:p>
      <w:pPr>
        <w:spacing w:after="0" w:line="70"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As more fully discussed in “</w:t>
      </w:r>
      <w:r>
        <w:rPr>
          <w:rFonts w:ascii="Arial" w:cs="Arial" w:eastAsia="Arial" w:hAnsi="Arial"/>
          <w:sz w:val="14"/>
          <w:szCs w:val="14"/>
          <w:i w:val="1"/>
          <w:iCs w:val="1"/>
          <w:color w:val="auto"/>
        </w:rPr>
        <w:t>Underwriting (Conflict of Interest)—Conflict of Interest,</w:t>
      </w:r>
      <w:r>
        <w:rPr>
          <w:rFonts w:ascii="Arial" w:cs="Arial" w:eastAsia="Arial" w:hAnsi="Arial"/>
          <w:sz w:val="14"/>
          <w:szCs w:val="14"/>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Agreement</w:t>
      </w:r>
    </w:p>
    <w:p>
      <w:pPr>
        <w:spacing w:after="0" w:line="128" w:lineRule="exact"/>
        <w:rPr>
          <w:sz w:val="20"/>
          <w:szCs w:val="20"/>
          <w:color w:val="auto"/>
        </w:rPr>
      </w:pPr>
    </w:p>
    <w:p>
      <w:pPr>
        <w:ind w:left="1160" w:right="1219" w:firstLine="293"/>
        <w:spacing w:after="0" w:line="289" w:lineRule="auto"/>
        <w:rPr>
          <w:sz w:val="20"/>
          <w:szCs w:val="20"/>
          <w:color w:val="auto"/>
        </w:rPr>
      </w:pPr>
      <w:r>
        <w:rPr>
          <w:rFonts w:ascii="Arial" w:cs="Arial" w:eastAsia="Arial" w:hAnsi="Arial"/>
          <w:sz w:val="13"/>
          <w:szCs w:val="13"/>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color w:val="auto"/>
        </w:rPr>
        <w:t>Stockholders Agreement was amended and restated to reflect the Apollo Stockholder’s acquisition of SCA common stock from Stock AIV and our conversion to a corporation.</w:t>
      </w:r>
    </w:p>
    <w:p>
      <w:pPr>
        <w:spacing w:after="0" w:line="82"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w:t>
      </w:r>
    </w:p>
    <w:p>
      <w:pPr>
        <w:spacing w:after="0" w:line="97"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Further, the Stockholders Agreement sets forth certain information rights granted to the Apollo Stockholder.</w:t>
      </w:r>
    </w:p>
    <w:p>
      <w:pPr>
        <w:spacing w:after="0" w:line="89"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69" w:lineRule="exact"/>
        <w:rPr>
          <w:sz w:val="20"/>
          <w:szCs w:val="20"/>
          <w:color w:val="auto"/>
        </w:rPr>
      </w:pPr>
    </w:p>
    <w:p>
      <w:pPr>
        <w:ind w:left="1600" w:right="1279" w:hanging="143"/>
        <w:spacing w:after="0" w:line="281"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60" w:lineRule="exact"/>
        <w:rPr>
          <w:rFonts w:ascii="Arial" w:cs="Arial" w:eastAsia="Arial" w:hAnsi="Arial"/>
          <w:sz w:val="14"/>
          <w:szCs w:val="14"/>
          <w:color w:val="auto"/>
        </w:rPr>
      </w:pPr>
    </w:p>
    <w:p>
      <w:pPr>
        <w:ind w:left="1600" w:right="1399" w:hanging="143"/>
        <w:spacing w:after="0" w:line="281"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71" w:lineRule="exact"/>
        <w:rPr>
          <w:rFonts w:ascii="Arial" w:cs="Arial" w:eastAsia="Arial" w:hAnsi="Arial"/>
          <w:sz w:val="14"/>
          <w:szCs w:val="14"/>
          <w:color w:val="auto"/>
        </w:rPr>
      </w:pPr>
    </w:p>
    <w:p>
      <w:pPr>
        <w:ind w:left="1600" w:right="1259" w:hanging="143"/>
        <w:spacing w:after="0" w:line="249"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83" w:lineRule="exact"/>
        <w:rPr>
          <w:rFonts w:ascii="Arial" w:cs="Arial" w:eastAsia="Arial" w:hAnsi="Arial"/>
          <w:sz w:val="15"/>
          <w:szCs w:val="15"/>
          <w:color w:val="auto"/>
        </w:rPr>
      </w:pPr>
    </w:p>
    <w:p>
      <w:pPr>
        <w:ind w:left="1600" w:right="1239" w:hanging="143"/>
        <w:spacing w:after="0" w:line="281"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0"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w:t>
      </w:r>
    </w:p>
    <w:p>
      <w:pPr>
        <w:spacing w:after="0" w:line="70"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undertaking any liquidation, dissolution or winding up of the Company, Sun Country, Inc. or any other material subsidiary of the Company;</w:t>
      </w:r>
    </w:p>
    <w:p>
      <w:pPr>
        <w:spacing w:after="0" w:line="81" w:lineRule="exact"/>
        <w:rPr>
          <w:rFonts w:ascii="Arial" w:cs="Arial" w:eastAsia="Arial" w:hAnsi="Arial"/>
          <w:sz w:val="15"/>
          <w:szCs w:val="15"/>
          <w:color w:val="auto"/>
        </w:rPr>
      </w:pPr>
    </w:p>
    <w:p>
      <w:pPr>
        <w:ind w:left="1600" w:right="1499" w:hanging="143"/>
        <w:spacing w:after="0" w:line="297"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w:t>
      </w:r>
    </w:p>
    <w:p>
      <w:pPr>
        <w:spacing w:after="0" w:line="52" w:lineRule="exact"/>
        <w:rPr>
          <w:rFonts w:ascii="Arial" w:cs="Arial" w:eastAsia="Arial" w:hAnsi="Arial"/>
          <w:sz w:val="13"/>
          <w:szCs w:val="13"/>
          <w:color w:val="auto"/>
        </w:rPr>
      </w:pPr>
    </w:p>
    <w:p>
      <w:pPr>
        <w:ind w:left="1600" w:right="1219" w:hanging="143"/>
        <w:spacing w:after="0" w:line="26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hiring or terminating any executive officer of our Company or designating any new executive officer of the Company;</w:t>
      </w:r>
    </w:p>
    <w:p>
      <w:pPr>
        <w:spacing w:after="0" w:line="70"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effecting any material change in the nature of the business of the Company and its subsidiaries, taken as a whole; or</w:t>
      </w:r>
    </w:p>
    <w:p>
      <w:pPr>
        <w:spacing w:after="0" w:line="81" w:lineRule="exact"/>
        <w:rPr>
          <w:rFonts w:ascii="Arial" w:cs="Arial" w:eastAsia="Arial" w:hAnsi="Arial"/>
          <w:sz w:val="15"/>
          <w:szCs w:val="15"/>
          <w:color w:val="auto"/>
        </w:rPr>
      </w:pPr>
    </w:p>
    <w:p>
      <w:pPr>
        <w:ind w:left="1600" w:hanging="143"/>
        <w:spacing w:after="0"/>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change in the size of our board of directors.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 Agreement</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On March 19, 2021, we entered into a registration rights agreement (the “Registration Rights Agreement”) with the Apollo Stockholder, Amazon,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95"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91"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79" w:lineRule="exact"/>
        <w:rPr>
          <w:sz w:val="20"/>
          <w:szCs w:val="20"/>
          <w:color w:val="auto"/>
        </w:rPr>
      </w:pPr>
    </w:p>
    <w:p>
      <w:pPr>
        <w:ind w:left="1160" w:right="1619" w:firstLine="293"/>
        <w:spacing w:after="0" w:line="248" w:lineRule="auto"/>
        <w:rPr>
          <w:sz w:val="20"/>
          <w:szCs w:val="20"/>
          <w:color w:val="auto"/>
        </w:rPr>
      </w:pPr>
      <w:r>
        <w:rPr>
          <w:rFonts w:ascii="Arial" w:cs="Arial" w:eastAsia="Arial" w:hAnsi="Arial"/>
          <w:sz w:val="15"/>
          <w:szCs w:val="15"/>
          <w:color w:val="auto"/>
        </w:rPr>
        <w:t>All expenses of registration under the Registration Rights Agreement, including the legal fees of counsel chosen by stockholders participating in a registration, will be paid by us.</w:t>
      </w:r>
    </w:p>
    <w:p>
      <w:pPr>
        <w:spacing w:after="0" w:line="94"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90" w:lineRule="exact"/>
        <w:rPr>
          <w:sz w:val="20"/>
          <w:szCs w:val="20"/>
          <w:color w:val="auto"/>
        </w:rPr>
      </w:pPr>
    </w:p>
    <w:p>
      <w:pPr>
        <w:ind w:left="1160" w:right="1259" w:firstLine="293"/>
        <w:spacing w:after="0" w:line="290" w:lineRule="auto"/>
        <w:rPr>
          <w:sz w:val="20"/>
          <w:szCs w:val="20"/>
          <w:color w:val="auto"/>
        </w:rPr>
      </w:pPr>
      <w:r>
        <w:rPr>
          <w:rFonts w:ascii="Arial" w:cs="Arial" w:eastAsia="Arial" w:hAnsi="Arial"/>
          <w:sz w:val="13"/>
          <w:szCs w:val="13"/>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3"/>
          <w:szCs w:val="13"/>
          <w:i w:val="1"/>
          <w:iCs w:val="1"/>
          <w:color w:val="auto"/>
        </w:rPr>
        <w:t>Risk Factors—Risks</w:t>
      </w:r>
    </w:p>
    <w:p>
      <w:pPr>
        <w:spacing w:after="0" w:line="1" w:lineRule="exact"/>
        <w:rPr>
          <w:sz w:val="20"/>
          <w:szCs w:val="20"/>
          <w:color w:val="auto"/>
        </w:rPr>
      </w:pPr>
    </w:p>
    <w:p>
      <w:pPr>
        <w:jc w:val="both"/>
        <w:ind w:left="1160" w:right="1459"/>
        <w:spacing w:after="0" w:line="246" w:lineRule="auto"/>
        <w:rPr>
          <w:sz w:val="20"/>
          <w:szCs w:val="20"/>
          <w:color w:val="auto"/>
        </w:rPr>
      </w:pPr>
      <w:r>
        <w:rPr>
          <w:rFonts w:ascii="Arial" w:cs="Arial" w:eastAsia="Arial" w:hAnsi="Arial"/>
          <w:sz w:val="15"/>
          <w:szCs w:val="15"/>
          <w:i w:val="1"/>
          <w:iCs w:val="1"/>
          <w:color w:val="auto"/>
        </w:rPr>
        <w:t>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5"/>
          <w:szCs w:val="15"/>
          <w:color w:val="auto"/>
        </w:rPr>
        <w:t>” and “</w:t>
      </w:r>
      <w:r>
        <w:rPr>
          <w:rFonts w:ascii="Arial" w:cs="Arial" w:eastAsia="Arial" w:hAnsi="Arial"/>
          <w:sz w:val="15"/>
          <w:szCs w:val="15"/>
          <w:i w:val="1"/>
          <w:iCs w:val="1"/>
          <w:color w:val="auto"/>
        </w:rPr>
        <w:t>Shares Eligible for Future Sale</w:t>
      </w:r>
      <w:r>
        <w:rPr>
          <w:rFonts w:ascii="Arial" w:cs="Arial" w:eastAsia="Arial" w:hAnsi="Arial"/>
          <w:sz w:val="15"/>
          <w:szCs w:val="15"/>
          <w:color w:val="auto"/>
        </w:rPr>
        <w:t>.”</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offering is being made pursuant to the terms of the Registration Rights Agreement.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Income Tax Receivable Agreement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97" w:lineRule="exact"/>
        <w:rPr>
          <w:sz w:val="20"/>
          <w:szCs w:val="20"/>
          <w:color w:val="auto"/>
        </w:rPr>
      </w:pPr>
    </w:p>
    <w:p>
      <w:pPr>
        <w:ind w:left="1160" w:right="1259" w:firstLine="293"/>
        <w:spacing w:after="0" w:line="300" w:lineRule="auto"/>
        <w:rPr>
          <w:sz w:val="20"/>
          <w:szCs w:val="20"/>
          <w:color w:val="auto"/>
        </w:rPr>
      </w:pPr>
      <w:r>
        <w:rPr>
          <w:rFonts w:ascii="Arial" w:cs="Arial" w:eastAsia="Arial" w:hAnsi="Arial"/>
          <w:sz w:val="14"/>
          <w:szCs w:val="14"/>
          <w:color w:val="auto"/>
        </w:rPr>
        <w:t>We expect to be able to utilize the Pre-IPO Tax Attributes. We expect that the Pre-IPO Tax Attributes will reduce the amount of tax that we and our subsidiaries would otherwise be required to pay in the future.</w:t>
      </w:r>
    </w:p>
    <w:p>
      <w:pPr>
        <w:spacing w:after="0" w:line="59" w:lineRule="exact"/>
        <w:rPr>
          <w:sz w:val="20"/>
          <w:szCs w:val="20"/>
          <w:color w:val="auto"/>
        </w:rPr>
      </w:pPr>
    </w:p>
    <w:p>
      <w:pPr>
        <w:ind w:left="1160" w:right="1359" w:firstLine="293"/>
        <w:spacing w:after="0" w:line="300" w:lineRule="auto"/>
        <w:rPr>
          <w:sz w:val="20"/>
          <w:szCs w:val="20"/>
          <w:color w:val="auto"/>
        </w:rPr>
      </w:pPr>
      <w:r>
        <w:rPr>
          <w:rFonts w:ascii="Arial" w:cs="Arial" w:eastAsia="Arial" w:hAnsi="Arial"/>
          <w:sz w:val="14"/>
          <w:szCs w:val="14"/>
          <w:color w:val="auto"/>
        </w:rPr>
        <w:t>For purposes of the income tax receivable agreement, cash savings in income tax are computed by reference to the reduction in the liability for income taxes resulting from the utilization of the tax benefits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color w:val="auto"/>
        </w:rPr>
        <w:t>subject to the income tax receivable agreement. The term of the income tax receivable agreement will continue until all relevant tax benefits have been utilized or expired.</w:t>
      </w:r>
    </w:p>
    <w:p>
      <w:pPr>
        <w:spacing w:after="0" w:line="83"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0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Any future changes in the realizability of our Pre- IPO Tax Attributes in each case, attributable to periods prior to our initial public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$115.2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95"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8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96"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91"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PRINCIPAL AND SELLING STOCKHOLDERS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sets forth the beneficial ownership of our common stock as of March 31, 2021, by:</w:t>
      </w:r>
    </w:p>
    <w:p>
      <w:pPr>
        <w:spacing w:after="0" w:line="103" w:lineRule="exact"/>
        <w:rPr>
          <w:sz w:val="20"/>
          <w:szCs w:val="20"/>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selling stockholder;</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person, or group of affiliated persons, who we know to beneficially own more than 5% of our common stock;</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of our named executive officers for fiscal year 2020;</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of our current directors;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13"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3"/>
              </w:rPr>
              <w:t>Shares of Common Stock</w:t>
            </w:r>
          </w:p>
        </w:tc>
        <w:tc>
          <w:tcPr>
            <w:tcW w:w="14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3"/>
              </w:rPr>
              <w:t>Shares of Common Stock</w:t>
            </w:r>
          </w:p>
        </w:tc>
      </w:tr>
      <w:tr>
        <w:trPr>
          <w:trHeight w:val="132"/>
        </w:trPr>
        <w:tc>
          <w:tcPr>
            <w:tcW w:w="2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Beneficially Owned After the</w:t>
            </w:r>
          </w:p>
        </w:tc>
        <w:tc>
          <w:tcPr>
            <w:tcW w:w="1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6"/>
              </w:rPr>
              <w:t>Beneficially Owned After the</w:t>
            </w:r>
          </w:p>
        </w:tc>
      </w:tr>
      <w:tr>
        <w:trPr>
          <w:trHeight w:val="132"/>
        </w:trPr>
        <w:tc>
          <w:tcPr>
            <w:tcW w:w="2260" w:type="dxa"/>
            <w:vAlign w:val="bottom"/>
          </w:tcPr>
          <w:p>
            <w:pPr>
              <w:spacing w:after="0"/>
              <w:rPr>
                <w:sz w:val="11"/>
                <w:szCs w:val="11"/>
                <w:color w:val="auto"/>
              </w:rPr>
            </w:pPr>
          </w:p>
        </w:tc>
        <w:tc>
          <w:tcPr>
            <w:tcW w:w="14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Shares of Common Stock</w:t>
            </w:r>
          </w:p>
        </w:tc>
        <w:tc>
          <w:tcPr>
            <w:tcW w:w="156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5"/>
              </w:rPr>
              <w:t>Offering Assuming</w:t>
            </w:r>
          </w:p>
        </w:tc>
        <w:tc>
          <w:tcPr>
            <w:tcW w:w="1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5"/>
              </w:rPr>
              <w:t>Offering Assuming</w:t>
            </w:r>
          </w:p>
        </w:tc>
      </w:tr>
      <w:tr>
        <w:trPr>
          <w:trHeight w:val="132"/>
        </w:trPr>
        <w:tc>
          <w:tcPr>
            <w:tcW w:w="2260" w:type="dxa"/>
            <w:vAlign w:val="bottom"/>
          </w:tcPr>
          <w:p>
            <w:pPr>
              <w:spacing w:after="0"/>
              <w:rPr>
                <w:sz w:val="11"/>
                <w:szCs w:val="11"/>
                <w:color w:val="auto"/>
              </w:rPr>
            </w:pPr>
          </w:p>
        </w:tc>
        <w:tc>
          <w:tcPr>
            <w:tcW w:w="14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Beneficially Owned Before</w:t>
            </w:r>
          </w:p>
        </w:tc>
        <w:tc>
          <w:tcPr>
            <w:tcW w:w="156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7"/>
              </w:rPr>
              <w:t>Underwriters’ Option is Not</w:t>
            </w:r>
          </w:p>
        </w:tc>
        <w:tc>
          <w:tcPr>
            <w:tcW w:w="1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7"/>
              </w:rPr>
              <w:t>Underwriters’ Option is</w:t>
            </w:r>
          </w:p>
        </w:tc>
      </w:tr>
      <w:tr>
        <w:trPr>
          <w:trHeight w:val="150"/>
        </w:trPr>
        <w:tc>
          <w:tcPr>
            <w:tcW w:w="2260" w:type="dxa"/>
            <w:vAlign w:val="bottom"/>
          </w:tcPr>
          <w:p>
            <w:pPr>
              <w:spacing w:after="0"/>
              <w:rPr>
                <w:sz w:val="13"/>
                <w:szCs w:val="13"/>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the Offering</w:t>
            </w:r>
          </w:p>
        </w:tc>
        <w:tc>
          <w:tcPr>
            <w:tcW w:w="960" w:type="dxa"/>
            <w:vAlign w:val="bottom"/>
            <w:gridSpan w:val="3"/>
          </w:tcPr>
          <w:p>
            <w:pPr>
              <w:jc w:val="center"/>
              <w:ind w:left="392"/>
              <w:spacing w:after="0"/>
              <w:rPr>
                <w:sz w:val="20"/>
                <w:szCs w:val="20"/>
                <w:color w:val="auto"/>
              </w:rPr>
            </w:pPr>
            <w:r>
              <w:rPr>
                <w:rFonts w:ascii="Arial" w:cs="Arial" w:eastAsia="Arial" w:hAnsi="Arial"/>
                <w:sz w:val="12"/>
                <w:szCs w:val="12"/>
                <w:b w:val="1"/>
                <w:bCs w:val="1"/>
                <w:color w:val="auto"/>
                <w:w w:val="81"/>
              </w:rPr>
              <w:t>Exercised</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left="392"/>
              <w:spacing w:after="0"/>
              <w:rPr>
                <w:sz w:val="20"/>
                <w:szCs w:val="20"/>
                <w:color w:val="auto"/>
              </w:rPr>
            </w:pPr>
            <w:r>
              <w:rPr>
                <w:rFonts w:ascii="Arial" w:cs="Arial" w:eastAsia="Arial" w:hAnsi="Arial"/>
                <w:sz w:val="12"/>
                <w:szCs w:val="12"/>
                <w:b w:val="1"/>
                <w:bCs w:val="1"/>
                <w:color w:val="auto"/>
                <w:w w:val="81"/>
              </w:rPr>
              <w:t>Exercised</w:t>
            </w:r>
          </w:p>
        </w:tc>
        <w:tc>
          <w:tcPr>
            <w:tcW w:w="460" w:type="dxa"/>
            <w:vAlign w:val="bottom"/>
          </w:tcPr>
          <w:p>
            <w:pPr>
              <w:spacing w:after="0"/>
              <w:rPr>
                <w:sz w:val="13"/>
                <w:szCs w:val="13"/>
                <w:color w:val="auto"/>
              </w:rPr>
            </w:pPr>
          </w:p>
        </w:tc>
      </w:tr>
      <w:tr>
        <w:trPr>
          <w:trHeight w:val="21"/>
        </w:trPr>
        <w:tc>
          <w:tcPr>
            <w:tcW w:w="22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57"/>
        </w:trPr>
        <w:tc>
          <w:tcPr>
            <w:tcW w:w="226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Number</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6"/>
              </w:rPr>
              <w:t>Percent</w:t>
            </w:r>
          </w:p>
        </w:tc>
        <w:tc>
          <w:tcPr>
            <w:tcW w:w="9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6"/>
              </w:rPr>
              <w:t>Percent</w:t>
            </w:r>
          </w:p>
        </w:tc>
        <w:tc>
          <w:tcPr>
            <w:tcW w:w="9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86"/>
              </w:rPr>
              <w:t>Percent</w:t>
            </w:r>
          </w:p>
        </w:tc>
      </w:tr>
      <w:tr>
        <w:trPr>
          <w:trHeight w:val="21"/>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4"/>
        </w:trPr>
        <w:tc>
          <w:tcPr>
            <w:tcW w:w="2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 Stockholders and Selling</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1"/>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Stockholder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SCA Horus Holdings, LLC</w:t>
            </w:r>
            <w:r>
              <w:rPr>
                <w:rFonts w:ascii="Arial" w:cs="Arial" w:eastAsia="Arial" w:hAnsi="Arial"/>
                <w:sz w:val="21"/>
                <w:szCs w:val="21"/>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5"/>
                <w:szCs w:val="15"/>
                <w:color w:val="auto"/>
                <w:w w:val="87"/>
              </w:rPr>
              <w:t>40,900,020</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71.6%</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33,650,020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58.9%</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32,562,520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57.0%</w:t>
            </w:r>
          </w:p>
        </w:tc>
      </w:tr>
      <w:tr>
        <w:trPr>
          <w:trHeight w:val="183"/>
        </w:trPr>
        <w:tc>
          <w:tcPr>
            <w:tcW w:w="2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Named Executive Officers and</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1"/>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Directors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Jude Bricker</w:t>
            </w:r>
            <w:r>
              <w:rPr>
                <w:rFonts w:ascii="Arial" w:cs="Arial" w:eastAsia="Arial" w:hAnsi="Arial"/>
                <w:sz w:val="21"/>
                <w:szCs w:val="21"/>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1,592,710</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780" w:type="dxa"/>
            <w:vAlign w:val="bottom"/>
          </w:tcPr>
          <w:p>
            <w:pPr>
              <w:jc w:val="right"/>
              <w:spacing w:after="0"/>
              <w:rPr>
                <w:sz w:val="20"/>
                <w:szCs w:val="20"/>
                <w:color w:val="auto"/>
              </w:rPr>
            </w:pPr>
            <w:r>
              <w:rPr>
                <w:rFonts w:ascii="Arial" w:cs="Arial" w:eastAsia="Arial" w:hAnsi="Arial"/>
                <w:sz w:val="15"/>
                <w:szCs w:val="15"/>
                <w:color w:val="auto"/>
              </w:rPr>
              <w:t>1,592,710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2.8%</w:t>
            </w:r>
          </w:p>
        </w:tc>
        <w:tc>
          <w:tcPr>
            <w:tcW w:w="780" w:type="dxa"/>
            <w:vAlign w:val="bottom"/>
          </w:tcPr>
          <w:p>
            <w:pPr>
              <w:jc w:val="right"/>
              <w:spacing w:after="0"/>
              <w:rPr>
                <w:sz w:val="20"/>
                <w:szCs w:val="20"/>
                <w:color w:val="auto"/>
              </w:rPr>
            </w:pPr>
            <w:r>
              <w:rPr>
                <w:rFonts w:ascii="Arial" w:cs="Arial" w:eastAsia="Arial" w:hAnsi="Arial"/>
                <w:sz w:val="15"/>
                <w:szCs w:val="15"/>
                <w:color w:val="auto"/>
              </w:rPr>
              <w:t>1,592,710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20"/>
        </w:trPr>
        <w:tc>
          <w:tcPr>
            <w:tcW w:w="22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Dave Davis</w:t>
            </w:r>
            <w:r>
              <w:rPr>
                <w:rFonts w:ascii="Arial" w:cs="Arial" w:eastAsia="Arial" w:hAnsi="Arial"/>
                <w:sz w:val="21"/>
                <w:szCs w:val="21"/>
                <w:color w:val="auto"/>
                <w:vertAlign w:val="superscript"/>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Gregory Mays</w:t>
            </w:r>
            <w:r>
              <w:rPr>
                <w:rFonts w:ascii="Arial" w:cs="Arial" w:eastAsia="Arial" w:hAnsi="Arial"/>
                <w:sz w:val="21"/>
                <w:szCs w:val="21"/>
                <w:color w:val="auto"/>
                <w:vertAlign w:val="superscript"/>
              </w:rPr>
              <w:t>(4)</w:t>
            </w:r>
          </w:p>
        </w:tc>
        <w:tc>
          <w:tcPr>
            <w:tcW w:w="72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09"/>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Thomas C. Kennedy</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Patrick Kearney</w:t>
            </w:r>
            <w:r>
              <w:rPr>
                <w:rFonts w:ascii="Arial" w:cs="Arial" w:eastAsia="Arial" w:hAnsi="Arial"/>
                <w:sz w:val="21"/>
                <w:szCs w:val="21"/>
                <w:color w:val="auto"/>
                <w:vertAlign w:val="superscript"/>
              </w:rPr>
              <w:t>(1)(5)</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Antoine Munfakh</w:t>
            </w:r>
            <w:r>
              <w:rPr>
                <w:rFonts w:ascii="Arial" w:cs="Arial" w:eastAsia="Arial" w:hAnsi="Arial"/>
                <w:sz w:val="21"/>
                <w:szCs w:val="21"/>
                <w:color w:val="auto"/>
                <w:vertAlign w:val="superscript"/>
              </w:rPr>
              <w:t>(1)(5)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09"/>
        </w:trPr>
        <w:tc>
          <w:tcPr>
            <w:tcW w:w="2260" w:type="dxa"/>
            <w:vAlign w:val="bottom"/>
          </w:tcPr>
          <w:p>
            <w:pPr>
              <w:ind w:left="160"/>
              <w:spacing w:after="0"/>
              <w:rPr>
                <w:sz w:val="20"/>
                <w:szCs w:val="20"/>
                <w:color w:val="auto"/>
              </w:rPr>
            </w:pPr>
            <w:r>
              <w:rPr>
                <w:rFonts w:ascii="Arial" w:cs="Arial" w:eastAsia="Arial" w:hAnsi="Arial"/>
                <w:sz w:val="15"/>
                <w:szCs w:val="15"/>
                <w:color w:val="auto"/>
              </w:rPr>
              <w:t>Kerry Philipovitch</w:t>
            </w:r>
          </w:p>
        </w:tc>
        <w:tc>
          <w:tcPr>
            <w:tcW w:w="720" w:type="dxa"/>
            <w:vAlign w:val="bottom"/>
          </w:tcPr>
          <w:p>
            <w:pPr>
              <w:jc w:val="right"/>
              <w:spacing w:after="0"/>
              <w:rPr>
                <w:sz w:val="20"/>
                <w:szCs w:val="20"/>
                <w:color w:val="auto"/>
              </w:rPr>
            </w:pPr>
            <w:r>
              <w:rPr>
                <w:rFonts w:ascii="Arial" w:cs="Arial" w:eastAsia="Arial" w:hAnsi="Arial"/>
                <w:sz w:val="15"/>
                <w:szCs w:val="15"/>
                <w:color w:val="auto"/>
              </w:rPr>
              <w:t>5,139</w:t>
            </w:r>
          </w:p>
        </w:tc>
        <w:tc>
          <w:tcPr>
            <w:tcW w:w="140" w:type="dxa"/>
            <w:vAlign w:val="bottom"/>
          </w:tcPr>
          <w:p>
            <w:pPr>
              <w:spacing w:after="0"/>
              <w:rPr>
                <w:sz w:val="18"/>
                <w:szCs w:val="18"/>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David Siegel</w:t>
            </w:r>
            <w:r>
              <w:rPr>
                <w:rFonts w:ascii="Arial" w:cs="Arial" w:eastAsia="Arial" w:hAnsi="Arial"/>
                <w:sz w:val="21"/>
                <w:szCs w:val="21"/>
                <w:color w:val="auto"/>
                <w:vertAlign w:val="superscript"/>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Juan Carlos Zuazua</w:t>
            </w:r>
            <w:r>
              <w:rPr>
                <w:rFonts w:ascii="Arial" w:cs="Arial" w:eastAsia="Arial" w:hAnsi="Arial"/>
                <w:sz w:val="21"/>
                <w:szCs w:val="21"/>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tcPr>
          <w:p>
            <w:pPr>
              <w:spacing w:after="0"/>
              <w:rPr>
                <w:sz w:val="19"/>
                <w:szCs w:val="19"/>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187"/>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All current directors and</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46"/>
        </w:trPr>
        <w:tc>
          <w:tcPr>
            <w:tcW w:w="2260" w:type="dxa"/>
            <w:vAlign w:val="bottom"/>
            <w:shd w:val="clear" w:color="auto" w:fill="CCEEFF"/>
          </w:tcPr>
          <w:p>
            <w:pPr>
              <w:ind w:left="300"/>
              <w:spacing w:after="0" w:line="146" w:lineRule="exact"/>
              <w:rPr>
                <w:sz w:val="20"/>
                <w:szCs w:val="20"/>
                <w:color w:val="auto"/>
              </w:rPr>
            </w:pPr>
            <w:r>
              <w:rPr>
                <w:rFonts w:ascii="Arial" w:cs="Arial" w:eastAsia="Arial" w:hAnsi="Arial"/>
                <w:sz w:val="15"/>
                <w:szCs w:val="15"/>
                <w:color w:val="auto"/>
              </w:rPr>
              <w:t>executive officers as a group</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249"/>
        </w:trPr>
        <w:tc>
          <w:tcPr>
            <w:tcW w:w="2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(15 persons)</w:t>
            </w:r>
            <w:r>
              <w:rPr>
                <w:rFonts w:ascii="Arial" w:cs="Arial" w:eastAsia="Arial" w:hAnsi="Arial"/>
                <w:sz w:val="21"/>
                <w:szCs w:val="21"/>
                <w:color w:val="auto"/>
                <w:vertAlign w:val="superscript"/>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2,552,634</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2,552,634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2,552,634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-2245995</wp:posOffset>
            </wp:positionV>
            <wp:extent cx="8382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-2245995</wp:posOffset>
            </wp:positionV>
            <wp:extent cx="8382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-2245995</wp:posOffset>
            </wp:positionV>
            <wp:extent cx="8382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-2245995</wp:posOffset>
            </wp:positionV>
            <wp:extent cx="8382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-2245995</wp:posOffset>
            </wp:positionV>
            <wp:extent cx="197421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974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hanging="296"/>
        <w:spacing w:after="0"/>
        <w:tabs>
          <w:tab w:leader="none" w:pos="14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58" w:lineRule="exact"/>
        <w:rPr>
          <w:sz w:val="20"/>
          <w:szCs w:val="20"/>
          <w:color w:val="auto"/>
        </w:rPr>
      </w:pPr>
    </w:p>
    <w:p>
      <w:pPr>
        <w:ind w:left="1460" w:right="1239" w:hanging="296"/>
        <w:spacing w:after="0" w:line="223" w:lineRule="auto"/>
        <w:tabs>
          <w:tab w:leader="none" w:pos="1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3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465,478 shares of common stock issuable upon the exercise of options within 60 days.</w:t>
      </w:r>
    </w:p>
    <w:p>
      <w:pPr>
        <w:spacing w:after="0" w:line="2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199,120 shares of common stock issuable upon the exercise of options within 60 days.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639" w:hanging="296"/>
        <w:spacing w:after="0" w:line="236"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51,719 shares of common stock issuable upon the exercise of options within 60 days.</w:t>
      </w:r>
    </w:p>
    <w:p>
      <w:pPr>
        <w:spacing w:after="0" w:line="23" w:lineRule="exact"/>
        <w:rPr>
          <w:rFonts w:ascii="Arial" w:cs="Arial" w:eastAsia="Arial" w:hAnsi="Arial"/>
          <w:sz w:val="15"/>
          <w:szCs w:val="15"/>
          <w:color w:val="auto"/>
        </w:rPr>
      </w:pPr>
    </w:p>
    <w:p>
      <w:pPr>
        <w:ind w:left="1460" w:right="1299" w:hanging="296"/>
        <w:spacing w:after="0" w:line="223"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Each of Patrick Kearney and Antoine Munfakh is affiliated with Apollo Management, L.P. and its affiliated investment managers and advisors. Each of Messrs. Kearney and 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22"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116,367 shares of common stock issuable upon the exercise of options within 60 days.</w:t>
      </w:r>
    </w:p>
    <w:p>
      <w:pPr>
        <w:spacing w:after="0" w:line="34" w:lineRule="exact"/>
        <w:rPr>
          <w:rFonts w:ascii="Arial" w:cs="Arial" w:eastAsia="Arial" w:hAnsi="Arial"/>
          <w:sz w:val="15"/>
          <w:szCs w:val="15"/>
          <w:color w:val="auto"/>
        </w:rPr>
      </w:pPr>
    </w:p>
    <w:p>
      <w:pPr>
        <w:ind w:left="1460" w:right="1699" w:hanging="296"/>
        <w:spacing w:after="0" w:line="236"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9,444 shares of common stock issuable upon the exercise of options within 60 days.</w:t>
      </w:r>
    </w:p>
    <w:p>
      <w:pPr>
        <w:spacing w:after="0" w:line="23"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1,204,157 shares of common stock issuable upon the exercise of options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1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DGCL.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w:t>
      </w:r>
    </w:p>
    <w:p>
      <w:pPr>
        <w:spacing w:after="0" w:line="12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Our capital stock consists of 1,000,000,000 authorized shares, of which 995,000,000 shares, par value $0.01 per share, are designated as “common stock” and 5,000,000 shares, par value $0.01 per share, are designated as “preferred stock.” As of March 31, 2021, there were 57,153,467 shares of common stock outstanding and no shares of preferred stock outstanding.</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28"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our common stock are entitled to one vote per share on all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submitted for action by the stockholders generally.</w:t>
      </w:r>
    </w:p>
    <w:p>
      <w:pPr>
        <w:spacing w:after="0" w:line="82"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i w:val="1"/>
          <w:iCs w:val="1"/>
          <w:color w:val="auto"/>
        </w:rPr>
        <w:t>Dividend Rights</w:t>
      </w:r>
      <w:r>
        <w:rPr>
          <w:rFonts w:ascii="Arial" w:cs="Arial" w:eastAsia="Arial" w:hAnsi="Arial"/>
          <w:sz w:val="15"/>
          <w:szCs w:val="15"/>
          <w:color w:val="auto"/>
        </w:rPr>
        <w:t>. Subject to any preferential rights of any then outstanding preferred stock, all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are entitled to share equally in any dividends our board of directors may declare from legally available sources.</w:t>
      </w:r>
    </w:p>
    <w:p>
      <w:pPr>
        <w:spacing w:after="0" w:line="101" w:lineRule="exact"/>
        <w:rPr>
          <w:sz w:val="20"/>
          <w:szCs w:val="20"/>
          <w:color w:val="auto"/>
        </w:rPr>
      </w:pPr>
    </w:p>
    <w:p>
      <w:pPr>
        <w:ind w:left="1160" w:right="1599" w:firstLine="293"/>
        <w:spacing w:after="0" w:line="251" w:lineRule="auto"/>
        <w:rPr>
          <w:sz w:val="20"/>
          <w:szCs w:val="20"/>
          <w:color w:val="auto"/>
        </w:rPr>
      </w:pPr>
      <w:r>
        <w:rPr>
          <w:rFonts w:ascii="Arial" w:cs="Arial" w:eastAsia="Arial" w:hAnsi="Arial"/>
          <w:sz w:val="15"/>
          <w:szCs w:val="15"/>
          <w:i w:val="1"/>
          <w:iCs w:val="1"/>
          <w:color w:val="auto"/>
        </w:rPr>
        <w:t>Liquidation Rights</w:t>
      </w:r>
      <w:r>
        <w:rPr>
          <w:rFonts w:ascii="Arial" w:cs="Arial" w:eastAsia="Arial" w:hAnsi="Arial"/>
          <w:sz w:val="15"/>
          <w:szCs w:val="15"/>
          <w:color w:val="auto"/>
        </w:rPr>
        <w:t>. Upon our liquidation, dissolution or winding up, whether voluntary or</w:t>
      </w:r>
      <w:r>
        <w:rPr>
          <w:rFonts w:ascii="Arial" w:cs="Arial" w:eastAsia="Arial" w:hAnsi="Arial"/>
          <w:sz w:val="15"/>
          <w:szCs w:val="15"/>
          <w:i w:val="1"/>
          <w:iCs w:val="1"/>
          <w:color w:val="auto"/>
        </w:rPr>
        <w:t xml:space="preserve"> </w:t>
      </w:r>
      <w:r>
        <w:rPr>
          <w:rFonts w:ascii="Arial" w:cs="Arial" w:eastAsia="Arial" w:hAnsi="Arial"/>
          <w:sz w:val="15"/>
          <w:szCs w:val="15"/>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0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Other Matters</w:t>
      </w:r>
      <w:r>
        <w:rPr>
          <w:rFonts w:ascii="Arial" w:cs="Arial" w:eastAsia="Arial" w:hAnsi="Arial"/>
          <w:sz w:val="15"/>
          <w:szCs w:val="15"/>
          <w:color w:val="auto"/>
        </w:rPr>
        <w:t>. Holders of our common stock have no preemptive or conversion rights, and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March 31, 2021, approximately 11.3% of the</w:t>
      </w:r>
    </w:p>
    <w:p>
      <w:pPr>
        <w:spacing w:after="0" w:line="3" w:lineRule="exact"/>
        <w:rPr>
          <w:sz w:val="20"/>
          <w:szCs w:val="20"/>
          <w:color w:val="auto"/>
        </w:rPr>
      </w:pPr>
    </w:p>
    <w:p>
      <w:pPr>
        <w:ind w:left="1160" w:right="1259"/>
        <w:spacing w:after="0" w:line="266" w:lineRule="auto"/>
        <w:rPr>
          <w:sz w:val="20"/>
          <w:szCs w:val="20"/>
          <w:color w:val="auto"/>
        </w:rPr>
      </w:pPr>
      <w:r>
        <w:rPr>
          <w:rFonts w:ascii="Arial" w:cs="Arial" w:eastAsia="Arial" w:hAnsi="Arial"/>
          <w:sz w:val="14"/>
          <w:szCs w:val="14"/>
          <w:color w:val="auto"/>
        </w:rPr>
        <w:t>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 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Board of Directors; Election and Removal</w:t>
      </w:r>
    </w:p>
    <w:p>
      <w:pPr>
        <w:spacing w:after="0" w:line="117"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w:t>
      </w:r>
      <w:r>
        <w:rPr>
          <w:rFonts w:ascii="Arial" w:cs="Arial" w:eastAsia="Arial" w:hAnsi="Arial"/>
          <w:sz w:val="14"/>
          <w:szCs w:val="14"/>
          <w:i w:val="1"/>
          <w:iCs w:val="1"/>
          <w:color w:val="auto"/>
        </w:rPr>
        <w:t>Description of Capital Stock—Certain</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Corporate Anti-takeover Provisions—Classified Board of Directors</w:t>
      </w:r>
      <w:r>
        <w:rPr>
          <w:rFonts w:ascii="Arial" w:cs="Arial" w:eastAsia="Arial" w:hAnsi="Arial"/>
          <w:sz w:val="14"/>
          <w:szCs w:val="14"/>
          <w:color w:val="auto"/>
        </w:rPr>
        <w:t>.”</w:t>
      </w:r>
    </w:p>
    <w:p>
      <w:pPr>
        <w:spacing w:after="0" w:line="9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4"/>
          <w:szCs w:val="14"/>
          <w:i w:val="1"/>
          <w:iCs w:val="1"/>
          <w:color w:val="auto"/>
        </w:rPr>
        <w:t>Certain Relationships and Related Party Transactions—Stockholders Agreement</w:t>
      </w:r>
      <w:r>
        <w:rPr>
          <w:rFonts w:ascii="Arial" w:cs="Arial" w:eastAsia="Arial" w:hAnsi="Arial"/>
          <w:sz w:val="14"/>
          <w:szCs w:val="14"/>
          <w:color w:val="auto"/>
        </w:rPr>
        <w:t>.”</w:t>
      </w:r>
    </w:p>
    <w:p>
      <w:pPr>
        <w:spacing w:after="0" w:line="95"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89"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 xml:space="preserve"> </w:t>
      </w:r>
      <w:r>
        <w:rPr>
          <w:rFonts w:ascii="Arial" w:cs="Arial" w:eastAsia="Arial" w:hAnsi="Arial"/>
          <w:sz w:val="15"/>
          <w:szCs w:val="15"/>
          <w:i w:val="1"/>
          <w:iCs w:val="1"/>
          <w:color w:val="auto"/>
        </w:rPr>
        <w:t>Stockholders Agreement</w:t>
      </w:r>
      <w:r>
        <w:rPr>
          <w:rFonts w:ascii="Arial" w:cs="Arial" w:eastAsia="Arial" w:hAnsi="Arial"/>
          <w:sz w:val="15"/>
          <w:szCs w:val="15"/>
          <w:color w:val="auto"/>
        </w:rPr>
        <w:t>.”</w:t>
      </w:r>
    </w:p>
    <w:p>
      <w:pPr>
        <w:spacing w:after="0" w:line="10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Certain Corporate Anti-takeover Provisions</w:t>
      </w:r>
    </w:p>
    <w:p>
      <w:pPr>
        <w:spacing w:after="0" w:line="128"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Preferred Stock</w:t>
      </w:r>
    </w:p>
    <w:p>
      <w:pPr>
        <w:spacing w:after="0" w:line="113"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Classified Board of Directors</w:t>
      </w:r>
    </w:p>
    <w:p>
      <w:pPr>
        <w:spacing w:after="0" w:line="124"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5"/>
          <w:szCs w:val="15"/>
          <w:i w:val="1"/>
          <w:iCs w:val="1"/>
          <w:color w:val="auto"/>
        </w:rPr>
        <w:t>Composition of Board of Directors;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Removal</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Removal of Directors; Vacancies</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4"/>
          <w:szCs w:val="14"/>
          <w:i w:val="1"/>
          <w:iCs w:val="1"/>
          <w:color w:val="auto"/>
        </w:rPr>
        <w:t>Composition of Board of Directors; Election and Removal</w:t>
      </w:r>
      <w:r>
        <w:rPr>
          <w:rFonts w:ascii="Arial" w:cs="Arial" w:eastAsia="Arial" w:hAnsi="Arial"/>
          <w:sz w:val="14"/>
          <w:szCs w:val="14"/>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 Cumulative Voting</w:t>
      </w:r>
    </w:p>
    <w:p>
      <w:pPr>
        <w:spacing w:after="0" w:line="113"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Under our certificate of incorporation, stockholders do not have the right to cumulative votes in the election of directors.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Special Meetings of Stockholders</w:t>
      </w:r>
    </w:p>
    <w:p>
      <w:pPr>
        <w:spacing w:after="0" w:line="12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Stockholder Action by Written Consent</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Advance Notice Requirements for Stockholder Proposals and Director Nominations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97"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Delaware Takeover Statute</w:t>
      </w:r>
    </w:p>
    <w:p>
      <w:pPr>
        <w:spacing w:after="0" w:line="124" w:lineRule="exact"/>
        <w:rPr>
          <w:sz w:val="20"/>
          <w:szCs w:val="20"/>
          <w:color w:val="auto"/>
        </w:rPr>
      </w:pPr>
    </w:p>
    <w:p>
      <w:pPr>
        <w:jc w:val="both"/>
        <w:ind w:left="1160" w:right="1219" w:firstLine="293"/>
        <w:spacing w:after="0" w:line="254" w:lineRule="auto"/>
        <w:rPr>
          <w:sz w:val="20"/>
          <w:szCs w:val="20"/>
          <w:color w:val="auto"/>
        </w:rPr>
      </w:pPr>
      <w:r>
        <w:rPr>
          <w:rFonts w:ascii="Arial" w:cs="Arial" w:eastAsia="Arial" w:hAnsi="Arial"/>
          <w:sz w:val="15"/>
          <w:szCs w:val="15"/>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90"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58" w:lineRule="exact"/>
        <w:rPr>
          <w:sz w:val="20"/>
          <w:szCs w:val="20"/>
          <w:color w:val="auto"/>
        </w:rPr>
      </w:pPr>
    </w:p>
    <w:p>
      <w:pPr>
        <w:ind w:left="1600" w:right="1219" w:hanging="143"/>
        <w:spacing w:after="0" w:line="249"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72" w:lineRule="exact"/>
        <w:rPr>
          <w:rFonts w:ascii="Arial" w:cs="Arial" w:eastAsia="Arial" w:hAnsi="Arial"/>
          <w:sz w:val="15"/>
          <w:szCs w:val="15"/>
          <w:color w:val="auto"/>
        </w:rPr>
      </w:pPr>
    </w:p>
    <w:p>
      <w:pPr>
        <w:jc w:val="both"/>
        <w:ind w:left="1600" w:right="1219" w:hanging="143"/>
        <w:spacing w:after="0" w:line="311" w:lineRule="auto"/>
        <w:tabs>
          <w:tab w:leader="none" w:pos="16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spacing w:after="0" w:line="248" w:lineRule="auto"/>
        <w:rPr>
          <w:sz w:val="20"/>
          <w:szCs w:val="20"/>
          <w:color w:val="auto"/>
        </w:rPr>
      </w:pPr>
      <w:r>
        <w:rPr>
          <w:rFonts w:ascii="Arial" w:cs="Arial" w:eastAsia="Arial" w:hAnsi="Arial"/>
          <w:sz w:val="14"/>
          <w:szCs w:val="14"/>
          <w:color w:val="auto"/>
        </w:rPr>
        <w:t>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50" w:lineRule="exact"/>
        <w:rPr>
          <w:sz w:val="20"/>
          <w:szCs w:val="20"/>
          <w:color w:val="auto"/>
        </w:rPr>
      </w:pPr>
    </w:p>
    <w:p>
      <w:pPr>
        <w:ind w:left="1600" w:right="1259" w:hanging="143"/>
        <w:spacing w:after="0" w:line="25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Arial" w:cs="Arial" w:eastAsia="Arial" w:hAnsi="Arial"/>
          <w:sz w:val="15"/>
          <w:szCs w:val="15"/>
          <w:color w:val="auto"/>
        </w:rPr>
      </w:pPr>
    </w:p>
    <w:p>
      <w:pPr>
        <w:ind w:left="1600" w:right="1219" w:hanging="143"/>
        <w:spacing w:after="0" w:line="247"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75"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9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02"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Certificate of Incorporation</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Under Delaware law, our certificate of incorporation may be amended only with the affirmative vote of holders of at least a majority of the outstanding stock entitled to vote thereon.</w:t>
      </w:r>
    </w:p>
    <w:p>
      <w:pPr>
        <w:spacing w:after="0" w:line="83"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19" w:hanging="143"/>
        <w:spacing w:after="0" w:line="25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provisions authorizing our board of directors to make, alter, amend or repeal our bylaws;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provisions regarding the calling of special meetings and stockholder action by written consent in lieu of a meeting;</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provisions eliminating monetary damages for breaches of fiduciary duty by a director;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provisions providing for indemnification and advance of expenses of our directors and officers;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w:t>
      </w:r>
    </w:p>
    <w:p>
      <w:pPr>
        <w:spacing w:after="0" w:line="91"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provisions regarding entering into business combinations with interested stockholders;</w:t>
      </w:r>
    </w:p>
    <w:p>
      <w:pPr>
        <w:spacing w:after="0" w:line="91" w:lineRule="exact"/>
        <w:rPr>
          <w:rFonts w:ascii="Arial" w:cs="Arial" w:eastAsia="Arial" w:hAnsi="Arial"/>
          <w:sz w:val="15"/>
          <w:szCs w:val="15"/>
          <w:color w:val="auto"/>
        </w:rPr>
      </w:pPr>
    </w:p>
    <w:p>
      <w:pPr>
        <w:ind w:left="1600" w:right="1379" w:hanging="143"/>
        <w:spacing w:after="0" w:line="274" w:lineRule="auto"/>
        <w:tabs>
          <w:tab w:leader="none" w:pos="1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55" w:lineRule="exact"/>
        <w:rPr>
          <w:rFonts w:ascii="Arial" w:cs="Arial" w:eastAsia="Arial" w:hAnsi="Arial"/>
          <w:sz w:val="14"/>
          <w:szCs w:val="14"/>
          <w:color w:val="auto"/>
        </w:rPr>
      </w:pPr>
    </w:p>
    <w:p>
      <w:pPr>
        <w:ind w:left="1600" w:right="1399" w:hanging="143"/>
        <w:spacing w:after="0" w:line="274" w:lineRule="auto"/>
        <w:tabs>
          <w:tab w:leader="none" w:pos="1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Bylaws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Matters that Require Consent of our Stockholders</w:t>
      </w:r>
    </w:p>
    <w:p>
      <w:pPr>
        <w:spacing w:after="0" w:line="113"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600" w:right="1239" w:hanging="143"/>
        <w:spacing w:after="0" w:line="281" w:lineRule="auto"/>
        <w:tabs>
          <w:tab w:leader="none" w:pos="1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 or</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59" w:hanging="143"/>
        <w:spacing w:after="0" w:line="248"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Transactions—Stockholders Agreement</w:t>
      </w:r>
      <w:r>
        <w:rPr>
          <w:rFonts w:ascii="Arial" w:cs="Arial" w:eastAsia="Arial" w:hAnsi="Arial"/>
          <w:sz w:val="15"/>
          <w:szCs w:val="15"/>
          <w:color w:val="auto"/>
        </w:rPr>
        <w:t>.”</w:t>
      </w:r>
    </w:p>
    <w:p>
      <w:pPr>
        <w:spacing w:after="0" w:line="95" w:lineRule="exact"/>
        <w:rPr>
          <w:sz w:val="20"/>
          <w:szCs w:val="20"/>
          <w:color w:val="auto"/>
        </w:rPr>
      </w:pPr>
    </w:p>
    <w:p>
      <w:pPr>
        <w:ind w:left="1160" w:right="1299" w:firstLine="293"/>
        <w:spacing w:after="0" w:line="253" w:lineRule="auto"/>
        <w:rPr>
          <w:sz w:val="20"/>
          <w:szCs w:val="20"/>
          <w:color w:val="auto"/>
        </w:rPr>
      </w:pPr>
      <w:r>
        <w:rPr>
          <w:rFonts w:ascii="Arial" w:cs="Arial" w:eastAsia="Arial" w:hAnsi="Arial"/>
          <w:sz w:val="14"/>
          <w:szCs w:val="14"/>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Opportunity</w:t>
      </w:r>
    </w:p>
    <w:p>
      <w:pPr>
        <w:spacing w:after="0" w:line="12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Limited Ownership and Voting by Foreign Owners</w:t>
      </w:r>
    </w:p>
    <w:p>
      <w:pPr>
        <w:spacing w:after="0" w:line="11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Exclusive Forum Selection</w:t>
      </w:r>
    </w:p>
    <w:p>
      <w:pPr>
        <w:spacing w:after="0" w:line="128"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Unless we consent in writing to the selection of an alternative forum, the Chancery Court of the State of Delaware will, to the fullest extent permitted by law, be the sole and exclusive forum for:</w:t>
      </w:r>
    </w:p>
    <w:p>
      <w:pPr>
        <w:spacing w:after="0" w:line="38" w:lineRule="exact"/>
        <w:rPr>
          <w:sz w:val="20"/>
          <w:szCs w:val="20"/>
          <w:color w:val="auto"/>
        </w:rPr>
      </w:pPr>
    </w:p>
    <w:p>
      <w:pPr>
        <w:ind w:left="1600" w:hanging="143"/>
        <w:spacing w:after="0"/>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80" w:lineRule="exact"/>
        <w:rPr>
          <w:rFonts w:ascii="Arial" w:cs="Arial" w:eastAsia="Arial" w:hAnsi="Arial"/>
          <w:sz w:val="15"/>
          <w:szCs w:val="15"/>
          <w:color w:val="auto"/>
        </w:rPr>
      </w:pPr>
    </w:p>
    <w:p>
      <w:pPr>
        <w:ind w:left="1600" w:right="1519" w:hanging="143"/>
        <w:spacing w:after="0" w:line="264"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59"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of our certificate of incorporation or our bylaws; or</w:t>
      </w:r>
    </w:p>
    <w:p>
      <w:pPr>
        <w:spacing w:after="0" w:line="60"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directors or officers governed by the internal affairs doctrine,</w:t>
      </w:r>
    </w:p>
    <w:p>
      <w:pPr>
        <w:spacing w:after="0" w:line="93" w:lineRule="exact"/>
        <w:rPr>
          <w:sz w:val="20"/>
          <w:szCs w:val="20"/>
          <w:color w:val="auto"/>
        </w:rPr>
      </w:pPr>
    </w:p>
    <w:p>
      <w:pPr>
        <w:ind w:left="1160" w:right="1839"/>
        <w:spacing w:after="0" w:line="248" w:lineRule="auto"/>
        <w:rPr>
          <w:sz w:val="20"/>
          <w:szCs w:val="20"/>
          <w:color w:val="auto"/>
        </w:rPr>
      </w:pPr>
      <w:r>
        <w:rPr>
          <w:rFonts w:ascii="Arial" w:cs="Arial" w:eastAsia="Arial" w:hAnsi="Arial"/>
          <w:sz w:val="15"/>
          <w:szCs w:val="15"/>
          <w:color w:val="auto"/>
        </w:rPr>
        <w:t>in each such case subject to the Delaware Court of Chancery having personal jurisdiction over the indispensable parties named as defendants.</w:t>
      </w:r>
    </w:p>
    <w:p>
      <w:pPr>
        <w:spacing w:after="0" w:line="83"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05"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19"/>
        <w:spacing w:after="0" w:line="264" w:lineRule="auto"/>
        <w:rPr>
          <w:sz w:val="20"/>
          <w:szCs w:val="20"/>
          <w:color w:val="auto"/>
        </w:rPr>
      </w:pPr>
      <w:r>
        <w:rPr>
          <w:rFonts w:ascii="Arial" w:cs="Arial" w:eastAsia="Arial" w:hAnsi="Arial"/>
          <w:sz w:val="15"/>
          <w:szCs w:val="15"/>
          <w:color w:val="auto"/>
        </w:rPr>
        <w:t>where a stockholder considering an action may be located or would otherwise choose to bring the action, and such judgments may be more or less favorable to us than our stockholders.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 of Liability and Indemnification</w:t>
      </w:r>
    </w:p>
    <w:p>
      <w:pPr>
        <w:spacing w:after="0" w:line="117"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600" w:hanging="143"/>
        <w:spacing w:after="0"/>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for any breach of their duty of loyalty to the corporation or its stockholders;</w:t>
      </w:r>
    </w:p>
    <w:p>
      <w:pPr>
        <w:spacing w:after="0" w:line="91"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for acts or omissions not in good faith or which involve intentional misconduct or a knowing violation of laws;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under Section 174 of the DGCL (governing distributions to stockholders);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personal benefit.</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98" w:lineRule="exact"/>
        <w:rPr>
          <w:sz w:val="20"/>
          <w:szCs w:val="20"/>
          <w:color w:val="auto"/>
        </w:rPr>
      </w:pPr>
    </w:p>
    <w:p>
      <w:pPr>
        <w:ind w:left="1160" w:right="1419" w:firstLine="293"/>
        <w:spacing w:after="0" w:line="281" w:lineRule="auto"/>
        <w:rPr>
          <w:sz w:val="20"/>
          <w:szCs w:val="20"/>
          <w:color w:val="auto"/>
        </w:rPr>
      </w:pPr>
      <w:r>
        <w:rPr>
          <w:rFonts w:ascii="Arial" w:cs="Arial" w:eastAsia="Arial" w:hAnsi="Arial"/>
          <w:sz w:val="14"/>
          <w:szCs w:val="14"/>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83" w:lineRule="exact"/>
        <w:rPr>
          <w:sz w:val="20"/>
          <w:szCs w:val="20"/>
          <w:color w:val="auto"/>
        </w:rPr>
      </w:pPr>
    </w:p>
    <w:p>
      <w:pPr>
        <w:ind w:left="1160" w:right="1399" w:firstLine="293"/>
        <w:spacing w:after="0" w:line="268" w:lineRule="auto"/>
        <w:rPr>
          <w:sz w:val="20"/>
          <w:szCs w:val="20"/>
          <w:color w:val="auto"/>
        </w:rPr>
      </w:pPr>
      <w:r>
        <w:rPr>
          <w:rFonts w:ascii="Arial" w:cs="Arial" w:eastAsia="Arial" w:hAnsi="Arial"/>
          <w:sz w:val="14"/>
          <w:szCs w:val="14"/>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93"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color w:val="auto"/>
        </w:rPr>
        <w:t>We believe these provisions will assist in attracting and retaining qualified individuals to serve as directors.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No predictions can be made about the effect, if any, that market sales of shares of our common stock or the availability of such shares for sale will have on the market price prevailing from time to time. Nevertheless, sales of a substantial number of shares of our common stock in the public market,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5"/>
          <w:szCs w:val="15"/>
          <w:i w:val="1"/>
          <w:iCs w:val="1"/>
          <w:color w:val="auto"/>
        </w:rPr>
        <w:t>Risk Factors—Risks Related to this Offering and Ownership of our Common Stock—Future sales of our</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 in the public market, or the perception in the public market that such sales may occur, could reduce our stock price</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of Restricted Shares</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As of March 31, 2021, we had outstanding an aggregate of 57,153,467 shares of common stock. Additionally, we had 5,880,688 options outstanding, which are exercisable into 5,880,688 shares of common stock,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 Of these shares, all of the 10,454,545 shares of common stock sold in our initial public offering and all of the 7,250,000 shares of common stock to be sold in this offering (or 8,337,500 shares 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99"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1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connection with our initial public offering, we, the Apollo Stockholder, all of our directors and executive officers, PAR Capital, the Blackrock Entities and Amazon agreed not to sell any common stock or securities convertible into or exercisable or exchangeable for shares of common stock for a period of</w:t>
      </w:r>
    </w:p>
    <w:p>
      <w:pPr>
        <w:spacing w:after="0" w:line="1"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180 days after the date of the final prospectus related to our initial public offering, subject to certain exceptions. Please see “</w:t>
      </w:r>
      <w:r>
        <w:rPr>
          <w:rFonts w:ascii="Arial" w:cs="Arial" w:eastAsia="Arial" w:hAnsi="Arial"/>
          <w:sz w:val="14"/>
          <w:szCs w:val="14"/>
          <w:i w:val="1"/>
          <w:iCs w:val="1"/>
          <w:color w:val="auto"/>
        </w:rPr>
        <w:t>Underwriting (Conflict of Interest)</w:t>
      </w:r>
      <w:r>
        <w:rPr>
          <w:rFonts w:ascii="Arial" w:cs="Arial" w:eastAsia="Arial" w:hAnsi="Arial"/>
          <w:sz w:val="14"/>
          <w:szCs w:val="14"/>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 In connection with this offering, Barclays Capital Inc. and Morgan Stanley &amp; Co. LLC have agreed to release certain restrictions under the lock-up agreement that was executed in connection with our initial public offering with respect to up to 8,337,500 shares of our common stock (including the shares of the common stock pursuant to the underwriters’ option to purchase additional shares) in this offering that are held by the selling stockholder, provided that the release of shares of our common stock held by the selling stockholder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28"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w:t>
      </w:r>
    </w:p>
    <w:p>
      <w:pPr>
        <w:spacing w:after="0" w:line="1" w:lineRule="exact"/>
        <w:rPr>
          <w:sz w:val="20"/>
          <w:szCs w:val="20"/>
          <w:color w:val="auto"/>
        </w:rPr>
      </w:pPr>
    </w:p>
    <w:p>
      <w:pPr>
        <w:ind w:left="1160" w:right="1319"/>
        <w:spacing w:after="0" w:line="246" w:lineRule="auto"/>
        <w:rPr>
          <w:sz w:val="20"/>
          <w:szCs w:val="20"/>
          <w:color w:val="auto"/>
        </w:rPr>
      </w:pPr>
      <w:r>
        <w:rPr>
          <w:rFonts w:ascii="Arial" w:cs="Arial" w:eastAsia="Arial" w:hAnsi="Arial"/>
          <w:sz w:val="15"/>
          <w:szCs w:val="15"/>
          <w:color w:val="auto"/>
        </w:rPr>
        <w:t>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1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general, under Rule 701 under the Securities Act, any of our employees, directors, officers, consultants or advisors who purchases shares from us in connection with a compensatory stock or option plan or other written agreement before the effective date of our initial public offering is entitled to sell such shares 90 days after our initial public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As of March 31, 2021, we had warrants to purchase an aggregate of 9,482,606 shares of our common stock outstanding, the exercise of which is subject to limitations imposed by federal law on foreign ownership and control of U.S. airlines, approximately 11.3% of which have vested as of March 31, 2021.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Options</w:t>
      </w:r>
    </w:p>
    <w:p>
      <w:pPr>
        <w:spacing w:after="0" w:line="128"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As of March 31, 2021, we had options to purchase an aggregate of 5,880,688 shares of our common stock outstanding, the exercise of which is subject to limitations imposed by federal law on foreign ownership and control of U.S. airlines, of which options to purchase 1,070,385 shares had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Issued Under Employee Plans</w:t>
      </w:r>
    </w:p>
    <w:p>
      <w:pPr>
        <w:spacing w:after="0" w:line="117"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 filed a registration statement on Form S-8 under the Securities Act to register our common stock issuable under the SCA Acquisition Equity Plan and the Omnibus Incentive Plan, which became effective upon filing. Accordingly, shares registered under such registration statement are available for sale in the open market, unless such shares are subject to vesting restrictions with us, Rule 144 restrictions applicable to our affiliates or the lock-up restrictions described above.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5"/>
          <w:szCs w:val="15"/>
          <w:i w:val="1"/>
          <w:iCs w:val="1"/>
          <w:color w:val="auto"/>
        </w:rPr>
        <w:t>Certain Relationships and Related Party Transactions—Registration Rights Agreement</w:t>
      </w:r>
      <w:r>
        <w:rPr>
          <w:rFonts w:ascii="Arial" w:cs="Arial" w:eastAsia="Arial" w:hAnsi="Arial"/>
          <w:sz w:val="15"/>
          <w:szCs w:val="15"/>
          <w:color w:val="auto"/>
        </w:rPr>
        <w:t>.” After such registration, these shares of common stock will become freely tradable without restriction under the Securities Act except for shares purchased by affiliates.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17"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0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purposes of this discussion, the term “Non-U.S. Holder” means a beneficial owner of our common stock that is an individual, corporation, estate or trust, other than:</w:t>
      </w:r>
    </w:p>
    <w:p>
      <w:pPr>
        <w:spacing w:after="0" w:line="60" w:lineRule="exact"/>
        <w:rPr>
          <w:sz w:val="20"/>
          <w:szCs w:val="20"/>
          <w:color w:val="auto"/>
        </w:rPr>
      </w:pPr>
    </w:p>
    <w:p>
      <w:pPr>
        <w:ind w:left="1600" w:right="1239" w:hanging="143"/>
        <w:spacing w:after="0" w:line="26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as determined for U.S. federal income tax purposes;</w:t>
      </w:r>
    </w:p>
    <w:p>
      <w:pPr>
        <w:spacing w:after="0" w:line="70"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8"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59" w:lineRule="exact"/>
        <w:rPr>
          <w:rFonts w:ascii="Arial" w:cs="Arial" w:eastAsia="Arial" w:hAnsi="Arial"/>
          <w:sz w:val="15"/>
          <w:szCs w:val="15"/>
          <w:color w:val="auto"/>
        </w:rPr>
      </w:pPr>
    </w:p>
    <w:p>
      <w:pPr>
        <w:ind w:left="1600" w:right="1279" w:hanging="143"/>
        <w:spacing w:after="0" w:line="251"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0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0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Distributions</w:t>
      </w:r>
    </w:p>
    <w:p>
      <w:pPr>
        <w:spacing w:after="0" w:line="117"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4"/>
          <w:szCs w:val="14"/>
          <w:i w:val="1"/>
          <w:iCs w:val="1"/>
          <w:color w:val="auto"/>
        </w:rPr>
        <w:t>U.S.</w:t>
      </w:r>
      <w:r>
        <w:rPr>
          <w:rFonts w:ascii="Arial" w:cs="Arial" w:eastAsia="Arial" w:hAnsi="Arial"/>
          <w:sz w:val="14"/>
          <w:szCs w:val="14"/>
          <w:color w:val="auto"/>
        </w:rPr>
        <w:t xml:space="preserve"> </w:t>
      </w:r>
      <w:r>
        <w:rPr>
          <w:rFonts w:ascii="Arial" w:cs="Arial" w:eastAsia="Arial" w:hAnsi="Arial"/>
          <w:sz w:val="14"/>
          <w:szCs w:val="14"/>
          <w:i w:val="1"/>
          <w:iCs w:val="1"/>
          <w:color w:val="auto"/>
        </w:rPr>
        <w:t>Trade or Business Income</w:t>
      </w:r>
      <w:r>
        <w:rPr>
          <w:rFonts w:ascii="Arial" w:cs="Arial" w:eastAsia="Arial" w:hAnsi="Arial"/>
          <w:sz w:val="14"/>
          <w:szCs w:val="14"/>
          <w:color w:val="auto"/>
        </w:rPr>
        <w:t>,”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FATCA</w:t>
      </w:r>
      <w:r>
        <w:rPr>
          <w:rFonts w:ascii="Arial" w:cs="Arial" w:eastAsia="Arial" w:hAnsi="Arial"/>
          <w:sz w:val="14"/>
          <w:szCs w:val="14"/>
          <w:color w:val="auto"/>
        </w:rPr>
        <w:t>,” you</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95"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 Exchange or Other Taxable Disposition of Common Stock</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Subject to the discussions below under “—</w:t>
      </w:r>
      <w:r>
        <w:rPr>
          <w:rFonts w:ascii="Arial" w:cs="Arial" w:eastAsia="Arial" w:hAnsi="Arial"/>
          <w:sz w:val="15"/>
          <w:szCs w:val="15"/>
          <w:i w:val="1"/>
          <w:iCs w:val="1"/>
          <w:color w:val="auto"/>
        </w:rPr>
        <w:t>U.S. Trade or Business Income</w:t>
      </w:r>
      <w:r>
        <w:rPr>
          <w:rFonts w:ascii="Arial" w:cs="Arial" w:eastAsia="Arial" w:hAnsi="Arial"/>
          <w:sz w:val="15"/>
          <w:szCs w:val="15"/>
          <w:color w:val="auto"/>
        </w:rPr>
        <w:t>,” “—</w:t>
      </w:r>
      <w:r>
        <w:rPr>
          <w:rFonts w:ascii="Arial" w:cs="Arial" w:eastAsia="Arial" w:hAnsi="Arial"/>
          <w:sz w:val="15"/>
          <w:szCs w:val="15"/>
          <w:i w:val="1"/>
          <w:iCs w:val="1"/>
          <w:color w:val="auto"/>
        </w:rPr>
        <w:t>Information Reporting</w:t>
      </w:r>
      <w:r>
        <w:rPr>
          <w:rFonts w:ascii="Arial" w:cs="Arial" w:eastAsia="Arial" w:hAnsi="Arial"/>
          <w:sz w:val="15"/>
          <w:szCs w:val="15"/>
          <w:color w:val="auto"/>
        </w:rPr>
        <w:t xml:space="preserve"> </w:t>
      </w:r>
      <w:r>
        <w:rPr>
          <w:rFonts w:ascii="Arial" w:cs="Arial" w:eastAsia="Arial" w:hAnsi="Arial"/>
          <w:sz w:val="15"/>
          <w:szCs w:val="15"/>
          <w:i w:val="1"/>
          <w:iCs w:val="1"/>
          <w:color w:val="auto"/>
        </w:rPr>
        <w:t>and Backup Withholding</w:t>
      </w:r>
      <w:r>
        <w:rPr>
          <w:rFonts w:ascii="Arial" w:cs="Arial" w:eastAsia="Arial" w:hAnsi="Arial"/>
          <w:sz w:val="15"/>
          <w:szCs w:val="15"/>
          <w:color w:val="auto"/>
        </w:rPr>
        <w:t>” and “—</w:t>
      </w:r>
      <w:r>
        <w:rPr>
          <w:rFonts w:ascii="Arial" w:cs="Arial" w:eastAsia="Arial" w:hAnsi="Arial"/>
          <w:sz w:val="15"/>
          <w:szCs w:val="15"/>
          <w:i w:val="1"/>
          <w:iCs w:val="1"/>
          <w:color w:val="auto"/>
        </w:rPr>
        <w:t>FATCA</w:t>
      </w:r>
      <w:r>
        <w:rPr>
          <w:rFonts w:ascii="Arial" w:cs="Arial" w:eastAsia="Arial" w:hAnsi="Arial"/>
          <w:sz w:val="15"/>
          <w:szCs w:val="15"/>
          <w:color w:val="auto"/>
        </w:rPr>
        <w:t>,” you generally will not be subject to U.S. federal income or</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tax in respect of any gain on a sale, exchange or other taxable disposition of our common stock unless:</w:t>
      </w:r>
    </w:p>
    <w:p>
      <w:pPr>
        <w:spacing w:after="0" w:line="69" w:lineRule="exact"/>
        <w:rPr>
          <w:sz w:val="20"/>
          <w:szCs w:val="20"/>
          <w:color w:val="auto"/>
        </w:rPr>
      </w:pPr>
    </w:p>
    <w:p>
      <w:pPr>
        <w:ind w:left="1600" w:right="1299" w:hanging="143"/>
        <w:spacing w:after="0" w:line="264"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gain is U.S. trade or business income, in which case, such gain will be taxed as described in “— U.S. Trade or Business Income” below;</w:t>
      </w:r>
    </w:p>
    <w:p>
      <w:pPr>
        <w:spacing w:after="0" w:line="70" w:lineRule="exact"/>
        <w:rPr>
          <w:rFonts w:ascii="Arial" w:cs="Arial" w:eastAsia="Arial" w:hAnsi="Arial"/>
          <w:sz w:val="15"/>
          <w:szCs w:val="15"/>
          <w:color w:val="auto"/>
        </w:rPr>
      </w:pPr>
    </w:p>
    <w:p>
      <w:pPr>
        <w:ind w:left="1600" w:right="1219" w:hanging="143"/>
        <w:spacing w:after="0" w:line="249"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(a “USRPHC”) under</w:t>
      </w:r>
    </w:p>
    <w:p>
      <w:pPr>
        <w:spacing w:after="0" w:line="102" w:lineRule="exact"/>
        <w:rPr>
          <w:rFonts w:ascii="Arial" w:cs="Arial" w:eastAsia="Arial" w:hAnsi="Arial"/>
          <w:sz w:val="15"/>
          <w:szCs w:val="15"/>
          <w:color w:val="auto"/>
        </w:rPr>
      </w:pPr>
    </w:p>
    <w:p>
      <w:pPr>
        <w:ind w:left="1600" w:right="1319" w:hanging="143"/>
        <w:spacing w:after="0" w:line="274" w:lineRule="auto"/>
        <w:tabs>
          <w:tab w:leader="none" w:pos="1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4"/>
          <w:szCs w:val="14"/>
          <w:i w:val="1"/>
          <w:iCs w:val="1"/>
          <w:color w:val="auto"/>
        </w:rPr>
        <w:t>U.S. Trade or Business Income</w:t>
      </w:r>
      <w:r>
        <w:rPr>
          <w:rFonts w:ascii="Arial" w:cs="Arial" w:eastAsia="Arial" w:hAnsi="Arial"/>
          <w:sz w:val="14"/>
          <w:szCs w:val="14"/>
          <w:color w:val="auto"/>
        </w:rPr>
        <w:t>” below.</w:t>
      </w:r>
    </w:p>
    <w:p>
      <w:pPr>
        <w:spacing w:after="0" w:line="7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 Trade or Business Income</w:t>
      </w:r>
    </w:p>
    <w:p>
      <w:pPr>
        <w:spacing w:after="0" w:line="117"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4"/>
          <w:szCs w:val="14"/>
          <w:i w:val="1"/>
          <w:iCs w:val="1"/>
          <w:color w:val="auto"/>
        </w:rPr>
        <w:t>Sale, Exchange or Other Taxable Disposition of Common Stock</w:t>
      </w:r>
      <w:r>
        <w:rPr>
          <w:rFonts w:ascii="Arial" w:cs="Arial" w:eastAsia="Arial" w:hAnsi="Arial"/>
          <w:sz w:val="14"/>
          <w:szCs w:val="14"/>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8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FATCA</w:t>
      </w:r>
    </w:p>
    <w:p>
      <w:pPr>
        <w:spacing w:after="0" w:line="128"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96" w:lineRule="exact"/>
        <w:rPr>
          <w:sz w:val="20"/>
          <w:szCs w:val="20"/>
          <w:color w:val="auto"/>
        </w:rPr>
      </w:pPr>
    </w:p>
    <w:p>
      <w:pPr>
        <w:jc w:val="both"/>
        <w:ind w:left="1160" w:right="1599" w:firstLine="293"/>
        <w:spacing w:after="0" w:line="287" w:lineRule="auto"/>
        <w:rPr>
          <w:sz w:val="20"/>
          <w:szCs w:val="20"/>
          <w:color w:val="auto"/>
        </w:rPr>
      </w:pPr>
      <w:r>
        <w:rPr>
          <w:rFonts w:ascii="Arial" w:cs="Arial" w:eastAsia="Arial" w:hAnsi="Arial"/>
          <w:sz w:val="13"/>
          <w:szCs w:val="13"/>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w:t>
      </w:r>
    </w:p>
    <w:p>
      <w:pPr>
        <w:spacing w:after="0" w:line="2" w:lineRule="exact"/>
        <w:rPr>
          <w:sz w:val="20"/>
          <w:szCs w:val="20"/>
          <w:color w:val="auto"/>
        </w:rPr>
      </w:pPr>
    </w:p>
    <w:p>
      <w:pPr>
        <w:ind w:left="1160" w:right="1199"/>
        <w:spacing w:after="0" w:line="273" w:lineRule="auto"/>
        <w:rPr>
          <w:sz w:val="20"/>
          <w:szCs w:val="20"/>
          <w:color w:val="auto"/>
        </w:rPr>
      </w:pPr>
      <w:r>
        <w:rPr>
          <w:rFonts w:ascii="Arial" w:cs="Arial" w:eastAsia="Arial" w:hAnsi="Arial"/>
          <w:sz w:val="14"/>
          <w:szCs w:val="14"/>
          <w:color w:val="auto"/>
        </w:rPr>
        <w:t>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(CONFLICT OF INTEREST)</w:t>
      </w:r>
    </w:p>
    <w:p>
      <w:pPr>
        <w:spacing w:after="0" w:line="106"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the selling stockholder has agreed to sell to them, severally, the number of shares indicated below:</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w w:val="89"/>
              </w:rPr>
              <w:t>Number of</w:t>
            </w:r>
          </w:p>
        </w:tc>
      </w:tr>
      <w:tr>
        <w:trPr>
          <w:trHeight w:val="150"/>
        </w:trPr>
        <w:tc>
          <w:tcPr>
            <w:tcW w:w="60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600" w:type="dxa"/>
            <w:vAlign w:val="bottom"/>
          </w:tcPr>
          <w:p>
            <w:pPr>
              <w:jc w:val="right"/>
              <w:ind w:right="69"/>
              <w:spacing w:after="0"/>
              <w:rPr>
                <w:sz w:val="20"/>
                <w:szCs w:val="20"/>
                <w:color w:val="auto"/>
              </w:rPr>
            </w:pPr>
            <w:r>
              <w:rPr>
                <w:rFonts w:ascii="Arial" w:cs="Arial" w:eastAsia="Arial" w:hAnsi="Arial"/>
                <w:sz w:val="12"/>
                <w:szCs w:val="12"/>
                <w:b w:val="1"/>
                <w:bCs w:val="1"/>
                <w:color w:val="auto"/>
              </w:rPr>
              <w:t>Shares</w:t>
            </w: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Barclays Capital Inc.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2,546,907</w:t>
            </w:r>
          </w:p>
        </w:tc>
      </w:tr>
      <w:tr>
        <w:trPr>
          <w:trHeight w:val="209"/>
        </w:trPr>
        <w:tc>
          <w:tcPr>
            <w:tcW w:w="6080" w:type="dxa"/>
            <w:vAlign w:val="bottom"/>
            <w:gridSpan w:val="2"/>
          </w:tcPr>
          <w:p>
            <w:pPr>
              <w:spacing w:after="0"/>
              <w:rPr>
                <w:sz w:val="20"/>
                <w:szCs w:val="20"/>
                <w:color w:val="auto"/>
              </w:rPr>
            </w:pPr>
            <w:r>
              <w:rPr>
                <w:rFonts w:ascii="Arial" w:cs="Arial" w:eastAsia="Arial" w:hAnsi="Arial"/>
                <w:sz w:val="15"/>
                <w:szCs w:val="15"/>
                <w:color w:val="auto"/>
              </w:rPr>
              <w:t>Morgan Stanley &amp; Co. LLC</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2,097,453</w:t>
            </w:r>
          </w:p>
        </w:tc>
      </w:tr>
      <w:tr>
        <w:trPr>
          <w:trHeight w:val="209"/>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Securities Inc.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1,273,453</w:t>
            </w:r>
          </w:p>
        </w:tc>
      </w:tr>
      <w:tr>
        <w:trPr>
          <w:trHeight w:val="209"/>
        </w:trPr>
        <w:tc>
          <w:tcPr>
            <w:tcW w:w="6080" w:type="dxa"/>
            <w:vAlign w:val="bottom"/>
            <w:gridSpan w:val="2"/>
          </w:tcPr>
          <w:p>
            <w:pPr>
              <w:spacing w:after="0"/>
              <w:rPr>
                <w:sz w:val="20"/>
                <w:szCs w:val="20"/>
                <w:color w:val="auto"/>
              </w:rPr>
            </w:pPr>
            <w:r>
              <w:rPr>
                <w:rFonts w:ascii="Arial" w:cs="Arial" w:eastAsia="Arial" w:hAnsi="Arial"/>
                <w:sz w:val="15"/>
                <w:szCs w:val="15"/>
                <w:color w:val="auto"/>
              </w:rPr>
              <w:t>Goldman Sachs &amp; Co. LLC</w:t>
            </w:r>
          </w:p>
        </w:tc>
        <w:tc>
          <w:tcPr>
            <w:tcW w:w="600" w:type="dxa"/>
            <w:vAlign w:val="bottom"/>
          </w:tcPr>
          <w:p>
            <w:pPr>
              <w:jc w:val="right"/>
              <w:spacing w:after="0"/>
              <w:rPr>
                <w:sz w:val="20"/>
                <w:szCs w:val="20"/>
                <w:color w:val="auto"/>
              </w:rPr>
            </w:pPr>
            <w:r>
              <w:rPr>
                <w:rFonts w:ascii="Arial" w:cs="Arial" w:eastAsia="Arial" w:hAnsi="Arial"/>
                <w:sz w:val="15"/>
                <w:szCs w:val="15"/>
                <w:color w:val="auto"/>
              </w:rPr>
              <w:t>380,625</w:t>
            </w:r>
          </w:p>
        </w:tc>
      </w:tr>
      <w:tr>
        <w:trPr>
          <w:trHeight w:val="22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Nomura Securities International, Inc.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317,188</w:t>
            </w:r>
          </w:p>
        </w:tc>
      </w:tr>
      <w:tr>
        <w:trPr>
          <w:trHeight w:val="220"/>
        </w:trPr>
        <w:tc>
          <w:tcPr>
            <w:tcW w:w="6080" w:type="dxa"/>
            <w:vAlign w:val="bottom"/>
            <w:gridSpan w:val="2"/>
          </w:tcPr>
          <w:p>
            <w:pPr>
              <w:spacing w:after="0"/>
              <w:rPr>
                <w:sz w:val="20"/>
                <w:szCs w:val="20"/>
                <w:color w:val="auto"/>
              </w:rPr>
            </w:pPr>
            <w:r>
              <w:rPr>
                <w:rFonts w:ascii="Arial" w:cs="Arial" w:eastAsia="Arial" w:hAnsi="Arial"/>
                <w:sz w:val="15"/>
                <w:szCs w:val="15"/>
                <w:color w:val="auto"/>
              </w:rPr>
              <w:t>Apollo Global Securities, LLC</w:t>
            </w:r>
          </w:p>
        </w:tc>
        <w:tc>
          <w:tcPr>
            <w:tcW w:w="600" w:type="dxa"/>
            <w:vAlign w:val="bottom"/>
          </w:tcPr>
          <w:p>
            <w:pPr>
              <w:jc w:val="right"/>
              <w:spacing w:after="0"/>
              <w:rPr>
                <w:sz w:val="20"/>
                <w:szCs w:val="20"/>
                <w:color w:val="auto"/>
              </w:rPr>
            </w:pPr>
            <w:r>
              <w:rPr>
                <w:rFonts w:ascii="Arial" w:cs="Arial" w:eastAsia="Arial" w:hAnsi="Arial"/>
                <w:sz w:val="15"/>
                <w:szCs w:val="15"/>
                <w:color w:val="auto"/>
              </w:rPr>
              <w:t>444,063</w:t>
            </w:r>
          </w:p>
        </w:tc>
      </w:tr>
      <w:tr>
        <w:trPr>
          <w:trHeight w:val="22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AmeriVet Securities, Inc.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63,437</w:t>
            </w:r>
          </w:p>
        </w:tc>
      </w:tr>
      <w:tr>
        <w:trPr>
          <w:trHeight w:val="220"/>
        </w:trPr>
        <w:tc>
          <w:tcPr>
            <w:tcW w:w="6080" w:type="dxa"/>
            <w:vAlign w:val="bottom"/>
            <w:gridSpan w:val="2"/>
          </w:tcPr>
          <w:p>
            <w:pPr>
              <w:spacing w:after="0"/>
              <w:rPr>
                <w:sz w:val="20"/>
                <w:szCs w:val="20"/>
                <w:color w:val="auto"/>
              </w:rPr>
            </w:pPr>
            <w:r>
              <w:rPr>
                <w:rFonts w:ascii="Arial" w:cs="Arial" w:eastAsia="Arial" w:hAnsi="Arial"/>
                <w:sz w:val="15"/>
                <w:szCs w:val="15"/>
                <w:color w:val="auto"/>
              </w:rPr>
              <w:t>Siebert Williams Shank &amp; Co., LLC</w:t>
            </w:r>
          </w:p>
        </w:tc>
        <w:tc>
          <w:tcPr>
            <w:tcW w:w="600" w:type="dxa"/>
            <w:vAlign w:val="bottom"/>
          </w:tcPr>
          <w:p>
            <w:pPr>
              <w:jc w:val="right"/>
              <w:spacing w:after="0"/>
              <w:rPr>
                <w:sz w:val="20"/>
                <w:szCs w:val="20"/>
                <w:color w:val="auto"/>
              </w:rPr>
            </w:pPr>
            <w:r>
              <w:rPr>
                <w:rFonts w:ascii="Arial" w:cs="Arial" w:eastAsia="Arial" w:hAnsi="Arial"/>
                <w:sz w:val="15"/>
                <w:szCs w:val="15"/>
                <w:color w:val="auto"/>
              </w:rPr>
              <w:t>63,437</w:t>
            </w:r>
          </w:p>
        </w:tc>
      </w:tr>
      <w:tr>
        <w:trPr>
          <w:trHeight w:val="22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Tribal Capital Markets, LLC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63,437</w:t>
            </w:r>
          </w:p>
        </w:tc>
      </w:tr>
      <w:tr>
        <w:trPr>
          <w:trHeight w:val="220"/>
        </w:trPr>
        <w:tc>
          <w:tcPr>
            <w:tcW w:w="6080" w:type="dxa"/>
            <w:vAlign w:val="bottom"/>
            <w:gridSpan w:val="2"/>
          </w:tcPr>
          <w:p>
            <w:pPr>
              <w:ind w:left="160"/>
              <w:spacing w:after="0"/>
              <w:rPr>
                <w:sz w:val="20"/>
                <w:szCs w:val="20"/>
                <w:color w:val="auto"/>
              </w:rPr>
            </w:pPr>
            <w:r>
              <w:rPr>
                <w:rFonts w:ascii="Arial" w:cs="Arial" w:eastAsia="Arial" w:hAnsi="Arial"/>
                <w:sz w:val="15"/>
                <w:szCs w:val="15"/>
                <w:color w:val="auto"/>
              </w:rPr>
              <w:t>Total:</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7,250,000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-1373505</wp:posOffset>
            </wp:positionV>
            <wp:extent cx="11176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right="1299" w:firstLine="293"/>
        <w:spacing w:after="0" w:line="232"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91"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 and part to certain dealers at the public offering price less a concession not to exceed $0.8280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selling stockholder has granted to the underwriters an option, exercisable for 30 days from the date of this prospectus, to purchase up to 1,087,500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95"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color w:val="auto"/>
        </w:rPr>
        <w:t>We, the selling stockholder and the underwriters have agreed to indemnify each other against certain liabilities, including liabilities under the Securities Act.</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our common stock offered by them.</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Commissions and Discounts</w:t>
      </w:r>
    </w:p>
    <w:p>
      <w:pPr>
        <w:spacing w:after="0" w:line="117" w:lineRule="exact"/>
        <w:rPr>
          <w:sz w:val="20"/>
          <w:szCs w:val="20"/>
          <w:color w:val="auto"/>
        </w:rPr>
      </w:pPr>
    </w:p>
    <w:p>
      <w:pPr>
        <w:ind w:left="1160" w:right="1299" w:firstLine="293"/>
        <w:spacing w:after="0" w:line="323"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the selling stockholder. These amounts are shown assuming</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19"/>
        <w:spacing w:after="0" w:line="264" w:lineRule="auto"/>
        <w:rPr>
          <w:sz w:val="20"/>
          <w:szCs w:val="20"/>
          <w:color w:val="auto"/>
        </w:rPr>
      </w:pPr>
      <w:r>
        <w:rPr>
          <w:rFonts w:ascii="Arial" w:cs="Arial" w:eastAsia="Arial" w:hAnsi="Arial"/>
          <w:sz w:val="15"/>
          <w:szCs w:val="15"/>
          <w:color w:val="auto"/>
        </w:rPr>
        <w:t>both no exercise and full exercise of the underwriters’ option to purchase up to an additional 1,087,500 shares of common stock from the selling stockholder.</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8"/>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2"/>
              </w:rPr>
              <w:t>Per</w:t>
            </w:r>
          </w:p>
        </w:tc>
        <w:tc>
          <w:tcPr>
            <w:tcW w:w="10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No</w:t>
            </w:r>
          </w:p>
        </w:tc>
        <w:tc>
          <w:tcPr>
            <w:tcW w:w="10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2"/>
                <w:szCs w:val="12"/>
                <w:b w:val="1"/>
                <w:bCs w:val="1"/>
                <w:color w:val="auto"/>
              </w:rPr>
              <w:t>Full</w:t>
            </w:r>
          </w:p>
        </w:tc>
      </w:tr>
      <w:tr>
        <w:trPr>
          <w:trHeight w:val="150"/>
        </w:trPr>
        <w:tc>
          <w:tcPr>
            <w:tcW w:w="4260" w:type="dxa"/>
            <w:vAlign w:val="bottom"/>
          </w:tcPr>
          <w:p>
            <w:pPr>
              <w:spacing w:after="0"/>
              <w:rPr>
                <w:sz w:val="13"/>
                <w:szCs w:val="13"/>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Share</w:t>
            </w: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Exercise</w:t>
            </w:r>
          </w:p>
        </w:tc>
        <w:tc>
          <w:tcPr>
            <w:tcW w:w="100" w:type="dxa"/>
            <w:vAlign w:val="bottom"/>
          </w:tcPr>
          <w:p>
            <w:pPr>
              <w:spacing w:after="0"/>
              <w:rPr>
                <w:sz w:val="13"/>
                <w:szCs w:val="13"/>
                <w:color w:val="auto"/>
              </w:rPr>
            </w:pPr>
          </w:p>
        </w:tc>
        <w:tc>
          <w:tcPr>
            <w:tcW w:w="720" w:type="dxa"/>
            <w:vAlign w:val="bottom"/>
          </w:tcPr>
          <w:p>
            <w:pPr>
              <w:jc w:val="right"/>
              <w:ind w:right="133"/>
              <w:spacing w:after="0"/>
              <w:rPr>
                <w:sz w:val="20"/>
                <w:szCs w:val="20"/>
                <w:color w:val="auto"/>
              </w:rPr>
            </w:pPr>
            <w:r>
              <w:rPr>
                <w:rFonts w:ascii="Arial" w:cs="Arial" w:eastAsia="Arial" w:hAnsi="Arial"/>
                <w:sz w:val="12"/>
                <w:szCs w:val="12"/>
                <w:b w:val="1"/>
                <w:bCs w:val="1"/>
                <w:color w:val="auto"/>
              </w:rPr>
              <w:t>Exercise</w:t>
            </w: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0"/>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9"/>
              </w:rPr>
              <w:t>34.50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250,125,000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287,643,750</w:t>
            </w: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w w:val="97"/>
              </w:rPr>
              <w:t>Underwriting discounts and commissions to be paid by the selling</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4260" w:type="dxa"/>
            <w:vAlign w:val="bottom"/>
          </w:tcPr>
          <w:p>
            <w:pPr>
              <w:ind w:left="160"/>
              <w:spacing w:after="0"/>
              <w:rPr>
                <w:sz w:val="20"/>
                <w:szCs w:val="20"/>
                <w:color w:val="auto"/>
              </w:rPr>
            </w:pPr>
            <w:r>
              <w:rPr>
                <w:rFonts w:ascii="Arial" w:cs="Arial" w:eastAsia="Arial" w:hAnsi="Arial"/>
                <w:sz w:val="15"/>
                <w:szCs w:val="15"/>
                <w:color w:val="auto"/>
              </w:rPr>
              <w:t>stockholder:</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1.38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10,005,000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11,505,750</w:t>
            </w:r>
          </w:p>
        </w:tc>
      </w:tr>
      <w:tr>
        <w:trPr>
          <w:trHeight w:val="214"/>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9"/>
              </w:rPr>
              <w:t>33.12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240,120,000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276,138,000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-515620</wp:posOffset>
            </wp:positionV>
            <wp:extent cx="11176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-515620</wp:posOffset>
            </wp:positionV>
            <wp:extent cx="11176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-515620</wp:posOffset>
            </wp:positionV>
            <wp:extent cx="4889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$0.5 million.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trading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jc w:val="both"/>
        <w:ind w:left="1160" w:right="1339" w:firstLine="293"/>
        <w:spacing w:after="0" w:line="249" w:lineRule="auto"/>
        <w:rPr>
          <w:sz w:val="20"/>
          <w:szCs w:val="20"/>
          <w:color w:val="auto"/>
        </w:rPr>
      </w:pPr>
      <w:r>
        <w:rPr>
          <w:rFonts w:ascii="Arial" w:cs="Arial" w:eastAsia="Arial" w:hAnsi="Arial"/>
          <w:sz w:val="15"/>
          <w:szCs w:val="15"/>
          <w:color w:val="auto"/>
        </w:rPr>
        <w:t>In connection with our initial public offering, we, the Apollo Stockholder and all of our directors and executive officers and Amazon agreed that, without the prior written consent of Barclays Capital Inc. and Morgan Stanley &amp; Co. LLC on behalf of the underwriters, we and they will not, during the period ending 180 days after the date of the final prospectus (the “IPO Prospectus”) related to our initial public offering (the “restricted period”):</w:t>
      </w:r>
    </w:p>
    <w:p>
      <w:pPr>
        <w:spacing w:after="0" w:line="72" w:lineRule="exact"/>
        <w:rPr>
          <w:sz w:val="20"/>
          <w:szCs w:val="20"/>
          <w:color w:val="auto"/>
        </w:rPr>
      </w:pPr>
    </w:p>
    <w:p>
      <w:pPr>
        <w:ind w:left="1600" w:right="1319" w:hanging="143"/>
        <w:spacing w:after="0" w:line="251"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file any registration statement with the SEC relating to the offering of any shares of common stock or any securities convertible into or exercisable or exchangeable for common stock; or</w:t>
      </w:r>
    </w:p>
    <w:p>
      <w:pPr>
        <w:spacing w:after="0" w:line="59"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w:t>
      </w:r>
    </w:p>
    <w:p>
      <w:pPr>
        <w:spacing w:after="0" w:line="93"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or publicly disclose the intention to do any of the foregoing, whether any such transaction described above is to be settled by delivery of common stock or such other securities, in cash or otherwise. Each of PAR Capital and the Blackrock Entities also agreed not to sell any common stock or securities convertible into or exercisable or exchangeable for shares of common stock for a period of 180 days from the date of the IPO Prospectus, subject to certain exceptions.</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lock-up agreement applicable to the Company is subject to certain specified exceptions, including:</w:t>
      </w:r>
    </w:p>
    <w:p>
      <w:pPr>
        <w:spacing w:after="0" w:line="25" w:lineRule="exact"/>
        <w:rPr>
          <w:sz w:val="20"/>
          <w:szCs w:val="20"/>
          <w:color w:val="auto"/>
        </w:rPr>
      </w:pPr>
    </w:p>
    <w:p>
      <w:pPr>
        <w:ind w:left="1160" w:right="1199" w:firstLine="4"/>
        <w:spacing w:after="0" w:line="244" w:lineRule="auto"/>
        <w:tabs>
          <w:tab w:leader="none" w:pos="1347"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issuance of common stock, options to purchase shares of common stock, restricted stock units and other equity incentive compensation pursuant to equity plans or similar plans described in the IPO Prospectus,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the IPO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 (iv) during the restricted period shall not exceed 5% of the total number of shares of common</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399"/>
        <w:spacing w:after="0" w:line="254" w:lineRule="auto"/>
        <w:rPr>
          <w:sz w:val="20"/>
          <w:szCs w:val="20"/>
          <w:color w:val="auto"/>
        </w:rPr>
      </w:pPr>
      <w:r>
        <w:rPr>
          <w:rFonts w:ascii="Arial" w:cs="Arial" w:eastAsia="Arial" w:hAnsi="Arial"/>
          <w:sz w:val="15"/>
          <w:szCs w:val="15"/>
          <w:color w:val="auto"/>
        </w:rPr>
        <w:t>stock issued and outstanding on the closing date of the initial public offering provided that, in the case of any issuance pursuant to (v), the transferee or distributee agrees in writing to be bound by the lock-up restrictions.</w:t>
      </w:r>
    </w:p>
    <w:p>
      <w:pPr>
        <w:spacing w:after="0" w:line="90" w:lineRule="exact"/>
        <w:rPr>
          <w:sz w:val="20"/>
          <w:szCs w:val="20"/>
          <w:color w:val="auto"/>
        </w:rPr>
      </w:pPr>
    </w:p>
    <w:p>
      <w:pPr>
        <w:ind w:left="1160" w:right="1339" w:firstLine="293"/>
        <w:spacing w:after="0" w:line="267" w:lineRule="auto"/>
        <w:rPr>
          <w:sz w:val="20"/>
          <w:szCs w:val="20"/>
          <w:color w:val="auto"/>
        </w:rPr>
      </w:pPr>
      <w:r>
        <w:rPr>
          <w:rFonts w:ascii="Arial" w:cs="Arial" w:eastAsia="Arial" w:hAnsi="Arial"/>
          <w:sz w:val="14"/>
          <w:szCs w:val="14"/>
          <w:color w:val="auto"/>
        </w:rPr>
        <w:t>The lock-up agreements applicable to the Apollo Stockholder, all of our directors and executive officers and Amazon are subject to specified exceptions, including: (i) bona fide gifts; (ii) transfers to any trust for the direct or indirect benefit of the lock-up party or the immediate family of the lockup party;</w:t>
      </w:r>
    </w:p>
    <w:p>
      <w:pPr>
        <w:spacing w:after="0" w:line="1" w:lineRule="exact"/>
        <w:rPr>
          <w:sz w:val="20"/>
          <w:szCs w:val="20"/>
          <w:color w:val="auto"/>
        </w:rPr>
      </w:pPr>
    </w:p>
    <w:p>
      <w:pPr>
        <w:ind w:left="1160" w:right="1239" w:firstLine="4"/>
        <w:spacing w:after="0" w:line="262" w:lineRule="auto"/>
        <w:tabs>
          <w:tab w:leader="none" w:pos="143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the IPO Prospectus, and the receipt by the lock-up signatory from the Company of shares of common stock upon such exercise; (C) transfers to the Company upon the “net” or “cashless” exercise of stock options or other equity awards granted pursuant to equity incentive plans;</w:t>
      </w:r>
    </w:p>
    <w:p>
      <w:pPr>
        <w:ind w:left="1160" w:right="1199"/>
        <w:spacing w:after="0" w:line="262" w:lineRule="auto"/>
        <w:rPr>
          <w:rFonts w:ascii="Arial" w:cs="Arial" w:eastAsia="Arial" w:hAnsi="Arial"/>
          <w:sz w:val="14"/>
          <w:szCs w:val="14"/>
          <w:color w:val="auto"/>
        </w:rPr>
      </w:pPr>
      <w:r>
        <w:rPr>
          <w:rFonts w:ascii="Arial" w:cs="Arial" w:eastAsia="Arial" w:hAnsi="Arial"/>
          <w:sz w:val="14"/>
          <w:szCs w:val="14"/>
          <w:color w:val="auto"/>
        </w:rPr>
        <w:t>(D) transfers for the primary purpose of satisfying any tax or other governmental withholding obligation with respect to any award of equity-based compensation granted pursuant to our equity incentive plans described in the IPO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the IPO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w:t>
      </w:r>
    </w:p>
    <w:p>
      <w:pPr>
        <w:ind w:left="1160" w:right="1239" w:firstLine="4"/>
        <w:spacing w:after="0" w:line="249" w:lineRule="auto"/>
        <w:tabs>
          <w:tab w:leader="none" w:pos="1347"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through (v), (vii), (xi) and (xiv), the transferee or distributee agrees in writing to be bound by the lockup restrictions.</w:t>
      </w:r>
    </w:p>
    <w:p>
      <w:pPr>
        <w:spacing w:after="0" w:line="10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Barclays Capital Inc. and Morgan Stanley &amp; Co. LLC, in their sole discretion, may release our common stock and other securities subject to the lock-up agreements described above in whole or in part at any time, subject to applicable notice requirements. We, the Apollo Stockholder, our directors and executive officers and Amazon will not enter into any lock-up or related agreements in connection with the offering to which this prospectus relates; however, except as described below, the lock-up agreements described in the IPO Prospectus will remain in full force and effect.</w:t>
      </w:r>
    </w:p>
    <w:p>
      <w:pPr>
        <w:spacing w:after="0" w:line="106"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In connection with this offering, Barclays Capital Inc. and Morgan Stanley &amp; Co. LLC have agreed to release certain restrictions under the lock-up agreement that was executed in connection with our initial public offering with respect to up to 8,337,500 shares of our common stock (including the 1,087,500 shares of the common stock pursuant to the underwriters’ option to purchase additional shares) in this offering that are held by the selling stockholder, provided that the release of shares of our common stock held by the selling stockholder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Price Stabilization, Short Positions and Penalty Bids</w:t>
      </w:r>
    </w:p>
    <w:p>
      <w:pPr>
        <w:spacing w:after="0" w:line="11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3"/>
          <w:szCs w:val="13"/>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Electronic Distribution</w:t>
      </w:r>
    </w:p>
    <w:p>
      <w:pPr>
        <w:spacing w:after="0" w:line="128"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Relationships</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are lenders and joint lead arrangers under the Credit Facilities.</w:t>
      </w:r>
    </w:p>
    <w:p>
      <w:pPr>
        <w:spacing w:after="0" w:line="84"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Conflict of Interest</w:t>
      </w:r>
    </w:p>
    <w:p>
      <w:pPr>
        <w:spacing w:after="0" w:line="128"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spacing w:after="0" w:line="264" w:lineRule="auto"/>
        <w:rPr>
          <w:sz w:val="20"/>
          <w:szCs w:val="20"/>
          <w:color w:val="auto"/>
        </w:rPr>
      </w:pPr>
      <w:r>
        <w:rPr>
          <w:rFonts w:ascii="Arial" w:cs="Arial" w:eastAsia="Arial" w:hAnsi="Arial"/>
          <w:sz w:val="14"/>
          <w:szCs w:val="14"/>
          <w:color w:val="auto"/>
        </w:rPr>
        <w:t>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1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24"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91" w:lineRule="exact"/>
        <w:rPr>
          <w:sz w:val="20"/>
          <w:szCs w:val="20"/>
          <w:color w:val="auto"/>
        </w:rPr>
      </w:pPr>
    </w:p>
    <w:p>
      <w:pPr>
        <w:ind w:left="1760" w:right="1639" w:hanging="303"/>
        <w:spacing w:after="0" w:line="264" w:lineRule="auto"/>
        <w:tabs>
          <w:tab w:leader="none" w:pos="1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81"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00" w:lineRule="exact"/>
        <w:rPr>
          <w:rFonts w:ascii="Arial" w:cs="Arial" w:eastAsia="Arial" w:hAnsi="Arial"/>
          <w:sz w:val="15"/>
          <w:szCs w:val="15"/>
          <w:color w:val="auto"/>
        </w:rPr>
      </w:pPr>
    </w:p>
    <w:p>
      <w:pPr>
        <w:ind w:left="1760" w:hanging="303"/>
        <w:spacing w:after="0"/>
        <w:tabs>
          <w:tab w:leader="none" w:pos="1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13" w:lineRule="exact"/>
        <w:rPr>
          <w:sz w:val="20"/>
          <w:szCs w:val="20"/>
          <w:color w:val="auto"/>
        </w:rPr>
      </w:pPr>
    </w:p>
    <w:p>
      <w:pPr>
        <w:jc w:val="both"/>
        <w:ind w:left="1160" w:right="1599"/>
        <w:spacing w:after="0" w:line="239" w:lineRule="auto"/>
        <w:rPr>
          <w:sz w:val="20"/>
          <w:szCs w:val="20"/>
          <w:color w:val="auto"/>
        </w:rPr>
      </w:pPr>
      <w:r>
        <w:rPr>
          <w:rFonts w:ascii="Arial" w:cs="Arial" w:eastAsia="Arial" w:hAnsi="Arial"/>
          <w:sz w:val="15"/>
          <w:szCs w:val="15"/>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00" w:lineRule="exact"/>
        <w:rPr>
          <w:sz w:val="20"/>
          <w:szCs w:val="20"/>
          <w:color w:val="auto"/>
        </w:rPr>
      </w:pPr>
    </w:p>
    <w:p>
      <w:pPr>
        <w:ind w:left="1160" w:right="1419" w:firstLine="293"/>
        <w:spacing w:after="0" w:line="302"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72"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91"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United Kingdom</w:t>
      </w:r>
    </w:p>
    <w:p>
      <w:pPr>
        <w:spacing w:after="0" w:line="124"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8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3" w:lineRule="exact"/>
        <w:rPr>
          <w:sz w:val="20"/>
          <w:szCs w:val="20"/>
          <w:color w:val="auto"/>
        </w:rPr>
      </w:pPr>
    </w:p>
    <w:p>
      <w:pPr>
        <w:ind w:left="1760" w:right="1379" w:hanging="303"/>
        <w:spacing w:after="0" w:line="264" w:lineRule="auto"/>
        <w:tabs>
          <w:tab w:leader="none" w:pos="1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03"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1" w:lineRule="exact"/>
        <w:rPr>
          <w:rFonts w:ascii="Arial" w:cs="Arial" w:eastAsia="Arial" w:hAnsi="Arial"/>
          <w:sz w:val="15"/>
          <w:szCs w:val="15"/>
          <w:color w:val="auto"/>
        </w:rPr>
      </w:pPr>
    </w:p>
    <w:p>
      <w:pPr>
        <w:ind w:left="1760" w:hanging="303"/>
        <w:spacing w:after="0"/>
        <w:tabs>
          <w:tab w:leader="none" w:pos="1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24" w:lineRule="exact"/>
        <w:rPr>
          <w:sz w:val="20"/>
          <w:szCs w:val="20"/>
          <w:color w:val="auto"/>
        </w:rPr>
      </w:pPr>
    </w:p>
    <w:p>
      <w:pPr>
        <w:ind w:left="1160" w:right="1239"/>
        <w:spacing w:after="0" w:line="247" w:lineRule="auto"/>
        <w:rPr>
          <w:sz w:val="20"/>
          <w:szCs w:val="20"/>
          <w:color w:val="auto"/>
        </w:rPr>
      </w:pPr>
      <w:r>
        <w:rPr>
          <w:rFonts w:ascii="Arial" w:cs="Arial" w:eastAsia="Arial" w:hAnsi="Arial"/>
          <w:sz w:val="15"/>
          <w:szCs w:val="15"/>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6"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Canada</w:t>
      </w:r>
    </w:p>
    <w:p>
      <w:pPr>
        <w:spacing w:after="0" w:line="124"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Exemptions </w:t>
      </w:r>
      <w:r>
        <w:rPr>
          <w:rFonts w:ascii="Arial" w:cs="Arial" w:eastAsia="Arial" w:hAnsi="Arial"/>
          <w:sz w:val="13"/>
          <w:szCs w:val="13"/>
          <w:color w:val="auto"/>
        </w:rPr>
        <w:t>or subsection 73.3(1) of the</w:t>
      </w:r>
      <w:r>
        <w:rPr>
          <w:rFonts w:ascii="Arial" w:cs="Arial" w:eastAsia="Arial" w:hAnsi="Arial"/>
          <w:sz w:val="13"/>
          <w:szCs w:val="13"/>
          <w:i w:val="1"/>
          <w:iCs w:val="1"/>
          <w:color w:val="auto"/>
        </w:rPr>
        <w:t xml:space="preserve"> Securities Act </w:t>
      </w:r>
      <w:r>
        <w:rPr>
          <w:rFonts w:ascii="Arial" w:cs="Arial" w:eastAsia="Arial" w:hAnsi="Arial"/>
          <w:sz w:val="13"/>
          <w:szCs w:val="13"/>
          <w:color w:val="auto"/>
        </w:rPr>
        <w:t>(Ontario), and are permitted clients, as defined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National Instrument 31-103 </w:t>
      </w:r>
      <w:r>
        <w:rPr>
          <w:rFonts w:ascii="Arial" w:cs="Arial" w:eastAsia="Arial" w:hAnsi="Arial"/>
          <w:sz w:val="13"/>
          <w:szCs w:val="13"/>
          <w:i w:val="1"/>
          <w:iCs w:val="1"/>
          <w:color w:val="auto"/>
        </w:rPr>
        <w:t>Registration Requirements, Exemptions and Ongoing Registrant Obligations</w:t>
      </w:r>
      <w:r>
        <w:rPr>
          <w:rFonts w:ascii="Arial" w:cs="Arial" w:eastAsia="Arial" w:hAnsi="Arial"/>
          <w:sz w:val="13"/>
          <w:szCs w:val="13"/>
          <w:color w:val="auto"/>
        </w:rPr>
        <w:t>. Any resale of the shares of Class A common stock must be made in accordance with an exemption from, or in a transaction not subject to, the prospectus requirements of applicable securities laws.</w:t>
      </w:r>
    </w:p>
    <w:p>
      <w:pPr>
        <w:spacing w:after="0" w:line="77"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2" w:lineRule="exact"/>
        <w:rPr>
          <w:sz w:val="20"/>
          <w:szCs w:val="20"/>
          <w:color w:val="auto"/>
        </w:rPr>
      </w:pPr>
    </w:p>
    <w:p>
      <w:pPr>
        <w:ind w:left="1160" w:right="1639" w:firstLine="293"/>
        <w:spacing w:after="0" w:line="254" w:lineRule="auto"/>
        <w:rPr>
          <w:sz w:val="20"/>
          <w:szCs w:val="20"/>
          <w:color w:val="auto"/>
        </w:rPr>
      </w:pPr>
      <w:r>
        <w:rPr>
          <w:rFonts w:ascii="Arial" w:cs="Arial" w:eastAsia="Arial" w:hAnsi="Arial"/>
          <w:sz w:val="15"/>
          <w:szCs w:val="15"/>
          <w:color w:val="auto"/>
        </w:rPr>
        <w:t xml:space="preserve">Pursuant to section 3A.3 of National Instrument 33-105 </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(NI 33-105), the underwriters are not required to comply with the disclosure requirements of NI 33-105 regarding underwriter conflicts of interest in connection with this offering.</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Hong Kong</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Shares of our Class A common stock may not be offered or sold by means of any document other than</w:t>
      </w:r>
    </w:p>
    <w:p>
      <w:pPr>
        <w:spacing w:after="0" w:line="16" w:lineRule="exact"/>
        <w:rPr>
          <w:sz w:val="20"/>
          <w:szCs w:val="20"/>
          <w:color w:val="auto"/>
        </w:rPr>
      </w:pPr>
    </w:p>
    <w:p>
      <w:pPr>
        <w:ind w:left="1160" w:right="1219" w:firstLine="4"/>
        <w:spacing w:after="0" w:line="230" w:lineRule="auto"/>
        <w:tabs>
          <w:tab w:leader="none" w:pos="1347"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Singapore</w:t>
      </w:r>
    </w:p>
    <w:p>
      <w:pPr>
        <w:spacing w:after="0" w:line="124"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95"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Where shares of our common stock are subscribed or purchased under Section 275 by a relevant person which is:</w:t>
      </w:r>
    </w:p>
    <w:p>
      <w:pPr>
        <w:spacing w:after="0" w:line="83" w:lineRule="exact"/>
        <w:rPr>
          <w:sz w:val="20"/>
          <w:szCs w:val="20"/>
          <w:color w:val="auto"/>
        </w:rPr>
      </w:pPr>
    </w:p>
    <w:p>
      <w:pPr>
        <w:ind w:left="1760" w:right="1459" w:hanging="303"/>
        <w:spacing w:after="0" w:line="254" w:lineRule="auto"/>
        <w:tabs>
          <w:tab w:leader="none" w:pos="17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5"/>
          <w:szCs w:val="15"/>
          <w:color w:val="auto"/>
        </w:rPr>
      </w:pPr>
    </w:p>
    <w:p>
      <w:pPr>
        <w:ind w:left="1760" w:right="1299" w:hanging="303"/>
        <w:spacing w:after="0" w:line="264" w:lineRule="auto"/>
        <w:tabs>
          <w:tab w:leader="none" w:pos="17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93" w:lineRule="exact"/>
        <w:rPr>
          <w:sz w:val="20"/>
          <w:szCs w:val="20"/>
          <w:color w:val="auto"/>
        </w:rPr>
      </w:pPr>
    </w:p>
    <w:p>
      <w:pPr>
        <w:ind w:left="1160" w:right="1339"/>
        <w:spacing w:after="0" w:line="236" w:lineRule="auto"/>
        <w:rPr>
          <w:sz w:val="20"/>
          <w:szCs w:val="20"/>
          <w:color w:val="auto"/>
        </w:rPr>
      </w:pPr>
      <w:r>
        <w:rPr>
          <w:rFonts w:ascii="Arial" w:cs="Arial" w:eastAsia="Arial" w:hAnsi="Arial"/>
          <w:sz w:val="15"/>
          <w:szCs w:val="15"/>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1" w:lineRule="exact"/>
        <w:rPr>
          <w:sz w:val="20"/>
          <w:szCs w:val="20"/>
          <w:color w:val="auto"/>
        </w:rPr>
      </w:pPr>
    </w:p>
    <w:p>
      <w:pPr>
        <w:ind w:left="1760" w:right="1339" w:hanging="303"/>
        <w:spacing w:after="0" w:line="264" w:lineRule="auto"/>
        <w:tabs>
          <w:tab w:leader="none" w:pos="17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pursuant to Section 275(1A), and in accordance with the conditions, specified in Section 275 of the SFA;</w:t>
      </w:r>
    </w:p>
    <w:p>
      <w:pPr>
        <w:spacing w:after="0" w:line="92" w:lineRule="exact"/>
        <w:rPr>
          <w:rFonts w:ascii="Arial" w:cs="Arial" w:eastAsia="Arial" w:hAnsi="Arial"/>
          <w:sz w:val="15"/>
          <w:szCs w:val="15"/>
          <w:color w:val="auto"/>
        </w:rPr>
      </w:pPr>
    </w:p>
    <w:p>
      <w:pPr>
        <w:ind w:left="1760" w:hanging="303"/>
        <w:spacing w:after="0"/>
        <w:tabs>
          <w:tab w:leader="none" w:pos="17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where no consideration is given for the transfer; or</w:t>
      </w:r>
    </w:p>
    <w:p>
      <w:pPr>
        <w:spacing w:after="0" w:line="113" w:lineRule="exact"/>
        <w:rPr>
          <w:rFonts w:ascii="Arial" w:cs="Arial" w:eastAsia="Arial" w:hAnsi="Arial"/>
          <w:sz w:val="15"/>
          <w:szCs w:val="15"/>
          <w:color w:val="auto"/>
        </w:rPr>
      </w:pPr>
    </w:p>
    <w:p>
      <w:pPr>
        <w:ind w:left="1760" w:hanging="303"/>
        <w:spacing w:after="0"/>
        <w:tabs>
          <w:tab w:leader="none" w:pos="17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24"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Japan</w:t>
      </w:r>
    </w:p>
    <w:p>
      <w:pPr>
        <w:spacing w:after="0" w:line="124"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4"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Qualified Institutional Investors (“QII”)</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Non-QII Investors</w:t>
      </w:r>
    </w:p>
    <w:p>
      <w:pPr>
        <w:spacing w:after="0" w:line="124"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28"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 xml:space="preserve">The consolidated financial statements of Sun Country Airlines Holdings, Inc. as of December 31, 2020 and 2019, for the years ended December 31, 2020 and 2019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Company’s change in its method of accounting for revenue recognition and leases as of January 1, 2019 due to the adoption of Accounting Standards Update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Accounting Standards Update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28"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83" w:lineRule="exact"/>
        <w:rPr>
          <w:sz w:val="20"/>
          <w:szCs w:val="20"/>
          <w:color w:val="auto"/>
        </w:rPr>
      </w:pPr>
    </w:p>
    <w:p>
      <w:pPr>
        <w:ind w:left="1160" w:right="1379" w:firstLine="293"/>
        <w:spacing w:after="0" w:line="341" w:lineRule="auto"/>
        <w:rPr>
          <w:sz w:val="20"/>
          <w:szCs w:val="20"/>
          <w:color w:val="auto"/>
        </w:rPr>
      </w:pPr>
      <w:r>
        <w:rPr>
          <w:rFonts w:ascii="Arial" w:cs="Arial" w:eastAsia="Arial" w:hAnsi="Arial"/>
          <w:sz w:val="13"/>
          <w:szCs w:val="13"/>
          <w:color w:val="auto"/>
        </w:rPr>
        <w:t>The SEC maintains an Internet site that contains reports, proxy and information statements and other information regarding registrants that file electronically with the SEC. The SEC’s website address is</w:t>
      </w:r>
    </w:p>
    <w:p>
      <w:pPr>
        <w:spacing w:after="0" w:line="4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We are subject to the reporting and information requirements of the Exchange Act and, as a result, are required to file annual, quarterly and current reports, proxy statements and other information with the SEC. We make these filings available on our website (www.ir.suncountry.com).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b w:val="1"/>
                <w:bCs w:val="1"/>
                <w:color w:val="auto"/>
                <w:w w:val="82"/>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0"/>
        </w:trPr>
        <w:tc>
          <w:tcPr>
            <w:tcW w:w="3600" w:type="dxa"/>
            <w:vAlign w:val="bottom"/>
            <w:tcBorders>
              <w:bottom w:val="single" w:sz="8" w:color="0000EE"/>
              <w:right w:val="single" w:sz="8" w:color="CCEEFF"/>
            </w:tcBorders>
            <w:gridSpan w:val="8"/>
            <w:shd w:val="clear" w:color="auto" w:fill="CCEEFF"/>
          </w:tcPr>
          <w:p>
            <w:pPr>
              <w:spacing w:after="0" w:line="167" w:lineRule="exact"/>
              <w:rPr>
                <w:rFonts w:ascii="Arial" w:cs="Arial" w:eastAsia="Arial" w:hAnsi="Arial"/>
                <w:sz w:val="15"/>
                <w:szCs w:val="15"/>
                <w:color w:val="0000EE"/>
                <w:w w:val="92"/>
              </w:rPr>
            </w:pPr>
            <w:hyperlink w:anchor="page191">
              <w:r>
                <w:rPr>
                  <w:rFonts w:ascii="Arial" w:cs="Arial" w:eastAsia="Arial" w:hAnsi="Arial"/>
                  <w:sz w:val="15"/>
                  <w:szCs w:val="15"/>
                  <w:color w:val="0000EE"/>
                  <w:w w:val="92"/>
                </w:rPr>
                <w:t>Report of Independent Registered Public Accounting Firm</w:t>
              </w:r>
            </w:hyperlink>
          </w:p>
        </w:tc>
        <w:tc>
          <w:tcPr>
            <w:tcW w:w="2780" w:type="dxa"/>
            <w:vAlign w:val="bottom"/>
            <w:tcBorders>
              <w:bottom w:val="single" w:sz="8" w:color="CCEEFF"/>
              <w:right w:val="single" w:sz="8" w:color="CCEEFF"/>
            </w:tcBorders>
            <w:gridSpan w:val="11"/>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67" w:lineRule="exact"/>
              <w:rPr>
                <w:rFonts w:ascii="Arial" w:cs="Arial" w:eastAsia="Arial" w:hAnsi="Arial"/>
                <w:sz w:val="15"/>
                <w:szCs w:val="15"/>
                <w:color w:val="0000EE"/>
                <w:w w:val="88"/>
              </w:rPr>
            </w:pPr>
            <w:hyperlink w:anchor="page191">
              <w:r>
                <w:rPr>
                  <w:rFonts w:ascii="Arial" w:cs="Arial" w:eastAsia="Arial" w:hAnsi="Arial"/>
                  <w:sz w:val="15"/>
                  <w:szCs w:val="15"/>
                  <w:color w:val="0000EE"/>
                  <w:w w:val="88"/>
                </w:rPr>
                <w:t>F-2</w:t>
              </w:r>
            </w:hyperlink>
          </w:p>
        </w:tc>
      </w:tr>
      <w:tr>
        <w:trPr>
          <w:trHeight w:val="209"/>
        </w:trPr>
        <w:tc>
          <w:tcPr>
            <w:tcW w:w="6380" w:type="dxa"/>
            <w:vAlign w:val="bottom"/>
            <w:gridSpan w:val="19"/>
          </w:tcPr>
          <w:p>
            <w:pPr>
              <w:spacing w:after="0"/>
              <w:rPr>
                <w:sz w:val="20"/>
                <w:szCs w:val="20"/>
                <w:color w:val="auto"/>
              </w:rPr>
            </w:pPr>
            <w:r>
              <w:rPr>
                <w:rFonts w:ascii="Arial" w:cs="Arial" w:eastAsia="Arial" w:hAnsi="Arial"/>
                <w:sz w:val="15"/>
                <w:szCs w:val="15"/>
                <w:color w:val="auto"/>
              </w:rPr>
              <w:t>Audited Consolidated Financial Statements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192">
              <w:r>
                <w:rPr>
                  <w:rFonts w:ascii="Arial" w:cs="Arial" w:eastAsia="Arial" w:hAnsi="Arial"/>
                  <w:sz w:val="15"/>
                  <w:szCs w:val="15"/>
                  <w:color w:val="0000EE"/>
                </w:rPr>
                <w:t>Consolidated Balance Sheets as of December 31, 2020 and 2019</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192">
              <w:r>
                <w:rPr>
                  <w:rFonts w:ascii="Arial" w:cs="Arial" w:eastAsia="Arial" w:hAnsi="Arial"/>
                  <w:sz w:val="15"/>
                  <w:szCs w:val="15"/>
                  <w:color w:val="0000EE"/>
                  <w:w w:val="88"/>
                </w:rPr>
                <w:t>F-3</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9"/>
          </w:tcPr>
          <w:p>
            <w:pPr>
              <w:ind w:left="160"/>
              <w:spacing w:after="0"/>
              <w:rPr>
                <w:rFonts w:ascii="Arial" w:cs="Arial" w:eastAsia="Arial" w:hAnsi="Arial"/>
                <w:sz w:val="15"/>
                <w:szCs w:val="15"/>
                <w:color w:val="0000EE"/>
                <w:w w:val="95"/>
              </w:rPr>
            </w:pPr>
            <w:hyperlink w:anchor="page194">
              <w:r>
                <w:rPr>
                  <w:rFonts w:ascii="Arial" w:cs="Arial" w:eastAsia="Arial" w:hAnsi="Arial"/>
                  <w:sz w:val="15"/>
                  <w:szCs w:val="15"/>
                  <w:color w:val="0000EE"/>
                  <w:w w:val="95"/>
                </w:rPr>
                <w:t>Consolidated Statements of Operations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13"/>
          </w:tcPr>
          <w:p>
            <w:pPr>
              <w:spacing w:after="0" w:line="156" w:lineRule="exact"/>
              <w:rPr>
                <w:rFonts w:ascii="Arial" w:cs="Arial" w:eastAsia="Arial" w:hAnsi="Arial"/>
                <w:sz w:val="15"/>
                <w:szCs w:val="15"/>
                <w:color w:val="0000EE"/>
                <w:w w:val="94"/>
              </w:rPr>
            </w:pPr>
            <w:hyperlink w:anchor="page194">
              <w:r>
                <w:rPr>
                  <w:rFonts w:ascii="Arial" w:cs="Arial" w:eastAsia="Arial" w:hAnsi="Arial"/>
                  <w:sz w:val="15"/>
                  <w:szCs w:val="15"/>
                  <w:color w:val="0000EE"/>
                  <w:w w:val="94"/>
                </w:rPr>
                <w:t>the periods from January 1, 2018 to April 10, 2018 and April 11, 2018 to December 31, 2018</w:t>
              </w:r>
            </w:hyperlink>
          </w:p>
        </w:tc>
        <w:tc>
          <w:tcPr>
            <w:tcW w:w="2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194">
              <w:r>
                <w:rPr>
                  <w:rFonts w:ascii="Arial" w:cs="Arial" w:eastAsia="Arial" w:hAnsi="Arial"/>
                  <w:sz w:val="15"/>
                  <w:szCs w:val="15"/>
                  <w:color w:val="0000EE"/>
                  <w:w w:val="88"/>
                </w:rPr>
                <w:t>F-5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w w:val="97"/>
              </w:rPr>
            </w:pPr>
            <w:hyperlink w:anchor="page195">
              <w:r>
                <w:rPr>
                  <w:rFonts w:ascii="Arial" w:cs="Arial" w:eastAsia="Arial" w:hAnsi="Arial"/>
                  <w:sz w:val="15"/>
                  <w:szCs w:val="15"/>
                  <w:color w:val="0000EE"/>
                  <w:w w:val="97"/>
                </w:rPr>
                <w:t>Consolidated Statements of Changes in Stockholders’ Equity for the years ended December 31,</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56"/>
        </w:trPr>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940" w:type="dxa"/>
            <w:vAlign w:val="bottom"/>
            <w:tcBorders>
              <w:bottom w:val="single" w:sz="8" w:color="0000EE"/>
            </w:tcBorders>
            <w:gridSpan w:val="16"/>
            <w:shd w:val="clear" w:color="auto" w:fill="CCEEFF"/>
          </w:tcPr>
          <w:p>
            <w:pPr>
              <w:spacing w:after="0" w:line="156" w:lineRule="exact"/>
              <w:rPr>
                <w:rFonts w:ascii="Arial" w:cs="Arial" w:eastAsia="Arial" w:hAnsi="Arial"/>
                <w:sz w:val="15"/>
                <w:szCs w:val="15"/>
                <w:color w:val="0000EE"/>
                <w:w w:val="93"/>
              </w:rPr>
            </w:pPr>
            <w:hyperlink w:anchor="page195">
              <w:r>
                <w:rPr>
                  <w:rFonts w:ascii="Arial" w:cs="Arial" w:eastAsia="Arial" w:hAnsi="Arial"/>
                  <w:sz w:val="15"/>
                  <w:szCs w:val="15"/>
                  <w:color w:val="0000EE"/>
                  <w:w w:val="93"/>
                </w:rPr>
                <w:t>2020 and 2019 and for the periods from January 1, 2018 to April 10, 2018 and April 11, 2018 to</w:t>
              </w:r>
            </w:hyperlink>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0000EE"/>
            </w:tcBorders>
            <w:gridSpan w:val="3"/>
            <w:shd w:val="clear" w:color="auto" w:fill="CCEEFF"/>
          </w:tcPr>
          <w:p>
            <w:pPr>
              <w:spacing w:after="0" w:line="156" w:lineRule="exact"/>
              <w:rPr>
                <w:rFonts w:ascii="Arial" w:cs="Arial" w:eastAsia="Arial" w:hAnsi="Arial"/>
                <w:sz w:val="15"/>
                <w:szCs w:val="15"/>
                <w:color w:val="0000EE"/>
                <w:w w:val="89"/>
              </w:rPr>
            </w:pPr>
            <w:hyperlink w:anchor="page195">
              <w:r>
                <w:rPr>
                  <w:rFonts w:ascii="Arial" w:cs="Arial" w:eastAsia="Arial" w:hAnsi="Arial"/>
                  <w:sz w:val="15"/>
                  <w:szCs w:val="15"/>
                  <w:color w:val="0000EE"/>
                  <w:w w:val="89"/>
                </w:rPr>
                <w:t>December 31, 2018</w:t>
              </w:r>
            </w:hyperlink>
          </w:p>
        </w:tc>
        <w:tc>
          <w:tcPr>
            <w:tcW w:w="4880" w:type="dxa"/>
            <w:vAlign w:val="bottom"/>
            <w:tcBorders>
              <w:bottom w:val="single" w:sz="8" w:color="CCEEFF"/>
              <w:right w:val="single" w:sz="8" w:color="CCEEFF"/>
            </w:tcBorders>
            <w:gridSpan w:val="14"/>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56" w:lineRule="exact"/>
              <w:rPr>
                <w:rFonts w:ascii="Arial" w:cs="Arial" w:eastAsia="Arial" w:hAnsi="Arial"/>
                <w:sz w:val="15"/>
                <w:szCs w:val="15"/>
                <w:color w:val="0000EE"/>
                <w:w w:val="88"/>
              </w:rPr>
            </w:pPr>
            <w:hyperlink w:anchor="page195">
              <w:r>
                <w:rPr>
                  <w:rFonts w:ascii="Arial" w:cs="Arial" w:eastAsia="Arial" w:hAnsi="Arial"/>
                  <w:sz w:val="15"/>
                  <w:szCs w:val="15"/>
                  <w:color w:val="0000EE"/>
                  <w:w w:val="88"/>
                </w:rPr>
                <w:t>F-6</w:t>
              </w:r>
            </w:hyperlink>
          </w:p>
        </w:tc>
      </w:tr>
      <w:tr>
        <w:trPr>
          <w:trHeight w:val="176"/>
        </w:trPr>
        <w:tc>
          <w:tcPr>
            <w:tcW w:w="6380" w:type="dxa"/>
            <w:vAlign w:val="bottom"/>
            <w:gridSpan w:val="19"/>
          </w:tcPr>
          <w:p>
            <w:pPr>
              <w:ind w:left="160"/>
              <w:spacing w:after="0"/>
              <w:rPr>
                <w:rFonts w:ascii="Arial" w:cs="Arial" w:eastAsia="Arial" w:hAnsi="Arial"/>
                <w:sz w:val="15"/>
                <w:szCs w:val="15"/>
                <w:color w:val="0000EE"/>
                <w:w w:val="94"/>
              </w:rPr>
            </w:pPr>
            <w:hyperlink w:anchor="page196">
              <w:r>
                <w:rPr>
                  <w:rFonts w:ascii="Arial" w:cs="Arial" w:eastAsia="Arial" w:hAnsi="Arial"/>
                  <w:sz w:val="15"/>
                  <w:szCs w:val="15"/>
                  <w:color w:val="0000EE"/>
                  <w:w w:val="94"/>
                </w:rPr>
                <w:t>Consolidated Statements of Cash Flows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60" w:type="dxa"/>
            <w:vAlign w:val="bottom"/>
            <w:tcBorders>
              <w:top w:val="single" w:sz="8" w:color="0000EE"/>
            </w:tcBorders>
            <w:gridSpan w:val="14"/>
          </w:tcPr>
          <w:p>
            <w:pPr>
              <w:spacing w:after="0" w:line="156" w:lineRule="exact"/>
              <w:rPr>
                <w:rFonts w:ascii="Arial" w:cs="Arial" w:eastAsia="Arial" w:hAnsi="Arial"/>
                <w:sz w:val="15"/>
                <w:szCs w:val="15"/>
                <w:color w:val="0000EE"/>
                <w:w w:val="95"/>
              </w:rPr>
            </w:pPr>
            <w:hyperlink w:anchor="page196">
              <w:r>
                <w:rPr>
                  <w:rFonts w:ascii="Arial" w:cs="Arial" w:eastAsia="Arial" w:hAnsi="Arial"/>
                  <w:sz w:val="15"/>
                  <w:szCs w:val="15"/>
                  <w:color w:val="0000EE"/>
                  <w:w w:val="95"/>
                </w:rPr>
                <w:t>the periods from January 1, 2018 to April 10, 2018 and April 11, 2018 to December 31, 2018</w:t>
              </w:r>
            </w:hyperlink>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196">
              <w:r>
                <w:rPr>
                  <w:rFonts w:ascii="Arial" w:cs="Arial" w:eastAsia="Arial" w:hAnsi="Arial"/>
                  <w:sz w:val="15"/>
                  <w:szCs w:val="15"/>
                  <w:color w:val="0000EE"/>
                  <w:w w:val="88"/>
                </w:rPr>
                <w:t>F-7</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198">
              <w:r>
                <w:rPr>
                  <w:rFonts w:ascii="Arial" w:cs="Arial" w:eastAsia="Arial" w:hAnsi="Arial"/>
                  <w:sz w:val="15"/>
                  <w:szCs w:val="15"/>
                  <w:color w:val="0000EE"/>
                </w:rPr>
                <w:t>Notes to Consolidated Financial Statements</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198">
              <w:r>
                <w:rPr>
                  <w:rFonts w:ascii="Arial" w:cs="Arial" w:eastAsia="Arial" w:hAnsi="Arial"/>
                  <w:sz w:val="15"/>
                  <w:szCs w:val="15"/>
                  <w:color w:val="0000EE"/>
                  <w:w w:val="88"/>
                </w:rPr>
                <w:t>F-9</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308"/>
        </w:trPr>
        <w:tc>
          <w:tcPr>
            <w:tcW w:w="6380" w:type="dxa"/>
            <w:vAlign w:val="bottom"/>
            <w:gridSpan w:val="19"/>
          </w:tcPr>
          <w:p>
            <w:pPr>
              <w:spacing w:after="0"/>
              <w:rPr>
                <w:sz w:val="20"/>
                <w:szCs w:val="20"/>
                <w:color w:val="auto"/>
              </w:rPr>
            </w:pPr>
            <w:r>
              <w:rPr>
                <w:rFonts w:ascii="Arial" w:cs="Arial" w:eastAsia="Arial" w:hAnsi="Arial"/>
                <w:sz w:val="15"/>
                <w:szCs w:val="15"/>
                <w:color w:val="auto"/>
              </w:rPr>
              <w:t>Unaudited Condensed 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37">
              <w:r>
                <w:rPr>
                  <w:rFonts w:ascii="Arial" w:cs="Arial" w:eastAsia="Arial" w:hAnsi="Arial"/>
                  <w:sz w:val="15"/>
                  <w:szCs w:val="15"/>
                  <w:color w:val="0000EE"/>
                </w:rPr>
                <w:t>Condensed Consolidated Balance Sheets as of March 31, 2021 and December 31, 2020</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37">
              <w:r>
                <w:rPr>
                  <w:rFonts w:ascii="Arial" w:cs="Arial" w:eastAsia="Arial" w:hAnsi="Arial"/>
                  <w:sz w:val="15"/>
                  <w:szCs w:val="15"/>
                  <w:color w:val="0000EE"/>
                  <w:w w:val="90"/>
                </w:rPr>
                <w:t>F-48</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9"/>
          </w:tcPr>
          <w:p>
            <w:pPr>
              <w:ind w:left="160"/>
              <w:spacing w:after="0"/>
              <w:rPr>
                <w:rFonts w:ascii="Arial" w:cs="Arial" w:eastAsia="Arial" w:hAnsi="Arial"/>
                <w:sz w:val="15"/>
                <w:szCs w:val="15"/>
                <w:color w:val="0000EE"/>
                <w:w w:val="92"/>
              </w:rPr>
            </w:pPr>
            <w:hyperlink w:anchor="page239">
              <w:r>
                <w:rPr>
                  <w:rFonts w:ascii="Arial" w:cs="Arial" w:eastAsia="Arial" w:hAnsi="Arial"/>
                  <w:sz w:val="15"/>
                  <w:szCs w:val="15"/>
                  <w:color w:val="0000EE"/>
                  <w:w w:val="92"/>
                </w:rPr>
                <w:t>Condensed Consolidated Statements of Operations for the three months ended March 31, 2021 and</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440" w:type="dxa"/>
            <w:vAlign w:val="bottom"/>
            <w:tcBorders>
              <w:top w:val="single" w:sz="8" w:color="0000EE"/>
            </w:tcBorders>
            <w:gridSpan w:val="2"/>
          </w:tcPr>
          <w:p>
            <w:pPr>
              <w:ind w:left="140"/>
              <w:spacing w:after="0" w:line="156" w:lineRule="exact"/>
              <w:rPr>
                <w:rFonts w:ascii="Arial" w:cs="Arial" w:eastAsia="Arial" w:hAnsi="Arial"/>
                <w:sz w:val="15"/>
                <w:szCs w:val="15"/>
                <w:color w:val="0000EE"/>
                <w:w w:val="83"/>
              </w:rPr>
            </w:pPr>
            <w:hyperlink w:anchor="page239">
              <w:r>
                <w:rPr>
                  <w:rFonts w:ascii="Arial" w:cs="Arial" w:eastAsia="Arial" w:hAnsi="Arial"/>
                  <w:sz w:val="15"/>
                  <w:szCs w:val="15"/>
                  <w:color w:val="0000EE"/>
                  <w:w w:val="83"/>
                </w:rPr>
                <w:t>2020</w:t>
              </w:r>
            </w:hyperlink>
          </w:p>
        </w:tc>
        <w:tc>
          <w:tcPr>
            <w:tcW w:w="26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39">
              <w:r>
                <w:rPr>
                  <w:rFonts w:ascii="Arial" w:cs="Arial" w:eastAsia="Arial" w:hAnsi="Arial"/>
                  <w:sz w:val="15"/>
                  <w:szCs w:val="15"/>
                  <w:color w:val="0000EE"/>
                  <w:w w:val="90"/>
                </w:rPr>
                <w:t>F-50</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w w:val="99"/>
              </w:rPr>
            </w:pPr>
            <w:hyperlink w:anchor="page240">
              <w:r>
                <w:rPr>
                  <w:rFonts w:ascii="Arial" w:cs="Arial" w:eastAsia="Arial" w:hAnsi="Arial"/>
                  <w:sz w:val="15"/>
                  <w:szCs w:val="15"/>
                  <w:color w:val="0000EE"/>
                  <w:w w:val="99"/>
                </w:rPr>
                <w:t>Condensed Consolidated Statements of Changes in Stockholders’ Equity for the three months</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0"/>
        </w:trPr>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980" w:type="dxa"/>
            <w:vAlign w:val="bottom"/>
            <w:tcBorders>
              <w:top w:val="single" w:sz="8" w:color="0000EE"/>
              <w:bottom w:val="single" w:sz="8" w:color="0000EE"/>
            </w:tcBorders>
            <w:gridSpan w:val="4"/>
            <w:shd w:val="clear" w:color="auto" w:fill="CCEEFF"/>
          </w:tcPr>
          <w:p>
            <w:pPr>
              <w:spacing w:after="0" w:line="156" w:lineRule="exact"/>
              <w:rPr>
                <w:rFonts w:ascii="Arial" w:cs="Arial" w:eastAsia="Arial" w:hAnsi="Arial"/>
                <w:sz w:val="15"/>
                <w:szCs w:val="15"/>
                <w:color w:val="0000EE"/>
                <w:w w:val="90"/>
              </w:rPr>
            </w:pPr>
            <w:hyperlink w:anchor="page240">
              <w:r>
                <w:rPr>
                  <w:rFonts w:ascii="Arial" w:cs="Arial" w:eastAsia="Arial" w:hAnsi="Arial"/>
                  <w:sz w:val="15"/>
                  <w:szCs w:val="15"/>
                  <w:color w:val="0000EE"/>
                  <w:w w:val="90"/>
                </w:rPr>
                <w:t>ended March 31, 2021 and 2020</w:t>
              </w:r>
            </w:hyperlink>
          </w:p>
        </w:tc>
        <w:tc>
          <w:tcPr>
            <w:tcW w:w="3620" w:type="dxa"/>
            <w:vAlign w:val="bottom"/>
            <w:tcBorders>
              <w:top w:val="single" w:sz="8" w:color="0000EE"/>
              <w:bottom w:val="single" w:sz="8" w:color="CCEEFF"/>
            </w:tcBorders>
            <w:gridSpan w:val="5"/>
            <w:shd w:val="clear" w:color="auto" w:fill="CCEEFF"/>
          </w:tcPr>
          <w:p>
            <w:pPr>
              <w:spacing w:after="0"/>
              <w:rPr>
                <w:sz w:val="15"/>
                <w:szCs w:val="15"/>
                <w:color w:val="auto"/>
              </w:rPr>
            </w:pPr>
          </w:p>
        </w:tc>
        <w:tc>
          <w:tcPr>
            <w:tcW w:w="480" w:type="dxa"/>
            <w:vAlign w:val="bottom"/>
            <w:tcBorders>
              <w:top w:val="single" w:sz="8" w:color="CCEEFF"/>
              <w:bottom w:val="single" w:sz="8" w:color="CCEEFF"/>
              <w:right w:val="single" w:sz="8" w:color="CCEEFF"/>
            </w:tcBorders>
            <w:gridSpan w:val="8"/>
            <w:shd w:val="clear" w:color="auto" w:fill="CCEEFF"/>
          </w:tcPr>
          <w:p>
            <w:pPr>
              <w:spacing w:after="0"/>
              <w:rPr>
                <w:sz w:val="15"/>
                <w:szCs w:val="15"/>
                <w:color w:val="auto"/>
              </w:rPr>
            </w:pPr>
          </w:p>
        </w:tc>
        <w:tc>
          <w:tcPr>
            <w:tcW w:w="300" w:type="dxa"/>
            <w:vAlign w:val="bottom"/>
            <w:tcBorders>
              <w:top w:val="single" w:sz="8" w:color="CCEEFF"/>
              <w:bottom w:val="single" w:sz="8" w:color="0000EE"/>
            </w:tcBorders>
            <w:gridSpan w:val="2"/>
            <w:shd w:val="clear" w:color="auto" w:fill="CCEEFF"/>
          </w:tcPr>
          <w:p>
            <w:pPr>
              <w:jc w:val="right"/>
              <w:spacing w:after="0" w:line="156" w:lineRule="exact"/>
              <w:rPr>
                <w:rFonts w:ascii="Arial" w:cs="Arial" w:eastAsia="Arial" w:hAnsi="Arial"/>
                <w:sz w:val="15"/>
                <w:szCs w:val="15"/>
                <w:color w:val="0000EE"/>
                <w:w w:val="90"/>
              </w:rPr>
            </w:pPr>
            <w:hyperlink w:anchor="page240">
              <w:r>
                <w:rPr>
                  <w:rFonts w:ascii="Arial" w:cs="Arial" w:eastAsia="Arial" w:hAnsi="Arial"/>
                  <w:sz w:val="15"/>
                  <w:szCs w:val="15"/>
                  <w:color w:val="0000EE"/>
                  <w:w w:val="90"/>
                </w:rPr>
                <w:t>F-51</w:t>
              </w:r>
            </w:hyperlink>
          </w:p>
        </w:tc>
      </w:tr>
      <w:tr>
        <w:trPr>
          <w:trHeight w:val="176"/>
        </w:trPr>
        <w:tc>
          <w:tcPr>
            <w:tcW w:w="6380" w:type="dxa"/>
            <w:vAlign w:val="bottom"/>
            <w:gridSpan w:val="19"/>
          </w:tcPr>
          <w:p>
            <w:pPr>
              <w:ind w:left="160"/>
              <w:spacing w:after="0"/>
              <w:rPr>
                <w:rFonts w:ascii="Arial" w:cs="Arial" w:eastAsia="Arial" w:hAnsi="Arial"/>
                <w:sz w:val="15"/>
                <w:szCs w:val="15"/>
                <w:color w:val="0000EE"/>
                <w:w w:val="96"/>
              </w:rPr>
            </w:pPr>
            <w:hyperlink w:anchor="page241">
              <w:r>
                <w:rPr>
                  <w:rFonts w:ascii="Arial" w:cs="Arial" w:eastAsia="Arial" w:hAnsi="Arial"/>
                  <w:sz w:val="15"/>
                  <w:szCs w:val="15"/>
                  <w:color w:val="0000EE"/>
                  <w:w w:val="96"/>
                </w:rPr>
                <w:t>Condensed Consolidated Statements of Cash Flows for the three months ended March 31, 2021</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700" w:type="dxa"/>
            <w:vAlign w:val="bottom"/>
            <w:tcBorders>
              <w:top w:val="single" w:sz="8" w:color="0000EE"/>
            </w:tcBorders>
            <w:gridSpan w:val="10"/>
          </w:tcPr>
          <w:p>
            <w:pPr>
              <w:spacing w:after="0" w:line="156" w:lineRule="exact"/>
              <w:rPr>
                <w:rFonts w:ascii="Arial" w:cs="Arial" w:eastAsia="Arial" w:hAnsi="Arial"/>
                <w:sz w:val="15"/>
                <w:szCs w:val="15"/>
                <w:color w:val="0000EE"/>
              </w:rPr>
            </w:pPr>
            <w:hyperlink w:anchor="page241">
              <w:r>
                <w:rPr>
                  <w:rFonts w:ascii="Arial" w:cs="Arial" w:eastAsia="Arial" w:hAnsi="Arial"/>
                  <w:sz w:val="15"/>
                  <w:szCs w:val="15"/>
                  <w:color w:val="0000EE"/>
                </w:rPr>
                <w:t>and 2020</w:t>
              </w:r>
            </w:hyperlink>
          </w:p>
        </w:tc>
        <w:tc>
          <w:tcPr>
            <w:tcW w:w="380" w:type="dxa"/>
            <w:vAlign w:val="bottom"/>
            <w:gridSpan w:val="7"/>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1">
              <w:r>
                <w:rPr>
                  <w:rFonts w:ascii="Arial" w:cs="Arial" w:eastAsia="Arial" w:hAnsi="Arial"/>
                  <w:sz w:val="15"/>
                  <w:szCs w:val="15"/>
                  <w:color w:val="0000EE"/>
                  <w:w w:val="90"/>
                </w:rPr>
                <w:t>F-52</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42">
              <w:r>
                <w:rPr>
                  <w:rFonts w:ascii="Arial" w:cs="Arial" w:eastAsia="Arial" w:hAnsi="Arial"/>
                  <w:sz w:val="15"/>
                  <w:szCs w:val="15"/>
                  <w:color w:val="0000EE"/>
                </w:rPr>
                <w:t>Notes to Condensed Consolidated Financial Statements</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42">
              <w:r>
                <w:rPr>
                  <w:rFonts w:ascii="Arial" w:cs="Arial" w:eastAsia="Arial" w:hAnsi="Arial"/>
                  <w:sz w:val="15"/>
                  <w:szCs w:val="15"/>
                  <w:color w:val="0000EE"/>
                  <w:w w:val="90"/>
                </w:rPr>
                <w:t>F-53</w:t>
              </w:r>
            </w:hyperlink>
          </w:p>
        </w:tc>
      </w:tr>
      <w:tr>
        <w:trPr>
          <w:trHeight w:val="22"/>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-2636520</wp:posOffset>
            </wp:positionV>
            <wp:extent cx="403923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039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Stockholders and Board of Directors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Sun Country Airlines Holdings, Inc.:</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12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Change in Accounting Principle</w:t>
      </w:r>
    </w:p>
    <w:p>
      <w:pPr>
        <w:spacing w:after="0" w:line="12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Accounting Standards Update 2016-02</w:t>
      </w:r>
      <w:r>
        <w:rPr>
          <w:rFonts w:ascii="Arial" w:cs="Arial" w:eastAsia="Arial" w:hAnsi="Arial"/>
          <w:sz w:val="15"/>
          <w:szCs w:val="15"/>
          <w:i w:val="1"/>
          <w:iCs w:val="1"/>
          <w:color w:val="auto"/>
        </w:rPr>
        <w:t>, Leases.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for Opinion</w:t>
      </w:r>
    </w:p>
    <w:p>
      <w:pPr>
        <w:spacing w:after="0" w:line="113"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KPMG LLP</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2018.</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Minneapolis, Minnesota</w:t>
      </w:r>
    </w:p>
    <w:p>
      <w:pPr>
        <w:spacing w:after="0" w:line="14" w:lineRule="exact"/>
        <w:rPr>
          <w:sz w:val="20"/>
          <w:szCs w:val="20"/>
          <w:color w:val="auto"/>
        </w:rPr>
      </w:pPr>
    </w:p>
    <w:p>
      <w:pPr>
        <w:ind w:left="1160" w:right="1299"/>
        <w:spacing w:after="0" w:line="249" w:lineRule="auto"/>
        <w:rPr>
          <w:sz w:val="20"/>
          <w:szCs w:val="20"/>
          <w:color w:val="auto"/>
        </w:rPr>
      </w:pPr>
      <w:r>
        <w:rPr>
          <w:rFonts w:ascii="Arial" w:cs="Arial" w:eastAsia="Arial" w:hAnsi="Arial"/>
          <w:sz w:val="15"/>
          <w:szCs w:val="15"/>
          <w:color w:val="auto"/>
        </w:rPr>
        <w:t>February 23, 2021, except for the third and fourth paragraphs of Note 20—Subsequent Events, as to which the date is 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51,006</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13,472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60" w:type="dxa"/>
            <w:vAlign w:val="bottom"/>
          </w:tcPr>
          <w:p>
            <w:pPr>
              <w:spacing w:after="0"/>
              <w:rPr>
                <w:sz w:val="18"/>
                <w:szCs w:val="18"/>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w w:val="96"/>
              </w:rPr>
              <w:t>Accounts Receivable, net of an allowance for credit losses of $224 and $630,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516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28,690</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22,408</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w w:val="99"/>
              </w:rPr>
              <w:t>Inventory, net of a reserve for obsolescence of $996 and $550, respectively</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5,407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5,273</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2,233</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2,752</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126,740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112,525</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331,685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142,100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13,526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12,701</w:t>
            </w:r>
          </w:p>
        </w:tc>
        <w:tc>
          <w:tcPr>
            <w:tcW w:w="60" w:type="dxa"/>
            <w:vAlign w:val="bottom"/>
          </w:tcPr>
          <w:p>
            <w:pPr>
              <w:spacing w:after="0"/>
              <w:rPr>
                <w:sz w:val="18"/>
                <w:szCs w:val="18"/>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7,845</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8,702</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117,833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201,026</w:t>
            </w:r>
          </w:p>
        </w:tc>
        <w:tc>
          <w:tcPr>
            <w:tcW w:w="60" w:type="dxa"/>
            <w:vAlign w:val="bottom"/>
          </w:tcPr>
          <w:p>
            <w:pPr>
              <w:spacing w:after="0"/>
              <w:rPr>
                <w:sz w:val="19"/>
                <w:szCs w:val="19"/>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8,691</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8,276</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479,580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372,805</w:t>
            </w:r>
          </w:p>
        </w:tc>
        <w:tc>
          <w:tcPr>
            <w:tcW w:w="60" w:type="dxa"/>
            <w:vAlign w:val="bottom"/>
          </w:tcPr>
          <w:p>
            <w:pPr>
              <w:spacing w:after="0"/>
              <w:rPr>
                <w:sz w:val="18"/>
                <w:szCs w:val="18"/>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(65,065)</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(27,728)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414,515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345,077</w:t>
            </w:r>
          </w:p>
        </w:tc>
        <w:tc>
          <w:tcPr>
            <w:tcW w:w="60" w:type="dxa"/>
            <w:vAlign w:val="bottom"/>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222,223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93,110</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97,110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121,269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147,148</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10,253</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17,970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22,584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28,266</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36,216</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35,428</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16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512,012</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550,274</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1,007,876</w:t>
            </w:r>
          </w:p>
        </w:tc>
        <w:tc>
          <w:tcPr>
            <w:tcW w:w="60" w:type="dxa"/>
            <w:vAlign w:val="bottom"/>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381635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81635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381635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-4443095</wp:posOffset>
            </wp:positionV>
            <wp:extent cx="380936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16,368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16,621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101,075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116,660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9,281</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10,421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7,016</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14,092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34,492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26,118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13,197</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253,743</w:t>
            </w: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353,551</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28,128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37,409</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95,710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15,053</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8,800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112,707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256,345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73,720</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Long-term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7,764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5"/>
                <w:szCs w:val="15"/>
                <w:color w:val="auto"/>
              </w:rPr>
              <w:t>Total Long-term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515,707</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370,601</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769,450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724,152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17)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239,162</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239,141</w:t>
            </w:r>
          </w:p>
        </w:tc>
      </w:tr>
      <w:tr>
        <w:trPr>
          <w:trHeight w:val="187"/>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7"/>
              </w:rPr>
              <w:t>At December 31, 2020, common stock $0.01 par value, 94,443,000 shares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authorized, 46,839,659 issued. At December 31, 2019, common stock</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with no par value, 94,443,000 shares authorized, 6,800,065 issued, and</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warrants to acquire common stock at an exercise price of approximately</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$0.0005 of 40,005,885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(3,500)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Additional Paid In Capital</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9,831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160" w:type="dxa"/>
            <w:vAlign w:val="bottom"/>
          </w:tcPr>
          <w:p>
            <w:pPr>
              <w:ind w:left="160"/>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38,324</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42,228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283,817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w w:val="83"/>
              </w:rPr>
              <w:t>1,007,876</w:t>
            </w:r>
          </w:p>
        </w:tc>
        <w:tc>
          <w:tcPr>
            <w:tcW w:w="4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381635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1635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-4799330</wp:posOffset>
            </wp:positionV>
            <wp:extent cx="380936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vMerge w:val="restart"/>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040" w:type="dxa"/>
            <w:vAlign w:val="bottom"/>
            <w:tcBorders>
              <w:right w:val="single" w:sz="8" w:color="auto"/>
            </w:tcBorders>
            <w:gridSpan w:val="5"/>
            <w:vMerge w:val="restart"/>
          </w:tcPr>
          <w:p>
            <w:pPr>
              <w:ind w:left="60"/>
              <w:spacing w:after="0" w:line="132" w:lineRule="exact"/>
              <w:rPr>
                <w:sz w:val="20"/>
                <w:szCs w:val="20"/>
                <w:color w:val="auto"/>
              </w:rPr>
            </w:pPr>
            <w:r>
              <w:rPr>
                <w:rFonts w:ascii="Arial" w:cs="Arial" w:eastAsia="Arial" w:hAnsi="Arial"/>
                <w:sz w:val="12"/>
                <w:szCs w:val="12"/>
                <w:b w:val="1"/>
                <w:bCs w:val="1"/>
                <w:color w:val="auto"/>
              </w:rPr>
              <w:t>April 11, 2018 to</w:t>
            </w:r>
          </w:p>
        </w:tc>
        <w:tc>
          <w:tcPr>
            <w:tcW w:w="120" w:type="dxa"/>
            <w:vAlign w:val="bottom"/>
          </w:tcPr>
          <w:p>
            <w:pPr>
              <w:spacing w:after="0"/>
              <w:rPr>
                <w:sz w:val="5"/>
                <w:szCs w:val="5"/>
                <w:color w:val="auto"/>
              </w:rPr>
            </w:pPr>
          </w:p>
        </w:tc>
        <w:tc>
          <w:tcPr>
            <w:tcW w:w="860" w:type="dxa"/>
            <w:vAlign w:val="bottom"/>
            <w:gridSpan w:val="3"/>
            <w:vMerge w:val="restart"/>
          </w:tcPr>
          <w:p>
            <w:pPr>
              <w:jc w:val="center"/>
              <w:ind w:right="20"/>
              <w:spacing w:after="0" w:line="132" w:lineRule="exact"/>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83"/>
              </w:rPr>
              <w:t>December 31, 2018</w:t>
            </w:r>
          </w:p>
        </w:tc>
        <w:tc>
          <w:tcPr>
            <w:tcW w:w="10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83"/>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359,232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688,833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172,897</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401,486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701,384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197,452</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right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165,666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119,553</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141,641</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140,739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9,508</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8,619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(64,563)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384,101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623,262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377,699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171,336</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26,116</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right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(22,073)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(22,067)</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Income / (Loss) before Income Tax</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 (Benefit)</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Net Income /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 (Loss) per share to common</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Income Tax Expense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Arial" w:cs="Arial" w:eastAsia="Arial" w:hAnsi="Arial"/>
                <w:sz w:val="15"/>
                <w:szCs w:val="15"/>
                <w:color w:val="auto"/>
              </w:rPr>
              <w:t>Pro Forma Net Income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19,874</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Net Income per share–Basic</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and diluted</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Arial" w:cs="Arial" w:eastAsia="Arial" w:hAnsi="Arial"/>
                <w:sz w:val="15"/>
                <w:szCs w:val="15"/>
                <w:color w:val="auto"/>
              </w:rPr>
              <w:t>Pro Forma shares used for computation–</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-1896745</wp:posOffset>
            </wp:positionV>
            <wp:extent cx="3492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-2036445</wp:posOffset>
            </wp:positionV>
            <wp:extent cx="3492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-2036445</wp:posOffset>
            </wp:positionV>
            <wp:extent cx="20256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-2036445</wp:posOffset>
            </wp:positionV>
            <wp:extent cx="17462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-2036445</wp:posOffset>
            </wp:positionV>
            <wp:extent cx="237871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-2294890</wp:posOffset>
            </wp:positionV>
            <wp:extent cx="3492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-2294890</wp:posOffset>
            </wp:positionV>
            <wp:extent cx="20256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-2294890</wp:posOffset>
            </wp:positionV>
            <wp:extent cx="17462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237871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-2846070</wp:posOffset>
            </wp:positionV>
            <wp:extent cx="3492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-2846070</wp:posOffset>
            </wp:positionV>
            <wp:extent cx="20256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-2846070</wp:posOffset>
            </wp:positionV>
            <wp:extent cx="17462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-2846070</wp:posOffset>
            </wp:positionV>
            <wp:extent cx="237871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-2985135</wp:posOffset>
            </wp:positionV>
            <wp:extent cx="3492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-3124835</wp:posOffset>
            </wp:positionV>
            <wp:extent cx="3492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-3124835</wp:posOffset>
            </wp:positionV>
            <wp:extent cx="20256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-3124835</wp:posOffset>
            </wp:positionV>
            <wp:extent cx="17462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-3124835</wp:posOffset>
            </wp:positionV>
            <wp:extent cx="237871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-4505960</wp:posOffset>
            </wp:positionV>
            <wp:extent cx="3492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-4645660</wp:posOffset>
            </wp:positionV>
            <wp:extent cx="3492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-4645660</wp:posOffset>
            </wp:positionV>
            <wp:extent cx="20256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-4645660</wp:posOffset>
            </wp:positionV>
            <wp:extent cx="17462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-4645660</wp:posOffset>
            </wp:positionV>
            <wp:extent cx="2378710"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-5140960</wp:posOffset>
            </wp:positionV>
            <wp:extent cx="365569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2018</w:t>
            </w:r>
          </w:p>
        </w:tc>
      </w:tr>
      <w:tr>
        <w:trPr>
          <w:trHeight w:val="21"/>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b w:val="1"/>
                <w:bCs w:val="1"/>
                <w:color w:val="auto"/>
              </w:rPr>
              <w:t>Predecessor</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w w:val="79"/>
              </w:rPr>
              <w:t>Shares</w:t>
            </w:r>
          </w:p>
        </w:tc>
        <w:tc>
          <w:tcPr>
            <w:tcW w:w="2080" w:type="dxa"/>
            <w:vAlign w:val="bottom"/>
          </w:tcPr>
          <w:p>
            <w:pPr>
              <w:ind w:left="520"/>
              <w:spacing w:after="0"/>
              <w:rPr>
                <w:sz w:val="20"/>
                <w:szCs w:val="20"/>
                <w:color w:val="auto"/>
              </w:rPr>
            </w:pPr>
            <w:r>
              <w:rPr>
                <w:rFonts w:ascii="Arial" w:cs="Arial" w:eastAsia="Arial" w:hAnsi="Arial"/>
                <w:sz w:val="12"/>
                <w:szCs w:val="12"/>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13335</wp:posOffset>
            </wp:positionV>
            <wp:extent cx="73977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13335</wp:posOffset>
            </wp:positionV>
            <wp:extent cx="11176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13335</wp:posOffset>
            </wp:positionV>
            <wp:extent cx="111760"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2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January 1, 2018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$ 34,422</w:t>
            </w:r>
          </w:p>
        </w:tc>
        <w:tc>
          <w:tcPr>
            <w:tcW w:w="1160" w:type="dxa"/>
            <w:vAlign w:val="bottom"/>
            <w:tcBorders>
              <w:top w:val="single" w:sz="8" w:color="CCEEFF"/>
            </w:tcBorders>
            <w:shd w:val="clear" w:color="auto" w:fill="CCEEFF"/>
          </w:tcPr>
          <w:p>
            <w:pPr>
              <w:spacing w:after="0"/>
              <w:rPr>
                <w:sz w:val="19"/>
                <w:szCs w:val="19"/>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25,910</w:t>
            </w:r>
          </w:p>
        </w:tc>
        <w:tc>
          <w:tcPr>
            <w:tcW w:w="1160" w:type="dxa"/>
            <w:vAlign w:val="bottom"/>
          </w:tcPr>
          <w:p>
            <w:pPr>
              <w:spacing w:after="0"/>
              <w:rPr>
                <w:sz w:val="18"/>
                <w:szCs w:val="18"/>
                <w:color w:val="auto"/>
              </w:rPr>
            </w:pP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Distributions to Stockholder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(10,549)</w:t>
            </w:r>
          </w:p>
        </w:tc>
      </w:tr>
      <w:tr>
        <w:trPr>
          <w:trHeight w:val="216"/>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April 10,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$ 49,783</w:t>
            </w:r>
          </w:p>
        </w:tc>
        <w:tc>
          <w:tcPr>
            <w:tcW w:w="1160" w:type="dxa"/>
            <w:vAlign w:val="bottom"/>
            <w:tcBorders>
              <w:top w:val="single" w:sz="8" w:color="CCEEFF"/>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Successor</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0" w:type="dxa"/>
            <w:vAlign w:val="bottom"/>
            <w:tcBorders>
              <w:top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23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Loans to</w:t>
            </w:r>
          </w:p>
        </w:tc>
        <w:tc>
          <w:tcPr>
            <w:tcW w:w="4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70"/>
              <w:spacing w:after="0"/>
              <w:rPr>
                <w:sz w:val="20"/>
                <w:szCs w:val="20"/>
                <w:color w:val="auto"/>
              </w:rPr>
            </w:pPr>
            <w:r>
              <w:rPr>
                <w:rFonts w:ascii="Arial" w:cs="Arial" w:eastAsia="Arial" w:hAnsi="Arial"/>
                <w:sz w:val="12"/>
                <w:szCs w:val="12"/>
                <w:b w:val="1"/>
                <w:bCs w:val="1"/>
                <w:color w:val="auto"/>
                <w:w w:val="77"/>
              </w:rPr>
              <w:t>Contribution</w:t>
            </w:r>
          </w:p>
        </w:tc>
        <w:tc>
          <w:tcPr>
            <w:tcW w:w="76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78"/>
              </w:rPr>
              <w:t>Stockholders</w:t>
            </w: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0"/>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2018–Warrants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$165,711</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 —</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165,711</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2018–Shares</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5,326,755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22,064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22,064</w:t>
            </w:r>
          </w:p>
        </w:tc>
        <w:tc>
          <w:tcPr>
            <w:tcW w:w="60" w:type="dxa"/>
            <w:vAlign w:val="bottom"/>
          </w:tcPr>
          <w:p>
            <w:pPr>
              <w:spacing w:after="0"/>
              <w:rPr>
                <w:sz w:val="16"/>
                <w:szCs w:val="16"/>
                <w:color w:val="auto"/>
              </w:rPr>
            </w:pP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Additional Capital</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43,866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43,866</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Stockholders Capital</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1,416,645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07"/>
              <w:spacing w:after="0"/>
              <w:rPr>
                <w:sz w:val="20"/>
                <w:szCs w:val="20"/>
                <w:color w:val="auto"/>
              </w:rPr>
            </w:pPr>
            <w:r>
              <w:rPr>
                <w:rFonts w:ascii="Arial" w:cs="Arial" w:eastAsia="Arial" w:hAnsi="Arial"/>
                <w:sz w:val="15"/>
                <w:szCs w:val="15"/>
                <w:color w:val="auto"/>
                <w:w w:val="84"/>
              </w:rPr>
              <w:t>(3,500)</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18"/>
                <w:szCs w:val="18"/>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373</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w w:val="83"/>
              </w:rPr>
              <w:t>6,743,400</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$239,141</w:t>
            </w:r>
          </w:p>
        </w:tc>
        <w:tc>
          <w:tcPr>
            <w:tcW w:w="760" w:type="dxa"/>
            <w:vAlign w:val="bottom"/>
            <w:tcBorders>
              <w:left w:val="single" w:sz="8" w:color="CCEEFF"/>
              <w:right w:val="single" w:sz="8" w:color="CCEEFF"/>
            </w:tcBorders>
            <w:gridSpan w:val="3"/>
            <w:shd w:val="clear" w:color="auto" w:fill="CCEEFF"/>
          </w:tcPr>
          <w:p>
            <w:pPr>
              <w:jc w:val="right"/>
              <w:ind w:right="107"/>
              <w:spacing w:after="0"/>
              <w:rPr>
                <w:sz w:val="20"/>
                <w:szCs w:val="20"/>
                <w:color w:val="auto"/>
              </w:rPr>
            </w:pPr>
            <w:r>
              <w:rPr>
                <w:rFonts w:ascii="Arial" w:cs="Arial" w:eastAsia="Arial" w:hAnsi="Arial"/>
                <w:sz w:val="15"/>
                <w:szCs w:val="15"/>
                <w:color w:val="auto"/>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83"/>
              </w:rPr>
              <w:t>$373</w:t>
            </w:r>
          </w:p>
        </w:tc>
        <w:tc>
          <w:tcPr>
            <w:tcW w:w="560" w:type="dxa"/>
            <w:vAlign w:val="bottom"/>
            <w:tcBorders>
              <w:left w:val="single" w:sz="8" w:color="CCEEFF"/>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96"/>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2019</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70"/>
              <w:spacing w:after="0"/>
              <w:rPr>
                <w:sz w:val="20"/>
                <w:szCs w:val="20"/>
                <w:color w:val="auto"/>
              </w:rPr>
            </w:pPr>
            <w:r>
              <w:rPr>
                <w:rFonts w:ascii="Arial" w:cs="Arial" w:eastAsia="Arial" w:hAnsi="Arial"/>
                <w:sz w:val="12"/>
                <w:szCs w:val="12"/>
                <w:b w:val="1"/>
                <w:bCs w:val="1"/>
                <w:color w:val="auto"/>
                <w:w w:val="89"/>
              </w:rPr>
              <w:t>Capital</w:t>
            </w:r>
          </w:p>
        </w:tc>
        <w:tc>
          <w:tcPr>
            <w:tcW w:w="760" w:type="dxa"/>
            <w:vAlign w:val="bottom"/>
            <w:gridSpan w:val="3"/>
          </w:tcPr>
          <w:p>
            <w:pPr>
              <w:jc w:val="right"/>
              <w:ind w:right="267"/>
              <w:spacing w:after="0"/>
              <w:rPr>
                <w:sz w:val="20"/>
                <w:szCs w:val="20"/>
                <w:color w:val="auto"/>
              </w:rPr>
            </w:pPr>
            <w:r>
              <w:rPr>
                <w:rFonts w:ascii="Arial" w:cs="Arial" w:eastAsia="Arial" w:hAnsi="Arial"/>
                <w:sz w:val="12"/>
                <w:szCs w:val="12"/>
                <w:b w:val="1"/>
                <w:bCs w:val="1"/>
                <w:color w:val="auto"/>
                <w:w w:val="79"/>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69"/>
              <w:spacing w:after="0"/>
              <w:rPr>
                <w:sz w:val="20"/>
                <w:szCs w:val="20"/>
                <w:color w:val="auto"/>
              </w:rPr>
            </w:pPr>
            <w:r>
              <w:rPr>
                <w:rFonts w:ascii="Arial" w:cs="Arial" w:eastAsia="Arial" w:hAnsi="Arial"/>
                <w:sz w:val="12"/>
                <w:szCs w:val="12"/>
                <w:b w:val="1"/>
                <w:bCs w:val="1"/>
                <w:color w:val="auto"/>
                <w:w w:val="99"/>
              </w:rPr>
              <w:t>Shares</w:t>
            </w:r>
          </w:p>
        </w:tc>
        <w:tc>
          <w:tcPr>
            <w:tcW w:w="720" w:type="dxa"/>
            <w:vAlign w:val="bottom"/>
          </w:tcPr>
          <w:p>
            <w:pPr>
              <w:jc w:val="right"/>
              <w:ind w:right="130"/>
              <w:spacing w:after="0"/>
              <w:rPr>
                <w:sz w:val="20"/>
                <w:szCs w:val="20"/>
                <w:color w:val="auto"/>
              </w:rPr>
            </w:pPr>
            <w:r>
              <w:rPr>
                <w:rFonts w:ascii="Arial" w:cs="Arial" w:eastAsia="Arial" w:hAnsi="Arial"/>
                <w:sz w:val="11"/>
                <w:szCs w:val="11"/>
                <w:b w:val="1"/>
                <w:bCs w:val="1"/>
                <w:color w:val="auto"/>
                <w:w w:val="75"/>
              </w:rPr>
              <w:t>Contribution</w:t>
            </w:r>
          </w:p>
        </w:tc>
        <w:tc>
          <w:tcPr>
            <w:tcW w:w="760" w:type="dxa"/>
            <w:vAlign w:val="bottom"/>
            <w:gridSpan w:val="3"/>
          </w:tcPr>
          <w:p>
            <w:pPr>
              <w:jc w:val="right"/>
              <w:ind w:right="147"/>
              <w:spacing w:after="0"/>
              <w:rPr>
                <w:sz w:val="20"/>
                <w:szCs w:val="20"/>
                <w:color w:val="auto"/>
              </w:rPr>
            </w:pPr>
            <w:r>
              <w:rPr>
                <w:rFonts w:ascii="Arial" w:cs="Arial" w:eastAsia="Arial" w:hAnsi="Arial"/>
                <w:sz w:val="11"/>
                <w:szCs w:val="11"/>
                <w:b w:val="1"/>
                <w:bCs w:val="1"/>
                <w:color w:val="auto"/>
                <w:w w:val="74"/>
              </w:rPr>
              <w:t>Stockholders</w:t>
            </w:r>
          </w:p>
        </w:tc>
        <w:tc>
          <w:tcPr>
            <w:tcW w:w="420" w:type="dxa"/>
            <w:vAlign w:val="bottom"/>
          </w:tcPr>
          <w:p>
            <w:pPr>
              <w:jc w:val="right"/>
              <w:ind w:right="110"/>
              <w:spacing w:after="0"/>
              <w:rPr>
                <w:sz w:val="20"/>
                <w:szCs w:val="20"/>
                <w:color w:val="auto"/>
              </w:rPr>
            </w:pPr>
            <w:r>
              <w:rPr>
                <w:rFonts w:ascii="Arial" w:cs="Arial" w:eastAsia="Arial" w:hAnsi="Arial"/>
                <w:sz w:val="12"/>
                <w:szCs w:val="12"/>
                <w:b w:val="1"/>
                <w:bCs w:val="1"/>
                <w:color w:val="auto"/>
                <w:w w:val="76"/>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6,743,400</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1"/>
              </w:rPr>
              <w:t>$  373</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17"/>
                <w:szCs w:val="17"/>
                <w:color w:val="auto"/>
              </w:rPr>
            </w:pPr>
          </w:p>
        </w:tc>
      </w:tr>
      <w:tr>
        <w:trPr>
          <w:trHeight w:val="184"/>
        </w:trPr>
        <w:tc>
          <w:tcPr>
            <w:tcW w:w="21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Cumulative Effect of New</w:t>
            </w: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Revenue Standard</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(3,477)</w:t>
            </w: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(3,477)</w:t>
            </w: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Granted to</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56,665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7"/>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Pr>
          <w:p>
            <w:pPr>
              <w:spacing w:after="0"/>
              <w:rPr>
                <w:sz w:val="18"/>
                <w:szCs w:val="18"/>
                <w:color w:val="auto"/>
              </w:rPr>
            </w:pPr>
          </w:p>
        </w:tc>
      </w:tr>
      <w:tr>
        <w:trPr>
          <w:trHeight w:val="209"/>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Amazon Warrants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74"/>
              </w:rPr>
              <w:t>3,594</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3,594</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w w:val="74"/>
              </w:rPr>
              <w:t>1,888</w:t>
            </w:r>
          </w:p>
        </w:tc>
        <w:tc>
          <w:tcPr>
            <w:tcW w:w="120" w:type="dxa"/>
            <w:vAlign w:val="bottom"/>
          </w:tcPr>
          <w:p>
            <w:pPr>
              <w:spacing w:after="0"/>
              <w:rPr>
                <w:sz w:val="18"/>
                <w:szCs w:val="18"/>
                <w:color w:val="auto"/>
              </w:rPr>
            </w:pPr>
          </w:p>
        </w:tc>
        <w:tc>
          <w:tcPr>
            <w:tcW w:w="4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1,888</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6,800,065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3"/>
                <w:szCs w:val="13"/>
                <w:color w:val="auto"/>
                <w:w w:val="70"/>
              </w:rPr>
              <w:t>$5,855</w:t>
            </w:r>
          </w:p>
        </w:tc>
        <w:tc>
          <w:tcPr>
            <w:tcW w:w="560" w:type="dxa"/>
            <w:vAlign w:val="bottom"/>
            <w:tcBorders>
              <w:left w:val="single" w:sz="8" w:color="CCEEFF"/>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81"/>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2020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10"/>
              <w:spacing w:after="0"/>
              <w:rPr>
                <w:sz w:val="20"/>
                <w:szCs w:val="20"/>
                <w:color w:val="auto"/>
              </w:rPr>
            </w:pPr>
            <w:r>
              <w:rPr>
                <w:rFonts w:ascii="Arial" w:cs="Arial" w:eastAsia="Arial" w:hAnsi="Arial"/>
                <w:sz w:val="12"/>
                <w:szCs w:val="12"/>
                <w:b w:val="1"/>
                <w:bCs w:val="1"/>
                <w:color w:val="auto"/>
              </w:rPr>
              <w:t>Capital</w:t>
            </w:r>
          </w:p>
        </w:tc>
        <w:tc>
          <w:tcPr>
            <w:tcW w:w="760" w:type="dxa"/>
            <w:vAlign w:val="bottom"/>
            <w:gridSpan w:val="3"/>
          </w:tcPr>
          <w:p>
            <w:pPr>
              <w:jc w:val="right"/>
              <w:ind w:right="207"/>
              <w:spacing w:after="0"/>
              <w:rPr>
                <w:sz w:val="20"/>
                <w:szCs w:val="20"/>
                <w:color w:val="auto"/>
              </w:rPr>
            </w:pPr>
            <w:r>
              <w:rPr>
                <w:rFonts w:ascii="Arial" w:cs="Arial" w:eastAsia="Arial" w:hAnsi="Arial"/>
                <w:sz w:val="12"/>
                <w:szCs w:val="12"/>
                <w:b w:val="1"/>
                <w:bCs w:val="1"/>
                <w:color w:val="auto"/>
                <w:w w:val="91"/>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0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50"/>
              <w:spacing w:after="0"/>
              <w:rPr>
                <w:sz w:val="20"/>
                <w:szCs w:val="20"/>
                <w:color w:val="auto"/>
              </w:rPr>
            </w:pPr>
            <w:r>
              <w:rPr>
                <w:rFonts w:ascii="Arial" w:cs="Arial" w:eastAsia="Arial" w:hAnsi="Arial"/>
                <w:sz w:val="12"/>
                <w:szCs w:val="12"/>
                <w:b w:val="1"/>
                <w:bCs w:val="1"/>
                <w:color w:val="auto"/>
                <w:w w:val="80"/>
              </w:rPr>
              <w:t>Contribution</w:t>
            </w:r>
          </w:p>
        </w:tc>
        <w:tc>
          <w:tcPr>
            <w:tcW w:w="76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w w:val="76"/>
              </w:rPr>
              <w:t>Stockholders</w:t>
            </w: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3"/>
              </w:rPr>
              <w:t>APIC</w:t>
            </w:r>
          </w:p>
        </w:tc>
        <w:tc>
          <w:tcPr>
            <w:tcW w:w="5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81"/>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0"/>
              </w:rPr>
              <w:t>40,005,885</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5"/>
              </w:rPr>
              <w:t>6,800,065</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w w:val="86"/>
              </w:rPr>
              <w:t>$239,141</w:t>
            </w:r>
          </w:p>
        </w:tc>
        <w:tc>
          <w:tcPr>
            <w:tcW w:w="760" w:type="dxa"/>
            <w:vAlign w:val="bottom"/>
            <w:tcBorders>
              <w:left w:val="single" w:sz="8" w:color="CCEEFF"/>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4"/>
              </w:rPr>
              <w:t>$5,855</w:t>
            </w:r>
          </w:p>
        </w:tc>
        <w:tc>
          <w:tcPr>
            <w:tcW w:w="560" w:type="dxa"/>
            <w:vAlign w:val="bottom"/>
            <w:tcBorders>
              <w:left w:val="single" w:sz="8" w:color="CCEEFF"/>
              <w:right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84"/>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17"/>
                <w:szCs w:val="17"/>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20" w:type="dxa"/>
            <w:vAlign w:val="bottom"/>
            <w:gridSpan w:val="2"/>
          </w:tcPr>
          <w:p>
            <w:pPr>
              <w:spacing w:after="0"/>
              <w:rPr>
                <w:sz w:val="20"/>
                <w:szCs w:val="20"/>
                <w:color w:val="auto"/>
              </w:rPr>
            </w:pPr>
            <w:r>
              <w:rPr>
                <w:rFonts w:ascii="Arial" w:cs="Arial" w:eastAsia="Arial" w:hAnsi="Arial"/>
                <w:sz w:val="15"/>
                <w:szCs w:val="15"/>
                <w:color w:val="auto"/>
              </w:rPr>
              <w:t>Exercise of Apollo Warrants</w:t>
            </w:r>
          </w:p>
        </w:tc>
        <w:tc>
          <w:tcPr>
            <w:tcW w:w="1540" w:type="dxa"/>
            <w:vAlign w:val="bottom"/>
            <w:gridSpan w:val="2"/>
          </w:tcPr>
          <w:p>
            <w:pPr>
              <w:jc w:val="right"/>
              <w:ind w:right="29"/>
              <w:spacing w:after="0"/>
              <w:rPr>
                <w:sz w:val="20"/>
                <w:szCs w:val="20"/>
                <w:color w:val="auto"/>
              </w:rPr>
            </w:pPr>
            <w:r>
              <w:rPr>
                <w:rFonts w:ascii="Arial" w:cs="Arial" w:eastAsia="Arial" w:hAnsi="Arial"/>
                <w:sz w:val="15"/>
                <w:szCs w:val="15"/>
                <w:color w:val="auto"/>
                <w:w w:val="86"/>
              </w:rPr>
              <w:t>(40,005,885) 40,005,885</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5"/>
                <w:szCs w:val="15"/>
                <w:color w:val="auto"/>
              </w:rPr>
            </w:pPr>
          </w:p>
        </w:tc>
      </w:tr>
      <w:tr>
        <w:trPr>
          <w:trHeight w:val="187"/>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 .</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(3,904)</w:t>
            </w:r>
          </w:p>
        </w:tc>
        <w:tc>
          <w:tcPr>
            <w:tcW w:w="60" w:type="dxa"/>
            <w:vAlign w:val="bottom"/>
          </w:tcPr>
          <w:p>
            <w:pPr>
              <w:spacing w:after="0"/>
              <w:rPr>
                <w:sz w:val="16"/>
                <w:szCs w:val="16"/>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Amazon Warrants .</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w w:val="85"/>
              </w:rPr>
              <w:t>1,866</w:t>
            </w:r>
          </w:p>
        </w:tc>
        <w:tc>
          <w:tcPr>
            <w:tcW w:w="12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1,866</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33,709</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w w:val="85"/>
              </w:rPr>
              <w:t>2,110</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2120" w:type="dxa"/>
            <w:vAlign w:val="bottom"/>
            <w:gridSpan w:val="2"/>
          </w:tcPr>
          <w:p>
            <w:pPr>
              <w:spacing w:after="0"/>
              <w:rPr>
                <w:sz w:val="20"/>
                <w:szCs w:val="20"/>
                <w:color w:val="auto"/>
              </w:rPr>
            </w:pPr>
            <w:r>
              <w:rPr>
                <w:rFonts w:ascii="Arial" w:cs="Arial" w:eastAsia="Arial" w:hAnsi="Arial"/>
                <w:sz w:val="15"/>
                <w:szCs w:val="15"/>
                <w:color w:val="auto"/>
              </w:rPr>
              <w:t>December 31, 2020</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w w:val="85"/>
              </w:rPr>
              <w:t>46,839,659</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w w:val="86"/>
              </w:rPr>
              <w:t>$239,162</w:t>
            </w:r>
          </w:p>
        </w:tc>
        <w:tc>
          <w:tcPr>
            <w:tcW w:w="760" w:type="dxa"/>
            <w:vAlign w:val="bottom"/>
            <w:gridSpan w:val="3"/>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Pr>
          <w:p>
            <w:pPr>
              <w:jc w:val="right"/>
              <w:ind w:right="10"/>
              <w:spacing w:after="0"/>
              <w:rPr>
                <w:sz w:val="20"/>
                <w:szCs w:val="20"/>
                <w:color w:val="auto"/>
              </w:rPr>
            </w:pPr>
            <w:r>
              <w:rPr>
                <w:rFonts w:ascii="Arial" w:cs="Arial" w:eastAsia="Arial" w:hAnsi="Arial"/>
                <w:sz w:val="14"/>
                <w:szCs w:val="14"/>
                <w:color w:val="auto"/>
                <w:w w:val="74"/>
              </w:rPr>
              <w:t>$9,831</w:t>
            </w: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w w:val="84"/>
              </w:rPr>
              <w:t>$38,324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-3103880</wp:posOffset>
            </wp:positionV>
            <wp:extent cx="11176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-3103880</wp:posOffset>
            </wp:positionV>
            <wp:extent cx="10477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-3103880</wp:posOffset>
            </wp:positionV>
            <wp:extent cx="13970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-3103880</wp:posOffset>
            </wp:positionV>
            <wp:extent cx="16065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-3103880</wp:posOffset>
            </wp:positionV>
            <wp:extent cx="97790"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-3103880</wp:posOffset>
            </wp:positionV>
            <wp:extent cx="183451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834515"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-4359910</wp:posOffset>
            </wp:positionV>
            <wp:extent cx="6985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-4359910</wp:posOffset>
            </wp:positionV>
            <wp:extent cx="6985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-4359910</wp:posOffset>
            </wp:positionV>
            <wp:extent cx="6985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-4359910</wp:posOffset>
            </wp:positionV>
            <wp:extent cx="6985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-4359910</wp:posOffset>
            </wp:positionV>
            <wp:extent cx="6985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-4359910</wp:posOffset>
            </wp:positionV>
            <wp:extent cx="182753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827530"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-1443355</wp:posOffset>
            </wp:positionV>
            <wp:extent cx="6286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-1443355</wp:posOffset>
            </wp:positionV>
            <wp:extent cx="6286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-1443355</wp:posOffset>
            </wp:positionV>
            <wp:extent cx="12573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-1443355</wp:posOffset>
            </wp:positionV>
            <wp:extent cx="14668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-1443355</wp:posOffset>
            </wp:positionV>
            <wp:extent cx="8382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181419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814195"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-2489835</wp:posOffset>
            </wp:positionV>
            <wp:extent cx="5588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-2489835</wp:posOffset>
            </wp:positionV>
            <wp:extent cx="5588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-2489835</wp:posOffset>
            </wp:positionV>
            <wp:extent cx="55880"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-2489835</wp:posOffset>
            </wp:positionV>
            <wp:extent cx="5588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-2489835</wp:posOffset>
            </wp:positionV>
            <wp:extent cx="5588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180721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807210" cy="698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-829310</wp:posOffset>
            </wp:positionV>
            <wp:extent cx="41910"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-829310</wp:posOffset>
            </wp:positionV>
            <wp:extent cx="4191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-829310</wp:posOffset>
            </wp:positionV>
            <wp:extent cx="4191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-829310</wp:posOffset>
            </wp:positionV>
            <wp:extent cx="4191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-829310</wp:posOffset>
            </wp:positionV>
            <wp:extent cx="4191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-829310</wp:posOffset>
            </wp:positionV>
            <wp:extent cx="182753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82753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Year Ended December 31,</w:t>
            </w: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gridSpan w:val="4"/>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4"/>
                <w:szCs w:val="4"/>
                <w:color w:val="auto"/>
              </w:rPr>
            </w:pPr>
          </w:p>
        </w:tc>
        <w:tc>
          <w:tcPr>
            <w:tcW w:w="920" w:type="dxa"/>
            <w:vAlign w:val="bottom"/>
            <w:gridSpan w:val="3"/>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right w:val="single" w:sz="8" w:color="auto"/>
            </w:tcBorders>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1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 (Loss)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 (3,904)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$ 46,072</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(367)</w:t>
            </w:r>
          </w:p>
        </w:tc>
        <w:tc>
          <w:tcPr>
            <w:tcW w:w="1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$ 25,910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5"/>
                <w:szCs w:val="15"/>
                <w:b w:val="1"/>
                <w:bCs w:val="1"/>
                <w:color w:val="auto"/>
                <w:w w:val="92"/>
              </w:rPr>
              <w:t>Adjustments to reconcile Net Income / (Loss) to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160"/>
              <w:spacing w:after="0"/>
              <w:rPr>
                <w:sz w:val="20"/>
                <w:szCs w:val="20"/>
                <w:color w:val="auto"/>
              </w:rPr>
            </w:pPr>
            <w:r>
              <w:rPr>
                <w:rFonts w:ascii="Arial" w:cs="Arial" w:eastAsia="Arial" w:hAnsi="Arial"/>
                <w:sz w:val="15"/>
                <w:szCs w:val="15"/>
                <w:b w:val="1"/>
                <w:bCs w:val="1"/>
                <w:color w:val="auto"/>
              </w:rPr>
              <w:t>Cash from Operating Activities: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Right-of-use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300"/>
              <w:spacing w:after="0"/>
              <w:rPr>
                <w:sz w:val="20"/>
                <w:szCs w:val="20"/>
                <w:color w:val="auto"/>
              </w:rPr>
            </w:pPr>
            <w:r>
              <w:rPr>
                <w:rFonts w:ascii="Arial" w:cs="Arial" w:eastAsia="Arial" w:hAnsi="Arial"/>
                <w:sz w:val="15"/>
                <w:szCs w:val="15"/>
                <w:color w:val="auto"/>
              </w:rPr>
              <w:t>Assets</w:t>
            </w:r>
          </w:p>
        </w:tc>
        <w:tc>
          <w:tcPr>
            <w:tcW w:w="540" w:type="dxa"/>
            <w:vAlign w:val="bottom"/>
          </w:tcPr>
          <w:p>
            <w:pPr>
              <w:jc w:val="right"/>
              <w:spacing w:after="0"/>
              <w:rPr>
                <w:sz w:val="20"/>
                <w:szCs w:val="20"/>
                <w:color w:val="auto"/>
              </w:rPr>
            </w:pPr>
            <w:r>
              <w:rPr>
                <w:rFonts w:ascii="Arial" w:cs="Arial" w:eastAsia="Arial" w:hAnsi="Arial"/>
                <w:sz w:val="15"/>
                <w:szCs w:val="15"/>
                <w:color w:val="auto"/>
              </w:rPr>
              <w:t>25,880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33,541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Asset Transactions, net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Unrealized Loss (Gain) on Fuel Derivatives</w:t>
            </w:r>
          </w:p>
        </w:tc>
        <w:tc>
          <w:tcPr>
            <w:tcW w:w="540" w:type="dxa"/>
            <w:vAlign w:val="bottom"/>
          </w:tcPr>
          <w:p>
            <w:pPr>
              <w:jc w:val="right"/>
              <w:spacing w:after="0"/>
              <w:rPr>
                <w:sz w:val="20"/>
                <w:szCs w:val="20"/>
                <w:color w:val="auto"/>
              </w:rPr>
            </w:pPr>
            <w:r>
              <w:rPr>
                <w:rFonts w:ascii="Arial" w:cs="Arial" w:eastAsia="Arial" w:hAnsi="Arial"/>
                <w:sz w:val="15"/>
                <w:szCs w:val="15"/>
                <w:color w:val="auto"/>
              </w:rPr>
              <w:t>12,206</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(10,791)</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12,006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Over-market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(14,064)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(17,275)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(789)</w:t>
            </w:r>
          </w:p>
        </w:tc>
        <w:tc>
          <w:tcPr>
            <w:tcW w:w="540" w:type="dxa"/>
            <w:vAlign w:val="bottom"/>
          </w:tcPr>
          <w:p>
            <w:pPr>
              <w:jc w:val="right"/>
              <w:spacing w:after="0"/>
              <w:rPr>
                <w:sz w:val="20"/>
                <w:szCs w:val="20"/>
                <w:color w:val="auto"/>
              </w:rPr>
            </w:pPr>
            <w:r>
              <w:rPr>
                <w:rFonts w:ascii="Arial" w:cs="Arial" w:eastAsia="Arial" w:hAnsi="Arial"/>
                <w:sz w:val="15"/>
                <w:szCs w:val="15"/>
                <w:color w:val="auto"/>
              </w:rPr>
              <w:t>14,022</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Amazon Warrants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5"/>
                <w:szCs w:val="15"/>
                <w:color w:val="auto"/>
              </w:rPr>
              <w:t>2,110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1,888</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Debt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5"/>
                <w:szCs w:val="15"/>
                <w:b w:val="1"/>
                <w:bCs w:val="1"/>
                <w:color w:val="auto"/>
                <w:w w:val="98"/>
              </w:rPr>
              <w:t>Changes in Operating Assets and Liabilities: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20,732</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8,148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Due From Predecessor Parent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(7,370)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Inventory</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Prepaid Expenses</w:t>
            </w: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2,278</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(6,171)</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Lessor Maintenance Deposits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(14,193)</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540" w:type="dxa"/>
            <w:vAlign w:val="bottom"/>
          </w:tcPr>
          <w:p>
            <w:pPr>
              <w:jc w:val="right"/>
              <w:spacing w:after="0"/>
              <w:rPr>
                <w:sz w:val="20"/>
                <w:szCs w:val="20"/>
                <w:color w:val="auto"/>
              </w:rPr>
            </w:pPr>
            <w:r>
              <w:rPr>
                <w:rFonts w:ascii="Arial" w:cs="Arial" w:eastAsia="Arial" w:hAnsi="Arial"/>
                <w:sz w:val="15"/>
                <w:szCs w:val="15"/>
                <w:color w:val="auto"/>
              </w:rPr>
              <w:t>1,290</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(1,179)</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133</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(5,447)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(718)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(7,174)</w:t>
            </w:r>
          </w:p>
        </w:tc>
        <w:tc>
          <w:tcPr>
            <w:tcW w:w="540" w:type="dxa"/>
            <w:vAlign w:val="bottom"/>
          </w:tcPr>
          <w:p>
            <w:pPr>
              <w:jc w:val="right"/>
              <w:spacing w:after="0"/>
              <w:rPr>
                <w:sz w:val="20"/>
                <w:szCs w:val="20"/>
                <w:color w:val="auto"/>
              </w:rPr>
            </w:pPr>
            <w:r>
              <w:rPr>
                <w:rFonts w:ascii="Arial" w:cs="Arial" w:eastAsia="Arial" w:hAnsi="Arial"/>
                <w:sz w:val="15"/>
                <w:szCs w:val="15"/>
                <w:color w:val="auto"/>
              </w:rPr>
              <w:t>9,037</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(9,710)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5"/>
                <w:szCs w:val="15"/>
                <w:color w:val="auto"/>
              </w:rPr>
              <w:t>21,690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(7,845)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(1,868)</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(15,584)</w:t>
            </w:r>
          </w:p>
        </w:tc>
        <w:tc>
          <w:tcPr>
            <w:tcW w:w="540" w:type="dxa"/>
            <w:vAlign w:val="bottom"/>
          </w:tcPr>
          <w:p>
            <w:pPr>
              <w:jc w:val="right"/>
              <w:spacing w:after="0"/>
              <w:rPr>
                <w:sz w:val="20"/>
                <w:szCs w:val="20"/>
                <w:color w:val="auto"/>
              </w:rPr>
            </w:pPr>
            <w:r>
              <w:rPr>
                <w:rFonts w:ascii="Arial" w:cs="Arial" w:eastAsia="Arial" w:hAnsi="Arial"/>
                <w:sz w:val="15"/>
                <w:szCs w:val="15"/>
                <w:color w:val="auto"/>
              </w:rPr>
              <w:t>11,309</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33,470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(33,983)</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Loyalty Program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(823)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(5,925)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(13,216)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Obligations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(28,352)</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(34,365)</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3,635</w:t>
            </w: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(3,581)</w:t>
            </w:r>
          </w:p>
        </w:tc>
        <w:tc>
          <w:tcPr>
            <w:tcW w:w="100" w:type="dxa"/>
            <w:vAlign w:val="bottom"/>
            <w:tcBorders>
              <w:right w:val="single" w:sz="8" w:color="auto"/>
            </w:tcBorders>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(3,585)</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w w:val="94"/>
              </w:rPr>
              <w:t>Net Cash Provided by Operating Activities</w:t>
            </w:r>
          </w:p>
        </w:tc>
        <w:tc>
          <w:tcPr>
            <w:tcW w:w="54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63,272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13,764</w:t>
            </w: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Purchases of Property &amp; Equipment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(96,298)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(69,816)</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(78,687)</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(2,577)</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Property &amp;</w:t>
            </w: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 of Investments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(927)</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(3,394)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(5,372)</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47"/>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20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c>
          <w:tcPr>
            <w:tcW w:w="2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(96,028)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(69,564)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(80,823)</w:t>
            </w:r>
          </w:p>
        </w:tc>
        <w:tc>
          <w:tcPr>
            <w:tcW w:w="100" w:type="dxa"/>
            <w:vAlign w:val="bottom"/>
            <w:tcBorders>
              <w:right w:val="single" w:sz="8" w:color="auto"/>
            </w:tcBorders>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Cash Contributions from Stockholders</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47,866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Distributions to Stockholder</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-431800</wp:posOffset>
            </wp:positionV>
            <wp:extent cx="12573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-431800</wp:posOffset>
            </wp:positionV>
            <wp:extent cx="36258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-431800</wp:posOffset>
            </wp:positionV>
            <wp:extent cx="24447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248348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-1443355</wp:posOffset>
            </wp:positionV>
            <wp:extent cx="12573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-1443355</wp:posOffset>
            </wp:positionV>
            <wp:extent cx="36258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-1443355</wp:posOffset>
            </wp:positionV>
            <wp:extent cx="24447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248348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-5196840</wp:posOffset>
            </wp:positionV>
            <wp:extent cx="364871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Successor</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6"/>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4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5"/>
              </w:rPr>
              <w:t>For the Period</w:t>
            </w:r>
          </w:p>
        </w:tc>
        <w:tc>
          <w:tcPr>
            <w:tcW w:w="6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6"/>
              </w:rPr>
              <w:t>April 11, 2018 to</w:t>
            </w:r>
          </w:p>
        </w:tc>
        <w:tc>
          <w:tcPr>
            <w:tcW w:w="60" w:type="dxa"/>
            <w:vAlign w:val="bottom"/>
          </w:tcPr>
          <w:p>
            <w:pPr>
              <w:spacing w:after="0"/>
              <w:rPr>
                <w:sz w:val="4"/>
                <w:szCs w:val="4"/>
                <w:color w:val="auto"/>
              </w:rPr>
            </w:pPr>
          </w:p>
        </w:tc>
        <w:tc>
          <w:tcPr>
            <w:tcW w:w="920" w:type="dxa"/>
            <w:vAlign w:val="bottom"/>
            <w:gridSpan w:val="4"/>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Proceeds from Borrowings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265,307</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41,630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63,341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for Amazon Warrants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Repayment of Finance Lease Obligations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(89,697)</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(8,258)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(3,160)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Repayment of Borrowings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(69,906)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(10,153)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(5,854)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4"/>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Debt Issuance Costs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(4,186)</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Provided by (Used in) Financing</w:t>
            </w: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27,329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1"/>
              </w:rPr>
              <w:t>102,193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(10,680)</w:t>
            </w:r>
          </w:p>
        </w:tc>
        <w:tc>
          <w:tcPr>
            <w:tcW w:w="0" w:type="dxa"/>
            <w:vAlign w:val="bottom"/>
          </w:tcPr>
          <w:p>
            <w:pPr>
              <w:spacing w:after="0"/>
              <w:rPr>
                <w:sz w:val="1"/>
                <w:szCs w:val="1"/>
                <w:color w:val="auto"/>
              </w:rPr>
            </w:pPr>
          </w:p>
        </w:tc>
      </w:tr>
      <w:tr>
        <w:trPr>
          <w:trHeight w:val="185"/>
        </w:trPr>
        <w:tc>
          <w:tcPr>
            <w:tcW w:w="320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Net Increase / (Decrease) in Cash, Cash</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Equivalents and Restricted Cash</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5,885</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21,037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35,133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2"/>
              </w:rPr>
              <w:t>Cash, Cash Equivalents and Restricted Cash–</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Beginning of the Period</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64,478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43,441</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8,308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16,999</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w w:val="88"/>
              </w:rPr>
              <w:t>Cash, Cash Equivalents and Restricted Cash–End</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70,363</w:t>
            </w:r>
          </w:p>
        </w:tc>
        <w:tc>
          <w:tcPr>
            <w:tcW w:w="180" w:type="dxa"/>
            <w:vAlign w:val="bottom"/>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64,478</w:t>
            </w:r>
          </w:p>
        </w:tc>
        <w:tc>
          <w:tcPr>
            <w:tcW w:w="16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95"/>
              </w:rPr>
              <w:t>43,441</w:t>
            </w:r>
          </w:p>
        </w:tc>
        <w:tc>
          <w:tcPr>
            <w:tcW w:w="100" w:type="dxa"/>
            <w:vAlign w:val="bottom"/>
            <w:tcBorders>
              <w:right w:val="single" w:sz="8" w:color="auto"/>
            </w:tcBorders>
          </w:tcPr>
          <w:p>
            <w:pPr>
              <w:spacing w:after="0"/>
              <w:rPr>
                <w:sz w:val="16"/>
                <w:szCs w:val="16"/>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8,308</w:t>
            </w: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the Period</w:t>
            </w: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Supplemental information:</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Cash Payments for Interest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16,424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4,364</w:t>
            </w:r>
          </w:p>
        </w:tc>
        <w:tc>
          <w:tcPr>
            <w:tcW w:w="100" w:type="dxa"/>
            <w:vAlign w:val="bottom"/>
            <w:tcBorders>
              <w:right w:val="single" w:sz="8" w:color="auto"/>
            </w:tcBorders>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20"/>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Cash Payments for Income Taxes,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Non-cash transactions: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8"/>
              </w:rPr>
              <w:t>Lease Deposits Applied Against the Purchase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of Aircraft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Aircraft and Flight Equipment Acquired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through Finance Leases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108,978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84,773</w:t>
            </w:r>
          </w:p>
        </w:tc>
        <w:tc>
          <w:tcPr>
            <w:tcW w:w="100" w:type="dxa"/>
            <w:vAlign w:val="bottom"/>
            <w:tcBorders>
              <w:right w:val="single" w:sz="8" w:color="auto"/>
            </w:tcBorders>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Right-of-use Assets Acquired through</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Operating Leases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Purchases of Property &amp; Equipment in</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991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3,500</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-2741295</wp:posOffset>
            </wp:positionV>
            <wp:extent cx="125730"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-2741295</wp:posOffset>
            </wp:positionV>
            <wp:extent cx="341630"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-2741295</wp:posOffset>
            </wp:positionV>
            <wp:extent cx="22352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-2741295</wp:posOffset>
            </wp:positionV>
            <wp:extent cx="249745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-3662045</wp:posOffset>
            </wp:positionV>
            <wp:extent cx="364871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provides a reconciliation of Cash, Cash Equivalents and Restricted Cash to the amounts reported on the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12"/>
                <w:szCs w:val="12"/>
                <w:b w:val="1"/>
                <w:bCs w:val="1"/>
                <w:color w:val="auto"/>
                <w:w w:val="75"/>
              </w:rPr>
              <w:t>Successor</w:t>
            </w: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4"/>
            <w:vMerge w:val="restart"/>
          </w:tcPr>
          <w:p>
            <w:pPr>
              <w:jc w:val="right"/>
              <w:ind w:right="60"/>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2019</w:t>
            </w:r>
          </w:p>
        </w:tc>
        <w:tc>
          <w:tcPr>
            <w:tcW w:w="104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0"/>
              </w:rPr>
              <w:t>December 31, 2018</w:t>
            </w:r>
          </w:p>
        </w:tc>
        <w:tc>
          <w:tcPr>
            <w:tcW w:w="8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$62,028</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$51,006</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$29,600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13,841</w:t>
            </w: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w:t>
            </w: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vMerge w:val="continue"/>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$70,363</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$64,478</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$43,441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32"/>
        </w:trPr>
        <w:tc>
          <w:tcPr>
            <w:tcW w:w="26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Restricted Cash</w:t>
            </w: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-278130</wp:posOffset>
            </wp:positionV>
            <wp:extent cx="9080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-278130</wp:posOffset>
            </wp:positionV>
            <wp:extent cx="34163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-278130</wp:posOffset>
            </wp:positionV>
            <wp:extent cx="40449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-278130</wp:posOffset>
            </wp:positionV>
            <wp:extent cx="253238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3238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-557530</wp:posOffset>
            </wp:positionV>
            <wp:extent cx="10477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-557530</wp:posOffset>
            </wp:positionV>
            <wp:extent cx="11176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-557530</wp:posOffset>
            </wp:positionV>
            <wp:extent cx="238569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17"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91"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Reorganization Transactions</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94" w:lineRule="exact"/>
        <w:rPr>
          <w:sz w:val="20"/>
          <w:szCs w:val="20"/>
          <w:color w:val="auto"/>
        </w:rPr>
      </w:pPr>
    </w:p>
    <w:p>
      <w:pPr>
        <w:jc w:val="both"/>
        <w:ind w:left="1160" w:right="1379" w:firstLine="293"/>
        <w:spacing w:after="0" w:line="274" w:lineRule="auto"/>
        <w:rPr>
          <w:sz w:val="20"/>
          <w:szCs w:val="20"/>
          <w:color w:val="auto"/>
        </w:rPr>
      </w:pPr>
      <w:r>
        <w:rPr>
          <w:rFonts w:ascii="Arial" w:cs="Arial" w:eastAsia="Arial" w:hAnsi="Arial"/>
          <w:sz w:val="14"/>
          <w:szCs w:val="14"/>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89"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 $7.38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239"/>
        <w:spacing w:after="0" w:line="248" w:lineRule="auto"/>
        <w:rPr>
          <w:sz w:val="20"/>
          <w:szCs w:val="20"/>
          <w:color w:val="auto"/>
        </w:rPr>
      </w:pPr>
      <w:r>
        <w:rPr>
          <w:rFonts w:ascii="Arial" w:cs="Arial" w:eastAsia="Arial" w:hAnsi="Arial"/>
          <w:sz w:val="15"/>
          <w:szCs w:val="15"/>
          <w:color w:val="auto"/>
        </w:rPr>
        <w:t>stock issued upon exercise of the warrants and the Amazon Agreement remains in effect, Amazon will have the right to nominate a member or an observer to SCA’s board of directors.</w:t>
      </w:r>
    </w:p>
    <w:p>
      <w:pPr>
        <w:spacing w:after="0" w:line="83"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AND SUMMARY OF SIGNIFICANT ACCOUNTING POLICIES</w:t>
      </w:r>
    </w:p>
    <w:p>
      <w:pPr>
        <w:spacing w:after="0" w:line="124" w:lineRule="exact"/>
        <w:rPr>
          <w:sz w:val="20"/>
          <w:szCs w:val="20"/>
          <w:color w:val="auto"/>
        </w:rPr>
      </w:pPr>
    </w:p>
    <w:p>
      <w:pPr>
        <w:ind w:left="1160" w:right="1219" w:firstLine="293"/>
        <w:spacing w:after="0" w:line="238"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consolidated financial statements include the accounts of Sun Country</w:t>
      </w:r>
      <w:r>
        <w:rPr>
          <w:rFonts w:ascii="Arial" w:cs="Arial" w:eastAsia="Arial" w:hAnsi="Arial"/>
          <w:sz w:val="15"/>
          <w:szCs w:val="15"/>
          <w:b w:val="1"/>
          <w:bCs w:val="1"/>
          <w:color w:val="auto"/>
        </w:rPr>
        <w:t xml:space="preserve"> </w:t>
      </w:r>
      <w:r>
        <w:rPr>
          <w:rFonts w:ascii="Arial" w:cs="Arial" w:eastAsia="Arial" w:hAnsi="Arial"/>
          <w:sz w:val="15"/>
          <w:szCs w:val="15"/>
          <w:color w:val="auto"/>
        </w:rPr>
        <w:t>Airlines Holdings, Inc. and its subsidiaries and have been prepared in accordance with U.S. Generally Accepted Accounting Principles (“GAAP”). All material intercompany balances and transactions have been eliminated in consolidation.</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09" w:lineRule="exact"/>
        <w:rPr>
          <w:sz w:val="20"/>
          <w:szCs w:val="20"/>
          <w:color w:val="auto"/>
        </w:rPr>
      </w:pPr>
    </w:p>
    <w:p>
      <w:pPr>
        <w:ind w:left="1160" w:right="1199" w:firstLine="293"/>
        <w:spacing w:after="0" w:line="275" w:lineRule="auto"/>
        <w:rPr>
          <w:sz w:val="20"/>
          <w:szCs w:val="20"/>
          <w:color w:val="auto"/>
        </w:rPr>
      </w:pPr>
      <w:r>
        <w:rPr>
          <w:rFonts w:ascii="Arial" w:cs="Arial" w:eastAsia="Arial" w:hAnsi="Arial"/>
          <w:sz w:val="13"/>
          <w:szCs w:val="13"/>
          <w:b w:val="1"/>
          <w:bCs w:val="1"/>
          <w:color w:val="auto"/>
        </w:rPr>
        <w:t>Use of Estimates—</w:t>
      </w:r>
      <w:r>
        <w:rPr>
          <w:rFonts w:ascii="Arial" w:cs="Arial" w:eastAsia="Arial" w:hAnsi="Arial"/>
          <w:sz w:val="13"/>
          <w:szCs w:val="13"/>
          <w:color w:val="auto"/>
        </w:rPr>
        <w:t>Preparation of the financial statements in conformity with GAAP requires</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to make estimates and assumptions that 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75"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Change in Presentation—</w:t>
      </w:r>
      <w:r>
        <w:rPr>
          <w:rFonts w:ascii="Arial" w:cs="Arial" w:eastAsia="Arial" w:hAnsi="Arial"/>
          <w:sz w:val="15"/>
          <w:szCs w:val="15"/>
          <w:color w:val="auto"/>
        </w:rPr>
        <w:t>The Company changed the prior year presentations within the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of Cash Flows to present the change in Accrued Transportation Taxes on its own line, which was previously included in the change in Other Liabilities.</w:t>
      </w:r>
    </w:p>
    <w:p>
      <w:pPr>
        <w:spacing w:after="0" w:line="151" w:lineRule="exact"/>
        <w:rPr>
          <w:sz w:val="20"/>
          <w:szCs w:val="20"/>
          <w:color w:val="auto"/>
        </w:rPr>
      </w:pPr>
    </w:p>
    <w:p>
      <w:pPr>
        <w:ind w:left="1160" w:right="1579"/>
        <w:spacing w:after="0" w:line="254" w:lineRule="auto"/>
        <w:rPr>
          <w:sz w:val="20"/>
          <w:szCs w:val="20"/>
          <w:color w:val="auto"/>
        </w:rPr>
      </w:pPr>
      <w:r>
        <w:rPr>
          <w:rFonts w:ascii="Arial" w:cs="Arial" w:eastAsia="Arial" w:hAnsi="Arial"/>
          <w:sz w:val="15"/>
          <w:szCs w:val="15"/>
          <w:b w:val="1"/>
          <w:bCs w:val="1"/>
          <w:color w:val="auto"/>
        </w:rPr>
        <w:t>A summary of significant accounting policies consistently applied in the preparation of the accompanying financial statements is as follows:</w:t>
      </w:r>
    </w:p>
    <w:p>
      <w:pPr>
        <w:spacing w:after="0" w:line="85"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Cash and Equivalents—</w:t>
      </w:r>
      <w:r>
        <w:rPr>
          <w:rFonts w:ascii="Arial" w:cs="Arial" w:eastAsia="Arial" w:hAnsi="Arial"/>
          <w:sz w:val="15"/>
          <w:szCs w:val="15"/>
          <w:color w:val="auto"/>
        </w:rPr>
        <w:t>The Company considers all highly liquid investments with an original maturity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three months or less to be cash equivalents. The Company maintains cash balances at several financial institutions; at times, such balances may be in excess of insurance limits. The Company has not experienced any losses on these balances.</w:t>
      </w:r>
    </w:p>
    <w:p>
      <w:pPr>
        <w:spacing w:after="0" w:line="85" w:lineRule="exact"/>
        <w:rPr>
          <w:sz w:val="20"/>
          <w:szCs w:val="20"/>
          <w:color w:val="auto"/>
        </w:rPr>
      </w:pPr>
    </w:p>
    <w:p>
      <w:pPr>
        <w:jc w:val="both"/>
        <w:ind w:left="1160" w:right="1339" w:firstLine="293"/>
        <w:spacing w:after="0" w:line="236" w:lineRule="auto"/>
        <w:rPr>
          <w:sz w:val="20"/>
          <w:szCs w:val="20"/>
          <w:color w:val="auto"/>
        </w:rPr>
      </w:pPr>
      <w:r>
        <w:rPr>
          <w:rFonts w:ascii="Arial" w:cs="Arial" w:eastAsia="Arial" w:hAnsi="Arial"/>
          <w:sz w:val="15"/>
          <w:szCs w:val="15"/>
          <w:b w:val="1"/>
          <w:bCs w:val="1"/>
          <w:color w:val="auto"/>
        </w:rPr>
        <w:t>Restricted Cash—</w:t>
      </w:r>
      <w:r>
        <w:rPr>
          <w:rFonts w:ascii="Arial" w:cs="Arial" w:eastAsia="Arial" w:hAnsi="Arial"/>
          <w:sz w:val="15"/>
          <w:szCs w:val="15"/>
          <w:color w:val="auto"/>
        </w:rPr>
        <w:t>Charter revenue receipts received prior to the date of transportation are recorded as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Cash and as a component of the Air Traffic Liabilities. Department of Transportation (“DOT”) regulations require that charter revenue receipts received prior to the date of transportation are maintained in a separate third - party escrow account and the restrictions are released once transportation is provided, which is typically within 12 months of booking.</w:t>
      </w:r>
    </w:p>
    <w:p>
      <w:pPr>
        <w:spacing w:after="0" w:line="97"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color w:val="auto"/>
        </w:rPr>
        <w:t>Investments consist of certificates of deposit and are recorded at cost, plus accrued</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The certificates of deposit serve as collateral for letters of credit required by various airports and other vendors. All of the certificates have original maturities greater than 90 days.</w:t>
      </w:r>
    </w:p>
    <w:p>
      <w:pPr>
        <w:spacing w:after="0" w:line="78"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Accounts receivable are recorded at the amount due from customers and do not</w:t>
      </w:r>
      <w:r>
        <w:rPr>
          <w:rFonts w:ascii="Arial" w:cs="Arial" w:eastAsia="Arial" w:hAnsi="Arial"/>
          <w:sz w:val="15"/>
          <w:szCs w:val="15"/>
          <w:b w:val="1"/>
          <w:bCs w:val="1"/>
          <w:color w:val="auto"/>
        </w:rPr>
        <w:t xml:space="preserve"> </w:t>
      </w:r>
      <w:r>
        <w:rPr>
          <w:rFonts w:ascii="Arial" w:cs="Arial" w:eastAsia="Arial" w:hAnsi="Arial"/>
          <w:sz w:val="15"/>
          <w:szCs w:val="15"/>
          <w:color w:val="auto"/>
        </w:rPr>
        <w:t>bear interest. They consist primarily of amounts 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spacing w:after="0" w:line="274" w:lineRule="auto"/>
        <w:rPr>
          <w:sz w:val="20"/>
          <w:szCs w:val="20"/>
          <w:color w:val="auto"/>
        </w:rPr>
      </w:pPr>
      <w:r>
        <w:rPr>
          <w:rFonts w:ascii="Arial" w:cs="Arial" w:eastAsia="Arial" w:hAnsi="Arial"/>
          <w:sz w:val="14"/>
          <w:szCs w:val="14"/>
          <w:color w:val="auto"/>
        </w:rPr>
        <w:t>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74"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b w:val="1"/>
          <w:bCs w:val="1"/>
          <w:color w:val="auto"/>
        </w:rPr>
        <w:t>Lessor Maintenance Deposits—</w:t>
      </w:r>
      <w:r>
        <w:rPr>
          <w:rFonts w:ascii="Arial" w:cs="Arial" w:eastAsia="Arial" w:hAnsi="Arial"/>
          <w:sz w:val="15"/>
          <w:szCs w:val="15"/>
          <w:color w:val="auto"/>
        </w:rPr>
        <w:t>SCA’s aircraft lease agreements provide that SCA pay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monthly to aircraft lessors to be held as 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08" w:lineRule="exact"/>
        <w:rPr>
          <w:sz w:val="20"/>
          <w:szCs w:val="20"/>
          <w:color w:val="auto"/>
        </w:rPr>
      </w:pPr>
    </w:p>
    <w:p>
      <w:pPr>
        <w:ind w:left="1160" w:right="1599" w:firstLine="293"/>
        <w:spacing w:after="0" w:line="271" w:lineRule="auto"/>
        <w:rPr>
          <w:sz w:val="20"/>
          <w:szCs w:val="20"/>
          <w:color w:val="auto"/>
        </w:rPr>
      </w:pPr>
      <w:r>
        <w:rPr>
          <w:rFonts w:ascii="Arial" w:cs="Arial" w:eastAsia="Arial" w:hAnsi="Arial"/>
          <w:sz w:val="14"/>
          <w:szCs w:val="14"/>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9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1" w:lineRule="exact"/>
        <w:rPr>
          <w:sz w:val="20"/>
          <w:szCs w:val="20"/>
          <w:color w:val="auto"/>
        </w:rPr>
      </w:pPr>
    </w:p>
    <w:p>
      <w:pPr>
        <w:ind w:left="1160" w:right="1319" w:firstLine="293"/>
        <w:spacing w:after="0" w:line="271" w:lineRule="auto"/>
        <w:rPr>
          <w:sz w:val="20"/>
          <w:szCs w:val="20"/>
          <w:color w:val="auto"/>
        </w:rPr>
      </w:pPr>
      <w:r>
        <w:rPr>
          <w:rFonts w:ascii="Arial" w:cs="Arial" w:eastAsia="Arial" w:hAnsi="Arial"/>
          <w:sz w:val="14"/>
          <w:szCs w:val="14"/>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8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b w:val="1"/>
          <w:bCs w:val="1"/>
          <w:color w:val="auto"/>
        </w:rPr>
        <w:t>Inventory—</w:t>
      </w:r>
      <w:r>
        <w:rPr>
          <w:rFonts w:ascii="Arial" w:cs="Arial" w:eastAsia="Arial" w:hAnsi="Arial"/>
          <w:sz w:val="15"/>
          <w:szCs w:val="15"/>
          <w:color w:val="auto"/>
        </w:rPr>
        <w:t>Parts related to flight equipment, which cannot be economically repaired, reconditioned or</w:t>
      </w:r>
      <w:r>
        <w:rPr>
          <w:rFonts w:ascii="Arial" w:cs="Arial" w:eastAsia="Arial" w:hAnsi="Arial"/>
          <w:sz w:val="15"/>
          <w:szCs w:val="15"/>
          <w:b w:val="1"/>
          <w:bCs w:val="1"/>
          <w:color w:val="auto"/>
        </w:rPr>
        <w:t xml:space="preserve"> </w:t>
      </w:r>
      <w:r>
        <w:rPr>
          <w:rFonts w:ascii="Arial" w:cs="Arial" w:eastAsia="Arial" w:hAnsi="Arial"/>
          <w:sz w:val="15"/>
          <w:szCs w:val="15"/>
          <w:color w:val="auto"/>
        </w:rPr>
        <w:t>reused after 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105" w:lineRule="exact"/>
        <w:rPr>
          <w:sz w:val="20"/>
          <w:szCs w:val="20"/>
          <w:color w:val="auto"/>
        </w:rPr>
      </w:pPr>
    </w:p>
    <w:p>
      <w:pPr>
        <w:ind w:left="1160" w:right="1259" w:firstLine="293"/>
        <w:spacing w:after="0" w:line="257" w:lineRule="auto"/>
        <w:rPr>
          <w:sz w:val="20"/>
          <w:szCs w:val="20"/>
          <w:color w:val="auto"/>
        </w:rPr>
      </w:pPr>
      <w:r>
        <w:rPr>
          <w:rFonts w:ascii="Arial" w:cs="Arial" w:eastAsia="Arial" w:hAnsi="Arial"/>
          <w:sz w:val="15"/>
          <w:szCs w:val="15"/>
          <w:b w:val="1"/>
          <w:bCs w:val="1"/>
          <w:color w:val="auto"/>
        </w:rPr>
        <w:t>Property &amp; Equipment—</w:t>
      </w:r>
      <w:r>
        <w:rPr>
          <w:rFonts w:ascii="Arial" w:cs="Arial" w:eastAsia="Arial" w:hAnsi="Arial"/>
          <w:sz w:val="15"/>
          <w:szCs w:val="15"/>
          <w:color w:val="auto"/>
        </w:rPr>
        <w:t>Property and equipment are recorded at cost or fair value at the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and depreciated on a straight-line basis to an estimated residual value over their estimated useful lives or lease term, whichever is shorter,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ectPr>
          <w:pgSz w:w="11900" w:h="16838" w:orient="portrait"/>
          <w:cols w:equalWidth="0" w:num="1">
            <w:col w:w="9019"/>
          </w:cols>
          <w:pgMar w:left="1440" w:top="134" w:right="1440" w:bottom="1440" w:gutter="0" w:footer="0" w:header="0"/>
        </w:sectPr>
      </w:pP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Airframes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Engines—Core</w:t>
      </w:r>
    </w:p>
    <w:p>
      <w:pPr>
        <w:spacing w:after="0" w:line="25" w:lineRule="exact"/>
        <w:rPr>
          <w:sz w:val="20"/>
          <w:szCs w:val="20"/>
          <w:color w:val="auto"/>
        </w:rPr>
      </w:pPr>
    </w:p>
    <w:p>
      <w:pPr>
        <w:ind w:left="1160"/>
        <w:spacing w:after="0" w:line="300" w:lineRule="auto"/>
        <w:rPr>
          <w:sz w:val="20"/>
          <w:szCs w:val="20"/>
          <w:color w:val="auto"/>
        </w:rPr>
      </w:pPr>
      <w:r>
        <w:rPr>
          <w:rFonts w:ascii="Arial" w:cs="Arial" w:eastAsia="Arial" w:hAnsi="Arial"/>
          <w:sz w:val="14"/>
          <w:szCs w:val="14"/>
          <w:color w:val="auto"/>
        </w:rPr>
        <w:t>Engines—Initial Greentime (time remaining until the first scheduled major maintenance event)</w:t>
      </w:r>
    </w:p>
    <w:p>
      <w:pPr>
        <w:spacing w:after="0" w:line="4" w:lineRule="exact"/>
        <w:rPr>
          <w:sz w:val="20"/>
          <w:szCs w:val="20"/>
          <w:color w:val="auto"/>
        </w:rPr>
      </w:pPr>
    </w:p>
    <w:p>
      <w:pPr>
        <w:ind w:left="1160" w:right="520"/>
        <w:spacing w:after="0" w:line="305" w:lineRule="auto"/>
        <w:rPr>
          <w:sz w:val="20"/>
          <w:szCs w:val="20"/>
          <w:color w:val="auto"/>
        </w:rPr>
      </w:pPr>
      <w:r>
        <w:rPr>
          <w:rFonts w:ascii="Arial" w:cs="Arial" w:eastAsia="Arial" w:hAnsi="Arial"/>
          <w:sz w:val="15"/>
          <w:szCs w:val="15"/>
          <w:color w:val="auto"/>
        </w:rPr>
        <w:t>Leasehold Improvements, Aircraft, other Office and Ground Equipment Computer Hardware and Software</w:t>
      </w:r>
    </w:p>
    <w:p>
      <w:pPr>
        <w:spacing w:after="0" w:line="2" w:lineRule="exact"/>
        <w:rPr>
          <w:sz w:val="20"/>
          <w:szCs w:val="20"/>
          <w:color w:val="auto"/>
        </w:rPr>
      </w:pPr>
    </w:p>
    <w:p>
      <w:pPr>
        <w:ind w:left="1160" w:right="180"/>
        <w:spacing w:after="0" w:line="325" w:lineRule="auto"/>
        <w:rPr>
          <w:sz w:val="20"/>
          <w:szCs w:val="20"/>
          <w:color w:val="auto"/>
        </w:rPr>
      </w:pPr>
      <w:r>
        <w:rPr>
          <w:rFonts w:ascii="Arial" w:cs="Arial" w:eastAsia="Arial" w:hAnsi="Arial"/>
          <w:sz w:val="15"/>
          <w:szCs w:val="15"/>
          <w:color w:val="auto"/>
        </w:rPr>
        <w:t>Property and Equipment under Finance Leases Rotable Parts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10-25 years (depending on age)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 or 12 years (based on remaining cycles)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1st scheduled maintenance event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5-7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3-5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6-16 years (average remaining life of aircraft fleet)</w:t>
      </w:r>
    </w:p>
    <w:p>
      <w:pPr>
        <w:spacing w:after="0" w:line="135" w:lineRule="exact"/>
        <w:rPr>
          <w:sz w:val="20"/>
          <w:szCs w:val="20"/>
          <w:color w:val="auto"/>
        </w:rPr>
      </w:pPr>
    </w:p>
    <w:p>
      <w:pPr>
        <w:sectPr>
          <w:pgSz w:w="11900" w:h="16838" w:orient="portrait"/>
          <w:cols w:equalWidth="0" w:num="2">
            <w:col w:w="4200" w:space="400"/>
            <w:col w:w="4419"/>
          </w:cols>
          <w:pgMar w:left="1440" w:top="134" w:right="1440" w:bottom="1440" w:gutter="0" w:footer="0" w:header="0"/>
          <w:type w:val="continuous"/>
        </w:sectPr>
      </w:pPr>
    </w:p>
    <w:p>
      <w:pPr>
        <w:ind w:left="1160" w:right="1219" w:firstLine="293"/>
        <w:spacing w:after="0" w:line="236" w:lineRule="auto"/>
        <w:rPr>
          <w:sz w:val="20"/>
          <w:szCs w:val="20"/>
          <w:color w:val="auto"/>
        </w:rPr>
      </w:pPr>
      <w:r>
        <w:rPr>
          <w:rFonts w:ascii="Arial" w:cs="Arial" w:eastAsia="Arial" w:hAnsi="Arial"/>
          <w:sz w:val="15"/>
          <w:szCs w:val="15"/>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02"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Finance leases are recorded at net present value of future minimum lease payments.</w:t>
      </w:r>
    </w:p>
    <w:p>
      <w:pPr>
        <w:spacing w:after="0" w:line="124"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9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Long-lived assets, such as Property &amp; Equipment and finite-lived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 Assets are reviewed for impairment 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 -party independent appraisals, as considered necessary. No impairment losses were recognized during the years ended December 31, 2020 or 2019 or for the periods April 11, 2018 to December 31, 2018 and January 1, 2018 to April 10, 2018. See Note 3—Impact of the COVID-19 Pandemic.</w:t>
      </w:r>
    </w:p>
    <w:p>
      <w:pPr>
        <w:spacing w:after="0" w:line="78" w:lineRule="exact"/>
        <w:rPr>
          <w:sz w:val="20"/>
          <w:szCs w:val="20"/>
          <w:color w:val="auto"/>
        </w:rPr>
      </w:pPr>
    </w:p>
    <w:p>
      <w:pPr>
        <w:ind w:left="1160" w:right="1319" w:firstLine="293"/>
        <w:spacing w:after="0" w:line="238" w:lineRule="auto"/>
        <w:rPr>
          <w:sz w:val="20"/>
          <w:szCs w:val="20"/>
          <w:color w:val="auto"/>
        </w:rPr>
      </w:pPr>
      <w:r>
        <w:rPr>
          <w:rFonts w:ascii="Arial" w:cs="Arial" w:eastAsia="Arial" w:hAnsi="Arial"/>
          <w:sz w:val="15"/>
          <w:szCs w:val="15"/>
          <w:b w:val="1"/>
          <w:bCs w:val="1"/>
          <w:color w:val="auto"/>
        </w:rPr>
        <w:t>Equity Incentive Plan—</w:t>
      </w:r>
      <w:r>
        <w:rPr>
          <w:rFonts w:ascii="Arial" w:cs="Arial" w:eastAsia="Arial" w:hAnsi="Arial"/>
          <w:sz w:val="15"/>
          <w:szCs w:val="15"/>
          <w:color w:val="auto"/>
        </w:rPr>
        <w:t>The Company recognizes all employee equity- based compensation as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Consolidated Financial Statements over the requisite service period. The Company has elected to account for forfeitures as they occur, rather than forecasting the future forfeitures. See Note 11 for further information on the Equity Incentive Plan.</w:t>
      </w:r>
    </w:p>
    <w:p>
      <w:pPr>
        <w:spacing w:after="0" w:line="96" w:lineRule="exact"/>
        <w:rPr>
          <w:sz w:val="20"/>
          <w:szCs w:val="20"/>
          <w:color w:val="auto"/>
        </w:rPr>
      </w:pPr>
    </w:p>
    <w:p>
      <w:pPr>
        <w:ind w:left="1160" w:right="1299" w:firstLine="293"/>
        <w:spacing w:after="0" w:line="256" w:lineRule="auto"/>
        <w:rPr>
          <w:sz w:val="20"/>
          <w:szCs w:val="20"/>
          <w:color w:val="auto"/>
        </w:rPr>
      </w:pPr>
      <w:r>
        <w:rPr>
          <w:rFonts w:ascii="Arial" w:cs="Arial" w:eastAsia="Arial" w:hAnsi="Arial"/>
          <w:sz w:val="14"/>
          <w:szCs w:val="14"/>
          <w:b w:val="1"/>
          <w:bCs w:val="1"/>
          <w:color w:val="auto"/>
        </w:rPr>
        <w:t>Stockholders’ Equity—</w:t>
      </w:r>
      <w:r>
        <w:rPr>
          <w:rFonts w:ascii="Arial" w:cs="Arial" w:eastAsia="Arial" w:hAnsi="Arial"/>
          <w:sz w:val="14"/>
          <w:szCs w:val="14"/>
          <w:color w:val="auto"/>
        </w:rPr>
        <w:t>As of the Acquisition Date, the Company issued 5,326,755 shares of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with no par value. Also on the Acquisition 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2" w:name="page203"/>
    <w:bookmarkEnd w:id="20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91"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As of December 31, 2020, Amazon held approximately 885,052 vested warrants to acquire common stock of the Company at an exercise price of approximately $15.17 per share.</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b w:val="1"/>
          <w:bCs w:val="1"/>
          <w:color w:val="auto"/>
        </w:rPr>
        <w:t>Deferred Offering Costs—</w:t>
      </w:r>
      <w:r>
        <w:rPr>
          <w:rFonts w:ascii="Arial" w:cs="Arial" w:eastAsia="Arial" w:hAnsi="Arial"/>
          <w:sz w:val="15"/>
          <w:szCs w:val="15"/>
          <w:color w:val="auto"/>
        </w:rPr>
        <w:t>These consist of legal, accounting and other fees and costs relating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planned Initial Public Offering (“IPO”),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04" w:lineRule="exact"/>
        <w:rPr>
          <w:sz w:val="20"/>
          <w:szCs w:val="20"/>
          <w:color w:val="auto"/>
        </w:rPr>
      </w:pPr>
    </w:p>
    <w:p>
      <w:pPr>
        <w:ind w:left="1160" w:right="1239" w:firstLine="293"/>
        <w:spacing w:after="0" w:line="291" w:lineRule="auto"/>
        <w:rPr>
          <w:sz w:val="20"/>
          <w:szCs w:val="20"/>
          <w:color w:val="auto"/>
        </w:rPr>
      </w:pPr>
      <w:r>
        <w:rPr>
          <w:rFonts w:ascii="Arial" w:cs="Arial" w:eastAsia="Arial" w:hAnsi="Arial"/>
          <w:sz w:val="13"/>
          <w:szCs w:val="13"/>
          <w:b w:val="1"/>
          <w:bCs w:val="1"/>
          <w:color w:val="auto"/>
        </w:rPr>
        <w:t>Goodwill and Other Intangible Assets—</w:t>
      </w:r>
      <w:r>
        <w:rPr>
          <w:rFonts w:ascii="Arial" w:cs="Arial" w:eastAsia="Arial" w:hAnsi="Arial"/>
          <w:sz w:val="13"/>
          <w:szCs w:val="13"/>
          <w:color w:val="auto"/>
        </w:rPr>
        <w:t>Goodwill represents the excess purchase price over the</w:t>
      </w:r>
      <w:r>
        <w:rPr>
          <w:rFonts w:ascii="Arial" w:cs="Arial" w:eastAsia="Arial" w:hAnsi="Arial"/>
          <w:sz w:val="13"/>
          <w:szCs w:val="13"/>
          <w:b w:val="1"/>
          <w:bCs w:val="1"/>
          <w:color w:val="auto"/>
        </w:rPr>
        <w:t xml:space="preserve"> </w:t>
      </w:r>
      <w:r>
        <w:rPr>
          <w:rFonts w:ascii="Arial" w:cs="Arial" w:eastAsia="Arial" w:hAnsi="Arial"/>
          <w:sz w:val="13"/>
          <w:szCs w:val="13"/>
          <w:color w:val="auto"/>
        </w:rPr>
        <w:t>estimated fair value 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70" w:lineRule="exact"/>
        <w:rPr>
          <w:sz w:val="20"/>
          <w:szCs w:val="20"/>
          <w:color w:val="auto"/>
        </w:rPr>
      </w:pPr>
    </w:p>
    <w:p>
      <w:pPr>
        <w:ind w:left="1160" w:right="1379" w:firstLine="293"/>
        <w:spacing w:after="0" w:line="266" w:lineRule="auto"/>
        <w:rPr>
          <w:sz w:val="20"/>
          <w:szCs w:val="20"/>
          <w:color w:val="auto"/>
        </w:rPr>
      </w:pPr>
      <w:r>
        <w:rPr>
          <w:rFonts w:ascii="Arial" w:cs="Arial" w:eastAsia="Arial" w:hAnsi="Arial"/>
          <w:sz w:val="14"/>
          <w:szCs w:val="14"/>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97"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SCA’s tradename) or</w:t>
      </w:r>
    </w:p>
    <w:p>
      <w:pPr>
        <w:ind w:left="1160"/>
        <w:spacing w:after="0"/>
        <w:rPr>
          <w:sz w:val="20"/>
          <w:szCs w:val="20"/>
          <w:color w:val="auto"/>
        </w:rPr>
      </w:pPr>
      <w:r>
        <w:rPr>
          <w:rFonts w:ascii="Arial" w:cs="Arial" w:eastAsia="Arial" w:hAnsi="Arial"/>
          <w:sz w:val="15"/>
          <w:szCs w:val="15"/>
          <w:color w:val="auto"/>
        </w:rPr>
        <w:t>(3) projected discounted future cash flows (an income approach).</w:t>
      </w:r>
    </w:p>
    <w:p>
      <w:pPr>
        <w:spacing w:after="0" w:line="113"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87" w:lineRule="exact"/>
        <w:rPr>
          <w:sz w:val="20"/>
          <w:szCs w:val="20"/>
          <w:color w:val="auto"/>
        </w:rPr>
      </w:pPr>
    </w:p>
    <w:p>
      <w:pPr>
        <w:ind w:left="1160" w:right="1559" w:firstLine="293"/>
        <w:spacing w:after="0" w:line="269" w:lineRule="auto"/>
        <w:rPr>
          <w:sz w:val="20"/>
          <w:szCs w:val="20"/>
          <w:color w:val="auto"/>
        </w:rPr>
      </w:pPr>
      <w:r>
        <w:rPr>
          <w:rFonts w:ascii="Arial" w:cs="Arial" w:eastAsia="Arial" w:hAnsi="Arial"/>
          <w:sz w:val="15"/>
          <w:szCs w:val="15"/>
          <w:b w:val="1"/>
          <w:bCs w:val="1"/>
          <w:color w:val="auto"/>
        </w:rPr>
        <w:t>Long-term Debt—</w:t>
      </w:r>
      <w:r>
        <w:rPr>
          <w:rFonts w:ascii="Arial" w:cs="Arial" w:eastAsia="Arial" w:hAnsi="Arial"/>
          <w:sz w:val="15"/>
          <w:szCs w:val="15"/>
          <w:color w:val="auto"/>
        </w:rPr>
        <w:t>Debt finance costs are capitalized and amortized over the term of the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1"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Scheduled passenger service, charter service, and most ancillary revenues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when the passenger flight occurs. Revenues exclude amounts collected on behalf of other parties including, transportation taxes.</w:t>
      </w:r>
    </w:p>
    <w:p>
      <w:pPr>
        <w:spacing w:after="0" w:line="89"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81"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Charter revenue is recognized at the time of departure when transportation is provided.</w:t>
      </w:r>
    </w:p>
    <w:p>
      <w:pPr>
        <w:spacing w:after="0" w:line="11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92"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Loyalty Program—</w:t>
      </w:r>
      <w:r>
        <w:rPr>
          <w:rFonts w:ascii="Arial" w:cs="Arial" w:eastAsia="Arial" w:hAnsi="Arial"/>
          <w:sz w:val="14"/>
          <w:szCs w:val="14"/>
          <w:color w:val="auto"/>
        </w:rPr>
        <w:t>The Company records a liability for points earned by passengers under its Sun</w:t>
      </w:r>
      <w:r>
        <w:rPr>
          <w:rFonts w:ascii="Arial" w:cs="Arial" w:eastAsia="Arial" w:hAnsi="Arial"/>
          <w:sz w:val="14"/>
          <w:szCs w:val="14"/>
          <w:b w:val="1"/>
          <w:bCs w:val="1"/>
          <w:color w:val="auto"/>
        </w:rPr>
        <w:t xml:space="preserve"> </w:t>
      </w:r>
      <w:r>
        <w:rPr>
          <w:rFonts w:ascii="Arial" w:cs="Arial" w:eastAsia="Arial" w:hAnsi="Arial"/>
          <w:sz w:val="14"/>
          <w:szCs w:val="14"/>
          <w:color w:val="auto"/>
        </w:rPr>
        <w:t>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92"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b w:val="1"/>
          <w:bCs w:val="1"/>
          <w:color w:val="auto"/>
        </w:rPr>
        <w:t>Co-branded Credit Card Program—</w:t>
      </w:r>
      <w:r>
        <w:rPr>
          <w:rFonts w:ascii="Arial" w:cs="Arial" w:eastAsia="Arial" w:hAnsi="Arial"/>
          <w:sz w:val="15"/>
          <w:szCs w:val="15"/>
          <w:color w:val="auto"/>
        </w:rPr>
        <w:t>Under the Company’s co-branded credit card program, funds</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for the marketing of a co- branded credit card and delivery of loyalty points are accounted for as a multiple- 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jc w:val="both"/>
        <w:ind w:left="1160" w:right="1299"/>
        <w:spacing w:after="0" w:line="251" w:lineRule="auto"/>
        <w:rPr>
          <w:sz w:val="20"/>
          <w:szCs w:val="20"/>
          <w:color w:val="auto"/>
        </w:rPr>
      </w:pPr>
      <w:r>
        <w:rPr>
          <w:rFonts w:ascii="Arial" w:cs="Arial" w:eastAsia="Arial" w:hAnsi="Arial"/>
          <w:sz w:val="15"/>
          <w:szCs w:val="15"/>
          <w:color w:val="auto"/>
        </w:rPr>
        <w:t>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87" w:lineRule="exact"/>
        <w:rPr>
          <w:sz w:val="20"/>
          <w:szCs w:val="20"/>
          <w:color w:val="auto"/>
        </w:rPr>
      </w:pPr>
    </w:p>
    <w:p>
      <w:pPr>
        <w:ind w:left="1160" w:right="1199" w:firstLine="293"/>
        <w:spacing w:after="0" w:line="276" w:lineRule="auto"/>
        <w:rPr>
          <w:sz w:val="20"/>
          <w:szCs w:val="20"/>
          <w:color w:val="auto"/>
        </w:rPr>
      </w:pPr>
      <w:r>
        <w:rPr>
          <w:rFonts w:ascii="Arial" w:cs="Arial" w:eastAsia="Arial" w:hAnsi="Arial"/>
          <w:sz w:val="14"/>
          <w:szCs w:val="14"/>
          <w:b w:val="1"/>
          <w:bCs w:val="1"/>
          <w:color w:val="auto"/>
        </w:rPr>
        <w:t>Airframe and Engine Maintenance—</w:t>
      </w:r>
      <w:r>
        <w:rPr>
          <w:rFonts w:ascii="Arial" w:cs="Arial" w:eastAsia="Arial" w:hAnsi="Arial"/>
          <w:sz w:val="14"/>
          <w:szCs w:val="14"/>
          <w:color w:val="auto"/>
        </w:rPr>
        <w:t>For leased aircraft, the Company applies the expense as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method for 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87"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 condition of related parts.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90"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Deferred income taxes are recognized for the tax consequences in future years of</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differences 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91" w:lineRule="exact"/>
        <w:rPr>
          <w:sz w:val="20"/>
          <w:szCs w:val="20"/>
          <w:color w:val="auto"/>
        </w:rPr>
      </w:pPr>
    </w:p>
    <w:p>
      <w:pPr>
        <w:ind w:left="1160" w:right="1259" w:firstLine="293"/>
        <w:spacing w:after="0" w:line="298" w:lineRule="auto"/>
        <w:rPr>
          <w:sz w:val="20"/>
          <w:szCs w:val="20"/>
          <w:color w:val="auto"/>
        </w:rPr>
      </w:pPr>
      <w:r>
        <w:rPr>
          <w:rFonts w:ascii="Arial" w:cs="Arial" w:eastAsia="Arial" w:hAnsi="Arial"/>
          <w:sz w:val="13"/>
          <w:szCs w:val="13"/>
          <w:b w:val="1"/>
          <w:bCs w:val="1"/>
          <w:color w:val="auto"/>
        </w:rPr>
        <w:t>Concentration Risk—</w:t>
      </w:r>
      <w:r>
        <w:rPr>
          <w:rFonts w:ascii="Arial" w:cs="Arial" w:eastAsia="Arial" w:hAnsi="Arial"/>
          <w:sz w:val="13"/>
          <w:szCs w:val="13"/>
          <w:color w:val="auto"/>
        </w:rPr>
        <w:t>Approximately 41% of the Company’s Accounts Receivable balance as of</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2020 was due from Amazon. In addition, approximately 8% and 19% of the Company’s Accounts Receivable 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76"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Approximately 57%, 58% and 48% of the Company’s fuel purchases were made from two vendors for the years ended December 31, 2020, 2019 and 2018, respectively.</w:t>
      </w:r>
    </w:p>
    <w:p>
      <w:pPr>
        <w:spacing w:after="0" w:line="8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Company’s airline employee groups represented by unions: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Date on which</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8"/>
              </w:rPr>
              <w:t>Active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Collective Bargaining</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Employees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2"/>
              </w:rPr>
              <w:t>Agreement Becomes</w:t>
            </w:r>
          </w:p>
        </w:tc>
      </w:tr>
      <w:tr>
        <w:trPr>
          <w:trHeight w:val="150"/>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Employee Group</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Represented</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Union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Amendable</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Pilots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395</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ALPA</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31, 2020</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Sun Country Flight Attendants</w:t>
            </w:r>
          </w:p>
        </w:tc>
        <w:tc>
          <w:tcPr>
            <w:tcW w:w="600" w:type="dxa"/>
            <w:vAlign w:val="bottom"/>
          </w:tcPr>
          <w:p>
            <w:pPr>
              <w:jc w:val="right"/>
              <w:ind w:right="135"/>
              <w:spacing w:after="0"/>
              <w:rPr>
                <w:sz w:val="20"/>
                <w:szCs w:val="20"/>
                <w:color w:val="auto"/>
              </w:rPr>
            </w:pPr>
            <w:r>
              <w:rPr>
                <w:rFonts w:ascii="Arial" w:cs="Arial" w:eastAsia="Arial" w:hAnsi="Arial"/>
                <w:sz w:val="15"/>
                <w:szCs w:val="15"/>
                <w:color w:val="auto"/>
              </w:rPr>
              <w:t>466</w:t>
            </w:r>
          </w:p>
        </w:tc>
        <w:tc>
          <w:tcPr>
            <w:tcW w:w="1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IBT</w:t>
            </w:r>
          </w:p>
        </w:tc>
        <w:tc>
          <w:tcPr>
            <w:tcW w:w="1220" w:type="dxa"/>
            <w:vAlign w:val="bottom"/>
          </w:tcPr>
          <w:p>
            <w:pPr>
              <w:jc w:val="right"/>
              <w:spacing w:after="0"/>
              <w:rPr>
                <w:sz w:val="20"/>
                <w:szCs w:val="20"/>
                <w:color w:val="auto"/>
              </w:rPr>
            </w:pPr>
            <w:r>
              <w:rPr>
                <w:rFonts w:ascii="Arial" w:cs="Arial" w:eastAsia="Arial" w:hAnsi="Arial"/>
                <w:sz w:val="15"/>
                <w:szCs w:val="15"/>
                <w:color w:val="auto"/>
                <w:w w:val="91"/>
              </w:rPr>
              <w:t>December 31, 2019</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Dispatchers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TWU</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-403860</wp:posOffset>
            </wp:positionV>
            <wp:extent cx="11176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-403860</wp:posOffset>
            </wp:positionV>
            <wp:extent cx="11176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-403860</wp:posOffset>
            </wp:positionV>
            <wp:extent cx="11176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b w:val="1"/>
          <w:bCs w:val="1"/>
          <w:i w:val="1"/>
          <w:iCs w:val="1"/>
          <w:color w:val="auto"/>
        </w:rPr>
        <w:t>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02"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74"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8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Upon adoption of the standard on January 1, 2019 the Company made an adjustment to reduce Retained Earnings by $3,477.</w:t>
      </w:r>
    </w:p>
    <w:p>
      <w:pPr>
        <w:spacing w:after="0" w:line="9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b w:val="1"/>
          <w:bCs w:val="1"/>
          <w:i w:val="1"/>
          <w:iCs w:val="1"/>
          <w:color w:val="auto"/>
        </w:rPr>
        <w:t>Leases—</w:t>
      </w:r>
      <w:r>
        <w:rPr>
          <w:rFonts w:ascii="Arial" w:cs="Arial" w:eastAsia="Arial" w:hAnsi="Arial"/>
          <w:sz w:val="15"/>
          <w:szCs w:val="15"/>
          <w:color w:val="auto"/>
        </w:rPr>
        <w:t>In February 2016, the FASB issued ASU 2016-02,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(Topic 842) (“ASC 842”).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guidance, lessees are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102"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b w:val="1"/>
          <w:bCs w:val="1"/>
          <w:i w:val="1"/>
          <w:iCs w:val="1"/>
          <w:color w:val="auto"/>
        </w:rPr>
        <w:t>Capitalized Software Costs—</w:t>
      </w:r>
      <w:r>
        <w:rPr>
          <w:rFonts w:ascii="Arial" w:cs="Arial" w:eastAsia="Arial" w:hAnsi="Arial"/>
          <w:sz w:val="14"/>
          <w:szCs w:val="14"/>
          <w:color w:val="auto"/>
        </w:rPr>
        <w:t>In August 2018, the FASB issued ASU 2018- 15,</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Intangibles—Goodwill 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Other—Internal-Use Software (Subtopic 350- 40): Customer’s Accounting for Implementation Costs Incurred in a Cloud Computing Arrangement That Is a Service Contract</w:t>
      </w:r>
      <w:r>
        <w:rPr>
          <w:rFonts w:ascii="Arial" w:cs="Arial" w:eastAsia="Arial" w:hAnsi="Arial"/>
          <w:sz w:val="14"/>
          <w:szCs w:val="14"/>
          <w:color w:val="auto"/>
        </w:rPr>
        <w:t>. The update addresses when costs</w:t>
      </w:r>
      <w:r>
        <w:rPr>
          <w:rFonts w:ascii="Arial" w:cs="Arial" w:eastAsia="Arial" w:hAnsi="Arial"/>
          <w:sz w:val="14"/>
          <w:szCs w:val="14"/>
          <w:i w:val="1"/>
          <w:iCs w:val="1"/>
          <w:color w:val="auto"/>
        </w:rPr>
        <w:t xml:space="preserve"> </w:t>
      </w:r>
      <w:r>
        <w:rPr>
          <w:rFonts w:ascii="Arial" w:cs="Arial" w:eastAsia="Arial" w:hAnsi="Arial"/>
          <w:sz w:val="14"/>
          <w:szCs w:val="14"/>
          <w:color w:val="auto"/>
        </w:rPr>
        <w:t>should be capitalized rather than expensed, the term to use when amortizing capitalized costs, and how to</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39"/>
        <w:spacing w:after="0" w:line="269" w:lineRule="auto"/>
        <w:rPr>
          <w:sz w:val="20"/>
          <w:szCs w:val="20"/>
          <w:color w:val="auto"/>
        </w:rPr>
      </w:pPr>
      <w:r>
        <w:rPr>
          <w:rFonts w:ascii="Arial" w:cs="Arial" w:eastAsia="Arial" w:hAnsi="Arial"/>
          <w:sz w:val="14"/>
          <w:szCs w:val="14"/>
          <w:color w:val="auto"/>
        </w:rPr>
        <w:t>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82"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b w:val="1"/>
          <w:bCs w:val="1"/>
          <w:i w:val="1"/>
          <w:iCs w:val="1"/>
          <w:color w:val="auto"/>
        </w:rPr>
        <w:t>Non-employee Share-based Payment Accounting—</w:t>
      </w:r>
      <w:r>
        <w:rPr>
          <w:rFonts w:ascii="Arial" w:cs="Arial" w:eastAsia="Arial" w:hAnsi="Arial"/>
          <w:sz w:val="13"/>
          <w:szCs w:val="13"/>
          <w:color w:val="auto"/>
        </w:rPr>
        <w:t>In June 2018, the FASB issued ASU 2018-07</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Improvements to Non-employee Share-based Payment Accounting</w:t>
      </w:r>
      <w:r>
        <w:rPr>
          <w:rFonts w:ascii="Arial" w:cs="Arial" w:eastAsia="Arial" w:hAnsi="Arial"/>
          <w:sz w:val="13"/>
          <w:szCs w:val="13"/>
          <w:color w:val="auto"/>
        </w:rPr>
        <w:t>. ASU 2018-07 expands the scope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to share-based payments granted to non-employees for goods and services. Additionally, in November 2019, the FASB issued ASU 2019-08,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(Topic 718) and</w:t>
      </w:r>
      <w:r>
        <w:rPr>
          <w:rFonts w:ascii="Arial" w:cs="Arial" w:eastAsia="Arial" w:hAnsi="Arial"/>
          <w:sz w:val="13"/>
          <w:szCs w:val="13"/>
          <w:i w:val="1"/>
          <w:iCs w:val="1"/>
          <w:color w:val="auto"/>
        </w:rPr>
        <w:t xml:space="preserve"> Revenue from Contracts with Customers (Topic 606)</w:t>
      </w:r>
      <w:r>
        <w:rPr>
          <w:rFonts w:ascii="Arial" w:cs="Arial" w:eastAsia="Arial" w:hAnsi="Arial"/>
          <w:sz w:val="13"/>
          <w:szCs w:val="13"/>
          <w:color w:val="auto"/>
        </w:rPr>
        <w:t>, which requires entities</w:t>
      </w:r>
      <w:r>
        <w:rPr>
          <w:rFonts w:ascii="Arial" w:cs="Arial" w:eastAsia="Arial" w:hAnsi="Arial"/>
          <w:sz w:val="13"/>
          <w:szCs w:val="13"/>
          <w:i w:val="1"/>
          <w:iCs w:val="1"/>
          <w:color w:val="auto"/>
        </w:rPr>
        <w:t xml:space="preserve"> </w:t>
      </w:r>
      <w:r>
        <w:rPr>
          <w:rFonts w:ascii="Arial" w:cs="Arial" w:eastAsia="Arial" w:hAnsi="Arial"/>
          <w:sz w:val="13"/>
          <w:szCs w:val="13"/>
          <w:color w:val="auto"/>
        </w:rPr>
        <w:t>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83"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b w:val="1"/>
          <w:bCs w:val="1"/>
          <w:i w:val="1"/>
          <w:iCs w:val="1"/>
          <w:color w:val="auto"/>
        </w:rPr>
        <w:t>Changes to the Disclosure Requirements for Fair Value Measurement—</w:t>
      </w:r>
      <w:r>
        <w:rPr>
          <w:rFonts w:ascii="Arial" w:cs="Arial" w:eastAsia="Arial" w:hAnsi="Arial"/>
          <w:sz w:val="15"/>
          <w:szCs w:val="15"/>
          <w:color w:val="auto"/>
        </w:rPr>
        <w:t>In August 2018, the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Accounting Standards Board (“FASB”) issued Accounting Standards Update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Framework—Changes to the Disclosure Requirements for Fair Value Measurement</w:t>
      </w:r>
      <w:r>
        <w:rPr>
          <w:rFonts w:ascii="Arial" w:cs="Arial" w:eastAsia="Arial" w:hAnsi="Arial"/>
          <w:sz w:val="15"/>
          <w:szCs w:val="15"/>
          <w:color w:val="auto"/>
        </w:rPr>
        <w:t>. The update eliminates, adds, and modifies certain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requirements of ASU 2018-13 prospectively on January 1, 2020. The adoption of ASU 2018-13 did not have a material impact on the Company’s Consolidated Financial Statements.</w:t>
      </w:r>
    </w:p>
    <w:p>
      <w:pPr>
        <w:spacing w:after="0" w:line="109"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b w:val="1"/>
          <w:bCs w:val="1"/>
          <w:i w:val="1"/>
          <w:iCs w:val="1"/>
          <w:color w:val="auto"/>
        </w:rPr>
        <w:t>Financial Instruments—Credit Losses—</w:t>
      </w:r>
      <w:r>
        <w:rPr>
          <w:rFonts w:ascii="Arial" w:cs="Arial" w:eastAsia="Arial" w:hAnsi="Arial"/>
          <w:sz w:val="14"/>
          <w:szCs w:val="14"/>
          <w:color w:val="auto"/>
        </w:rPr>
        <w:t>In June 2016, the FASB issued ASU 2016-13,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Financial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Instruments—Credit Losses </w:t>
      </w:r>
      <w:r>
        <w:rPr>
          <w:rFonts w:ascii="Arial" w:cs="Arial" w:eastAsia="Arial" w:hAnsi="Arial"/>
          <w:sz w:val="14"/>
          <w:szCs w:val="14"/>
          <w:color w:val="auto"/>
        </w:rPr>
        <w:t>(Topic 326)</w:t>
      </w:r>
      <w:r>
        <w:rPr>
          <w:rFonts w:ascii="Arial" w:cs="Arial" w:eastAsia="Arial" w:hAnsi="Arial"/>
          <w:sz w:val="14"/>
          <w:szCs w:val="14"/>
          <w:i w:val="1"/>
          <w:iCs w:val="1"/>
          <w:color w:val="auto"/>
        </w:rPr>
        <w:t>: Measurement of Credit Losses on Financial Instruments</w:t>
      </w:r>
      <w:r>
        <w:rPr>
          <w:rFonts w:ascii="Arial" w:cs="Arial" w:eastAsia="Arial" w:hAnsi="Arial"/>
          <w:sz w:val="14"/>
          <w:szCs w:val="14"/>
          <w:color w:val="auto"/>
        </w:rPr>
        <w:t>. The</w:t>
      </w:r>
      <w:r>
        <w:rPr>
          <w:rFonts w:ascii="Arial" w:cs="Arial" w:eastAsia="Arial" w:hAnsi="Arial"/>
          <w:sz w:val="14"/>
          <w:szCs w:val="14"/>
          <w:i w:val="1"/>
          <w:iCs w:val="1"/>
          <w:color w:val="auto"/>
        </w:rPr>
        <w:t xml:space="preserve"> </w:t>
      </w:r>
      <w:r>
        <w:rPr>
          <w:rFonts w:ascii="Arial" w:cs="Arial" w:eastAsia="Arial" w:hAnsi="Arial"/>
          <w:sz w:val="14"/>
          <w:szCs w:val="14"/>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8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b w:val="1"/>
          <w:bCs w:val="1"/>
          <w:i w:val="1"/>
          <w:iCs w:val="1"/>
          <w:color w:val="auto"/>
        </w:rPr>
        <w:t>Simplifying the Test for Goodwill Impairment—</w:t>
      </w:r>
      <w:r>
        <w:rPr>
          <w:rFonts w:ascii="Arial" w:cs="Arial" w:eastAsia="Arial" w:hAnsi="Arial"/>
          <w:sz w:val="15"/>
          <w:szCs w:val="15"/>
          <w:color w:val="auto"/>
        </w:rPr>
        <w:t>In January 2017, the FASB issued ASU 2017-04,</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Simplifying the Test for Goodwill Impairment</w:t>
      </w:r>
      <w:r>
        <w:rPr>
          <w:rFonts w:ascii="Arial" w:cs="Arial" w:eastAsia="Arial" w:hAnsi="Arial"/>
          <w:sz w:val="15"/>
          <w:szCs w:val="15"/>
          <w:color w:val="auto"/>
        </w:rPr>
        <w:t>. The new standard eliminates Step 2 from the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test. An 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Issued Accounting Standards</w:t>
      </w:r>
    </w:p>
    <w:p>
      <w:pPr>
        <w:spacing w:after="0" w:line="124" w:lineRule="exact"/>
        <w:rPr>
          <w:sz w:val="20"/>
          <w:szCs w:val="20"/>
          <w:color w:val="auto"/>
        </w:rPr>
      </w:pPr>
    </w:p>
    <w:p>
      <w:pPr>
        <w:ind w:left="1160" w:right="1219" w:firstLine="293"/>
        <w:spacing w:after="0" w:line="293" w:lineRule="auto"/>
        <w:rPr>
          <w:sz w:val="20"/>
          <w:szCs w:val="20"/>
          <w:color w:val="auto"/>
        </w:rPr>
      </w:pPr>
      <w:r>
        <w:rPr>
          <w:rFonts w:ascii="Arial" w:cs="Arial" w:eastAsia="Arial" w:hAnsi="Arial"/>
          <w:sz w:val="13"/>
          <w:szCs w:val="13"/>
          <w:b w:val="1"/>
          <w:bCs w:val="1"/>
          <w:i w:val="1"/>
          <w:iCs w:val="1"/>
          <w:color w:val="auto"/>
        </w:rPr>
        <w:t>Income Taxes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Simplifying the Accounting for Income Taxes—</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a novel strain of COVID-19 was reported in Wuhan, China. COVID- 19 has since spread to almost every country in the world, including the United States. On March 11, 2020, the World Health Organization declared COVID-19 to constitute a “Public Health Emergency of International Concern” and the U.S. federal government declared COVID- 19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w:t>
      </w:r>
    </w:p>
    <w:p>
      <w:pPr>
        <w:spacing w:after="0" w:line="2" w:lineRule="exact"/>
        <w:rPr>
          <w:sz w:val="20"/>
          <w:szCs w:val="20"/>
          <w:color w:val="auto"/>
        </w:rPr>
      </w:pPr>
    </w:p>
    <w:p>
      <w:pPr>
        <w:ind w:left="1160" w:right="1319"/>
        <w:spacing w:after="0" w:line="232" w:lineRule="auto"/>
        <w:rPr>
          <w:sz w:val="20"/>
          <w:szCs w:val="20"/>
          <w:color w:val="auto"/>
        </w:rPr>
      </w:pPr>
      <w:r>
        <w:rPr>
          <w:rFonts w:ascii="Arial" w:cs="Arial" w:eastAsia="Arial" w:hAnsi="Arial"/>
          <w:sz w:val="15"/>
          <w:szCs w:val="15"/>
          <w:color w:val="auto"/>
        </w:rPr>
        <w:t>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99"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95"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8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00"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In response to COVID-19 and the reduced consumer demand, the Company has significantly reduced planned capacity for scheduled and charter services.</w:t>
      </w:r>
    </w:p>
    <w:p>
      <w:pPr>
        <w:spacing w:after="0" w:line="9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assessment as a result of COVID-19 impacts</w:t>
      </w:r>
    </w:p>
    <w:p>
      <w:pPr>
        <w:spacing w:after="0" w:line="117" w:lineRule="exact"/>
        <w:rPr>
          <w:sz w:val="20"/>
          <w:szCs w:val="20"/>
          <w:color w:val="auto"/>
        </w:rPr>
      </w:pPr>
    </w:p>
    <w:p>
      <w:pPr>
        <w:ind w:left="1160" w:right="1339" w:firstLine="293"/>
        <w:spacing w:after="0" w:line="284" w:lineRule="auto"/>
        <w:rPr>
          <w:sz w:val="20"/>
          <w:szCs w:val="20"/>
          <w:color w:val="auto"/>
        </w:rPr>
      </w:pPr>
      <w:r>
        <w:rPr>
          <w:rFonts w:ascii="Arial" w:cs="Arial" w:eastAsia="Arial" w:hAnsi="Arial"/>
          <w:sz w:val="13"/>
          <w:szCs w:val="13"/>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72"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Based on the foregoing measures that the Company has taken to improve its liquidity position, along with the $62,312 grant received from the United States Department of the Treasury under the Coronavirus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539"/>
        <w:spacing w:after="0" w:line="239" w:lineRule="auto"/>
        <w:rPr>
          <w:sz w:val="20"/>
          <w:szCs w:val="20"/>
          <w:color w:val="auto"/>
        </w:rPr>
      </w:pPr>
      <w:r>
        <w:rPr>
          <w:rFonts w:ascii="Arial" w:cs="Arial" w:eastAsia="Arial" w:hAnsi="Arial"/>
          <w:sz w:val="15"/>
          <w:szCs w:val="15"/>
          <w:color w:val="auto"/>
        </w:rPr>
        <w:t>Aid, Relief, and Economic Security Act (“CARES Act”), and the $45.0 million CARES Act Loan both received in 2020 the Company currently believes that it has sufficient liquidity to meet its near-term obligations.</w:t>
      </w:r>
    </w:p>
    <w:p>
      <w:pPr>
        <w:spacing w:after="0" w:line="89"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Impairment Consideration</w:t>
      </w:r>
    </w:p>
    <w:p>
      <w:pPr>
        <w:spacing w:after="0" w:line="128"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4"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CARES Act</w:t>
      </w:r>
    </w:p>
    <w:p>
      <w:pPr>
        <w:spacing w:after="0" w:line="117"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100"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8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89"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5"/>
          <w:szCs w:val="15"/>
          <w:color w:val="auto"/>
        </w:rPr>
        <w:t>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0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Under the CARES Act Loan Program, the Company received a $45,000 loan from the U.S. Department of the Treasury on October 26, 2020. See Note 9—Debt.</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On January 22, 2021, the Company was informed by the United States Department of the Treasury that</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it would receive a grant of $32,208 under the Payroll Support Program Extension (PSP2) under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Appropriations Act, 2021 (PSP Extension Law). The Company received $16,104 on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February 2, 2021, and anticipates receiving the remaining $16,104 prior to the end of March 2021. All funds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provided by the Treasury Department to PSP2 participants may only be used for the continuation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payment of employee salaries, wages, and benefits.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w:t>
      </w:r>
    </w:p>
    <w:p>
      <w:pPr>
        <w:spacing w:after="0" w:line="117"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102"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7" w:lineRule="exact"/>
        <w:rPr>
          <w:sz w:val="20"/>
          <w:szCs w:val="20"/>
          <w:color w:val="auto"/>
        </w:rPr>
      </w:pPr>
    </w:p>
    <w:p>
      <w:pPr>
        <w:ind w:left="1160" w:right="1339" w:firstLine="293"/>
        <w:spacing w:after="0" w:line="266" w:lineRule="auto"/>
        <w:rPr>
          <w:sz w:val="20"/>
          <w:szCs w:val="20"/>
          <w:color w:val="auto"/>
        </w:rPr>
      </w:pPr>
      <w:r>
        <w:rPr>
          <w:rFonts w:ascii="Arial" w:cs="Arial" w:eastAsia="Arial" w:hAnsi="Arial"/>
          <w:sz w:val="14"/>
          <w:szCs w:val="14"/>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60" w:lineRule="auto"/>
        <w:rPr>
          <w:sz w:val="20"/>
          <w:szCs w:val="20"/>
          <w:color w:val="auto"/>
        </w:rPr>
      </w:pPr>
      <w:r>
        <w:rPr>
          <w:rFonts w:ascii="Arial" w:cs="Arial" w:eastAsia="Arial" w:hAnsi="Arial"/>
          <w:sz w:val="14"/>
          <w:szCs w:val="14"/>
          <w:b w:val="1"/>
          <w:bCs w:val="1"/>
          <w:color w:val="auto"/>
        </w:rPr>
        <w:t>Successor—</w:t>
      </w:r>
      <w:r>
        <w:rPr>
          <w:rFonts w:ascii="Arial" w:cs="Arial" w:eastAsia="Arial" w:hAnsi="Arial"/>
          <w:sz w:val="14"/>
          <w:szCs w:val="14"/>
          <w:color w:val="auto"/>
        </w:rPr>
        <w:t>The accompanying Consolidated Financial Statements include the Successor’s assets,</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and stockholders’ equity and the related income and expenses and cash flows. SCA Acquisition Holdings, LLC had no other operating activities since its formation other than the activities presented of its acquired wholly owned subsidiary, Sun Country, Inc., f/k/a MN Airlines, LLC.</w:t>
      </w:r>
    </w:p>
    <w:p>
      <w:pPr>
        <w:spacing w:after="0" w:line="71" w:lineRule="exact"/>
        <w:rPr>
          <w:sz w:val="20"/>
          <w:szCs w:val="20"/>
          <w:color w:val="auto"/>
        </w:rPr>
      </w:pPr>
    </w:p>
    <w:p>
      <w:pPr>
        <w:jc w:val="both"/>
        <w:ind w:left="1160" w:right="1319" w:firstLine="293"/>
        <w:spacing w:after="0" w:line="238" w:lineRule="auto"/>
        <w:rPr>
          <w:sz w:val="20"/>
          <w:szCs w:val="20"/>
          <w:color w:val="auto"/>
        </w:rPr>
      </w:pPr>
      <w:r>
        <w:rPr>
          <w:rFonts w:ascii="Arial" w:cs="Arial" w:eastAsia="Arial" w:hAnsi="Arial"/>
          <w:sz w:val="15"/>
          <w:szCs w:val="15"/>
          <w:b w:val="1"/>
          <w:bCs w:val="1"/>
          <w:color w:val="auto"/>
        </w:rPr>
        <w:t>Predecessor—</w:t>
      </w:r>
      <w:r>
        <w:rPr>
          <w:rFonts w:ascii="Arial" w:cs="Arial" w:eastAsia="Arial" w:hAnsi="Arial"/>
          <w:sz w:val="15"/>
          <w:szCs w:val="15"/>
          <w:color w:val="auto"/>
        </w:rPr>
        <w:t>The accompanying Predecessor Consolidated Financial Statements include the assets,</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and equity and the related income and expenses and cash flows of Sun Country, Inc., f/k/a MN Airlines, LLC, which occurred prior to the Acquisition Date and are reported under its historical basis that existed prior to the Acquisition Date.</w:t>
      </w:r>
    </w:p>
    <w:p>
      <w:pPr>
        <w:spacing w:after="0" w:line="10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Fair value of the assets acquired and the liabilities assumed as of the Acquisition Date are as follows:</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8,308</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31,796</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5,295</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7,617</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38,511</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222,223</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104,000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17,923</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49,634</w:t>
            </w:r>
          </w:p>
        </w:tc>
      </w:tr>
      <w:tr>
        <w:trPr>
          <w:trHeight w:val="225"/>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490,188</w:t>
            </w:r>
          </w:p>
        </w:tc>
      </w:tr>
      <w:tr>
        <w:trPr>
          <w:trHeight w:val="308"/>
        </w:trPr>
        <w:tc>
          <w:tcPr>
            <w:tcW w:w="55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50,016</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9,006</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72,235</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Over-market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108,017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10,038</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Loyalty Program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37,165</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25"/>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2,758</w:t>
            </w:r>
          </w:p>
        </w:tc>
      </w:tr>
      <w:tr>
        <w:trPr>
          <w:trHeight w:val="222"/>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302,413</w:t>
            </w:r>
          </w:p>
        </w:tc>
      </w:tr>
      <w:tr>
        <w:trPr>
          <w:trHeight w:val="222"/>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Purchase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187,775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-160020</wp:posOffset>
            </wp:positionV>
            <wp:extent cx="350901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-1917700</wp:posOffset>
            </wp:positionV>
            <wp:extent cx="350901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2"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b w:val="1"/>
          <w:bCs w:val="1"/>
          <w:color w:val="auto"/>
        </w:rPr>
        <w:t>Property and Equipment—</w:t>
      </w:r>
      <w:r>
        <w:rPr>
          <w:rFonts w:ascii="Arial" w:cs="Arial" w:eastAsia="Arial" w:hAnsi="Arial"/>
          <w:sz w:val="15"/>
          <w:szCs w:val="15"/>
          <w:color w:val="auto"/>
        </w:rPr>
        <w:t>The Company acquired Property and Equipment which were valued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a combination of the cost and market 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Sun Country Airlines Tradename—</w:t>
      </w:r>
      <w:r>
        <w:rPr>
          <w:rFonts w:ascii="Arial" w:cs="Arial" w:eastAsia="Arial" w:hAnsi="Arial"/>
          <w:sz w:val="14"/>
          <w:szCs w:val="14"/>
          <w:color w:val="auto"/>
        </w:rPr>
        <w:t>The Company acquired an intangible asset of $56,000 assigned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Sun Country Airlines Tradename. Sun 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81"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color w:val="auto"/>
        </w:rPr>
        <w:t>Customer Relationships—</w:t>
      </w:r>
      <w:r>
        <w:rPr>
          <w:rFonts w:ascii="Arial" w:cs="Arial" w:eastAsia="Arial" w:hAnsi="Arial"/>
          <w:sz w:val="14"/>
          <w:szCs w:val="14"/>
          <w:color w:val="auto"/>
        </w:rPr>
        <w:t>The Company acquired an intangible asset of $48,000 representing the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of its customer relationships arising from Sun Country’s extensive charter business, including several large customers with long-term commitments for charter flights. This intangible asset was valued using the multi- 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89"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Goodwill—</w:t>
      </w:r>
      <w:r>
        <w:rPr>
          <w:rFonts w:ascii="Arial" w:cs="Arial" w:eastAsia="Arial" w:hAnsi="Arial"/>
          <w:sz w:val="15"/>
          <w:szCs w:val="15"/>
          <w:color w:val="auto"/>
        </w:rPr>
        <w:t>Goodwill, of which $132,606 was tax deductible, represents the excess of the 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fair value of the underlying net assets acquired and largely results from expected growth and improved financial results for the Company as well as an assembled workforce, which does not qualify for separate recognition.</w:t>
      </w:r>
    </w:p>
    <w:p>
      <w:pPr>
        <w:spacing w:after="0" w:line="96"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b w:val="1"/>
          <w:bCs w:val="1"/>
          <w:color w:val="auto"/>
        </w:rPr>
        <w:t>Deferred Tax Asset—</w:t>
      </w:r>
      <w:r>
        <w:rPr>
          <w:rFonts w:ascii="Arial" w:cs="Arial" w:eastAsia="Arial" w:hAnsi="Arial"/>
          <w:sz w:val="15"/>
          <w:szCs w:val="15"/>
          <w:color w:val="auto"/>
        </w:rPr>
        <w:t>The acquisition of MN Airlines, LLC was treated as an asset acquisition for U.S.</w:t>
      </w:r>
      <w:r>
        <w:rPr>
          <w:rFonts w:ascii="Arial" w:cs="Arial" w:eastAsia="Arial" w:hAnsi="Arial"/>
          <w:sz w:val="15"/>
          <w:szCs w:val="15"/>
          <w:b w:val="1"/>
          <w:bCs w:val="1"/>
          <w:color w:val="auto"/>
        </w:rPr>
        <w:t xml:space="preserve"> </w:t>
      </w:r>
      <w:r>
        <w:rPr>
          <w:rFonts w:ascii="Arial" w:cs="Arial" w:eastAsia="Arial" w:hAnsi="Arial"/>
          <w:sz w:val="15"/>
          <w:szCs w:val="15"/>
          <w:color w:val="auto"/>
        </w:rPr>
        <w:t>federal income tax purposes in which, the 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 market Liabilities. The Deferred Tax Asset has been calculated based on the expected federal and state tax rates applicable to the Company.</w:t>
      </w:r>
    </w:p>
    <w:p>
      <w:pPr>
        <w:spacing w:after="0" w:line="85"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b w:val="1"/>
          <w:bCs w:val="1"/>
          <w:color w:val="auto"/>
        </w:rPr>
        <w:t>Over-market Liabilities—</w:t>
      </w:r>
      <w:r>
        <w:rPr>
          <w:rFonts w:ascii="Arial" w:cs="Arial" w:eastAsia="Arial" w:hAnsi="Arial"/>
          <w:sz w:val="14"/>
          <w:szCs w:val="14"/>
          <w:color w:val="auto"/>
        </w:rPr>
        <w:t>The Company acquired liabilities related to its over-market lease rates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market maintenance reserve payments. 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98" w:lineRule="exact"/>
        <w:rPr>
          <w:sz w:val="20"/>
          <w:szCs w:val="20"/>
          <w:color w:val="auto"/>
        </w:rPr>
      </w:pPr>
    </w:p>
    <w:p>
      <w:pPr>
        <w:ind w:left="1160" w:right="1179" w:firstLine="293"/>
        <w:spacing w:after="0" w:line="292" w:lineRule="auto"/>
        <w:rPr>
          <w:sz w:val="20"/>
          <w:szCs w:val="20"/>
          <w:color w:val="auto"/>
        </w:rPr>
      </w:pPr>
      <w:r>
        <w:rPr>
          <w:rFonts w:ascii="Arial" w:cs="Arial" w:eastAsia="Arial" w:hAnsi="Arial"/>
          <w:sz w:val="13"/>
          <w:szCs w:val="13"/>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83" w:lineRule="exact"/>
        <w:rPr>
          <w:sz w:val="20"/>
          <w:szCs w:val="20"/>
          <w:color w:val="auto"/>
        </w:rPr>
      </w:pPr>
    </w:p>
    <w:p>
      <w:pPr>
        <w:ind w:left="1160" w:right="1279"/>
        <w:spacing w:after="0" w:line="294" w:lineRule="auto"/>
        <w:rPr>
          <w:sz w:val="20"/>
          <w:szCs w:val="20"/>
          <w:color w:val="auto"/>
        </w:rPr>
      </w:pPr>
      <w:r>
        <w:rPr>
          <w:rFonts w:ascii="Arial" w:cs="Arial" w:eastAsia="Arial" w:hAnsi="Arial"/>
          <w:sz w:val="13"/>
          <w:szCs w:val="13"/>
          <w:color w:val="auto"/>
        </w:rPr>
        <w:t>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 line basis over the remaining life of each lease.</w:t>
      </w:r>
    </w:p>
    <w:p>
      <w:pPr>
        <w:spacing w:after="0" w:line="73" w:lineRule="exact"/>
        <w:rPr>
          <w:sz w:val="20"/>
          <w:szCs w:val="20"/>
          <w:color w:val="auto"/>
        </w:rPr>
      </w:pPr>
    </w:p>
    <w:p>
      <w:pPr>
        <w:ind w:left="1160" w:right="1319" w:firstLine="293"/>
        <w:spacing w:after="0" w:line="272" w:lineRule="auto"/>
        <w:rPr>
          <w:sz w:val="20"/>
          <w:szCs w:val="20"/>
          <w:color w:val="auto"/>
        </w:rPr>
      </w:pPr>
      <w:r>
        <w:rPr>
          <w:rFonts w:ascii="Arial" w:cs="Arial" w:eastAsia="Arial" w:hAnsi="Arial"/>
          <w:sz w:val="15"/>
          <w:szCs w:val="15"/>
          <w:b w:val="1"/>
          <w:bCs w:val="1"/>
          <w:color w:val="auto"/>
        </w:rPr>
        <w:t>Loyalty Program Liabilities—</w:t>
      </w:r>
      <w:r>
        <w:rPr>
          <w:rFonts w:ascii="Arial" w:cs="Arial" w:eastAsia="Arial" w:hAnsi="Arial"/>
          <w:sz w:val="15"/>
          <w:szCs w:val="15"/>
          <w:color w:val="auto"/>
        </w:rPr>
        <w:t>The Company acquired liabilities related to loyalty program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These liabilities were adjusted to their fair value based on stated redemption rates as of the Acquisition Date, less estimated breakage.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w:t>
      </w:r>
    </w:p>
    <w:p>
      <w:pPr>
        <w:spacing w:after="0" w:line="128"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Scheduled service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$193,047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$396,113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$224,507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$132,234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5"/>
                <w:szCs w:val="15"/>
                <w:color w:val="auto"/>
              </w:rPr>
              <w:t>Charter service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98,130</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174,562</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111,317</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40,663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68,055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118,158</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Passenger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359,232</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688,833</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172,897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Cargo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41,065</w:t>
            </w:r>
          </w:p>
        </w:tc>
        <w:tc>
          <w:tcPr>
            <w:tcW w:w="100" w:type="dxa"/>
            <w:vAlign w:val="bottom"/>
            <w:tcBorders>
              <w:right w:val="single" w:sz="8" w:color="auto"/>
            </w:tcBorders>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15,670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12,551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8,042</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-1213485</wp:posOffset>
            </wp:positionV>
            <wp:extent cx="10477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-1213485</wp:posOffset>
            </wp:positionV>
            <wp:extent cx="11176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-1213485</wp:posOffset>
            </wp:positionV>
            <wp:extent cx="11176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-1213485</wp:posOffset>
            </wp:positionV>
            <wp:extent cx="5588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classification of Ancillary changed as a result of the adoption of ASC 606.</w:t>
      </w:r>
    </w:p>
    <w:p>
      <w:pPr>
        <w:spacing w:after="0" w:line="135" w:lineRule="exact"/>
        <w:rPr>
          <w:sz w:val="20"/>
          <w:szCs w:val="20"/>
          <w:color w:val="auto"/>
        </w:rPr>
      </w:pPr>
    </w:p>
    <w:p>
      <w:pPr>
        <w:ind w:left="1160" w:right="1379" w:firstLine="293"/>
        <w:spacing w:after="0" w:line="300" w:lineRule="auto"/>
        <w:rPr>
          <w:sz w:val="20"/>
          <w:szCs w:val="20"/>
          <w:color w:val="auto"/>
        </w:rPr>
      </w:pPr>
      <w:r>
        <w:rPr>
          <w:rFonts w:ascii="Arial" w:cs="Arial" w:eastAsia="Arial" w:hAnsi="Arial"/>
          <w:sz w:val="14"/>
          <w:szCs w:val="14"/>
          <w:color w:val="auto"/>
        </w:rPr>
        <w:t>The Company attributes and measures its Operating Revenue by geographic region as defined by the DOT for airline reporting based upon the origin of each passenger and cargo flight segment.</w:t>
      </w:r>
    </w:p>
    <w:p>
      <w:pPr>
        <w:spacing w:after="0" w:line="70"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Domestic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$382,463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$666,332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$368,456</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$173,995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5"/>
                <w:szCs w:val="15"/>
                <w:color w:val="auto"/>
              </w:rPr>
              <w:t>Latin America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18,515</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33,716</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15,628</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23,003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1,336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847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40" w:type="dxa"/>
            <w:vAlign w:val="bottom"/>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-585470</wp:posOffset>
            </wp:positionV>
            <wp:extent cx="10477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-585470</wp:posOffset>
            </wp:positionV>
            <wp:extent cx="11176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-585470</wp:posOffset>
            </wp:positionV>
            <wp:extent cx="11176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-585470</wp:posOffset>
            </wp:positionV>
            <wp:extent cx="5588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28" w:lineRule="exact"/>
        <w:rPr>
          <w:sz w:val="20"/>
          <w:szCs w:val="20"/>
          <w:color w:val="auto"/>
        </w:rPr>
      </w:pPr>
    </w:p>
    <w:p>
      <w:pPr>
        <w:ind w:left="1160" w:right="1299" w:firstLine="293"/>
        <w:spacing w:after="0" w:line="311" w:lineRule="auto"/>
        <w:rPr>
          <w:sz w:val="20"/>
          <w:szCs w:val="20"/>
          <w:color w:val="auto"/>
        </w:rPr>
      </w:pPr>
      <w:r>
        <w:rPr>
          <w:rFonts w:ascii="Arial" w:cs="Arial" w:eastAsia="Arial" w:hAnsi="Arial"/>
          <w:sz w:val="13"/>
          <w:szCs w:val="13"/>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56"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9"/>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08"/>
        </w:trPr>
        <w:tc>
          <w:tcPr>
            <w:tcW w:w="4780" w:type="dxa"/>
            <w:vAlign w:val="bottom"/>
            <w:gridSpan w:val="2"/>
          </w:tcPr>
          <w:p>
            <w:pPr>
              <w:spacing w:after="0"/>
              <w:rPr>
                <w:sz w:val="20"/>
                <w:szCs w:val="20"/>
                <w:color w:val="auto"/>
              </w:rPr>
            </w:pPr>
            <w:r>
              <w:rPr>
                <w:rFonts w:ascii="Arial" w:cs="Arial" w:eastAsia="Arial" w:hAnsi="Arial"/>
                <w:sz w:val="15"/>
                <w:szCs w:val="15"/>
                <w:color w:val="auto"/>
              </w:rPr>
              <w:t>Costs to fulfill contract with Amazon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3,614</w:t>
            </w:r>
          </w:p>
        </w:tc>
        <w:tc>
          <w:tcPr>
            <w:tcW w:w="18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2"/>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 Traffic Liabilities . . . . . . . . . . . . . . . . . .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116,660</w:t>
            </w:r>
          </w:p>
        </w:tc>
      </w:tr>
      <w:tr>
        <w:trPr>
          <w:trHeight w:val="209"/>
        </w:trPr>
        <w:tc>
          <w:tcPr>
            <w:tcW w:w="4780" w:type="dxa"/>
            <w:vAlign w:val="bottom"/>
            <w:gridSpan w:val="2"/>
          </w:tcPr>
          <w:p>
            <w:pPr>
              <w:spacing w:after="0"/>
              <w:rPr>
                <w:sz w:val="20"/>
                <w:szCs w:val="20"/>
                <w:color w:val="auto"/>
              </w:rPr>
            </w:pPr>
            <w:r>
              <w:rPr>
                <w:rFonts w:ascii="Arial" w:cs="Arial" w:eastAsia="Arial" w:hAnsi="Arial"/>
                <w:sz w:val="15"/>
                <w:szCs w:val="15"/>
                <w:color w:val="auto"/>
              </w:rPr>
              <w:t>Loyalty Program Liabilities . . .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22,892</w:t>
            </w:r>
          </w:p>
        </w:tc>
      </w:tr>
      <w:tr>
        <w:trPr>
          <w:trHeight w:val="21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Amazon Deferred Start-up Costs Payments Received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r>
      <w:tr>
        <w:trPr>
          <w:trHeight w:val="21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Total Contract Liabilities . . . . .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128,384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141,185</w:t>
            </w: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-927100</wp:posOffset>
            </wp:positionV>
            <wp:extent cx="11176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-927100</wp:posOffset>
            </wp:positionV>
            <wp:extent cx="5588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9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a pro-rata basis over the initial six years of the Amazon Agreement. For the year ended December 31, 2020, $393 has been amortized into Cargo revenue.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Balance—December 31, 2018 . . . . . . . . . . . . . . . . . . . . . . .</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$ 23,950</w:t>
            </w:r>
          </w:p>
        </w:tc>
        <w:tc>
          <w:tcPr>
            <w:tcW w:w="60" w:type="dxa"/>
            <w:vAlign w:val="bottom"/>
          </w:tcPr>
          <w:p>
            <w:pPr>
              <w:spacing w:after="0"/>
              <w:rPr>
                <w:sz w:val="17"/>
                <w:szCs w:val="17"/>
                <w:color w:val="auto"/>
              </w:rPr>
            </w:pPr>
          </w:p>
        </w:tc>
      </w:tr>
      <w:tr>
        <w:trPr>
          <w:trHeight w:val="214"/>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ASC 606 adoption adjustment (January 1, 2019) . . . . . . .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4,867</w:t>
            </w:r>
          </w:p>
        </w:tc>
        <w:tc>
          <w:tcPr>
            <w:tcW w:w="60" w:type="dxa"/>
            <w:vAlign w:val="bottom"/>
          </w:tcPr>
          <w:p>
            <w:pPr>
              <w:spacing w:after="0"/>
              <w:rPr>
                <w:sz w:val="18"/>
                <w:szCs w:val="18"/>
                <w:color w:val="auto"/>
              </w:rPr>
            </w:pPr>
          </w:p>
        </w:tc>
      </w:tr>
      <w:tr>
        <w:trPr>
          <w:trHeight w:val="205"/>
        </w:trPr>
        <w:tc>
          <w:tcPr>
            <w:tcW w:w="300" w:type="dxa"/>
            <w:vAlign w:val="bottom"/>
          </w:tcPr>
          <w:p>
            <w:pPr>
              <w:spacing w:after="0"/>
              <w:rPr>
                <w:sz w:val="17"/>
                <w:szCs w:val="17"/>
                <w:color w:val="auto"/>
              </w:rPr>
            </w:pPr>
          </w:p>
        </w:tc>
        <w:tc>
          <w:tcPr>
            <w:tcW w:w="48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Balance—January 1 . . . . . . . . . . . . . . . . . . . . . . . . . . . . . .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$ 28,817</w:t>
            </w:r>
          </w:p>
        </w:tc>
        <w:tc>
          <w:tcPr>
            <w:tcW w:w="60" w:type="dxa"/>
            <w:vAlign w:val="bottom"/>
          </w:tcPr>
          <w:p>
            <w:pPr>
              <w:spacing w:after="0"/>
              <w:rPr>
                <w:sz w:val="17"/>
                <w:szCs w:val="17"/>
                <w:color w:val="auto"/>
              </w:rPr>
            </w:pPr>
          </w:p>
        </w:tc>
      </w:tr>
      <w:tr>
        <w:trPr>
          <w:trHeight w:val="209"/>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Loyalty Points Earned . . . . . . . . . . . . . . . . . . . . . . . . . . . . .</w:t>
            </w:r>
          </w:p>
        </w:tc>
        <w:tc>
          <w:tcPr>
            <w:tcW w:w="480" w:type="dxa"/>
            <w:vAlign w:val="bottom"/>
          </w:tcPr>
          <w:p>
            <w:pPr>
              <w:jc w:val="right"/>
              <w:spacing w:after="0"/>
              <w:rPr>
                <w:sz w:val="20"/>
                <w:szCs w:val="20"/>
                <w:color w:val="auto"/>
              </w:rPr>
            </w:pPr>
            <w:r>
              <w:rPr>
                <w:rFonts w:ascii="Arial" w:cs="Arial" w:eastAsia="Arial" w:hAnsi="Arial"/>
                <w:sz w:val="15"/>
                <w:szCs w:val="15"/>
                <w:color w:val="auto"/>
              </w:rPr>
              <w:t>4,015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6,483</w:t>
            </w:r>
          </w:p>
        </w:tc>
        <w:tc>
          <w:tcPr>
            <w:tcW w:w="60" w:type="dxa"/>
            <w:vAlign w:val="bottom"/>
          </w:tcPr>
          <w:p>
            <w:pPr>
              <w:spacing w:after="0"/>
              <w:rPr>
                <w:sz w:val="18"/>
                <w:szCs w:val="18"/>
                <w:color w:val="auto"/>
              </w:rPr>
            </w:pPr>
          </w:p>
        </w:tc>
      </w:tr>
      <w:tr>
        <w:trPr>
          <w:trHeight w:val="231"/>
        </w:trPr>
        <w:tc>
          <w:tcPr>
            <w:tcW w:w="300" w:type="dxa"/>
            <w:vAlign w:val="bottom"/>
          </w:tcPr>
          <w:p>
            <w:pPr>
              <w:spacing w:after="0"/>
              <w:rPr>
                <w:sz w:val="20"/>
                <w:szCs w:val="20"/>
                <w:color w:val="auto"/>
              </w:rPr>
            </w:pPr>
          </w:p>
        </w:tc>
        <w:tc>
          <w:tcPr>
            <w:tcW w:w="4880" w:type="dxa"/>
            <w:vAlign w:val="bottom"/>
            <w:tcBorders>
              <w:right w:val="single" w:sz="8" w:color="CCEEFF"/>
            </w:tcBorders>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 . . . . .</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(4,838)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(12,408)</w:t>
            </w:r>
          </w:p>
        </w:tc>
        <w:tc>
          <w:tcPr>
            <w:tcW w:w="6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Balance—December 31 . . . . . . . . . . . . . . . . . . . . . . . . . . .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$22,069</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$ 22,892</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-662305</wp:posOffset>
            </wp:positionV>
            <wp:extent cx="352298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52298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-941070</wp:posOffset>
            </wp:positionV>
            <wp:extent cx="351599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68" w:lineRule="exact"/>
        <w:rPr>
          <w:sz w:val="20"/>
          <w:szCs w:val="20"/>
          <w:color w:val="auto"/>
        </w:rPr>
      </w:pPr>
    </w:p>
    <w:p>
      <w:pPr>
        <w:ind w:left="1460" w:right="1199" w:hanging="296"/>
        <w:spacing w:after="0" w:line="266" w:lineRule="auto"/>
        <w:tabs>
          <w:tab w:leader="none" w:pos="14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7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w:t>
      </w:r>
    </w:p>
    <w:p>
      <w:pPr>
        <w:spacing w:after="0" w:line="128" w:lineRule="exact"/>
        <w:rPr>
          <w:sz w:val="20"/>
          <w:szCs w:val="20"/>
          <w:color w:val="auto"/>
        </w:rPr>
      </w:pPr>
    </w:p>
    <w:p>
      <w:pPr>
        <w:ind w:left="1160" w:right="1439" w:firstLine="293"/>
        <w:spacing w:after="0" w:line="300" w:lineRule="auto"/>
        <w:rPr>
          <w:sz w:val="20"/>
          <w:szCs w:val="20"/>
          <w:color w:val="auto"/>
        </w:rPr>
      </w:pPr>
      <w:r>
        <w:rPr>
          <w:rFonts w:ascii="Arial" w:cs="Arial" w:eastAsia="Arial" w:hAnsi="Arial"/>
          <w:sz w:val="14"/>
          <w:szCs w:val="14"/>
          <w:color w:val="auto"/>
        </w:rPr>
        <w:t>Basic earnings per share, which excludes dilution, is computed by dividing Net Income available to common stockholders by the weighted average number of common shares outstanding for the period.</w:t>
      </w:r>
    </w:p>
    <w:p>
      <w:pPr>
        <w:spacing w:after="0" w:line="7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4"/>
              </w:rPr>
              <w:t>April 11, 2018 to</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15"/>
                <w:szCs w:val="15"/>
                <w:color w:val="auto"/>
              </w:rPr>
              <w:t>Net income / (Loss) . . . . . . . . . . . .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Denominator:</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Outstanding—Basic . . . . . . . . . . .</w:t>
            </w: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Dilutive effects of Warrants . . . . . . .</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Dilutive effect of Stock Options and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160"/>
              <w:spacing w:after="0"/>
              <w:rPr>
                <w:sz w:val="20"/>
                <w:szCs w:val="20"/>
                <w:color w:val="auto"/>
              </w:rPr>
            </w:pPr>
            <w:r>
              <w:rPr>
                <w:rFonts w:ascii="Arial" w:cs="Arial" w:eastAsia="Arial" w:hAnsi="Arial"/>
                <w:sz w:val="15"/>
                <w:szCs w:val="15"/>
                <w:color w:val="auto"/>
              </w:rPr>
              <w:t>Warrants</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w:t>
            </w:r>
          </w:p>
        </w:tc>
        <w:tc>
          <w:tcPr>
            <w:tcW w:w="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1,136,375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Pr>
          <w:p>
            <w:pPr>
              <w:ind w:left="440"/>
              <w:spacing w:after="0"/>
              <w:rPr>
                <w:sz w:val="20"/>
                <w:szCs w:val="20"/>
                <w:color w:val="auto"/>
              </w:rPr>
            </w:pPr>
            <w:r>
              <w:rPr>
                <w:rFonts w:ascii="Arial" w:cs="Arial" w:eastAsia="Arial" w:hAnsi="Arial"/>
                <w:sz w:val="15"/>
                <w:szCs w:val="15"/>
                <w:color w:val="auto"/>
              </w:rPr>
              <w:t>Outstanding—Diluted . . . . . . . . . .</w:t>
            </w:r>
          </w:p>
        </w:tc>
        <w:tc>
          <w:tcPr>
            <w:tcW w:w="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earnings / (loss) per share . . .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5"/>
                <w:szCs w:val="15"/>
                <w:color w:val="auto"/>
              </w:rPr>
              <w:t>Diluted earnings / (loss) per share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-292100</wp:posOffset>
            </wp:positionV>
            <wp:extent cx="3492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-292100</wp:posOffset>
            </wp:positionV>
            <wp:extent cx="20256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-292100</wp:posOffset>
            </wp:positionV>
            <wp:extent cx="17462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-292100</wp:posOffset>
            </wp:positionV>
            <wp:extent cx="237871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-585470</wp:posOffset>
            </wp:positionV>
            <wp:extent cx="3492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-585470</wp:posOffset>
            </wp:positionV>
            <wp:extent cx="20256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-585470</wp:posOffset>
            </wp:positionV>
            <wp:extent cx="17462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37871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-1722755</wp:posOffset>
            </wp:positionV>
            <wp:extent cx="10477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-1722755</wp:posOffset>
            </wp:positionV>
            <wp:extent cx="11176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-1722755</wp:posOffset>
            </wp:positionV>
            <wp:extent cx="11176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-1722755</wp:posOffset>
            </wp:positionV>
            <wp:extent cx="5588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19" w:hanging="296"/>
        <w:spacing w:after="0" w:line="248" w:lineRule="auto"/>
        <w:tabs>
          <w:tab w:leader="none" w:pos="14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94" w:lineRule="exact"/>
        <w:rPr>
          <w:sz w:val="20"/>
          <w:szCs w:val="20"/>
          <w:color w:val="auto"/>
        </w:rPr>
      </w:pPr>
    </w:p>
    <w:p>
      <w:pPr>
        <w:ind w:left="1160" w:right="129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138"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5"/>
          <w:szCs w:val="15"/>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18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w:t>
      </w:r>
    </w:p>
    <w:p>
      <w:pPr>
        <w:spacing w:after="0" w:line="17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During the year ended December 31, 2020, the Company purchased nine aircraft and a spare engine.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See Note 10 for further information on leased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tables summarize the Company’s aircraft fleet activity for the years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2020 and 2019, respectively:</w:t>
      </w:r>
    </w:p>
    <w:p>
      <w:pPr>
        <w:spacing w:after="0" w:line="12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97"/>
        </w:trPr>
        <w:tc>
          <w:tcPr>
            <w:tcW w:w="2540" w:type="dxa"/>
            <w:vAlign w:val="bottom"/>
          </w:tcPr>
          <w:p>
            <w:pPr>
              <w:ind w:left="140"/>
              <w:spacing w:after="0"/>
              <w:rPr>
                <w:sz w:val="20"/>
                <w:szCs w:val="20"/>
                <w:color w:val="auto"/>
              </w:rPr>
            </w:pPr>
            <w:r>
              <w:rPr>
                <w:rFonts w:ascii="Arial" w:cs="Arial" w:eastAsia="Arial" w:hAnsi="Arial"/>
                <w:sz w:val="15"/>
                <w:szCs w:val="15"/>
                <w:color w:val="auto"/>
              </w:rPr>
              <w:t>Owned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24"/>
                <w:szCs w:val="24"/>
                <w:color w:val="auto"/>
              </w:rPr>
            </w:pPr>
          </w:p>
        </w:tc>
      </w:tr>
      <w:tr>
        <w:trPr>
          <w:trHeight w:val="209"/>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r>
      <w:tr>
        <w:trPr>
          <w:trHeight w:val="209"/>
        </w:trPr>
        <w:tc>
          <w:tcPr>
            <w:tcW w:w="2540" w:type="dxa"/>
            <w:vAlign w:val="bottom"/>
          </w:tcPr>
          <w:p>
            <w:pPr>
              <w:ind w:left="140"/>
              <w:spacing w:after="0"/>
              <w:rPr>
                <w:sz w:val="20"/>
                <w:szCs w:val="20"/>
                <w:color w:val="auto"/>
              </w:rPr>
            </w:pPr>
            <w:r>
              <w:rPr>
                <w:rFonts w:ascii="Arial" w:cs="Arial" w:eastAsia="Arial" w:hAnsi="Arial"/>
                <w:sz w:val="15"/>
                <w:szCs w:val="15"/>
                <w:color w:val="auto"/>
              </w:rPr>
              <w:t>Operating leases .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18"/>
                <w:szCs w:val="18"/>
                <w:color w:val="auto"/>
              </w:rPr>
            </w:pPr>
          </w:p>
        </w:tc>
      </w:tr>
      <w:tr>
        <w:trPr>
          <w:trHeight w:val="214"/>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Seasonal leases . .</w:t>
            </w: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79"/>
              </w:rPr>
              <w:t>—</w:t>
            </w: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5"/>
        </w:trPr>
        <w:tc>
          <w:tcPr>
            <w:tcW w:w="254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31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(9)</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7"/>
                <w:szCs w:val="17"/>
                <w:color w:val="auto"/>
              </w:rPr>
            </w:pPr>
          </w:p>
        </w:tc>
      </w:tr>
      <w:tr>
        <w:trPr>
          <w:trHeight w:val="21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Cargo Aircraft Operated for Amazon</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5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12</w:t>
            </w:r>
          </w:p>
        </w:tc>
        <w:tc>
          <w:tcPr>
            <w:tcW w:w="380" w:type="dxa"/>
            <w:vAlign w:val="bottom"/>
            <w:tcBorders>
              <w:bottom w:val="single" w:sz="8" w:color="CCEEFF"/>
            </w:tcBorders>
            <w:shd w:val="clear" w:color="auto" w:fill="CCEEFF"/>
          </w:tcPr>
          <w:p>
            <w:pPr>
              <w:spacing w:after="0"/>
              <w:rPr>
                <w:sz w:val="18"/>
                <w:szCs w:val="18"/>
                <w:color w:val="auto"/>
              </w:rPr>
            </w:pPr>
          </w:p>
        </w:tc>
      </w:tr>
      <w:tr>
        <w:trPr>
          <w:trHeight w:val="216"/>
        </w:trPr>
        <w:tc>
          <w:tcPr>
            <w:tcW w:w="254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8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-1185545</wp:posOffset>
            </wp:positionV>
            <wp:extent cx="11176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-1185545</wp:posOffset>
            </wp:positionV>
            <wp:extent cx="11176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-1185545</wp:posOffset>
            </wp:positionV>
            <wp:extent cx="242760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56" w:lineRule="exact"/>
        <w:rPr>
          <w:sz w:val="20"/>
          <w:szCs w:val="20"/>
          <w:color w:val="auto"/>
        </w:rPr>
      </w:pPr>
    </w:p>
    <w:p>
      <w:pPr>
        <w:ind w:left="1160" w:right="1199" w:firstLine="293"/>
        <w:spacing w:after="0" w:line="311" w:lineRule="auto"/>
        <w:rPr>
          <w:sz w:val="20"/>
          <w:szCs w:val="20"/>
          <w:color w:val="auto"/>
        </w:rPr>
      </w:pPr>
      <w:r>
        <w:rPr>
          <w:rFonts w:ascii="Arial" w:cs="Arial" w:eastAsia="Arial" w:hAnsi="Arial"/>
          <w:sz w:val="13"/>
          <w:szCs w:val="13"/>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67"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In addition to the nine purchases discussed above, the Company refinanced three previously owned aircraft in January 2020 utilizing equipment trust certificates (see Note 9).</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12 cargo aircraft added during 2020 relate to the Amazon Agreement (see Note 1).</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2018</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Owned</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7"/>
                <w:szCs w:val="17"/>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Finance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8"/>
                <w:szCs w:val="18"/>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380" w:type="dxa"/>
            <w:vAlign w:val="bottom"/>
            <w:shd w:val="clear" w:color="auto" w:fill="CCEEFF"/>
          </w:tcPr>
          <w:p>
            <w:pPr>
              <w:spacing w:after="0"/>
              <w:rPr>
                <w:sz w:val="18"/>
                <w:szCs w:val="18"/>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Seasonal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18"/>
                <w:szCs w:val="18"/>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38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-683260</wp:posOffset>
            </wp:positionV>
            <wp:extent cx="11176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-683260</wp:posOffset>
            </wp:positionV>
            <wp:extent cx="11176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242760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56"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102" w:lineRule="exact"/>
        <w:rPr>
          <w:sz w:val="20"/>
          <w:szCs w:val="20"/>
          <w:color w:val="auto"/>
        </w:rPr>
      </w:pPr>
    </w:p>
    <w:p>
      <w:pPr>
        <w:jc w:val="both"/>
        <w:ind w:left="1160" w:right="1419" w:firstLine="293"/>
        <w:spacing w:after="0" w:line="341" w:lineRule="auto"/>
        <w:rPr>
          <w:sz w:val="20"/>
          <w:szCs w:val="20"/>
          <w:color w:val="auto"/>
        </w:rPr>
      </w:pPr>
      <w:r>
        <w:rPr>
          <w:rFonts w:ascii="Arial" w:cs="Arial" w:eastAsia="Arial" w:hAnsi="Arial"/>
          <w:sz w:val="13"/>
          <w:szCs w:val="13"/>
          <w:color w:val="auto"/>
        </w:rPr>
        <w:t>Also, in December 2019, the Company amended an operating lease, which converted it to a finance lease. Lastly, one of the Company’s operating leases expired in August 2019 and two in December 2019.</w:t>
      </w:r>
    </w:p>
    <w:p>
      <w:pPr>
        <w:spacing w:after="0" w:line="48"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7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83" w:lineRule="exact"/>
        <w:rPr>
          <w:sz w:val="20"/>
          <w:szCs w:val="20"/>
          <w:color w:val="auto"/>
        </w:rPr>
      </w:pPr>
    </w:p>
    <w:p>
      <w:pPr>
        <w:ind w:left="1160" w:right="1759" w:firstLine="293"/>
        <w:spacing w:after="0" w:line="283" w:lineRule="auto"/>
        <w:rPr>
          <w:sz w:val="20"/>
          <w:szCs w:val="20"/>
          <w:color w:val="auto"/>
        </w:rPr>
      </w:pPr>
      <w:r>
        <w:rPr>
          <w:rFonts w:ascii="Arial" w:cs="Arial" w:eastAsia="Arial" w:hAnsi="Arial"/>
          <w:sz w:val="14"/>
          <w:szCs w:val="14"/>
          <w:color w:val="auto"/>
        </w:rPr>
        <w:t>Depreciation expense on Owned Assets and amortization expense on Finance Lease Assets are classified in Depreciation and Amortization on the Consolidated Statements of Operations.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GOODWILL AND OTHER INTANGIBLE ASSETS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Components of Goodwill and Other Intangible Assets were as follows: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6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3"/>
              </w:rPr>
              <w:t>(10,890)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93,110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$315,333</w:t>
            </w:r>
          </w:p>
        </w:tc>
        <w:tc>
          <w:tcPr>
            <w:tcW w:w="40" w:type="dxa"/>
            <w:vAlign w:val="bottom"/>
            <w:shd w:val="clear" w:color="auto" w:fill="CCEEFF"/>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8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97,110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$(6,890)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$319,333</w:t>
            </w:r>
          </w:p>
        </w:tc>
        <w:tc>
          <w:tcPr>
            <w:tcW w:w="4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-1373505</wp:posOffset>
            </wp:positionV>
            <wp:extent cx="3492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-1520190</wp:posOffset>
            </wp:positionV>
            <wp:extent cx="3492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-1520190</wp:posOffset>
            </wp:positionV>
            <wp:extent cx="18859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-1520190</wp:posOffset>
            </wp:positionV>
            <wp:extent cx="294386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-1666875</wp:posOffset>
            </wp:positionV>
            <wp:extent cx="3492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-2343150</wp:posOffset>
            </wp:positionV>
            <wp:extent cx="11176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-2343150</wp:posOffset>
            </wp:positionV>
            <wp:extent cx="11176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-2343150</wp:posOffset>
            </wp:positionV>
            <wp:extent cx="5588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-173990</wp:posOffset>
            </wp:positionV>
            <wp:extent cx="34925"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47408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7408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-320040</wp:posOffset>
            </wp:positionV>
            <wp:extent cx="3492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-996950</wp:posOffset>
            </wp:positionV>
            <wp:extent cx="11176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-996950</wp:posOffset>
            </wp:positionV>
            <wp:extent cx="11176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-996950</wp:posOffset>
            </wp:positionV>
            <wp:extent cx="5588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All Goodwill is related to the Passenger Operating segment.</w:t>
      </w:r>
    </w:p>
    <w:p>
      <w:pPr>
        <w:spacing w:after="0" w:line="12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02"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w:t>
      </w:r>
    </w:p>
    <w:p>
      <w:pPr>
        <w:spacing w:after="0" w:line="113"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b w:val="1"/>
          <w:bCs w:val="1"/>
          <w:color w:val="auto"/>
        </w:rPr>
        <w:t xml:space="preserve">Lines of Credit — </w:t>
      </w:r>
      <w:r>
        <w:rPr>
          <w:rFonts w:ascii="Arial" w:cs="Arial" w:eastAsia="Arial" w:hAnsi="Arial"/>
          <w:sz w:val="15"/>
          <w:szCs w:val="15"/>
          <w:color w:val="auto"/>
        </w:rPr>
        <w:t>In 2018, the Company entered into a revolving credit agreement with a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 which provides available credit based upon defined thresholds to a maximum amount of $20,000. On May 15, 2020, the revolving credit agreement maturity date was extended by one year to April 11, 2022 and the maximum credit amount was increased from $20,000 to $25,000. Available credit under this agreement</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4"/>
          <w:szCs w:val="14"/>
          <w:color w:val="auto"/>
        </w:rPr>
        <w:t>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 c) 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8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On February 10, 2021, the Company executed a new five -year credit agreement with a group of lenders that replaces the Company’s May 15, 2020 $25,000 revolving credit agreement. The new agreement provides for a $ 25,000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95"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b w:val="1"/>
          <w:bCs w:val="1"/>
          <w:color w:val="auto"/>
        </w:rPr>
        <w:t>Long-term Debt—</w:t>
      </w:r>
      <w:r>
        <w:rPr>
          <w:rFonts w:ascii="Arial" w:cs="Arial" w:eastAsia="Arial" w:hAnsi="Arial"/>
          <w:sz w:val="14"/>
          <w:szCs w:val="14"/>
          <w:color w:val="auto"/>
        </w:rPr>
        <w:t>In December 2019, the Company arranged for the issuance of Class A, Class B and</w:t>
      </w:r>
      <w:r>
        <w:rPr>
          <w:rFonts w:ascii="Arial" w:cs="Arial" w:eastAsia="Arial" w:hAnsi="Arial"/>
          <w:sz w:val="14"/>
          <w:szCs w:val="14"/>
          <w:b w:val="1"/>
          <w:bCs w:val="1"/>
          <w:color w:val="auto"/>
        </w:rPr>
        <w:t xml:space="preserve"> </w:t>
      </w:r>
      <w:r>
        <w:rPr>
          <w:rFonts w:ascii="Arial" w:cs="Arial" w:eastAsia="Arial" w:hAnsi="Arial"/>
          <w:sz w:val="14"/>
          <w:szCs w:val="14"/>
          <w:color w:val="auto"/>
        </w:rPr>
        <w:t>Class C pass-through trust certificates Series 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9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 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 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9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100" w:lineRule="exact"/>
        <w:rPr>
          <w:sz w:val="20"/>
          <w:szCs w:val="20"/>
          <w:color w:val="auto"/>
        </w:rPr>
      </w:pPr>
    </w:p>
    <w:p>
      <w:pPr>
        <w:ind w:left="1160" w:right="1259" w:firstLine="293"/>
        <w:spacing w:after="0" w:line="283" w:lineRule="auto"/>
        <w:rPr>
          <w:sz w:val="20"/>
          <w:szCs w:val="20"/>
          <w:color w:val="auto"/>
        </w:rPr>
      </w:pPr>
      <w:r>
        <w:rPr>
          <w:rFonts w:ascii="Arial" w:cs="Arial" w:eastAsia="Arial" w:hAnsi="Arial"/>
          <w:sz w:val="14"/>
          <w:szCs w:val="14"/>
          <w:color w:val="auto"/>
        </w:rPr>
        <w:t>Under the CARES Act Loan Program, on October 26, 2020, the Company was awarded a forty-five million dollar loan, which is secured by SCA’s loyalty program and certain cash deposit accounts. The loan</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December 31,</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c>
          <w:tcPr>
            <w:tcW w:w="102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60" w:type="dxa"/>
            <w:vAlign w:val="bottom"/>
            <w:gridSpan w:val="3"/>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installments through December 2027. These notes bear interest at an 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rate of between 4.13% and 6.95% and are secured by the equipment for which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$ 28,280</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w w:val="96"/>
              </w:rPr>
              <w:t>U. S. Department of the Treasury CARES Act Loan (see terms and conditions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above)</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45,419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Notes payable to Wilmington Trust Company dated October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November 2018, with original loan amounts totaling $55,671 payable in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monthly installments through November 2023. These notes bore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annual rate of 8.45%. They were refinanced in January 2020 through 2019-1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EETC 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46,617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Wilmington Trust Company dated February 2019, with 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original loan amount of $12,750 payable in monthly installments of $151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through January 2024, and then final lump sum payment of $2,825 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9"/>
              </w:rPr>
              <w:t>February 2024. This note bears interest at an annual rate of 8.45% and is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secured by the equipment for which the loan was used</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9,813</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11,237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 payable to Wilmington Trust Company dated November 2018, with an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original loan amount of $3,671 payable in monthly installments of $44 through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October 2023, and then final lump sum payment of $1,101 in November 2023.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This note bears interest at an annual rate of 8.45% and is secured by the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2,693</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3,105</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Alliance Bank dated February 2019, with an original 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7"/>
              </w:rPr>
              <w:t>amount of $600 payable in monthly installments of $5 through March 2029.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This note bears interest at an annual rate of 5.0%</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519</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569</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4"/>
              </w:rPr>
              <w:t>Notes payable to Riverland Bank dated between April 2015 and May 2016, with</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original loan amounts totaling $734 payable in monthly installments with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expirations between April 2020 and April 2021. The notes bear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annual rate of 5.15% and are secured by the equipment for which the loan was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1020" w:type="dxa"/>
            <w:vAlign w:val="bottom"/>
          </w:tcPr>
          <w:p>
            <w:pPr>
              <w:spacing w:after="0"/>
              <w:rPr>
                <w:sz w:val="16"/>
                <w:szCs w:val="16"/>
                <w:color w:val="auto"/>
              </w:rPr>
            </w:pPr>
          </w:p>
        </w:tc>
      </w:tr>
      <w:tr>
        <w:trPr>
          <w:trHeight w:val="134"/>
        </w:trPr>
        <w:tc>
          <w:tcPr>
            <w:tcW w:w="1020" w:type="dxa"/>
            <w:vAlign w:val="bottom"/>
          </w:tcPr>
          <w:p>
            <w:pPr>
              <w:spacing w:after="0"/>
              <w:rPr>
                <w:sz w:val="11"/>
                <w:szCs w:val="11"/>
                <w:color w:val="auto"/>
              </w:rPr>
            </w:pPr>
          </w:p>
        </w:tc>
        <w:tc>
          <w:tcPr>
            <w:tcW w:w="5020" w:type="dxa"/>
            <w:vAlign w:val="bottom"/>
            <w:tcBorders>
              <w:top w:val="single" w:sz="8" w:color="CCEEFF"/>
            </w:tcBorders>
          </w:tcPr>
          <w:p>
            <w:pPr>
              <w:spacing w:after="0" w:line="134" w:lineRule="exact"/>
              <w:rPr>
                <w:sz w:val="20"/>
                <w:szCs w:val="20"/>
                <w:color w:val="auto"/>
              </w:rPr>
            </w:pPr>
            <w:r>
              <w:rPr>
                <w:rFonts w:ascii="Arial" w:cs="Arial" w:eastAsia="Arial" w:hAnsi="Arial"/>
                <w:sz w:val="15"/>
                <w:szCs w:val="15"/>
                <w:color w:val="auto"/>
              </w:rPr>
              <w:t>Total Debt</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w w:val="99"/>
              </w:rPr>
              <w:t>285,801</w:t>
            </w: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89,905</w:t>
            </w:r>
          </w:p>
        </w:tc>
        <w:tc>
          <w:tcPr>
            <w:tcW w:w="80" w:type="dxa"/>
            <w:vAlign w:val="bottom"/>
            <w:tcBorders>
              <w:top w:val="single" w:sz="8" w:color="CCEEFF"/>
            </w:tcBorders>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Less: Unamortized debt issuance costs</w:t>
            </w:r>
          </w:p>
        </w:tc>
        <w:tc>
          <w:tcPr>
            <w:tcW w:w="820" w:type="dxa"/>
            <w:vAlign w:val="bottom"/>
            <w:gridSpan w:val="4"/>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(3,338)</w:t>
            </w: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(2,988)</w:t>
            </w: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820" w:type="dxa"/>
            <w:vAlign w:val="bottom"/>
            <w:gridSpan w:val="4"/>
          </w:tcPr>
          <w:p>
            <w:pPr>
              <w:jc w:val="right"/>
              <w:ind w:right="20"/>
              <w:spacing w:after="0"/>
              <w:rPr>
                <w:sz w:val="20"/>
                <w:szCs w:val="20"/>
                <w:color w:val="auto"/>
              </w:rPr>
            </w:pPr>
            <w:r>
              <w:rPr>
                <w:rFonts w:ascii="Arial" w:cs="Arial" w:eastAsia="Arial" w:hAnsi="Arial"/>
                <w:sz w:val="15"/>
                <w:szCs w:val="15"/>
                <w:color w:val="auto"/>
              </w:rPr>
              <w:t>(26,118)</w:t>
            </w:r>
          </w:p>
        </w:tc>
        <w:tc>
          <w:tcPr>
            <w:tcW w:w="16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(13,197)</w:t>
            </w:r>
          </w:p>
        </w:tc>
        <w:tc>
          <w:tcPr>
            <w:tcW w:w="1020" w:type="dxa"/>
            <w:vAlign w:val="bottom"/>
          </w:tcPr>
          <w:p>
            <w:pPr>
              <w:spacing w:after="0"/>
              <w:rPr>
                <w:sz w:val="15"/>
                <w:szCs w:val="15"/>
                <w:color w:val="auto"/>
              </w:rPr>
            </w:pPr>
          </w:p>
        </w:tc>
      </w:tr>
      <w:tr>
        <w:trPr>
          <w:trHeight w:val="145"/>
        </w:trPr>
        <w:tc>
          <w:tcPr>
            <w:tcW w:w="1020" w:type="dxa"/>
            <w:vAlign w:val="bottom"/>
          </w:tcPr>
          <w:p>
            <w:pPr>
              <w:spacing w:after="0"/>
              <w:rPr>
                <w:sz w:val="12"/>
                <w:szCs w:val="12"/>
                <w:color w:val="auto"/>
              </w:rPr>
            </w:pPr>
          </w:p>
        </w:tc>
        <w:tc>
          <w:tcPr>
            <w:tcW w:w="502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Arial" w:cs="Arial" w:eastAsia="Arial" w:hAnsi="Arial"/>
                <w:sz w:val="15"/>
                <w:szCs w:val="15"/>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256,345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88"/>
              </w:rPr>
              <w:t>$ 73,720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496"/>
        </w:trPr>
        <w:tc>
          <w:tcPr>
            <w:tcW w:w="1020" w:type="dxa"/>
            <w:vAlign w:val="bottom"/>
          </w:tcPr>
          <w:p>
            <w:pPr>
              <w:spacing w:after="0"/>
              <w:rPr>
                <w:sz w:val="24"/>
                <w:szCs w:val="24"/>
                <w:color w:val="auto"/>
              </w:rPr>
            </w:pPr>
          </w:p>
        </w:tc>
        <w:tc>
          <w:tcPr>
            <w:tcW w:w="5020" w:type="dxa"/>
            <w:vAlign w:val="bottom"/>
          </w:tcPr>
          <w:p>
            <w:pPr>
              <w:ind w:left="3180"/>
              <w:spacing w:after="0"/>
              <w:rPr>
                <w:sz w:val="20"/>
                <w:szCs w:val="20"/>
                <w:color w:val="auto"/>
              </w:rPr>
            </w:pPr>
            <w:r>
              <w:rPr>
                <w:rFonts w:ascii="Arial" w:cs="Arial" w:eastAsia="Arial" w:hAnsi="Arial"/>
                <w:sz w:val="15"/>
                <w:szCs w:val="15"/>
                <w:color w:val="auto"/>
              </w:rPr>
              <w:t>F-30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-648335</wp:posOffset>
            </wp:positionV>
            <wp:extent cx="424180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-4331970</wp:posOffset>
            </wp:positionV>
            <wp:extent cx="3802380"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8023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6"/>
              </w:rPr>
              <w:t>Debt Principal</w:t>
            </w:r>
          </w:p>
        </w:tc>
        <w:tc>
          <w:tcPr>
            <w:tcW w:w="12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6"/>
              </w:rPr>
              <w:t>Amortization of Debt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0"/>
        </w:trPr>
        <w:tc>
          <w:tcPr>
            <w:tcW w:w="3180" w:type="dxa"/>
            <w:vAlign w:val="bottom"/>
          </w:tcPr>
          <w:p>
            <w:pPr>
              <w:spacing w:after="0"/>
              <w:rPr>
                <w:sz w:val="20"/>
                <w:szCs w:val="20"/>
                <w:color w:val="auto"/>
              </w:rPr>
            </w:pPr>
            <w:r>
              <w:rPr>
                <w:rFonts w:ascii="Arial" w:cs="Arial" w:eastAsia="Arial" w:hAnsi="Arial"/>
                <w:sz w:val="12"/>
                <w:szCs w:val="12"/>
                <w:b w:val="1"/>
                <w:bCs w:val="1"/>
                <w:color w:val="auto"/>
              </w:rPr>
              <w:t>Year Ending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4"/>
              </w:rPr>
              <w:t>Payments</w:t>
            </w: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Issuance Costs</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26,118</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28,094</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43,141</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(554)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67,105</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64,468</w:t>
            </w: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53,537</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285,801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8"/>
              </w:rPr>
              <w:t>(3,338)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282,463</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-153035</wp:posOffset>
            </wp:positionV>
            <wp:extent cx="31369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-153035</wp:posOffset>
            </wp:positionV>
            <wp:extent cx="290195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9019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-962025</wp:posOffset>
            </wp:positionV>
            <wp:extent cx="11176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-962025</wp:posOffset>
            </wp:positionV>
            <wp:extent cx="270700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707005" cy="6985"/>
                    </a:xfrm>
                    <a:prstGeom prst="rect">
                      <a:avLst/>
                    </a:prstGeom>
                    <a:noFill/>
                  </pic:spPr>
                </pic:pic>
              </a:graphicData>
            </a:graphic>
          </wp:anchor>
        </w:drawing>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Company’s debt measured at fair value:</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2020</w:t>
            </w: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3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72"/>
              <w:spacing w:after="0"/>
              <w:rPr>
                <w:sz w:val="20"/>
                <w:szCs w:val="20"/>
                <w:color w:val="auto"/>
              </w:rPr>
            </w:pPr>
            <w:r>
              <w:rPr>
                <w:rFonts w:ascii="Arial" w:cs="Arial" w:eastAsia="Arial" w:hAnsi="Arial"/>
                <w:sz w:val="15"/>
                <w:szCs w:val="15"/>
                <w:color w:val="auto"/>
                <w:w w:val="88"/>
              </w:rPr>
              <w:t>$89,905</w:t>
            </w:r>
          </w:p>
        </w:tc>
        <w:tc>
          <w:tcPr>
            <w:tcW w:w="220" w:type="dxa"/>
            <w:vAlign w:val="bottom"/>
            <w:shd w:val="clear" w:color="auto" w:fill="CCEEFF"/>
          </w:tcPr>
          <w:p>
            <w:pPr>
              <w:spacing w:after="0"/>
              <w:rPr>
                <w:sz w:val="17"/>
                <w:szCs w:val="17"/>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5"/>
                <w:szCs w:val="15"/>
                <w:color w:val="auto"/>
              </w:rPr>
              <w:t>Fair Value</w:t>
            </w:r>
          </w:p>
        </w:tc>
        <w:tc>
          <w:tcPr>
            <w:tcW w:w="360" w:type="dxa"/>
            <w:vAlign w:val="bottom"/>
            <w:gridSpan w:val="2"/>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left="172"/>
              <w:spacing w:after="0"/>
              <w:rPr>
                <w:sz w:val="20"/>
                <w:szCs w:val="20"/>
                <w:color w:val="auto"/>
              </w:rPr>
            </w:pPr>
            <w:r>
              <w:rPr>
                <w:rFonts w:ascii="Arial" w:cs="Arial" w:eastAsia="Arial" w:hAnsi="Arial"/>
                <w:sz w:val="15"/>
                <w:szCs w:val="15"/>
                <w:color w:val="auto"/>
                <w:w w:val="88"/>
              </w:rPr>
              <w:t>$96,342</w:t>
            </w:r>
          </w:p>
        </w:tc>
        <w:tc>
          <w:tcPr>
            <w:tcW w:w="2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-299085</wp:posOffset>
            </wp:positionV>
            <wp:extent cx="326517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265170"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w:t>
      </w:r>
    </w:p>
    <w:p>
      <w:pPr>
        <w:spacing w:after="0" w:line="117"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0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95"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105"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The following table summarizes the lease-related assets and liabilities recorded on the Company’s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2"/>
          </w:tcPr>
          <w:p>
            <w:pPr>
              <w:ind w:left="880"/>
              <w:spacing w:after="0"/>
              <w:rPr>
                <w:sz w:val="20"/>
                <w:szCs w:val="20"/>
                <w:color w:val="auto"/>
              </w:rPr>
            </w:pPr>
            <w:r>
              <w:rPr>
                <w:rFonts w:ascii="Arial" w:cs="Arial" w:eastAsia="Arial" w:hAnsi="Arial"/>
                <w:sz w:val="12"/>
                <w:szCs w:val="12"/>
                <w:b w:val="1"/>
                <w:bCs w:val="1"/>
                <w:color w:val="auto"/>
              </w:rPr>
              <w:t>Classification</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1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97"/>
        </w:trPr>
        <w:tc>
          <w:tcPr>
            <w:tcW w:w="1860" w:type="dxa"/>
            <w:vAlign w:val="bottom"/>
          </w:tcPr>
          <w:p>
            <w:pPr>
              <w:ind w:left="160"/>
              <w:spacing w:after="0"/>
              <w:rPr>
                <w:sz w:val="20"/>
                <w:szCs w:val="20"/>
                <w:color w:val="auto"/>
              </w:rPr>
            </w:pPr>
            <w:r>
              <w:rPr>
                <w:rFonts w:ascii="Arial" w:cs="Arial" w:eastAsia="Arial" w:hAnsi="Arial"/>
                <w:sz w:val="15"/>
                <w:szCs w:val="15"/>
                <w:color w:val="auto"/>
                <w:w w:val="98"/>
              </w:rPr>
              <w:t>Finance lease assets, net</w:t>
            </w:r>
          </w:p>
        </w:tc>
        <w:tc>
          <w:tcPr>
            <w:tcW w:w="1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104,815</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194,328</w:t>
            </w:r>
          </w:p>
        </w:tc>
        <w:tc>
          <w:tcPr>
            <w:tcW w:w="200" w:type="dxa"/>
            <w:vAlign w:val="bottom"/>
          </w:tcPr>
          <w:p>
            <w:pPr>
              <w:spacing w:after="0"/>
              <w:rPr>
                <w:sz w:val="24"/>
                <w:szCs w:val="24"/>
                <w:color w:val="auto"/>
              </w:rPr>
            </w:pPr>
          </w:p>
        </w:tc>
      </w:tr>
      <w:tr>
        <w:trPr>
          <w:trHeight w:val="214"/>
        </w:trPr>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assets</w:t>
            </w:r>
          </w:p>
        </w:tc>
        <w:tc>
          <w:tcPr>
            <w:tcW w:w="1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121,269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147,148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1"/>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assets</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226,084</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341,476</w:t>
            </w:r>
          </w:p>
        </w:tc>
        <w:tc>
          <w:tcPr>
            <w:tcW w:w="200" w:type="dxa"/>
            <w:vAlign w:val="bottom"/>
          </w:tcPr>
          <w:p>
            <w:pPr>
              <w:spacing w:after="0"/>
              <w:rPr>
                <w:sz w:val="18"/>
                <w:szCs w:val="18"/>
                <w:color w:val="auto"/>
              </w:rPr>
            </w:pPr>
          </w:p>
        </w:tc>
      </w:tr>
      <w:tr>
        <w:trPr>
          <w:trHeight w:val="293"/>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6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5"/>
                <w:szCs w:val="15"/>
                <w:color w:val="auto"/>
              </w:rPr>
              <w:t>Current:</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Finance Lease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0" w:type="dxa"/>
            <w:vAlign w:val="bottom"/>
            <w:shd w:val="clear" w:color="auto" w:fill="CCEEFF"/>
          </w:tcPr>
          <w:p>
            <w:pPr>
              <w:spacing w:after="0"/>
              <w:rPr>
                <w:sz w:val="18"/>
                <w:szCs w:val="18"/>
                <w:color w:val="auto"/>
              </w:rPr>
            </w:pPr>
          </w:p>
        </w:tc>
      </w:tr>
      <w:tr>
        <w:trPr>
          <w:trHeight w:val="187"/>
        </w:trPr>
        <w:tc>
          <w:tcPr>
            <w:tcW w:w="1860" w:type="dxa"/>
            <w:vAlign w:val="bottom"/>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Short-term Operating Lease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Obligations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34,492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30,611</w:t>
            </w:r>
          </w:p>
        </w:tc>
        <w:tc>
          <w:tcPr>
            <w:tcW w:w="200" w:type="dxa"/>
            <w:vAlign w:val="bottom"/>
          </w:tcPr>
          <w:p>
            <w:pPr>
              <w:spacing w:after="0"/>
              <w:rPr>
                <w:sz w:val="16"/>
                <w:szCs w:val="16"/>
                <w:color w:val="auto"/>
              </w:rPr>
            </w:pPr>
          </w:p>
        </w:tc>
      </w:tr>
      <w:tr>
        <w:trPr>
          <w:trHeight w:val="214"/>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1860" w:type="dxa"/>
            <w:vAlign w:val="bottom"/>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Long-term Finance Lease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95,710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105,037</w:t>
            </w:r>
          </w:p>
        </w:tc>
        <w:tc>
          <w:tcPr>
            <w:tcW w:w="200" w:type="dxa"/>
            <w:vAlign w:val="bottom"/>
          </w:tcPr>
          <w:p>
            <w:pPr>
              <w:spacing w:after="0"/>
              <w:rPr>
                <w:sz w:val="18"/>
                <w:szCs w:val="18"/>
                <w:color w:val="auto"/>
              </w:rPr>
            </w:pPr>
          </w:p>
        </w:tc>
      </w:tr>
      <w:tr>
        <w:trPr>
          <w:trHeight w:val="187"/>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Operating Lease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1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112,707</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141,879</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liabilities</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254,369</w:t>
            </w: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369,845</w:t>
            </w:r>
          </w:p>
        </w:tc>
        <w:tc>
          <w:tcPr>
            <w:tcW w:w="20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-1394460</wp:posOffset>
            </wp:positionV>
            <wp:extent cx="424180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-2008505</wp:posOffset>
            </wp:positionV>
            <wp:extent cx="11176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-2008505</wp:posOffset>
            </wp:positionV>
            <wp:extent cx="11176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-2008505</wp:posOffset>
            </wp:positionV>
            <wp:extent cx="128397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05" w:lineRule="exact"/>
        <w:rPr>
          <w:sz w:val="20"/>
          <w:szCs w:val="20"/>
          <w:color w:val="auto"/>
        </w:rPr>
      </w:pPr>
    </w:p>
    <w:p>
      <w:pPr>
        <w:ind w:left="1160" w:right="1499" w:firstLine="293"/>
        <w:spacing w:after="0" w:line="274" w:lineRule="auto"/>
        <w:rPr>
          <w:sz w:val="20"/>
          <w:szCs w:val="20"/>
          <w:color w:val="auto"/>
        </w:rPr>
      </w:pPr>
      <w:r>
        <w:rPr>
          <w:rFonts w:ascii="Arial" w:cs="Arial" w:eastAsia="Arial" w:hAnsi="Arial"/>
          <w:sz w:val="14"/>
          <w:szCs w:val="14"/>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provides details of the Company’s obligations under finance and operating leases as of December 31, 2020:</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79"/>
              </w:rPr>
              <w:t>Finance</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87"/>
              </w:rPr>
              <w:t>Operating Leases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Aircraft</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77"/>
              </w:rPr>
              <w:t>Real Estate</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$ 1,675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41,969</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32,842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1,962</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1,561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36,365</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32,592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c>
          <w:tcPr>
            <w:tcW w:w="60" w:type="dxa"/>
            <w:vAlign w:val="bottom"/>
          </w:tcPr>
          <w:p>
            <w:pPr>
              <w:spacing w:after="0"/>
              <w:rPr>
                <w:sz w:val="18"/>
                <w:szCs w:val="18"/>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25,177</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24,476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25,942</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2025 . . .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12,489</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11,096</w:t>
            </w:r>
          </w:p>
        </w:tc>
        <w:tc>
          <w:tcPr>
            <w:tcW w:w="60" w:type="dxa"/>
            <w:vAlign w:val="bottom"/>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Thereafter</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8,222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5,071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13,293</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139,107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145,838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13,649</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163,382</w:t>
            </w:r>
          </w:p>
        </w:tc>
        <w:tc>
          <w:tcPr>
            <w:tcW w:w="60" w:type="dxa"/>
            <w:vAlign w:val="bottom"/>
          </w:tcPr>
          <w:p>
            <w:pPr>
              <w:spacing w:after="0"/>
              <w:rPr>
                <w:sz w:val="17"/>
                <w:szCs w:val="17"/>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(31,937)</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(18,034)</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(2,662)</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(20,961)</w:t>
            </w: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Present Value of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107,170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127,804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10,987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3,630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142,421</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Plus: Tennant Improvements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4,778</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4,778</w:t>
            </w:r>
          </w:p>
        </w:tc>
        <w:tc>
          <w:tcPr>
            <w:tcW w:w="60" w:type="dxa"/>
            <w:vAlign w:val="bottom"/>
          </w:tcPr>
          <w:p>
            <w:pPr>
              <w:spacing w:after="0"/>
              <w:rPr>
                <w:sz w:val="18"/>
                <w:szCs w:val="18"/>
                <w:color w:val="auto"/>
              </w:rPr>
            </w:pPr>
          </w:p>
        </w:tc>
      </w:tr>
      <w:tr>
        <w:trPr>
          <w:trHeight w:val="214"/>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Short-term Obligations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(11,460)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(30,880)</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(2,105)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(34,492)</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5"/>
                <w:szCs w:val="15"/>
                <w:color w:val="auto"/>
              </w:rPr>
              <w:t>Long-term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95,710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96,924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13,660</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$ 2,123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112,707</w:t>
            </w: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-571500</wp:posOffset>
            </wp:positionV>
            <wp:extent cx="11874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-571500</wp:posOffset>
            </wp:positionV>
            <wp:extent cx="14668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-571500</wp:posOffset>
            </wp:positionV>
            <wp:extent cx="13970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-571500</wp:posOffset>
            </wp:positionV>
            <wp:extent cx="252539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-850265</wp:posOffset>
            </wp:positionV>
            <wp:extent cx="11874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-850265</wp:posOffset>
            </wp:positionV>
            <wp:extent cx="14668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-850265</wp:posOffset>
            </wp:positionV>
            <wp:extent cx="13970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52539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-1659890</wp:posOffset>
            </wp:positionV>
            <wp:extent cx="11176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-1659890</wp:posOffset>
            </wp:positionV>
            <wp:extent cx="11176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-1659890</wp:posOffset>
            </wp:positionV>
            <wp:extent cx="11176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-1659890</wp:posOffset>
            </wp:positionV>
            <wp:extent cx="11176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-1659890</wp:posOffset>
            </wp:positionV>
            <wp:extent cx="4889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table presents lease costs related to the Company’s Finance and Operating Leases:</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Successor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Year Ended</w:t>
            </w: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3"/>
                <w:szCs w:val="13"/>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jc w:val="right"/>
              <w:ind w:right="460"/>
              <w:spacing w:after="0" w:line="132" w:lineRule="exact"/>
              <w:rPr>
                <w:sz w:val="20"/>
                <w:szCs w:val="20"/>
                <w:color w:val="auto"/>
              </w:rPr>
            </w:pPr>
            <w:r>
              <w:rPr>
                <w:rFonts w:ascii="Arial" w:cs="Arial" w:eastAsia="Arial" w:hAnsi="Arial"/>
                <w:sz w:val="12"/>
                <w:szCs w:val="12"/>
                <w:b w:val="1"/>
                <w:bCs w:val="1"/>
                <w:color w:val="auto"/>
              </w:rPr>
              <w:t>December 31,</w:t>
            </w:r>
          </w:p>
        </w:tc>
        <w:tc>
          <w:tcPr>
            <w:tcW w:w="9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April 11, 2018 to</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55"/>
        </w:trPr>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2"/>
              </w:rPr>
              <w:t>2018 to</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Borders>
              <w:right w:val="single" w:sz="8" w:color="auto"/>
            </w:tcBorders>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ind w:left="880"/>
              <w:spacing w:after="0"/>
              <w:rPr>
                <w:sz w:val="20"/>
                <w:szCs w:val="20"/>
                <w:color w:val="auto"/>
              </w:rPr>
            </w:pPr>
            <w:r>
              <w:rPr>
                <w:rFonts w:ascii="Arial" w:cs="Arial" w:eastAsia="Arial" w:hAnsi="Arial"/>
                <w:sz w:val="12"/>
                <w:szCs w:val="12"/>
                <w:b w:val="1"/>
                <w:bCs w:val="1"/>
                <w:color w:val="auto"/>
              </w:rPr>
              <w:t>Classification</w:t>
            </w:r>
          </w:p>
        </w:tc>
        <w:tc>
          <w:tcPr>
            <w:tcW w:w="94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Finance lease cost</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40"/>
              <w:spacing w:after="0"/>
              <w:rPr>
                <w:sz w:val="20"/>
                <w:szCs w:val="20"/>
                <w:color w:val="auto"/>
              </w:rPr>
            </w:pPr>
            <w:r>
              <w:rPr>
                <w:rFonts w:ascii="Arial" w:cs="Arial" w:eastAsia="Arial" w:hAnsi="Arial"/>
                <w:sz w:val="15"/>
                <w:szCs w:val="15"/>
                <w:color w:val="auto"/>
                <w:w w:val="94"/>
              </w:rPr>
              <w:t>Amortization of leased assets</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$11,948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13,104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4,475</w:t>
            </w:r>
          </w:p>
        </w:tc>
        <w:tc>
          <w:tcPr>
            <w:tcW w:w="100" w:type="dxa"/>
            <w:vAlign w:val="bottom"/>
            <w:tcBorders>
              <w:right w:val="single" w:sz="8" w:color="auto"/>
            </w:tcBorders>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liabilities</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8,659</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10,741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4,754</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b w:val="1"/>
                <w:bCs w:val="1"/>
                <w:color w:val="auto"/>
              </w:rPr>
              <w:t>Operating lease cost</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asset—Aircraft</w:t>
            </w:r>
          </w:p>
        </w:tc>
        <w:tc>
          <w:tcPr>
            <w:tcW w:w="160" w:type="dxa"/>
            <w:vAlign w:val="bottom"/>
          </w:tcPr>
          <w:p>
            <w:pPr>
              <w:spacing w:after="0"/>
              <w:rPr>
                <w:sz w:val="18"/>
                <w:szCs w:val="18"/>
                <w:color w:val="auto"/>
              </w:rPr>
            </w:pPr>
          </w:p>
        </w:tc>
        <w:tc>
          <w:tcPr>
            <w:tcW w:w="2160" w:type="dxa"/>
            <w:vAlign w:val="bottom"/>
          </w:tcPr>
          <w:p>
            <w:pPr>
              <w:spacing w:after="0" w:line="209"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30,717</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40,043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33,315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16,177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 asset—</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Ground Handling, Landing Fees</w:t>
            </w:r>
          </w:p>
        </w:tc>
        <w:tc>
          <w:tcPr>
            <w:tcW w:w="1120" w:type="dxa"/>
            <w:vAlign w:val="bottom"/>
            <w:tcBorders>
              <w:right w:val="single" w:sz="8" w:color="CCEEFF"/>
            </w:tcBorders>
            <w:gridSpan w:val="4"/>
            <w:shd w:val="clear" w:color="auto" w:fill="CCEEFF"/>
          </w:tcPr>
          <w:p>
            <w:pPr>
              <w:jc w:val="right"/>
              <w:ind w:right="860"/>
              <w:spacing w:after="0"/>
              <w:rPr>
                <w:sz w:val="20"/>
                <w:szCs w:val="20"/>
                <w:color w:val="auto"/>
              </w:rPr>
            </w:pPr>
            <w:r>
              <w:rPr>
                <w:rFonts w:ascii="Arial" w:cs="Arial" w:eastAsia="Arial" w:hAnsi="Arial"/>
                <w:sz w:val="15"/>
                <w:szCs w:val="15"/>
                <w:color w:val="auto"/>
                <w:w w:val="95"/>
              </w:rPr>
              <w:t>and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Airport Rent &amp; Other Operating</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4,872</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3,832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Aircraft Rent</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1,813</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5,345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2,622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6,148</w:t>
            </w:r>
          </w:p>
        </w:tc>
        <w:tc>
          <w:tcPr>
            <w:tcW w:w="0" w:type="dxa"/>
            <w:vAlign w:val="bottom"/>
          </w:tcPr>
          <w:p>
            <w:pPr>
              <w:spacing w:after="0"/>
              <w:rPr>
                <w:sz w:val="1"/>
                <w:szCs w:val="1"/>
                <w:color w:val="auto"/>
              </w:rPr>
            </w:pPr>
          </w:p>
        </w:tc>
      </w:tr>
      <w:tr>
        <w:trPr>
          <w:trHeight w:val="220"/>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Variable—Aircraft</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(1,541)</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5"/>
                <w:szCs w:val="15"/>
                <w:color w:val="auto"/>
              </w:rPr>
              <w:t>Variable—Other</w:t>
            </w: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Landing Fees &amp; Airport Rentals</w:t>
            </w:r>
          </w:p>
        </w:tc>
        <w:tc>
          <w:tcPr>
            <w:tcW w:w="44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1,345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702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Lease cost</w:t>
            </w:r>
          </w:p>
        </w:tc>
        <w:tc>
          <w:tcPr>
            <w:tcW w:w="1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$57,517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80,513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50,594</w:t>
            </w:r>
          </w:p>
        </w:tc>
        <w:tc>
          <w:tcPr>
            <w:tcW w:w="10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30,829</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-167005</wp:posOffset>
            </wp:positionV>
            <wp:extent cx="7683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-167005</wp:posOffset>
            </wp:positionV>
            <wp:extent cx="28575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57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-167005</wp:posOffset>
            </wp:positionV>
            <wp:extent cx="404622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-1729740</wp:posOffset>
            </wp:positionV>
            <wp:extent cx="111760"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-1729740</wp:posOffset>
            </wp:positionV>
            <wp:extent cx="111760"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-1729740</wp:posOffset>
            </wp:positionV>
            <wp:extent cx="138112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81125" cy="698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-1729740</wp:posOffset>
            </wp:positionV>
            <wp:extent cx="10477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-1729740</wp:posOffset>
            </wp:positionV>
            <wp:extent cx="111760"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399" w:hanging="296"/>
        <w:spacing w:after="0" w:line="248" w:lineRule="auto"/>
        <w:tabs>
          <w:tab w:leader="none" w:pos="1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Supplemental cash flow information related to leases, included in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Statements of Cash Flows:</w:t>
      </w:r>
    </w:p>
    <w:p>
      <w:pPr>
        <w:spacing w:after="0" w:line="129"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For the Year Ended</w:t>
      </w:r>
    </w:p>
    <w:p>
      <w:pPr>
        <w:spacing w:after="0" w:line="6"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13335</wp:posOffset>
            </wp:positionV>
            <wp:extent cx="73977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97"/>
        </w:trPr>
        <w:tc>
          <w:tcPr>
            <w:tcW w:w="4920" w:type="dxa"/>
            <w:vAlign w:val="bottom"/>
          </w:tcPr>
          <w:p>
            <w:pPr>
              <w:ind w:left="140"/>
              <w:spacing w:after="0"/>
              <w:rPr>
                <w:sz w:val="20"/>
                <w:szCs w:val="20"/>
                <w:color w:val="auto"/>
              </w:rPr>
            </w:pPr>
            <w:r>
              <w:rPr>
                <w:rFonts w:ascii="Arial" w:cs="Arial" w:eastAsia="Arial" w:hAnsi="Arial"/>
                <w:sz w:val="15"/>
                <w:szCs w:val="15"/>
                <w:color w:val="auto"/>
              </w:rPr>
              <w:t>Operating Cash Flows for Operating Leases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34,576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50,081</w:t>
            </w: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Cash Flows for Finance Leases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10,741</w:t>
            </w:r>
          </w:p>
        </w:tc>
      </w:tr>
      <w:tr>
        <w:trPr>
          <w:trHeight w:val="220"/>
        </w:trPr>
        <w:tc>
          <w:tcPr>
            <w:tcW w:w="4920" w:type="dxa"/>
            <w:vAlign w:val="bottom"/>
          </w:tcPr>
          <w:p>
            <w:pPr>
              <w:ind w:left="140"/>
              <w:spacing w:after="0"/>
              <w:rPr>
                <w:sz w:val="20"/>
                <w:szCs w:val="20"/>
                <w:color w:val="auto"/>
              </w:rPr>
            </w:pPr>
            <w:r>
              <w:rPr>
                <w:rFonts w:ascii="Arial" w:cs="Arial" w:eastAsia="Arial" w:hAnsi="Arial"/>
                <w:sz w:val="15"/>
                <w:szCs w:val="15"/>
                <w:color w:val="auto"/>
              </w:rPr>
              <w:t>Financing Cash Flows for Finance Leases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89,697</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-592455</wp:posOffset>
            </wp:positionV>
            <wp:extent cx="11176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-592455</wp:posOffset>
            </wp:positionV>
            <wp:extent cx="5588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table below presents lease-related terms and discount rates related to the Company’s Finance and Operating</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Leases: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3"/>
              </w:rPr>
              <w:t>December 31, 2020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remaining lease term</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5"/>
                <w:szCs w:val="15"/>
                <w:color w:val="auto"/>
              </w:rPr>
              <w:t>Operating Leases . . . . . . . . . . . . . . . . .</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4.8 years</w:t>
            </w:r>
          </w:p>
        </w:tc>
        <w:tc>
          <w:tcPr>
            <w:tcW w:w="920" w:type="dxa"/>
            <w:vAlign w:val="bottom"/>
          </w:tcPr>
          <w:p>
            <w:pPr>
              <w:jc w:val="right"/>
              <w:spacing w:after="0"/>
              <w:rPr>
                <w:sz w:val="20"/>
                <w:szCs w:val="20"/>
                <w:color w:val="auto"/>
              </w:rPr>
            </w:pPr>
            <w:r>
              <w:rPr>
                <w:rFonts w:ascii="Arial" w:cs="Arial" w:eastAsia="Arial" w:hAnsi="Arial"/>
                <w:sz w:val="15"/>
                <w:szCs w:val="15"/>
                <w:color w:val="auto"/>
              </w:rPr>
              <w:t>6.0 years</w:t>
            </w:r>
          </w:p>
        </w:tc>
      </w:tr>
      <w:tr>
        <w:trPr>
          <w:trHeight w:val="209"/>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 . . . . . . . . . . . . . . . . . .</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 years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years</w:t>
            </w:r>
          </w:p>
        </w:tc>
      </w:tr>
      <w:tr>
        <w:trPr>
          <w:trHeight w:val="220"/>
        </w:trPr>
        <w:tc>
          <w:tcPr>
            <w:tcW w:w="4040" w:type="dxa"/>
            <w:vAlign w:val="bottom"/>
          </w:tcPr>
          <w:p>
            <w:pPr>
              <w:spacing w:after="0"/>
              <w:rPr>
                <w:sz w:val="20"/>
                <w:szCs w:val="20"/>
                <w:color w:val="auto"/>
              </w:rPr>
            </w:pPr>
            <w:r>
              <w:rPr>
                <w:rFonts w:ascii="Arial" w:cs="Arial" w:eastAsia="Arial" w:hAnsi="Arial"/>
                <w:sz w:val="15"/>
                <w:szCs w:val="15"/>
                <w:color w:val="auto"/>
              </w:rPr>
              <w:t>Weighted-average discount rates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 . . . . . . . . . . . . . . . .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20"/>
        </w:trPr>
        <w:tc>
          <w:tcPr>
            <w:tcW w:w="4040" w:type="dxa"/>
            <w:vAlign w:val="bottom"/>
          </w:tcPr>
          <w:p>
            <w:pPr>
              <w:ind w:left="140"/>
              <w:spacing w:after="0"/>
              <w:rPr>
                <w:sz w:val="20"/>
                <w:szCs w:val="20"/>
                <w:color w:val="auto"/>
              </w:rPr>
            </w:pPr>
            <w:r>
              <w:rPr>
                <w:rFonts w:ascii="Arial" w:cs="Arial" w:eastAsia="Arial" w:hAnsi="Arial"/>
                <w:sz w:val="15"/>
                <w:szCs w:val="15"/>
                <w:color w:val="auto"/>
              </w:rPr>
              <w:t>Finance Leases . . . . . . . . . . . . . . . . . . .</w:t>
            </w:r>
          </w:p>
        </w:tc>
        <w:tc>
          <w:tcPr>
            <w:tcW w:w="940" w:type="dxa"/>
            <w:vAlign w:val="bottom"/>
          </w:tcPr>
          <w:p>
            <w:pPr>
              <w:jc w:val="right"/>
              <w:spacing w:after="0"/>
              <w:rPr>
                <w:sz w:val="20"/>
                <w:szCs w:val="20"/>
                <w:color w:val="auto"/>
              </w:rPr>
            </w:pPr>
            <w:r>
              <w:rPr>
                <w:rFonts w:ascii="Arial" w:cs="Arial" w:eastAsia="Arial" w:hAnsi="Arial"/>
                <w:sz w:val="15"/>
                <w:szCs w:val="15"/>
                <w:color w:val="auto"/>
              </w:rPr>
              <w:t>6.1%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-822325</wp:posOffset>
            </wp:positionV>
            <wp:extent cx="327215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101" w:lineRule="exact"/>
        <w:rPr>
          <w:sz w:val="20"/>
          <w:szCs w:val="20"/>
          <w:color w:val="auto"/>
        </w:rPr>
      </w:pPr>
    </w:p>
    <w:p>
      <w:pPr>
        <w:ind w:left="1160" w:right="1359" w:firstLine="293"/>
        <w:spacing w:after="0" w:line="249" w:lineRule="auto"/>
        <w:rPr>
          <w:sz w:val="20"/>
          <w:szCs w:val="20"/>
          <w:color w:val="auto"/>
        </w:rPr>
      </w:pPr>
      <w:r>
        <w:rPr>
          <w:rFonts w:ascii="Arial" w:cs="Arial" w:eastAsia="Arial" w:hAnsi="Arial"/>
          <w:sz w:val="15"/>
          <w:szCs w:val="15"/>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94"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8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On November 7, 2018, the Company granted 5,827,511 stock options to certain employees, with 38.5% of the options vesting upon the passage of time, and 61.5% of the options vesting based on performance conditions.</w:t>
      </w:r>
    </w:p>
    <w:p>
      <w:pPr>
        <w:spacing w:after="0" w:line="90"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93"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4"/>
          <w:szCs w:val="14"/>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stock option activity:</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7"/>
          </w:tcPr>
          <w:p>
            <w:pPr>
              <w:ind w:left="20"/>
              <w:spacing w:after="0"/>
              <w:rPr>
                <w:sz w:val="20"/>
                <w:szCs w:val="20"/>
                <w:color w:val="auto"/>
              </w:rPr>
            </w:pPr>
            <w:r>
              <w:rPr>
                <w:rFonts w:ascii="Arial" w:cs="Arial" w:eastAsia="Arial" w:hAnsi="Arial"/>
                <w:sz w:val="12"/>
                <w:szCs w:val="12"/>
                <w:b w:val="1"/>
                <w:bCs w:val="1"/>
                <w:color w:val="auto"/>
                <w:w w:val="96"/>
              </w:rPr>
              <w:t>Time-Based Stock Options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3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3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Weighted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average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exercise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3800" w:type="dxa"/>
            <w:vAlign w:val="bottom"/>
          </w:tcPr>
          <w:p>
            <w:pPr>
              <w:spacing w:after="0"/>
              <w:rPr>
                <w:sz w:val="11"/>
                <w:szCs w:val="11"/>
                <w:color w:val="auto"/>
              </w:rPr>
            </w:pPr>
          </w:p>
        </w:tc>
        <w:tc>
          <w:tcPr>
            <w:tcW w:w="7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2"/>
              </w:rPr>
              <w:t>price per</w:t>
            </w:r>
          </w:p>
        </w:tc>
        <w:tc>
          <w:tcPr>
            <w:tcW w:w="180" w:type="dxa"/>
            <w:vAlign w:val="bottom"/>
          </w:tcPr>
          <w:p>
            <w:pPr>
              <w:spacing w:after="0"/>
              <w:rPr>
                <w:sz w:val="11"/>
                <w:szCs w:val="11"/>
                <w:color w:val="auto"/>
              </w:rPr>
            </w:pPr>
          </w:p>
        </w:tc>
        <w:tc>
          <w:tcPr>
            <w:tcW w:w="700" w:type="dxa"/>
            <w:vAlign w:val="bottom"/>
            <w:gridSpan w:val="3"/>
          </w:tcPr>
          <w:p>
            <w:pPr>
              <w:jc w:val="center"/>
              <w:ind w:right="40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38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1"/>
              </w:rPr>
              <w:t>share</w:t>
            </w:r>
          </w:p>
        </w:tc>
        <w:tc>
          <w:tcPr>
            <w:tcW w:w="8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6"/>
              </w:rPr>
              <w:t>date fair 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2018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2,243,588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9"/>
        </w:trPr>
        <w:tc>
          <w:tcPr>
            <w:tcW w:w="3800" w:type="dxa"/>
            <w:vAlign w:val="bottom"/>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472,253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7.93</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3800" w:type="dxa"/>
            <w:vAlign w:val="bottom"/>
            <w:shd w:val="clear" w:color="auto" w:fill="CCEEFF"/>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(434,533)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800" w:type="dxa"/>
            <w:vAlign w:val="bottom"/>
          </w:tcPr>
          <w:p>
            <w:pPr>
              <w:jc w:val="center"/>
              <w:ind w:right="367"/>
              <w:spacing w:after="0"/>
              <w:rPr>
                <w:sz w:val="20"/>
                <w:szCs w:val="20"/>
                <w:color w:val="auto"/>
              </w:rPr>
            </w:pPr>
            <w:r>
              <w:rPr>
                <w:rFonts w:ascii="Arial" w:cs="Arial" w:eastAsia="Arial" w:hAnsi="Arial"/>
                <w:sz w:val="15"/>
                <w:szCs w:val="15"/>
                <w:color w:val="auto"/>
                <w:w w:val="92"/>
              </w:rPr>
              <w:t>Outstanding as of December 31, 2019 . . . . . . . . . . . . .</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2,281,308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90"/>
              </w:rPr>
              <w:t>$2.54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9.0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3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221,941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17.99</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$7.02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3800" w:type="dxa"/>
            <w:vAlign w:val="bottom"/>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(173,788)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14.65</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$5.70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2020 . . . . . . . . . . . .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6"/>
              </w:rPr>
              <w:t>7.6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3800" w:type="dxa"/>
            <w:vAlign w:val="bottom"/>
            <w:tcBorders>
              <w:bottom w:val="single" w:sz="8" w:color="CCEEFF"/>
            </w:tcBorders>
          </w:tcPr>
          <w:p>
            <w:pPr>
              <w:jc w:val="center"/>
              <w:ind w:right="407"/>
              <w:spacing w:after="0" w:line="167" w:lineRule="exact"/>
              <w:rPr>
                <w:sz w:val="20"/>
                <w:szCs w:val="20"/>
                <w:color w:val="auto"/>
              </w:rPr>
            </w:pPr>
            <w:r>
              <w:rPr>
                <w:rFonts w:ascii="Arial" w:cs="Arial" w:eastAsia="Arial" w:hAnsi="Arial"/>
                <w:sz w:val="15"/>
                <w:szCs w:val="15"/>
                <w:color w:val="auto"/>
                <w:w w:val="92"/>
              </w:rPr>
              <w:t>Exercisable as of December 31, 2020 . . . . . . . . . . . . .</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6"/>
              </w:rPr>
              <w:t>1,054,059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0"/>
              </w:rPr>
              <w:t>$2.50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-1310640</wp:posOffset>
            </wp:positionV>
            <wp:extent cx="11176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-1310640</wp:posOffset>
            </wp:positionV>
            <wp:extent cx="111760"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-1310640</wp:posOffset>
            </wp:positionV>
            <wp:extent cx="9779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-1310640</wp:posOffset>
            </wp:positionV>
            <wp:extent cx="4889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660" w:type="dxa"/>
            <w:vAlign w:val="bottom"/>
            <w:gridSpan w:val="12"/>
          </w:tcPr>
          <w:p>
            <w:pPr>
              <w:ind w:left="500"/>
              <w:spacing w:after="0"/>
              <w:rPr>
                <w:sz w:val="20"/>
                <w:szCs w:val="20"/>
                <w:color w:val="auto"/>
              </w:rPr>
            </w:pPr>
            <w:r>
              <w:rPr>
                <w:rFonts w:ascii="Arial" w:cs="Arial" w:eastAsia="Arial" w:hAnsi="Arial"/>
                <w:sz w:val="12"/>
                <w:szCs w:val="12"/>
                <w:b w:val="1"/>
                <w:bCs w:val="1"/>
                <w:color w:val="auto"/>
              </w:rPr>
              <w:t>Performance-Based Stock Options</w:t>
            </w:r>
          </w:p>
        </w:tc>
      </w:tr>
      <w:tr>
        <w:trPr>
          <w:trHeight w:val="21"/>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77"/>
              </w:rPr>
              <w:t>Weighted</w:t>
            </w:r>
          </w:p>
        </w:tc>
        <w:tc>
          <w:tcPr>
            <w:tcW w:w="6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3"/>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average</w:t>
            </w:r>
          </w:p>
        </w:tc>
        <w:tc>
          <w:tcPr>
            <w:tcW w:w="6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79"/>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exercise</w:t>
            </w:r>
          </w:p>
        </w:tc>
        <w:tc>
          <w:tcPr>
            <w:tcW w:w="600" w:type="dxa"/>
            <w:vAlign w:val="bottom"/>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4020" w:type="dxa"/>
            <w:vAlign w:val="bottom"/>
          </w:tcPr>
          <w:p>
            <w:pPr>
              <w:spacing w:after="0"/>
              <w:rPr>
                <w:sz w:val="11"/>
                <w:szCs w:val="11"/>
                <w:color w:val="auto"/>
              </w:rPr>
            </w:pPr>
          </w:p>
        </w:tc>
        <w:tc>
          <w:tcPr>
            <w:tcW w:w="80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78"/>
              </w:rPr>
              <w:t>price per</w:t>
            </w:r>
          </w:p>
        </w:tc>
        <w:tc>
          <w:tcPr>
            <w:tcW w:w="6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date fair</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40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1"/>
              </w:rPr>
              <w:t>share</w:t>
            </w:r>
          </w:p>
        </w:tc>
        <w:tc>
          <w:tcPr>
            <w:tcW w:w="6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2018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3,583,923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2"/>
        </w:trPr>
        <w:tc>
          <w:tcPr>
            <w:tcW w:w="4020" w:type="dxa"/>
            <w:vAlign w:val="bottom"/>
          </w:tcPr>
          <w:p>
            <w:pPr>
              <w:ind w:left="160"/>
              <w:spacing w:after="0" w:line="162" w:lineRule="exact"/>
              <w:rPr>
                <w:sz w:val="20"/>
                <w:szCs w:val="20"/>
                <w:color w:val="auto"/>
              </w:rPr>
            </w:pPr>
            <w:r>
              <w:rPr>
                <w:rFonts w:ascii="Arial" w:cs="Arial" w:eastAsia="Arial" w:hAnsi="Arial"/>
                <w:sz w:val="15"/>
                <w:szCs w:val="15"/>
                <w:color w:val="auto"/>
              </w:rPr>
              <w:t>Granted . . . . . . . . . . . . . . . . . . . . . . . . . . . . . . . . .</w:t>
            </w:r>
          </w:p>
        </w:tc>
        <w:tc>
          <w:tcPr>
            <w:tcW w:w="8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746,836</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7.96</w:t>
            </w:r>
          </w:p>
        </w:tc>
        <w:tc>
          <w:tcPr>
            <w:tcW w:w="24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82"/>
              </w:rPr>
              <w:t>2.01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4"/>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(827,812)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5"/>
                <w:szCs w:val="15"/>
                <w:color w:val="auto"/>
              </w:rPr>
              <w:t>Outstanding as of December 31, 2019</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3,502,947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5.86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1.61</w:t>
            </w:r>
          </w:p>
        </w:tc>
        <w:tc>
          <w:tcPr>
            <w:tcW w:w="18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5"/>
                <w:szCs w:val="15"/>
                <w:color w:val="auto"/>
                <w:w w:val="86"/>
              </w:rPr>
              <w:t>9.0</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346,984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17.99</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4.36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(272,679)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79"/>
              </w:rPr>
              <w:t>14.65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2020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3,577,252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1.72</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7.6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4020" w:type="dxa"/>
            <w:vAlign w:val="bottom"/>
          </w:tcPr>
          <w:p>
            <w:pPr>
              <w:spacing w:after="0" w:line="167" w:lineRule="exact"/>
              <w:rPr>
                <w:sz w:val="20"/>
                <w:szCs w:val="20"/>
                <w:color w:val="auto"/>
              </w:rPr>
            </w:pPr>
            <w:r>
              <w:rPr>
                <w:rFonts w:ascii="Arial" w:cs="Arial" w:eastAsia="Arial" w:hAnsi="Arial"/>
                <w:sz w:val="15"/>
                <w:szCs w:val="15"/>
                <w:color w:val="auto"/>
              </w:rPr>
              <w:t>Exercisable as of December 31, 2020 . . . . . . . . . . . . .</w:t>
            </w:r>
          </w:p>
        </w:tc>
        <w:tc>
          <w:tcPr>
            <w:tcW w:w="80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260"/>
              <w:spacing w:after="0" w:line="16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-1338580</wp:posOffset>
            </wp:positionV>
            <wp:extent cx="111760"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-1338580</wp:posOffset>
            </wp:positionV>
            <wp:extent cx="111760"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-1338580</wp:posOffset>
            </wp:positionV>
            <wp:extent cx="11176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-1338580</wp:posOffset>
            </wp:positionV>
            <wp:extent cx="5588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93" w:lineRule="exact"/>
        <w:rPr>
          <w:sz w:val="20"/>
          <w:szCs w:val="20"/>
          <w:color w:val="auto"/>
        </w:rPr>
      </w:pPr>
    </w:p>
    <w:p>
      <w:pPr>
        <w:ind w:left="1160" w:right="1279" w:firstLine="293"/>
        <w:spacing w:after="0" w:line="274" w:lineRule="auto"/>
        <w:rPr>
          <w:sz w:val="20"/>
          <w:szCs w:val="20"/>
          <w:color w:val="auto"/>
        </w:rPr>
      </w:pPr>
      <w:r>
        <w:rPr>
          <w:rFonts w:ascii="Arial" w:cs="Arial" w:eastAsia="Arial" w:hAnsi="Arial"/>
          <w:sz w:val="14"/>
          <w:szCs w:val="14"/>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78"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fair value of the time-based stock options granted was estimated using the Black-Scholes option-pricing model with the following weighted-average assumptions used for grants: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2019</w:t>
            </w: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 . . . . . . . . . . . . . . . . . . . . . . . . . . . . . . .</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5.59 years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5.67 years</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Expected Volatility . . . . . . . . . . . . . . . . . . . . . . . . . . . . .</w:t>
            </w:r>
          </w:p>
        </w:tc>
        <w:tc>
          <w:tcPr>
            <w:tcW w:w="640" w:type="dxa"/>
            <w:vAlign w:val="bottom"/>
          </w:tcPr>
          <w:p>
            <w:pPr>
              <w:jc w:val="right"/>
              <w:spacing w:after="0"/>
              <w:rPr>
                <w:sz w:val="20"/>
                <w:szCs w:val="20"/>
                <w:color w:val="auto"/>
              </w:rPr>
            </w:pPr>
            <w:r>
              <w:rPr>
                <w:rFonts w:ascii="Arial" w:cs="Arial" w:eastAsia="Arial" w:hAnsi="Arial"/>
                <w:sz w:val="15"/>
                <w:szCs w:val="15"/>
                <w:color w:val="auto"/>
              </w:rPr>
              <w:t>38.8%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 . . . . . . . . . . . . . . . . . . . . . . . . .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20"/>
        </w:trPr>
        <w:tc>
          <w:tcPr>
            <w:tcW w:w="4620" w:type="dxa"/>
            <w:vAlign w:val="bottom"/>
          </w:tcPr>
          <w:p>
            <w:pPr>
              <w:spacing w:after="0"/>
              <w:rPr>
                <w:sz w:val="20"/>
                <w:szCs w:val="20"/>
                <w:color w:val="auto"/>
              </w:rPr>
            </w:pPr>
            <w:r>
              <w:rPr>
                <w:rFonts w:ascii="Arial" w:cs="Arial" w:eastAsia="Arial" w:hAnsi="Arial"/>
                <w:sz w:val="15"/>
                <w:szCs w:val="15"/>
                <w:color w:val="auto"/>
              </w:rPr>
              <w:t>Expected Dividend Yield . . . . . . . . . . . . . . . . . . . . . . . .</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45313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453130" cy="6985"/>
                    </a:xfrm>
                    <a:prstGeom prst="rect">
                      <a:avLst/>
                    </a:prstGeom>
                    <a:noFill/>
                  </pic:spPr>
                </pic:pic>
              </a:graphicData>
            </a:graphic>
          </wp:anchor>
        </w:drawing>
      </w:r>
    </w:p>
    <w:p>
      <w:pPr>
        <w:spacing w:after="0" w:line="101"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02" w:lineRule="exact"/>
        <w:rPr>
          <w:sz w:val="20"/>
          <w:szCs w:val="20"/>
          <w:color w:val="auto"/>
        </w:rPr>
      </w:pPr>
    </w:p>
    <w:p>
      <w:pPr>
        <w:ind w:left="1160" w:right="1199" w:firstLine="293"/>
        <w:spacing w:after="0" w:line="291" w:lineRule="auto"/>
        <w:rPr>
          <w:sz w:val="20"/>
          <w:szCs w:val="20"/>
          <w:color w:val="auto"/>
        </w:rPr>
      </w:pPr>
      <w:r>
        <w:rPr>
          <w:rFonts w:ascii="Arial" w:cs="Arial" w:eastAsia="Arial" w:hAnsi="Arial"/>
          <w:sz w:val="14"/>
          <w:szCs w:val="14"/>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FUEL DERIVATIVES AND RISK MANAGEMENT</w:t>
      </w:r>
    </w:p>
    <w:p>
      <w:pPr>
        <w:spacing w:after="0" w:line="117"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02"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1320" w:type="dxa"/>
            <w:vAlign w:val="bottom"/>
            <w:gridSpan w:val="8"/>
          </w:tcPr>
          <w:p>
            <w:pPr>
              <w:ind w:left="20"/>
              <w:spacing w:after="0"/>
              <w:rPr>
                <w:sz w:val="20"/>
                <w:szCs w:val="20"/>
                <w:color w:val="auto"/>
              </w:rPr>
            </w:pPr>
            <w:r>
              <w:rPr>
                <w:rFonts w:ascii="Arial" w:cs="Arial" w:eastAsia="Arial" w:hAnsi="Arial"/>
                <w:sz w:val="12"/>
                <w:szCs w:val="12"/>
                <w:b w:val="1"/>
                <w:bCs w:val="1"/>
                <w:color w:val="auto"/>
                <w:w w:val="86"/>
              </w:rPr>
              <w:t>Year Ended December 31,</w:t>
            </w:r>
          </w:p>
        </w:tc>
      </w:tr>
      <w:tr>
        <w:trPr>
          <w:trHeight w:val="21"/>
        </w:trPr>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(12,006)</w:t>
            </w:r>
          </w:p>
        </w:tc>
        <w:tc>
          <w:tcPr>
            <w:tcW w:w="40" w:type="dxa"/>
            <w:vAlign w:val="bottom"/>
          </w:tcPr>
          <w:p>
            <w:pPr>
              <w:spacing w:after="0"/>
              <w:rPr>
                <w:sz w:val="17"/>
                <w:szCs w:val="17"/>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Non-cash gains (losses)</w:t>
            </w: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w w:val="85"/>
              </w:rPr>
              <w:t>(12,206)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10,791</w:t>
            </w:r>
          </w:p>
        </w:tc>
        <w:tc>
          <w:tcPr>
            <w:tcW w:w="40" w:type="dxa"/>
            <w:vAlign w:val="bottom"/>
          </w:tcPr>
          <w:p>
            <w:pPr>
              <w:spacing w:after="0"/>
              <w:rPr>
                <w:sz w:val="18"/>
                <w:szCs w:val="18"/>
                <w:color w:val="auto"/>
              </w:rPr>
            </w:pPr>
          </w:p>
        </w:tc>
      </w:tr>
      <w:tr>
        <w:trPr>
          <w:trHeight w:val="21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3,448</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color w:val="auto"/>
              </w:rPr>
              <w:t>Balance—December 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(1,173)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2,233</w:t>
            </w:r>
          </w:p>
        </w:tc>
        <w:tc>
          <w:tcPr>
            <w:tcW w:w="4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-173990</wp:posOffset>
            </wp:positionV>
            <wp:extent cx="698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-585470</wp:posOffset>
            </wp:positionV>
            <wp:extent cx="350901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Fuel Derivative Gains (Losses) consisted of the following:</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37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940" w:type="dxa"/>
            <w:vAlign w:val="bottom"/>
            <w:gridSpan w:val="3"/>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0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$(12,206)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$10,791</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$(12,006)</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Arial" w:cs="Arial" w:eastAsia="Arial" w:hAnsi="Arial"/>
                <w:sz w:val="15"/>
                <w:szCs w:val="15"/>
                <w:color w:val="auto"/>
              </w:rPr>
              <w:t>Cash Premiums Paid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(2,053)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(665)</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(2,280)</w:t>
            </w:r>
          </w:p>
        </w:tc>
        <w:tc>
          <w:tcPr>
            <w:tcW w:w="0" w:type="dxa"/>
            <w:vAlign w:val="bottom"/>
          </w:tcPr>
          <w:p>
            <w:pPr>
              <w:spacing w:after="0"/>
              <w:rPr>
                <w:sz w:val="1"/>
                <w:szCs w:val="1"/>
                <w:color w:val="auto"/>
              </w:rPr>
            </w:pPr>
          </w:p>
        </w:tc>
      </w:tr>
      <w:tr>
        <w:trPr>
          <w:trHeight w:val="20"/>
        </w:trPr>
        <w:tc>
          <w:tcPr>
            <w:tcW w:w="37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Fuel Derivative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$(14,259)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$10,126</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$(14,286)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-173990</wp:posOffset>
            </wp:positionV>
            <wp:extent cx="132715"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390265"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9026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258185"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258185"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8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As of December 31, 2020, the Company had outstanding fuel derivative contracts covering 21.0 million gallons of crude oil and jet fuel that will settle between January 2021 and September 2021.</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Fuel Consortia</w:t>
      </w:r>
    </w:p>
    <w:p>
      <w:pPr>
        <w:spacing w:after="0" w:line="117"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w:t>
      </w:r>
    </w:p>
    <w:p>
      <w:pPr>
        <w:spacing w:after="0" w:line="128"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Accounting standards define fair value as the exchange price that would be received for an asset or paid to transfer a liability (an exit price) in the principal or most advantageous market for the asset or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 (continued)</w:t>
      </w:r>
    </w:p>
    <w:p>
      <w:pPr>
        <w:spacing w:after="0" w:line="183"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91"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90"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summarizes the assets and liabilities measured at fair value on a recurring basis:</w:t>
      </w:r>
    </w:p>
    <w:p>
      <w:pPr>
        <w:spacing w:after="0" w:line="151"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2019</w:t>
            </w:r>
          </w:p>
        </w:tc>
        <w:tc>
          <w:tcPr>
            <w:tcW w:w="400" w:type="dxa"/>
            <w:vAlign w:val="bottom"/>
          </w:tcPr>
          <w:p>
            <w:pPr>
              <w:spacing w:after="0"/>
              <w:rPr>
                <w:sz w:val="24"/>
                <w:szCs w:val="24"/>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-975995</wp:posOffset>
            </wp:positionV>
            <wp:extent cx="360680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-1248410</wp:posOffset>
            </wp:positionV>
            <wp:extent cx="11176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-1248410</wp:posOffset>
            </wp:positionV>
            <wp:extent cx="11176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-1248410</wp:posOffset>
            </wp:positionV>
            <wp:extent cx="11176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-1248410</wp:posOffset>
            </wp:positionV>
            <wp:extent cx="4889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606800"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-445770</wp:posOffset>
            </wp:positionV>
            <wp:extent cx="11176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-445770</wp:posOffset>
            </wp:positionV>
            <wp:extent cx="11176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-445770</wp:posOffset>
            </wp:positionV>
            <wp:extent cx="11176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-445770</wp:posOffset>
            </wp:positionV>
            <wp:extent cx="5588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3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9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Company’s debt portfolio consists of EETC certificates and notes payable. See Note 9 for debt fair values.</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w:t>
      </w:r>
    </w:p>
    <w:p>
      <w:pPr>
        <w:spacing w:after="0" w:line="117" w:lineRule="exact"/>
        <w:rPr>
          <w:sz w:val="20"/>
          <w:szCs w:val="20"/>
          <w:color w:val="auto"/>
        </w:rPr>
      </w:pPr>
    </w:p>
    <w:p>
      <w:pPr>
        <w:ind w:left="1160" w:right="1439" w:firstLine="293"/>
        <w:spacing w:after="0" w:line="236" w:lineRule="auto"/>
        <w:rPr>
          <w:sz w:val="20"/>
          <w:szCs w:val="20"/>
          <w:color w:val="auto"/>
        </w:rPr>
      </w:pPr>
      <w:r>
        <w:rPr>
          <w:rFonts w:ascii="Arial" w:cs="Arial" w:eastAsia="Arial" w:hAnsi="Arial"/>
          <w:sz w:val="15"/>
          <w:szCs w:val="15"/>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The following table summarizes the significant components of the provision for income taxes from continuing operations: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160"/>
              <w:spacing w:after="0"/>
              <w:rPr>
                <w:sz w:val="20"/>
                <w:szCs w:val="20"/>
                <w:color w:val="auto"/>
              </w:rPr>
            </w:pPr>
            <w:r>
              <w:rPr>
                <w:rFonts w:ascii="Arial" w:cs="Arial" w:eastAsia="Arial" w:hAnsi="Arial"/>
                <w:sz w:val="12"/>
                <w:szCs w:val="12"/>
                <w:b w:val="1"/>
                <w:bCs w:val="1"/>
                <w:color w:val="auto"/>
                <w:w w:val="78"/>
              </w:rPr>
              <w:t>Successor</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7"/>
            <w:vMerge w:val="restart"/>
          </w:tcPr>
          <w:p>
            <w:pPr>
              <w:spacing w:after="0"/>
              <w:rPr>
                <w:sz w:val="20"/>
                <w:szCs w:val="20"/>
                <w:color w:val="auto"/>
              </w:rPr>
            </w:pPr>
            <w:r>
              <w:rPr>
                <w:rFonts w:ascii="Arial" w:cs="Arial" w:eastAsia="Arial" w:hAnsi="Arial"/>
                <w:sz w:val="12"/>
                <w:szCs w:val="12"/>
                <w:b w:val="1"/>
                <w:bCs w:val="1"/>
                <w:color w:val="auto"/>
                <w:w w:val="93"/>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84"/>
        </w:trPr>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940" w:type="dxa"/>
            <w:vAlign w:val="bottom"/>
            <w:gridSpan w:val="3"/>
            <w:vMerge w:val="restart"/>
          </w:tcPr>
          <w:p>
            <w:pPr>
              <w:jc w:val="center"/>
              <w:ind w:right="4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6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Current Tax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12,509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(191)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Deferred Tax Expense / (Benefit)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14,022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Total Income Tax Expense / (Benefit)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(778)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-153035</wp:posOffset>
            </wp:positionV>
            <wp:extent cx="3865245"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-767080</wp:posOffset>
            </wp:positionV>
            <wp:extent cx="386524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-1317625</wp:posOffset>
            </wp:positionV>
            <wp:extent cx="11176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-1317625</wp:posOffset>
            </wp:positionV>
            <wp:extent cx="5588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-1317625</wp:posOffset>
            </wp:positionV>
            <wp:extent cx="11176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The income tax provision differs from that computed at the federal statutory corporate tax rate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b w:val="1"/>
                <w:bCs w:val="1"/>
                <w:color w:val="auto"/>
                <w:w w:val="75"/>
              </w:rPr>
              <w:t>Successor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94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Expected Provision at Federal Statutory</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300"/>
              <w:spacing w:after="0"/>
              <w:rPr>
                <w:sz w:val="20"/>
                <w:szCs w:val="20"/>
                <w:color w:val="auto"/>
              </w:rPr>
            </w:pPr>
            <w:r>
              <w:rPr>
                <w:rFonts w:ascii="Arial" w:cs="Arial" w:eastAsia="Arial" w:hAnsi="Arial"/>
                <w:sz w:val="15"/>
                <w:szCs w:val="15"/>
                <w:color w:val="auto"/>
              </w:rPr>
              <w:t>Tax Rate</w:t>
            </w: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Tax, net of Federal Impact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09"/>
        </w:trPr>
        <w:tc>
          <w:tcPr>
            <w:tcW w:w="3700" w:type="dxa"/>
            <w:vAlign w:val="bottom"/>
          </w:tcPr>
          <w:p>
            <w:pPr>
              <w:ind w:left="140"/>
              <w:spacing w:after="0"/>
              <w:rPr>
                <w:sz w:val="20"/>
                <w:szCs w:val="20"/>
                <w:color w:val="auto"/>
              </w:rPr>
            </w:pPr>
            <w:r>
              <w:rPr>
                <w:rFonts w:ascii="Arial" w:cs="Arial" w:eastAsia="Arial" w:hAnsi="Arial"/>
                <w:sz w:val="15"/>
                <w:szCs w:val="15"/>
                <w:color w:val="auto"/>
              </w:rPr>
              <w:t>Employee Parking</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w:t>
            </w:r>
          </w:p>
        </w:tc>
        <w:tc>
          <w:tcPr>
            <w:tcW w:w="540" w:type="dxa"/>
            <w:vAlign w:val="bottom"/>
          </w:tcPr>
          <w:p>
            <w:pPr>
              <w:jc w:val="right"/>
              <w:spacing w:after="0"/>
              <w:rPr>
                <w:sz w:val="20"/>
                <w:szCs w:val="20"/>
                <w:color w:val="auto"/>
              </w:rPr>
            </w:pPr>
            <w:r>
              <w:rPr>
                <w:rFonts w:ascii="Arial" w:cs="Arial" w:eastAsia="Arial" w:hAnsi="Arial"/>
                <w:sz w:val="15"/>
                <w:szCs w:val="15"/>
                <w:color w:val="auto"/>
              </w:rPr>
              <w:t>0.2%</w:t>
            </w:r>
          </w:p>
        </w:tc>
        <w:tc>
          <w:tcPr>
            <w:tcW w:w="1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Meals and Entertainment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20"/>
        </w:trPr>
        <w:tc>
          <w:tcPr>
            <w:tcW w:w="3700" w:type="dxa"/>
            <w:vAlign w:val="bottom"/>
          </w:tcPr>
          <w:p>
            <w:pPr>
              <w:ind w:left="140"/>
              <w:spacing w:after="0"/>
              <w:rPr>
                <w:sz w:val="20"/>
                <w:szCs w:val="20"/>
                <w:color w:val="auto"/>
              </w:rPr>
            </w:pPr>
            <w:r>
              <w:rPr>
                <w:rFonts w:ascii="Arial" w:cs="Arial" w:eastAsia="Arial" w:hAnsi="Arial"/>
                <w:sz w:val="15"/>
                <w:szCs w:val="15"/>
                <w:color w:val="auto"/>
              </w:rPr>
              <w:t>Other Permanent Adjustments</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-948055</wp:posOffset>
            </wp:positionV>
            <wp:extent cx="11176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-948055</wp:posOffset>
            </wp:positionV>
            <wp:extent cx="5588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-948055</wp:posOffset>
            </wp:positionV>
            <wp:extent cx="11176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summarizes the significant components of the Company’s deferred taxes: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Net Operating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75,389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24,680</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Obligations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38,629</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45,392</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Goodwill and Other Intangible Assets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Loyalty Program Liabilities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5,064</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Maintenance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7,481</w:t>
            </w:r>
          </w:p>
        </w:tc>
        <w:tc>
          <w:tcPr>
            <w:tcW w:w="60" w:type="dxa"/>
            <w:vAlign w:val="bottom"/>
          </w:tcPr>
          <w:p>
            <w:pPr>
              <w:spacing w:after="0"/>
              <w:rPr>
                <w:sz w:val="18"/>
                <w:szCs w:val="18"/>
                <w:color w:val="auto"/>
              </w:rPr>
            </w:pPr>
          </w:p>
        </w:tc>
      </w:tr>
      <w:tr>
        <w:trPr>
          <w:trHeight w:val="214"/>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60" w:type="dxa"/>
            <w:vAlign w:val="bottom"/>
          </w:tcPr>
          <w:p>
            <w:pPr>
              <w:spacing w:after="0"/>
              <w:rPr>
                <w:sz w:val="18"/>
                <w:szCs w:val="18"/>
                <w:color w:val="auto"/>
              </w:rPr>
            </w:pPr>
          </w:p>
        </w:tc>
      </w:tr>
      <w:tr>
        <w:trPr>
          <w:trHeight w:val="211"/>
        </w:trPr>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154,675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139,340</w:t>
            </w:r>
          </w:p>
        </w:tc>
        <w:tc>
          <w:tcPr>
            <w:tcW w:w="60" w:type="dxa"/>
            <w:vAlign w:val="bottom"/>
          </w:tcPr>
          <w:p>
            <w:pPr>
              <w:spacing w:after="0"/>
              <w:rPr>
                <w:sz w:val="18"/>
                <w:szCs w:val="18"/>
                <w:color w:val="auto"/>
              </w:rPr>
            </w:pPr>
          </w:p>
        </w:tc>
      </w:tr>
      <w:tr>
        <w:trPr>
          <w:trHeight w:val="293"/>
        </w:trPr>
        <w:tc>
          <w:tcPr>
            <w:tcW w:w="470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Accelerated Depreciation</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(24,858)</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Operating Lease Right-of-use Assets</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(27,892)</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(33,844)</w:t>
            </w:r>
          </w:p>
        </w:tc>
      </w:tr>
      <w:tr>
        <w:trPr>
          <w:trHeight w:val="220"/>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Finance Lease Assets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(44,696)</w:t>
            </w:r>
          </w:p>
        </w:tc>
        <w:tc>
          <w:tcPr>
            <w:tcW w:w="60" w:type="dxa"/>
            <w:vAlign w:val="bottom"/>
          </w:tcPr>
          <w:p>
            <w:pPr>
              <w:spacing w:after="0"/>
              <w:rPr>
                <w:sz w:val="19"/>
                <w:szCs w:val="19"/>
                <w:color w:val="auto"/>
              </w:rPr>
            </w:pPr>
          </w:p>
        </w:tc>
      </w:tr>
      <w:tr>
        <w:trPr>
          <w:trHeight w:val="225"/>
        </w:trPr>
        <w:tc>
          <w:tcPr>
            <w:tcW w:w="4700" w:type="dxa"/>
            <w:vAlign w:val="bottom"/>
          </w:tcPr>
          <w:p>
            <w:pPr>
              <w:ind w:left="140"/>
              <w:spacing w:after="0"/>
              <w:rPr>
                <w:sz w:val="20"/>
                <w:szCs w:val="20"/>
                <w:color w:val="auto"/>
              </w:rPr>
            </w:pPr>
            <w:r>
              <w:rPr>
                <w:rFonts w:ascii="Arial" w:cs="Arial" w:eastAsia="Arial" w:hAnsi="Arial"/>
                <w:sz w:val="15"/>
                <w:szCs w:val="15"/>
                <w:color w:val="auto"/>
              </w:rPr>
              <w:t>Unrealized Gain on Fuel Derivatives</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(514)</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(118,459)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(103,912)</w:t>
            </w:r>
          </w:p>
        </w:tc>
        <w:tc>
          <w:tcPr>
            <w:tcW w:w="60" w:type="dxa"/>
            <w:vAlign w:val="bottom"/>
          </w:tcPr>
          <w:p>
            <w:pPr>
              <w:spacing w:after="0"/>
              <w:rPr>
                <w:sz w:val="19"/>
                <w:szCs w:val="19"/>
                <w:color w:val="auto"/>
              </w:rPr>
            </w:pPr>
          </w:p>
        </w:tc>
      </w:tr>
      <w:tr>
        <w:trPr>
          <w:trHeight w:val="227"/>
        </w:trPr>
        <w:tc>
          <w:tcPr>
            <w:tcW w:w="47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Total Net Deferred Tax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36,216</w:t>
            </w: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35,428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-334010</wp:posOffset>
            </wp:positionV>
            <wp:extent cx="348107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-1227455</wp:posOffset>
            </wp:positionV>
            <wp:extent cx="348107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-2294890</wp:posOffset>
            </wp:positionV>
            <wp:extent cx="11176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-2294890</wp:posOffset>
            </wp:positionV>
            <wp:extent cx="5588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jc w:val="both"/>
        <w:ind w:left="1160" w:right="1339" w:firstLine="293"/>
        <w:spacing w:after="0" w:line="281" w:lineRule="auto"/>
        <w:rPr>
          <w:sz w:val="20"/>
          <w:szCs w:val="20"/>
          <w:color w:val="auto"/>
        </w:rPr>
      </w:pPr>
      <w:r>
        <w:rPr>
          <w:rFonts w:ascii="Arial" w:cs="Arial" w:eastAsia="Arial" w:hAnsi="Arial"/>
          <w:sz w:val="14"/>
          <w:szCs w:val="14"/>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8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9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78" w:lineRule="exact"/>
        <w:rPr>
          <w:sz w:val="20"/>
          <w:szCs w:val="20"/>
          <w:color w:val="auto"/>
        </w:rPr>
      </w:pPr>
    </w:p>
    <w:p>
      <w:pPr>
        <w:ind w:left="1160" w:right="1679" w:firstLine="293"/>
        <w:spacing w:after="0" w:line="264" w:lineRule="auto"/>
        <w:rPr>
          <w:sz w:val="20"/>
          <w:szCs w:val="20"/>
          <w:color w:val="auto"/>
        </w:rPr>
      </w:pPr>
      <w:r>
        <w:rPr>
          <w:rFonts w:ascii="Arial" w:cs="Arial" w:eastAsia="Arial" w:hAnsi="Arial"/>
          <w:sz w:val="15"/>
          <w:szCs w:val="15"/>
          <w:color w:val="auto"/>
        </w:rPr>
        <w:t>As of December 31, 2020 and 2019, the Company had no liability for unrecognized tax benefits recorded in its Consolidated Balance Sheets.</w:t>
      </w:r>
    </w:p>
    <w:p>
      <w:pPr>
        <w:spacing w:after="0" w:line="93"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DEFINED CONTRIBUTION 401(K) PLAN</w:t>
      </w:r>
    </w:p>
    <w:p>
      <w:pPr>
        <w:spacing w:after="0" w:line="117"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made 401(k) contributions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78"/>
              </w:rPr>
              <w:t>Successor</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9"/>
            <w:vMerge w:val="restart"/>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0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9"/>
            <w:vMerge w:val="continue"/>
          </w:tcPr>
          <w:p>
            <w:pPr>
              <w:spacing w:after="0"/>
              <w:rPr>
                <w:sz w:val="7"/>
                <w:szCs w:val="7"/>
                <w:color w:val="auto"/>
              </w:rPr>
            </w:pPr>
          </w:p>
        </w:tc>
        <w:tc>
          <w:tcPr>
            <w:tcW w:w="102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80" w:type="dxa"/>
            <w:vAlign w:val="bottom"/>
          </w:tcPr>
          <w:p>
            <w:pPr>
              <w:spacing w:after="0"/>
              <w:rPr>
                <w:sz w:val="7"/>
                <w:szCs w:val="7"/>
                <w:color w:val="auto"/>
              </w:rPr>
            </w:pPr>
          </w:p>
        </w:tc>
        <w:tc>
          <w:tcPr>
            <w:tcW w:w="900" w:type="dxa"/>
            <w:vAlign w:val="bottom"/>
            <w:gridSpan w:val="4"/>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660" w:type="dxa"/>
            <w:vAlign w:val="bottom"/>
            <w:gridSpan w:val="3"/>
          </w:tcPr>
          <w:p>
            <w:pPr>
              <w:jc w:val="right"/>
              <w:ind w:right="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Non-Discretionary</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$1,040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908</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592</w:t>
            </w:r>
          </w:p>
        </w:tc>
        <w:tc>
          <w:tcPr>
            <w:tcW w:w="10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5"/>
                <w:szCs w:val="15"/>
                <w:color w:val="auto"/>
              </w:rPr>
              <w:t>Discretionary</w:t>
            </w:r>
          </w:p>
        </w:tc>
        <w:tc>
          <w:tcPr>
            <w:tcW w:w="260" w:type="dxa"/>
            <w:vAlign w:val="bottom"/>
            <w:gridSpan w:val="2"/>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4,246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w w:val="79"/>
              </w:rPr>
              <w:t>2,436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1,026</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401(k) Contributions</w:t>
            </w:r>
          </w:p>
        </w:tc>
        <w:tc>
          <w:tcPr>
            <w:tcW w:w="2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$5,303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5,154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9"/>
              </w:rPr>
              <w:t>3,028</w:t>
            </w:r>
          </w:p>
        </w:tc>
        <w:tc>
          <w:tcPr>
            <w:tcW w:w="10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1,334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-153035</wp:posOffset>
            </wp:positionV>
            <wp:extent cx="16065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-431800</wp:posOffset>
            </wp:positionV>
            <wp:extent cx="11176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-431800</wp:posOffset>
            </wp:positionV>
            <wp:extent cx="5588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-431800</wp:posOffset>
            </wp:positionV>
            <wp:extent cx="10477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-431800</wp:posOffset>
            </wp:positionV>
            <wp:extent cx="11176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ind w:left="1160" w:right="1719" w:firstLine="293"/>
        <w:spacing w:after="0" w:line="264" w:lineRule="auto"/>
        <w:rPr>
          <w:sz w:val="20"/>
          <w:szCs w:val="20"/>
          <w:color w:val="auto"/>
        </w:rPr>
      </w:pPr>
      <w:r>
        <w:rPr>
          <w:rFonts w:ascii="Arial" w:cs="Arial" w:eastAsia="Arial" w:hAnsi="Arial"/>
          <w:sz w:val="15"/>
          <w:szCs w:val="15"/>
          <w:color w:val="auto"/>
        </w:rPr>
        <w:t>Contributions are classified in Salaries, Wages, and Benefits on the Consolidated Statements of Operations.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Special Items, net on the Consolidated Statements of Operations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8"/>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04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80" w:type="dxa"/>
            <w:vAlign w:val="bottom"/>
          </w:tcPr>
          <w:p>
            <w:pPr>
              <w:spacing w:after="0"/>
              <w:rPr>
                <w:sz w:val="7"/>
                <w:szCs w:val="7"/>
                <w:color w:val="auto"/>
              </w:rPr>
            </w:pPr>
          </w:p>
        </w:tc>
        <w:tc>
          <w:tcPr>
            <w:tcW w:w="900" w:type="dxa"/>
            <w:vAlign w:val="bottom"/>
            <w:gridSpan w:val="3"/>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gridSpan w:val="2"/>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$(62,312)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CARES Act employee retention credit</w:t>
            </w:r>
            <w:r>
              <w:rPr>
                <w:rFonts w:ascii="Arial" w:cs="Arial" w:eastAsia="Arial" w:hAnsi="Arial"/>
                <w:sz w:val="21"/>
                <w:szCs w:val="21"/>
                <w:color w:val="auto"/>
                <w:vertAlign w:val="superscript"/>
              </w:rPr>
              <w:t>(2)</w:t>
            </w:r>
          </w:p>
        </w:tc>
        <w:tc>
          <w:tcPr>
            <w:tcW w:w="960" w:type="dxa"/>
            <w:vAlign w:val="bottom"/>
            <w:gridSpan w:val="3"/>
          </w:tcPr>
          <w:p>
            <w:pPr>
              <w:jc w:val="right"/>
              <w:ind w:right="180"/>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w w:val="95"/>
              </w:rPr>
              <w:t>Contractual obligations for retired technology</w:t>
            </w:r>
            <w:r>
              <w:rPr>
                <w:rFonts w:ascii="Arial" w:cs="Arial" w:eastAsia="Arial" w:hAnsi="Arial"/>
                <w:sz w:val="21"/>
                <w:szCs w:val="21"/>
                <w:color w:val="auto"/>
                <w:w w:val="95"/>
                <w:vertAlign w:val="superscript"/>
              </w:rPr>
              <w:t>(3)</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7,578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Sale of airport slot rights</w:t>
            </w:r>
            <w:r>
              <w:rPr>
                <w:rFonts w:ascii="Arial" w:cs="Arial" w:eastAsia="Arial" w:hAnsi="Arial"/>
                <w:sz w:val="21"/>
                <w:szCs w:val="21"/>
                <w:color w:val="auto"/>
                <w:vertAlign w:val="superscript"/>
              </w:rPr>
              <w:t>(4)</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(1,200)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3040" w:type="dxa"/>
            <w:vAlign w:val="bottom"/>
            <w:gridSpan w:val="2"/>
            <w:shd w:val="clear" w:color="auto" w:fill="CCEEFF"/>
          </w:tcPr>
          <w:p>
            <w:pPr>
              <w:spacing w:after="0" w:line="158" w:lineRule="exact"/>
              <w:rPr>
                <w:sz w:val="20"/>
                <w:szCs w:val="20"/>
                <w:color w:val="auto"/>
              </w:rPr>
            </w:pPr>
            <w:r>
              <w:rPr>
                <w:rFonts w:ascii="Arial" w:cs="Arial" w:eastAsia="Arial" w:hAnsi="Arial"/>
                <w:sz w:val="15"/>
                <w:szCs w:val="15"/>
                <w:color w:val="auto"/>
              </w:rPr>
              <w:t>Sun Country Rewards program</w:t>
            </w: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040" w:type="dxa"/>
            <w:vAlign w:val="bottom"/>
            <w:gridSpan w:val="2"/>
            <w:shd w:val="clear" w:color="auto" w:fill="CCEEFF"/>
          </w:tcPr>
          <w:p>
            <w:pPr>
              <w:ind w:left="160"/>
              <w:spacing w:after="0" w:line="238" w:lineRule="exact"/>
              <w:rPr>
                <w:sz w:val="20"/>
                <w:szCs w:val="20"/>
                <w:color w:val="auto"/>
              </w:rPr>
            </w:pPr>
            <w:r>
              <w:rPr>
                <w:rFonts w:ascii="Arial" w:cs="Arial" w:eastAsia="Arial" w:hAnsi="Arial"/>
                <w:sz w:val="15"/>
                <w:szCs w:val="15"/>
                <w:color w:val="auto"/>
              </w:rPr>
              <w:t>modifications</w:t>
            </w:r>
            <w:r>
              <w:rPr>
                <w:rFonts w:ascii="Arial" w:cs="Arial" w:eastAsia="Arial" w:hAnsi="Arial"/>
                <w:sz w:val="21"/>
                <w:szCs w:val="21"/>
                <w:color w:val="auto"/>
                <w:vertAlign w:val="superscript"/>
              </w:rPr>
              <w:t>(5)</w:t>
            </w: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(8,463)</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3040" w:type="dxa"/>
            <w:vAlign w:val="bottom"/>
            <w:gridSpan w:val="2"/>
          </w:tcPr>
          <w:p>
            <w:pPr>
              <w:spacing w:after="0" w:line="158" w:lineRule="exact"/>
              <w:rPr>
                <w:sz w:val="20"/>
                <w:szCs w:val="20"/>
                <w:color w:val="auto"/>
              </w:rPr>
            </w:pPr>
            <w:r>
              <w:rPr>
                <w:rFonts w:ascii="Arial" w:cs="Arial" w:eastAsia="Arial" w:hAnsi="Arial"/>
                <w:sz w:val="15"/>
                <w:szCs w:val="15"/>
                <w:color w:val="auto"/>
              </w:rPr>
              <w:t>Early-out payments and other outsourcing</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60"/>
              <w:spacing w:after="0" w:line="238" w:lineRule="exact"/>
              <w:rPr>
                <w:sz w:val="20"/>
                <w:szCs w:val="20"/>
                <w:color w:val="auto"/>
              </w:rPr>
            </w:pPr>
            <w:r>
              <w:rPr>
                <w:rFonts w:ascii="Arial" w:cs="Arial" w:eastAsia="Arial" w:hAnsi="Arial"/>
                <w:sz w:val="15"/>
                <w:szCs w:val="15"/>
                <w:color w:val="auto"/>
              </w:rPr>
              <w:t>expenses</w:t>
            </w:r>
            <w:r>
              <w:rPr>
                <w:rFonts w:ascii="Arial" w:cs="Arial" w:eastAsia="Arial" w:hAnsi="Arial"/>
                <w:sz w:val="21"/>
                <w:szCs w:val="21"/>
                <w:color w:val="auto"/>
                <w:vertAlign w:val="superscript"/>
              </w:rPr>
              <w:t>(6)</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1,757</w:t>
            </w:r>
          </w:p>
        </w:tc>
        <w:tc>
          <w:tcPr>
            <w:tcW w:w="100" w:type="dxa"/>
            <w:vAlign w:val="bottom"/>
            <w:tcBorders>
              <w:right w:val="single" w:sz="8" w:color="auto"/>
            </w:tcBorders>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0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Other</w:t>
            </w:r>
            <w:r>
              <w:rPr>
                <w:rFonts w:ascii="Arial" w:cs="Arial" w:eastAsia="Arial" w:hAnsi="Arial"/>
                <w:sz w:val="21"/>
                <w:szCs w:val="21"/>
                <w:color w:val="auto"/>
                <w:vertAlign w:val="superscript"/>
              </w:rPr>
              <w:t>(7)</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gridSpan w:val="2"/>
          </w:tcPr>
          <w:p>
            <w:pPr>
              <w:ind w:left="160"/>
              <w:spacing w:after="0"/>
              <w:rPr>
                <w:sz w:val="20"/>
                <w:szCs w:val="20"/>
                <w:color w:val="auto"/>
              </w:rPr>
            </w:pPr>
            <w:r>
              <w:rPr>
                <w:rFonts w:ascii="Arial" w:cs="Arial" w:eastAsia="Arial" w:hAnsi="Arial"/>
                <w:sz w:val="15"/>
                <w:szCs w:val="15"/>
                <w:color w:val="auto"/>
              </w:rPr>
              <w:t>Total Special Items, net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$(64,563)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5"/>
              </w:rPr>
              <w:t>7,092</w:t>
            </w:r>
          </w:p>
        </w:tc>
        <w:tc>
          <w:tcPr>
            <w:tcW w:w="1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-1450340</wp:posOffset>
            </wp:positionV>
            <wp:extent cx="11176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-1450340</wp:posOffset>
            </wp:positionV>
            <wp:extent cx="48895"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-1450340</wp:posOffset>
            </wp:positionV>
            <wp:extent cx="10477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-1450340</wp:posOffset>
            </wp:positionV>
            <wp:extent cx="104775"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04775" cy="6985"/>
                    </a:xfrm>
                    <a:prstGeom prst="rect">
                      <a:avLst/>
                    </a:prstGeom>
                    <a:noFill/>
                  </pic:spPr>
                </pic:pic>
              </a:graphicData>
            </a:graphic>
          </wp:anchor>
        </w:drawing>
      </w:r>
    </w:p>
    <w:p>
      <w:pPr>
        <w:spacing w:after="0" w:line="68" w:lineRule="exact"/>
        <w:rPr>
          <w:sz w:val="20"/>
          <w:szCs w:val="20"/>
          <w:color w:val="auto"/>
        </w:rPr>
      </w:pPr>
    </w:p>
    <w:p>
      <w:pPr>
        <w:ind w:left="1460" w:right="1239" w:hanging="296"/>
        <w:spacing w:after="0" w:line="241" w:lineRule="auto"/>
        <w:tabs>
          <w:tab w:leader="none" w:pos="14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23" w:lineRule="exact"/>
        <w:rPr>
          <w:rFonts w:ascii="Arial" w:cs="Arial" w:eastAsia="Arial" w:hAnsi="Arial"/>
          <w:sz w:val="14"/>
          <w:szCs w:val="14"/>
          <w:color w:val="auto"/>
        </w:rPr>
      </w:pPr>
    </w:p>
    <w:p>
      <w:pPr>
        <w:ind w:left="1460" w:right="1179" w:hanging="296"/>
        <w:spacing w:after="0" w:line="236" w:lineRule="auto"/>
        <w:tabs>
          <w:tab w:leader="none" w:pos="14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Relates to the credit recognized under the CARES Act Employee Retention credit which is a refundable tax credit against certain employment taxes (see Note 3 for more information).</w:t>
      </w:r>
    </w:p>
    <w:p>
      <w:pPr>
        <w:spacing w:after="0" w:line="34" w:lineRule="exact"/>
        <w:rPr>
          <w:rFonts w:ascii="Arial" w:cs="Arial" w:eastAsia="Arial" w:hAnsi="Arial"/>
          <w:sz w:val="15"/>
          <w:szCs w:val="15"/>
          <w:color w:val="auto"/>
        </w:rPr>
      </w:pPr>
    </w:p>
    <w:p>
      <w:pPr>
        <w:ind w:left="1460" w:right="1319" w:hanging="296"/>
        <w:spacing w:after="0" w:line="248" w:lineRule="auto"/>
        <w:tabs>
          <w:tab w:leader="none" w:pos="14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 (continued)</w:t>
      </w:r>
    </w:p>
    <w:p>
      <w:pPr>
        <w:spacing w:after="0" w:line="150" w:lineRule="exact"/>
        <w:rPr>
          <w:sz w:val="20"/>
          <w:szCs w:val="20"/>
          <w:color w:val="auto"/>
        </w:rPr>
      </w:pPr>
    </w:p>
    <w:p>
      <w:pPr>
        <w:ind w:left="1460" w:right="1219" w:hanging="296"/>
        <w:spacing w:after="0" w:line="267" w:lineRule="auto"/>
        <w:tabs>
          <w:tab w:leader="none" w:pos="1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Represents proceeds from the sale of unused airport slot rights. SCA does not hold any other remaining airport slot rights; therefore this gain does not reflect the Company’s continuing operations.</w:t>
      </w:r>
    </w:p>
    <w:p>
      <w:pPr>
        <w:spacing w:after="0" w:line="15" w:lineRule="exact"/>
        <w:rPr>
          <w:rFonts w:ascii="Arial" w:cs="Arial" w:eastAsia="Arial" w:hAnsi="Arial"/>
          <w:sz w:val="14"/>
          <w:szCs w:val="14"/>
          <w:color w:val="auto"/>
        </w:rPr>
      </w:pPr>
    </w:p>
    <w:p>
      <w:pPr>
        <w:jc w:val="both"/>
        <w:ind w:left="1460" w:right="1179" w:hanging="296"/>
        <w:spacing w:after="0" w:line="229" w:lineRule="auto"/>
        <w:tabs>
          <w:tab w:leader="none" w:pos="1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spacing w:after="0" w:line="44" w:lineRule="exact"/>
        <w:rPr>
          <w:rFonts w:ascii="Arial" w:cs="Arial" w:eastAsia="Arial" w:hAnsi="Arial"/>
          <w:sz w:val="15"/>
          <w:szCs w:val="15"/>
          <w:color w:val="auto"/>
        </w:rPr>
      </w:pPr>
    </w:p>
    <w:p>
      <w:pPr>
        <w:ind w:left="1460" w:right="1499" w:hanging="296"/>
        <w:spacing w:after="0" w:line="229" w:lineRule="auto"/>
        <w:tabs>
          <w:tab w:leader="none" w:pos="1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spacing w:after="0" w:line="33" w:lineRule="exact"/>
        <w:rPr>
          <w:rFonts w:ascii="Arial" w:cs="Arial" w:eastAsia="Arial" w:hAnsi="Arial"/>
          <w:sz w:val="15"/>
          <w:szCs w:val="15"/>
          <w:color w:val="auto"/>
        </w:rPr>
      </w:pPr>
    </w:p>
    <w:p>
      <w:pPr>
        <w:ind w:left="1460" w:right="1739" w:hanging="296"/>
        <w:spacing w:after="0" w:line="236" w:lineRule="auto"/>
        <w:tabs>
          <w:tab w:leader="none" w:pos="1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Consists of employee relocation costs due to closing flight attendant bases and costs to exit the Company’s prior headquarters building.</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17. COMMITMENTS AND CONTINGENCIES</w:t>
      </w:r>
    </w:p>
    <w:p>
      <w:pPr>
        <w:spacing w:after="0" w:line="117"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(see Note 10) and repayment of debt (see Note 9).</w:t>
      </w:r>
    </w:p>
    <w:p>
      <w:pPr>
        <w:spacing w:after="0" w:line="9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records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w:t>
      </w:r>
    </w:p>
    <w:p>
      <w:pPr>
        <w:spacing w:after="0" w:line="12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9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9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 (continued)</w:t>
      </w:r>
    </w:p>
    <w:p>
      <w:pPr>
        <w:spacing w:after="0" w:line="183"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300"/>
              <w:spacing w:after="0"/>
              <w:rPr>
                <w:sz w:val="20"/>
                <w:szCs w:val="20"/>
                <w:color w:val="auto"/>
              </w:rPr>
            </w:pPr>
            <w:r>
              <w:rPr>
                <w:rFonts w:ascii="Arial" w:cs="Arial" w:eastAsia="Arial" w:hAnsi="Arial"/>
                <w:sz w:val="12"/>
                <w:szCs w:val="12"/>
                <w:b w:val="1"/>
                <w:bCs w:val="1"/>
                <w:color w:val="auto"/>
                <w:w w:val="95"/>
              </w:rPr>
              <w:t>Year Ended December 31, 2020</w:t>
            </w:r>
          </w:p>
        </w:tc>
      </w:tr>
      <w:tr>
        <w:trPr>
          <w:trHeight w:val="21"/>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2"/>
              </w:rPr>
              <w:t>Passenger</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Revenues . . . . . . . . . . . . . . . . . . . . . . . . .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364,677</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401,486</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380" w:type="dxa"/>
            <w:vAlign w:val="bottom"/>
          </w:tcPr>
          <w:p>
            <w:pPr>
              <w:ind w:left="160"/>
              <w:spacing w:after="0"/>
              <w:rPr>
                <w:sz w:val="20"/>
                <w:szCs w:val="20"/>
                <w:color w:val="auto"/>
              </w:rPr>
            </w:pPr>
            <w:r>
              <w:rPr>
                <w:rFonts w:ascii="Arial" w:cs="Arial" w:eastAsia="Arial" w:hAnsi="Arial"/>
                <w:sz w:val="15"/>
                <w:szCs w:val="15"/>
                <w:color w:val="auto"/>
              </w:rPr>
              <w:t>Non-Fuel Operating Expenses . . . . . . . . . . . . . .</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332,742</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32,530</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4"/>
              </w:rPr>
              <w:t>365,272</w:t>
            </w:r>
          </w:p>
        </w:tc>
      </w:tr>
      <w:tr>
        <w:trPr>
          <w:trHeight w:val="209"/>
        </w:trPr>
        <w:tc>
          <w:tcPr>
            <w:tcW w:w="4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Fuel . . . . . . .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83,392</w:t>
            </w:r>
          </w:p>
        </w:tc>
      </w:tr>
      <w:tr>
        <w:trPr>
          <w:trHeight w:val="214"/>
        </w:trPr>
        <w:tc>
          <w:tcPr>
            <w:tcW w:w="4380" w:type="dxa"/>
            <w:vAlign w:val="bottom"/>
          </w:tcPr>
          <w:p>
            <w:pPr>
              <w:ind w:left="160"/>
              <w:spacing w:after="0"/>
              <w:rPr>
                <w:sz w:val="20"/>
                <w:szCs w:val="20"/>
                <w:color w:val="auto"/>
              </w:rPr>
            </w:pPr>
            <w:r>
              <w:rPr>
                <w:rFonts w:ascii="Arial" w:cs="Arial" w:eastAsia="Arial" w:hAnsi="Arial"/>
                <w:sz w:val="15"/>
                <w:szCs w:val="15"/>
                <w:color w:val="auto"/>
              </w:rPr>
              <w:t>Special Items, net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(53,842)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(10,721)</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(64,563)</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21,809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384,101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380" w:type="dxa"/>
            <w:vAlign w:val="bottom"/>
          </w:tcPr>
          <w:p>
            <w:pPr>
              <w:spacing w:after="0"/>
              <w:rPr>
                <w:sz w:val="20"/>
                <w:szCs w:val="20"/>
                <w:color w:val="auto"/>
              </w:rPr>
            </w:pPr>
            <w:r>
              <w:rPr>
                <w:rFonts w:ascii="Arial" w:cs="Arial" w:eastAsia="Arial" w:hAnsi="Arial"/>
                <w:sz w:val="15"/>
                <w:szCs w:val="15"/>
                <w:color w:val="auto"/>
              </w:rPr>
              <w:t>Operating Income . . . . . . . . . . . . . . . . . . . . . . . . . . .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2,385</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17,385</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 . . . . . . . . . . . . . . . . . . . . . . . . . . . .</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r>
      <w:tr>
        <w:trPr>
          <w:trHeight w:val="209"/>
        </w:trPr>
        <w:tc>
          <w:tcPr>
            <w:tcW w:w="4380" w:type="dxa"/>
            <w:vAlign w:val="bottom"/>
          </w:tcPr>
          <w:p>
            <w:pPr>
              <w:spacing w:after="0"/>
              <w:rPr>
                <w:sz w:val="20"/>
                <w:szCs w:val="20"/>
                <w:color w:val="auto"/>
              </w:rPr>
            </w:pPr>
            <w:r>
              <w:rPr>
                <w:rFonts w:ascii="Arial" w:cs="Arial" w:eastAsia="Arial" w:hAnsi="Arial"/>
                <w:sz w:val="15"/>
                <w:szCs w:val="15"/>
                <w:color w:val="auto"/>
              </w:rPr>
              <w:t>Interest Expense . . . . .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(22,073)</w:t>
            </w:r>
          </w:p>
        </w:tc>
      </w:tr>
      <w:tr>
        <w:trPr>
          <w:trHeight w:val="214"/>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Other Non-operating Income (Expense), net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5"/>
                <w:szCs w:val="15"/>
                <w:color w:val="auto"/>
              </w:rPr>
              <w:t>Income / (Loss) before Income Tax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(4,682)</w:t>
            </w:r>
          </w:p>
        </w:tc>
      </w:tr>
      <w:tr>
        <w:trPr>
          <w:trHeight w:val="20"/>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-173990</wp:posOffset>
            </wp:positionV>
            <wp:extent cx="2794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-585470</wp:posOffset>
            </wp:positionV>
            <wp:extent cx="2794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385826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-732155</wp:posOffset>
            </wp:positionV>
            <wp:extent cx="2794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-878205</wp:posOffset>
            </wp:positionV>
            <wp:extent cx="2794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385826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-1290320</wp:posOffset>
            </wp:positionV>
            <wp:extent cx="27940"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-1436370</wp:posOffset>
            </wp:positionV>
            <wp:extent cx="111760"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-1436370</wp:posOffset>
            </wp:positionV>
            <wp:extent cx="11176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-1436370</wp:posOffset>
            </wp:positionV>
            <wp:extent cx="5588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w:t>
      </w:r>
    </w:p>
    <w:p>
      <w:pPr>
        <w:spacing w:after="0" w:line="128"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700" w:right="2739" w:hanging="2536"/>
        <w:spacing w:after="0" w:line="489" w:lineRule="auto"/>
        <w:tabs>
          <w:tab w:leader="none" w:pos="1363"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Balance Sheets</w:t>
      </w:r>
    </w:p>
    <w:tbl>
      <w:tblPr>
        <w:tblLayout w:type="fixed"/>
        <w:tblInd w:w="1160" w:type="dxa"/>
        <w:tblCellMar>
          <w:top w:w="0" w:type="dxa"/>
          <w:left w:w="0" w:type="dxa"/>
          <w:bottom w:w="0" w:type="dxa"/>
          <w:right w:w="0" w:type="dxa"/>
        </w:tblCellMar>
      </w:tblPr>
      <w:tr>
        <w:trPr>
          <w:trHeight w:val="150"/>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8"/>
                <w:szCs w:val="18"/>
                <w:color w:val="auto"/>
              </w:rPr>
            </w:pPr>
          </w:p>
        </w:tc>
      </w:tr>
      <w:tr>
        <w:trPr>
          <w:trHeight w:val="205"/>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Current Assets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Investment in Subsidiary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282,569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 . . . . . . .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11"/>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Other Assets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1"/>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 . . . . . . . . . . .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Other Current Liabilities . . . . . . . . .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11"/>
        </w:trPr>
        <w:tc>
          <w:tcPr>
            <w:tcW w:w="53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Liabilities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color w:val="auto"/>
              </w:rPr>
              <w:t>Total Liabilities . . . . . . . . . . . . .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181</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Common Stock . . . . . . . .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239,162</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239,141</w:t>
            </w:r>
          </w:p>
        </w:tc>
      </w:tr>
      <w:tr>
        <w:trPr>
          <w:trHeight w:val="20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 . . . . . . . . . . . . . . . . . . .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(3,500)</w:t>
            </w:r>
          </w:p>
        </w:tc>
        <w:tc>
          <w:tcPr>
            <w:tcW w:w="60" w:type="dxa"/>
            <w:vAlign w:val="bottom"/>
          </w:tcPr>
          <w:p>
            <w:pPr>
              <w:spacing w:after="0"/>
              <w:rPr>
                <w:sz w:val="18"/>
                <w:szCs w:val="18"/>
                <w:color w:val="auto"/>
              </w:rPr>
            </w:pPr>
          </w:p>
        </w:tc>
      </w:tr>
      <w:tr>
        <w:trPr>
          <w:trHeight w:val="220"/>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Additional Paid In Capital . . . . . . . . . . . . . . . . . . .</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9,831</w:t>
            </w: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5,855</w:t>
            </w:r>
          </w:p>
        </w:tc>
      </w:tr>
      <w:tr>
        <w:trPr>
          <w:trHeight w:val="225"/>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Retained Earnings . . . . . . . . . . . . . . . . . . . .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38,324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42,228</w:t>
            </w:r>
          </w:p>
        </w:tc>
        <w:tc>
          <w:tcPr>
            <w:tcW w:w="60" w:type="dxa"/>
            <w:vAlign w:val="bottom"/>
          </w:tcPr>
          <w:p>
            <w:pPr>
              <w:spacing w:after="0"/>
              <w:rPr>
                <w:sz w:val="19"/>
                <w:szCs w:val="19"/>
                <w:color w:val="auto"/>
              </w:rPr>
            </w:pPr>
          </w:p>
        </w:tc>
      </w:tr>
      <w:tr>
        <w:trPr>
          <w:trHeight w:val="222"/>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Stockholders’ Equity . . . . . . . . . . . . . .</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283,724</w:t>
            </w:r>
          </w:p>
        </w:tc>
      </w:tr>
      <w:tr>
        <w:trPr>
          <w:trHeight w:val="222"/>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and Stockholders’ Equity . . . . . .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-160020</wp:posOffset>
            </wp:positionV>
            <wp:extent cx="3886200"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-1283335</wp:posOffset>
            </wp:positionV>
            <wp:extent cx="388620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8620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-2936240</wp:posOffset>
            </wp:positionV>
            <wp:extent cx="11176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-2936240</wp:posOffset>
            </wp:positionV>
            <wp:extent cx="55880"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Statements of Operations</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9"/>
            <w:vMerge w:val="restart"/>
          </w:tcPr>
          <w:p>
            <w:pPr>
              <w:spacing w:after="0"/>
              <w:rPr>
                <w:sz w:val="20"/>
                <w:szCs w:val="20"/>
                <w:color w:val="auto"/>
              </w:rPr>
            </w:pPr>
            <w:r>
              <w:rPr>
                <w:rFonts w:ascii="Arial" w:cs="Arial" w:eastAsia="Arial" w:hAnsi="Arial"/>
                <w:sz w:val="12"/>
                <w:szCs w:val="12"/>
                <w:b w:val="1"/>
                <w:bCs w:val="1"/>
                <w:color w:val="auto"/>
                <w:w w:val="88"/>
              </w:rPr>
              <w:t>Year Ended December 31,</w:t>
            </w:r>
          </w:p>
        </w:tc>
        <w:tc>
          <w:tcPr>
            <w:tcW w:w="9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9"/>
            <w:vMerge w:val="continue"/>
          </w:tcPr>
          <w:p>
            <w:pPr>
              <w:spacing w:after="0"/>
              <w:rPr>
                <w:sz w:val="6"/>
                <w:szCs w:val="6"/>
                <w:color w:val="auto"/>
              </w:rPr>
            </w:pPr>
          </w:p>
        </w:tc>
        <w:tc>
          <w:tcPr>
            <w:tcW w:w="940" w:type="dxa"/>
            <w:vAlign w:val="bottom"/>
            <w:gridSpan w:val="6"/>
            <w:vMerge w:val="restart"/>
          </w:tcPr>
          <w:p>
            <w:pPr>
              <w:jc w:val="center"/>
              <w:ind w:right="20"/>
              <w:spacing w:after="0" w:line="112" w:lineRule="exact"/>
              <w:rPr>
                <w:sz w:val="20"/>
                <w:szCs w:val="20"/>
                <w:color w:val="auto"/>
              </w:rPr>
            </w:pPr>
            <w:r>
              <w:rPr>
                <w:rFonts w:ascii="Arial" w:cs="Arial" w:eastAsia="Arial" w:hAnsi="Arial"/>
                <w:sz w:val="12"/>
                <w:szCs w:val="12"/>
                <w:b w:val="1"/>
                <w:bCs w:val="1"/>
                <w:color w:val="auto"/>
                <w:w w:val="86"/>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Other Operating, net . . . . . . . . . . . . . . . . . . . . . . . . . . . . . . . . . . .</w:t>
            </w:r>
          </w:p>
        </w:tc>
        <w:tc>
          <w:tcPr>
            <w:tcW w:w="680" w:type="dxa"/>
            <w:vAlign w:val="bottom"/>
            <w:gridSpan w:val="4"/>
          </w:tcPr>
          <w:p>
            <w:pPr>
              <w:jc w:val="right"/>
              <w:ind w:right="40"/>
              <w:spacing w:after="0"/>
              <w:rPr>
                <w:sz w:val="20"/>
                <w:szCs w:val="20"/>
                <w:color w:val="auto"/>
              </w:rPr>
            </w:pPr>
            <w:r>
              <w:rPr>
                <w:rFonts w:ascii="Arial" w:cs="Arial" w:eastAsia="Arial" w:hAnsi="Arial"/>
                <w:sz w:val="15"/>
                <w:szCs w:val="15"/>
                <w:color w:val="auto"/>
              </w:rPr>
              <w:t>$  179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   439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6"/>
              </w:rPr>
              <w:t>Total Operating Expenses . . . . . . . . . . . . . . . . . . . . . . . . . . .</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5"/>
                <w:szCs w:val="15"/>
                <w:color w:val="auto"/>
              </w:rPr>
              <w:t>Operating Income / (Loss)</w:t>
            </w:r>
          </w:p>
        </w:tc>
        <w:tc>
          <w:tcPr>
            <w:tcW w:w="240" w:type="dxa"/>
            <w:vAlign w:val="bottom"/>
            <w:gridSpan w:val="2"/>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5"/>
                <w:szCs w:val="15"/>
                <w:color w:val="auto"/>
              </w:rPr>
              <w:t>(439)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Equity in Income / (Loss) of Subsidiaries</w:t>
            </w:r>
          </w:p>
        </w:tc>
        <w:tc>
          <w:tcPr>
            <w:tcW w:w="840" w:type="dxa"/>
            <w:vAlign w:val="bottom"/>
            <w:gridSpan w:val="5"/>
          </w:tcPr>
          <w:p>
            <w:pPr>
              <w:jc w:val="right"/>
              <w:ind w:right="160"/>
              <w:spacing w:after="0"/>
              <w:rPr>
                <w:sz w:val="20"/>
                <w:szCs w:val="20"/>
                <w:color w:val="auto"/>
              </w:rPr>
            </w:pPr>
            <w:r>
              <w:rPr>
                <w:rFonts w:ascii="Arial" w:cs="Arial" w:eastAsia="Arial" w:hAnsi="Arial"/>
                <w:sz w:val="15"/>
                <w:szCs w:val="15"/>
                <w:color w:val="auto"/>
              </w:rPr>
              <w:t>(3,725)</w:t>
            </w: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46,283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
          </w:tcPr>
          <w:p>
            <w:pPr>
              <w:ind w:left="300"/>
              <w:spacing w:after="0"/>
              <w:rPr>
                <w:sz w:val="20"/>
                <w:szCs w:val="20"/>
                <w:color w:val="auto"/>
              </w:rPr>
            </w:pPr>
            <w:r>
              <w:rPr>
                <w:rFonts w:ascii="Arial" w:cs="Arial" w:eastAsia="Arial" w:hAnsi="Arial"/>
                <w:sz w:val="15"/>
                <w:szCs w:val="15"/>
                <w:color w:val="auto"/>
                <w:w w:val="98"/>
              </w:rPr>
              <w:t>Total Non-operating Income/ (Expense), net . . . . . . . . . . . .</w:t>
            </w:r>
          </w:p>
        </w:tc>
        <w:tc>
          <w:tcPr>
            <w:tcW w:w="240" w:type="dxa"/>
            <w:vAlign w:val="bottom"/>
            <w:gridSpan w:val="2"/>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w w:val="88"/>
              </w:rPr>
              <w:t>(3,725)</w:t>
            </w: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46,511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 (Loss) before Income Tax</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8"/>
              </w:rPr>
              <w:t>(3,904)</w:t>
            </w: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(367)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Income Tax Expense / (Benefit) . . . . . . . . . . . . . . . . . . . . . . . . .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 (Loss)</w:t>
            </w: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$(3,904)</w:t>
            </w:r>
          </w:p>
        </w:tc>
        <w:tc>
          <w:tcPr>
            <w:tcW w:w="6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w w:val="84"/>
              </w:rPr>
              <w:t>$46,072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(367)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080" w:type="dxa"/>
            <w:vAlign w:val="bottom"/>
            <w:gridSpan w:val="8"/>
          </w:tcPr>
          <w:p>
            <w:pPr>
              <w:ind w:left="2220"/>
              <w:spacing w:after="0"/>
              <w:rPr>
                <w:sz w:val="20"/>
                <w:szCs w:val="20"/>
                <w:color w:val="auto"/>
              </w:rPr>
            </w:pPr>
            <w:r>
              <w:rPr>
                <w:rFonts w:ascii="Arial" w:cs="Arial" w:eastAsia="Arial" w:hAnsi="Arial"/>
                <w:sz w:val="15"/>
                <w:szCs w:val="15"/>
                <w:b w:val="1"/>
                <w:bCs w:val="1"/>
                <w:color w:val="auto"/>
              </w:rPr>
              <w:t>Condensed Statements of Cash Flows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10"/>
            <w:vMerge w:val="restart"/>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10"/>
            <w:vMerge w:val="continue"/>
          </w:tcPr>
          <w:p>
            <w:pPr>
              <w:spacing w:after="0"/>
              <w:rPr>
                <w:sz w:val="6"/>
                <w:szCs w:val="6"/>
                <w:color w:val="auto"/>
              </w:rPr>
            </w:pPr>
          </w:p>
        </w:tc>
        <w:tc>
          <w:tcPr>
            <w:tcW w:w="940" w:type="dxa"/>
            <w:vAlign w:val="bottom"/>
            <w:gridSpan w:val="6"/>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w w:val="94"/>
              </w:rPr>
              <w:t>$ —</w:t>
            </w: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w w:val="85"/>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to Subsidiary</w:t>
            </w:r>
          </w:p>
        </w:tc>
        <w:tc>
          <w:tcPr>
            <w:tcW w:w="240" w:type="dxa"/>
            <w:vAlign w:val="bottom"/>
            <w:gridSpan w:val="2"/>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Contributions from Stockholders</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from Subsidiary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 Warrants</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300"/>
              <w:spacing w:after="0"/>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18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6"/>
              </w:rPr>
              <w:t>Net Increase / (Decrease) in Cash, Cash Equivalents and Restricted</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Cash</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w w:val="91"/>
              </w:rPr>
              <w:t>Cash, Cash Equivalents and Restricted Cash—Beginning of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Period</w:t>
            </w:r>
          </w:p>
        </w:tc>
        <w:tc>
          <w:tcPr>
            <w:tcW w:w="680" w:type="dxa"/>
            <w:vAlign w:val="bottom"/>
            <w:gridSpan w:val="4"/>
          </w:tcPr>
          <w:p>
            <w:pPr>
              <w:jc w:val="right"/>
              <w:ind w:right="160"/>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0"/>
              </w:rPr>
              <w:t>Cash, Cash Equivalents and Restricted Cash—End of the Period</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w w:val="94"/>
              </w:rPr>
              <w:t>$ —</w:t>
            </w: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$ 7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-2880360</wp:posOffset>
            </wp:positionV>
            <wp:extent cx="188595"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-2880360</wp:posOffset>
            </wp:positionV>
            <wp:extent cx="383032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-3717925</wp:posOffset>
            </wp:positionV>
            <wp:extent cx="188595"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-3717925</wp:posOffset>
            </wp:positionV>
            <wp:extent cx="383032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-4010660</wp:posOffset>
            </wp:positionV>
            <wp:extent cx="18859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-4010660</wp:posOffset>
            </wp:positionV>
            <wp:extent cx="3830320"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-4290060</wp:posOffset>
            </wp:positionV>
            <wp:extent cx="364172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-173990</wp:posOffset>
            </wp:positionV>
            <wp:extent cx="13271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767455"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-676275</wp:posOffset>
            </wp:positionV>
            <wp:extent cx="132715"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-676275</wp:posOffset>
            </wp:positionV>
            <wp:extent cx="3767455"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-1513205</wp:posOffset>
            </wp:positionV>
            <wp:extent cx="13271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76745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-1792605</wp:posOffset>
            </wp:positionV>
            <wp:extent cx="132715"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-1792605</wp:posOffset>
            </wp:positionV>
            <wp:extent cx="3767455"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-2071370</wp:posOffset>
            </wp:positionV>
            <wp:extent cx="3634740"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17"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Restrictions and Covenants</w:t>
      </w:r>
    </w:p>
    <w:p>
      <w:pPr>
        <w:spacing w:after="0" w:line="117"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 SUBSEQUENT EVENTS</w:t>
      </w:r>
    </w:p>
    <w:p>
      <w:pPr>
        <w:spacing w:after="0" w:line="128" w:lineRule="exact"/>
        <w:rPr>
          <w:sz w:val="20"/>
          <w:szCs w:val="20"/>
          <w:color w:val="auto"/>
        </w:rPr>
      </w:pPr>
    </w:p>
    <w:p>
      <w:pPr>
        <w:ind w:left="1160" w:right="1759" w:firstLine="293"/>
        <w:spacing w:after="0" w:line="341" w:lineRule="auto"/>
        <w:rPr>
          <w:sz w:val="20"/>
          <w:szCs w:val="20"/>
          <w:color w:val="auto"/>
        </w:rPr>
      </w:pPr>
      <w:r>
        <w:rPr>
          <w:rFonts w:ascii="Arial" w:cs="Arial" w:eastAsia="Arial" w:hAnsi="Arial"/>
          <w:sz w:val="13"/>
          <w:szCs w:val="13"/>
          <w:color w:val="auto"/>
        </w:rPr>
        <w:t>The Company evaluated subsequent events for the period from the Balance Sheet date through March 8, 2021, the date that the Consolidated Financial Statements were available to be issued.</w:t>
      </w:r>
    </w:p>
    <w:p>
      <w:pPr>
        <w:spacing w:after="0" w:line="4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95"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101"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21. QUARTERLY FINANCIAL DATA (UNAUDITED)</w:t>
      </w:r>
    </w:p>
    <w:p>
      <w:pPr>
        <w:spacing w:after="0" w:line="117"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Quarterly results of operations for the years ended December 31, 2020 and 2019 are summarized below:</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First</w:t>
            </w:r>
          </w:p>
        </w:tc>
        <w:tc>
          <w:tcPr>
            <w:tcW w:w="160" w:type="dxa"/>
            <w:vAlign w:val="bottom"/>
          </w:tcPr>
          <w:p>
            <w:pPr>
              <w:spacing w:after="0"/>
              <w:rPr>
                <w:sz w:val="12"/>
                <w:szCs w:val="12"/>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7"/>
              </w:rPr>
              <w:t>Second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Quarter</w:t>
            </w:r>
          </w:p>
        </w:tc>
        <w:tc>
          <w:tcPr>
            <w:tcW w:w="160" w:type="dxa"/>
            <w:vAlign w:val="bottom"/>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6"/>
              </w:rPr>
              <w:t>Quarter</w:t>
            </w:r>
          </w:p>
        </w:tc>
        <w:tc>
          <w:tcPr>
            <w:tcW w:w="8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$180,330</w:t>
            </w:r>
          </w:p>
        </w:tc>
        <w:tc>
          <w:tcPr>
            <w:tcW w:w="740" w:type="dxa"/>
            <w:vAlign w:val="bottom"/>
            <w:gridSpan w:val="5"/>
          </w:tcPr>
          <w:p>
            <w:pPr>
              <w:jc w:val="right"/>
              <w:ind w:right="100"/>
              <w:spacing w:after="0"/>
              <w:rPr>
                <w:sz w:val="20"/>
                <w:szCs w:val="20"/>
                <w:color w:val="auto"/>
              </w:rPr>
            </w:pPr>
            <w:r>
              <w:rPr>
                <w:rFonts w:ascii="Arial" w:cs="Arial" w:eastAsia="Arial" w:hAnsi="Arial"/>
                <w:sz w:val="15"/>
                <w:szCs w:val="15"/>
                <w:color w:val="auto"/>
              </w:rPr>
              <w:t>$35,376</w:t>
            </w: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rPr>
              <w:t>$77,973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107,807</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15,230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(2,234)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(4,428)</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 / (Loss)</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7,251</w:t>
            </w:r>
          </w:p>
        </w:tc>
        <w:tc>
          <w:tcPr>
            <w:tcW w:w="740" w:type="dxa"/>
            <w:vAlign w:val="bottom"/>
            <w:gridSpan w:val="5"/>
          </w:tcPr>
          <w:p>
            <w:pPr>
              <w:jc w:val="right"/>
              <w:ind w:right="40"/>
              <w:spacing w:after="0"/>
              <w:rPr>
                <w:sz w:val="20"/>
                <w:szCs w:val="20"/>
                <w:color w:val="auto"/>
              </w:rPr>
            </w:pPr>
            <w:r>
              <w:rPr>
                <w:rFonts w:ascii="Arial" w:cs="Arial" w:eastAsia="Arial" w:hAnsi="Arial"/>
                <w:sz w:val="15"/>
                <w:szCs w:val="15"/>
                <w:color w:val="auto"/>
              </w:rPr>
              <w:t>$ (6,040)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(8,042)</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 (Loss)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0.16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(0.17)</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60" w:type="dxa"/>
            <w:vAlign w:val="bottom"/>
          </w:tcPr>
          <w:p>
            <w:pPr>
              <w:spacing w:after="0"/>
              <w:rPr>
                <w:sz w:val="19"/>
                <w:szCs w:val="19"/>
                <w:color w:val="auto"/>
              </w:rPr>
            </w:pPr>
          </w:p>
        </w:tc>
      </w:tr>
      <w:tr>
        <w:trPr>
          <w:trHeight w:val="301"/>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First</w:t>
            </w:r>
          </w:p>
        </w:tc>
        <w:tc>
          <w:tcPr>
            <w:tcW w:w="7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6"/>
              </w:rPr>
              <w:t>Second</w:t>
            </w:r>
          </w:p>
        </w:tc>
        <w:tc>
          <w:tcPr>
            <w:tcW w:w="8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740" w:type="dxa"/>
            <w:vAlign w:val="bottom"/>
            <w:gridSpan w:val="5"/>
          </w:tcPr>
          <w:p>
            <w:pPr>
              <w:ind w:left="80"/>
              <w:spacing w:after="0"/>
              <w:rPr>
                <w:sz w:val="20"/>
                <w:szCs w:val="20"/>
                <w:color w:val="auto"/>
              </w:rPr>
            </w:pPr>
            <w:r>
              <w:rPr>
                <w:rFonts w:ascii="Arial" w:cs="Arial" w:eastAsia="Arial" w:hAnsi="Arial"/>
                <w:sz w:val="12"/>
                <w:szCs w:val="12"/>
                <w:b w:val="1"/>
                <w:bCs w:val="1"/>
                <w:color w:val="auto"/>
              </w:rPr>
              <w:t>Quarter</w:t>
            </w:r>
          </w:p>
        </w:tc>
        <w:tc>
          <w:tcPr>
            <w:tcW w:w="7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86"/>
              </w:rPr>
              <w:t>$196,669</w:t>
            </w:r>
          </w:p>
        </w:tc>
        <w:tc>
          <w:tcPr>
            <w:tcW w:w="2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5"/>
                <w:szCs w:val="15"/>
                <w:color w:val="auto"/>
                <w:w w:val="89"/>
              </w:rPr>
              <w:t>$169,373</w:t>
            </w: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w w:val="89"/>
              </w:rPr>
              <w:t>$171,478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163,864</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46,502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9,541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10,475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92"/>
              </w:rPr>
              <w:t>$ 33,368</w:t>
            </w:r>
          </w:p>
        </w:tc>
        <w:tc>
          <w:tcPr>
            <w:tcW w:w="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3,713</w:t>
            </w:r>
          </w:p>
        </w:tc>
        <w:tc>
          <w:tcPr>
            <w:tcW w:w="100" w:type="dxa"/>
            <w:vAlign w:val="bottom"/>
          </w:tcPr>
          <w:p>
            <w:pPr>
              <w:spacing w:after="0"/>
              <w:rPr>
                <w:sz w:val="18"/>
                <w:szCs w:val="18"/>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3,973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5,018</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9"/>
                <w:szCs w:val="19"/>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0.11</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-2211070</wp:posOffset>
            </wp:positionV>
            <wp:extent cx="11176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-2211070</wp:posOffset>
            </wp:positionV>
            <wp:extent cx="345313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-955040</wp:posOffset>
            </wp:positionV>
            <wp:extent cx="111760"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-955040</wp:posOffset>
            </wp:positionV>
            <wp:extent cx="340423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March 31, 2021</w:t>
            </w:r>
          </w:p>
        </w:tc>
        <w:tc>
          <w:tcPr>
            <w:tcW w:w="160" w:type="dxa"/>
            <w:vAlign w:val="bottom"/>
          </w:tcPr>
          <w:p>
            <w:pPr>
              <w:spacing w:after="0"/>
              <w:rPr>
                <w:sz w:val="13"/>
                <w:szCs w:val="1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w w:val="92"/>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269,599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62,028</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8,335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5,624</w:t>
            </w:r>
          </w:p>
        </w:tc>
      </w:tr>
      <w:tr>
        <w:trPr>
          <w:trHeight w:val="187"/>
        </w:trPr>
        <w:tc>
          <w:tcPr>
            <w:tcW w:w="4600" w:type="dxa"/>
            <w:vAlign w:val="bottom"/>
          </w:tcPr>
          <w:p>
            <w:pPr>
              <w:ind w:left="160"/>
              <w:spacing w:after="0"/>
              <w:rPr>
                <w:sz w:val="20"/>
                <w:szCs w:val="20"/>
                <w:color w:val="auto"/>
              </w:rPr>
            </w:pPr>
            <w:r>
              <w:rPr>
                <w:rFonts w:ascii="Arial" w:cs="Arial" w:eastAsia="Arial" w:hAnsi="Arial"/>
                <w:sz w:val="15"/>
                <w:szCs w:val="15"/>
                <w:color w:val="auto"/>
                <w:w w:val="93"/>
              </w:rPr>
              <w:t>Accounts Receivable, net of an allowance for credit losses of $293 and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$224, 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25,897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28,690</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3,101</w:t>
            </w:r>
          </w:p>
        </w:tc>
      </w:tr>
      <w:tr>
        <w:trPr>
          <w:trHeight w:val="187"/>
        </w:trPr>
        <w:tc>
          <w:tcPr>
            <w:tcW w:w="4600" w:type="dxa"/>
            <w:vAlign w:val="bottom"/>
          </w:tcPr>
          <w:p>
            <w:pPr>
              <w:ind w:left="160"/>
              <w:spacing w:after="0"/>
              <w:rPr>
                <w:sz w:val="20"/>
                <w:szCs w:val="20"/>
                <w:color w:val="auto"/>
              </w:rPr>
            </w:pPr>
            <w:r>
              <w:rPr>
                <w:rFonts w:ascii="Arial" w:cs="Arial" w:eastAsia="Arial" w:hAnsi="Arial"/>
                <w:sz w:val="15"/>
                <w:szCs w:val="15"/>
                <w:color w:val="auto"/>
              </w:rPr>
              <w:t>Inventory, net of a reserve for obsolescence of $1,089 and $996,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5,407</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8,002</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5,553</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60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328,159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126,740</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331,685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13,526</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7,845</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117,833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117,833</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479,580</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(76,467)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(65,065)</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456,929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414,515</w:t>
            </w:r>
          </w:p>
        </w:tc>
      </w:tr>
      <w:tr>
        <w:trPr>
          <w:trHeight w:val="220"/>
        </w:trPr>
        <w:tc>
          <w:tcPr>
            <w:tcW w:w="460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222,223</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92,110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93,110</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80,587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121,269</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10,253</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22,584</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30,810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36,216</w:t>
            </w:r>
          </w:p>
        </w:tc>
      </w:tr>
      <w:tr>
        <w:trPr>
          <w:trHeight w:val="225"/>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6,357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459,114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512,012</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1,244,202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4241800"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424180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-4554855</wp:posOffset>
            </wp:positionV>
            <wp:extent cx="424180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March 31, 2021</w:t>
            </w:r>
          </w:p>
        </w:tc>
        <w:tc>
          <w:tcPr>
            <w:tcW w:w="160" w:type="dxa"/>
            <w:vAlign w:val="bottom"/>
          </w:tcPr>
          <w:p>
            <w:pPr>
              <w:spacing w:after="0"/>
              <w:rPr>
                <w:sz w:val="13"/>
                <w:szCs w:val="1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w w:val="92"/>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34,171</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34,035</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16,870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16,368</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5,883</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94,733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101,075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1,174</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9,281</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11,460</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7,016</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34,492</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29,232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26,118</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6,841</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60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237,640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253,743</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16,113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28,128</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93,293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95,710</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15,053</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77,840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112,707</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274,109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256,345</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Receivable Agreement Liability</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115,200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Other Long-term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7,764</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Long-term Liabilities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596,602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515,707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834,242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769,450</w:t>
            </w:r>
          </w:p>
        </w:tc>
      </w:tr>
      <w:tr>
        <w:trPr>
          <w:trHeight w:val="22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Common Stock</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468</w:t>
            </w:r>
          </w:p>
        </w:tc>
      </w:tr>
      <w:tr>
        <w:trPr>
          <w:trHeight w:val="198"/>
        </w:trPr>
        <w:tc>
          <w:tcPr>
            <w:tcW w:w="4600" w:type="dxa"/>
            <w:vAlign w:val="bottom"/>
          </w:tcPr>
          <w:p>
            <w:pPr>
              <w:ind w:left="160"/>
              <w:spacing w:after="0"/>
              <w:rPr>
                <w:sz w:val="20"/>
                <w:szCs w:val="20"/>
                <w:color w:val="auto"/>
              </w:rPr>
            </w:pPr>
            <w:r>
              <w:rPr>
                <w:rFonts w:ascii="Arial" w:cs="Arial" w:eastAsia="Arial" w:hAnsi="Arial"/>
                <w:sz w:val="15"/>
                <w:szCs w:val="15"/>
                <w:color w:val="auto"/>
                <w:w w:val="96"/>
              </w:rPr>
              <w:t>Common stock with $0.01 par value, 995,000,000 shares authorized,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6"/>
        </w:trPr>
        <w:tc>
          <w:tcPr>
            <w:tcW w:w="4600" w:type="dxa"/>
            <w:vAlign w:val="bottom"/>
          </w:tcPr>
          <w:p>
            <w:pPr>
              <w:ind w:left="300"/>
              <w:spacing w:after="0"/>
              <w:rPr>
                <w:sz w:val="20"/>
                <w:szCs w:val="20"/>
                <w:color w:val="auto"/>
              </w:rPr>
            </w:pPr>
            <w:r>
              <w:rPr>
                <w:rFonts w:ascii="Arial" w:cs="Arial" w:eastAsia="Arial" w:hAnsi="Arial"/>
                <w:sz w:val="15"/>
                <w:szCs w:val="15"/>
                <w:color w:val="auto"/>
              </w:rPr>
              <w:t>57,153,467 and 46,839,659 issued at March 31, 2021 and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December 31, 2020, 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Loans to Stockholders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(3,500)</w:t>
            </w:r>
          </w:p>
        </w:tc>
      </w:tr>
      <w:tr>
        <w:trPr>
          <w:trHeight w:val="220"/>
        </w:trPr>
        <w:tc>
          <w:tcPr>
            <w:tcW w:w="460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473,848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248,525</w:t>
            </w:r>
          </w:p>
        </w:tc>
      </w:tr>
      <w:tr>
        <w:trPr>
          <w:trHeight w:val="22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 (Deficit)</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(64,460)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38,324</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tcPr>
          <w:p>
            <w:pPr>
              <w:ind w:left="160"/>
              <w:spacing w:after="0"/>
              <w:rPr>
                <w:sz w:val="20"/>
                <w:szCs w:val="20"/>
                <w:color w:val="auto"/>
              </w:rPr>
            </w:pPr>
            <w:r>
              <w:rPr>
                <w:rFonts w:ascii="Arial" w:cs="Arial" w:eastAsia="Arial" w:hAnsi="Arial"/>
                <w:sz w:val="15"/>
                <w:szCs w:val="15"/>
                <w:color w:val="auto"/>
              </w:rPr>
              <w:t>Total 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409,960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283,817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1,244,202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424180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-4834255</wp:posOffset>
            </wp:positionV>
            <wp:extent cx="424180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40" w:type="dxa"/>
            <w:vAlign w:val="bottom"/>
          </w:tcPr>
          <w:p>
            <w:pPr>
              <w:spacing w:after="0"/>
              <w:rPr>
                <w:sz w:val="13"/>
                <w:szCs w:val="13"/>
                <w:color w:val="auto"/>
              </w:rPr>
            </w:pPr>
          </w:p>
        </w:tc>
        <w:tc>
          <w:tcPr>
            <w:tcW w:w="17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w w:val="87"/>
              </w:rPr>
              <w:t>Three Months Ended March 31,</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104,195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178,486</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21,585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1,831</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1,844</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127,611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24,274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44,075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38,091</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9,210</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6,478</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12,615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10,527</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8,785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11,114</w:t>
            </w: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(26,871)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14,651</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14,433</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102,678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24,933</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15,230</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(7,121)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5"/>
                <w:szCs w:val="15"/>
                <w:color w:val="auto"/>
              </w:rPr>
              <w:t>Income before Income Tax</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17,822</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9,696</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5"/>
                <w:szCs w:val="15"/>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7,251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Net Income per share to common stockholders:</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48,496,077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52,508,186</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48,225,603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-1192530</wp:posOffset>
            </wp:positionV>
            <wp:extent cx="3774440"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-1485265</wp:posOffset>
            </wp:positionV>
            <wp:extent cx="3774440"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-2057400</wp:posOffset>
            </wp:positionV>
            <wp:extent cx="377444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-2364105</wp:posOffset>
            </wp:positionV>
            <wp:extent cx="377444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-3996690</wp:posOffset>
            </wp:positionV>
            <wp:extent cx="377444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-4540885</wp:posOffset>
            </wp:positionV>
            <wp:extent cx="3767455"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16"/>
          </w:tcPr>
          <w:p>
            <w:pPr>
              <w:ind w:left="20"/>
              <w:spacing w:after="0"/>
              <w:rPr>
                <w:sz w:val="20"/>
                <w:szCs w:val="20"/>
                <w:color w:val="auto"/>
              </w:rPr>
            </w:pPr>
            <w:r>
              <w:rPr>
                <w:rFonts w:ascii="Arial" w:cs="Arial" w:eastAsia="Arial" w:hAnsi="Arial"/>
                <w:sz w:val="12"/>
                <w:szCs w:val="12"/>
                <w:b w:val="1"/>
                <w:bCs w:val="1"/>
                <w:color w:val="auto"/>
                <w:w w:val="98"/>
              </w:rPr>
              <w:t>Three Months Ended March 31, 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8"/>
          </w:tcPr>
          <w:p>
            <w:pPr>
              <w:ind w:left="1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75"/>
              </w:rPr>
              <w:t>Loans to</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w w:val="85"/>
              </w:rPr>
              <w:t>Additional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74"/>
              </w:rPr>
              <w:t>Retained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2"/>
              </w:rPr>
              <w:t>Warrants</w:t>
            </w:r>
          </w:p>
        </w:tc>
        <w:tc>
          <w:tcPr>
            <w:tcW w:w="80" w:type="dxa"/>
            <w:vAlign w:val="bottom"/>
          </w:tcPr>
          <w:p>
            <w:pPr>
              <w:spacing w:after="0"/>
              <w:rPr>
                <w:sz w:val="13"/>
                <w:szCs w:val="13"/>
                <w:color w:val="auto"/>
              </w:rPr>
            </w:pPr>
          </w:p>
        </w:tc>
        <w:tc>
          <w:tcPr>
            <w:tcW w:w="6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20" w:type="dxa"/>
            <w:vAlign w:val="bottom"/>
            <w:gridSpan w:val="4"/>
          </w:tcPr>
          <w:p>
            <w:pPr>
              <w:ind w:left="20"/>
              <w:spacing w:after="0"/>
              <w:rPr>
                <w:sz w:val="20"/>
                <w:szCs w:val="20"/>
                <w:color w:val="auto"/>
              </w:rPr>
            </w:pPr>
            <w:r>
              <w:rPr>
                <w:rFonts w:ascii="Arial" w:cs="Arial" w:eastAsia="Arial" w:hAnsi="Arial"/>
                <w:sz w:val="12"/>
                <w:szCs w:val="12"/>
                <w:b w:val="1"/>
                <w:bCs w:val="1"/>
                <w:color w:val="auto"/>
                <w:w w:val="83"/>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1"/>
              </w:rPr>
              <w:t>Stockholders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Paid-In 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77"/>
              </w:rPr>
              <w:t>Earnings</w:t>
            </w:r>
          </w:p>
        </w:tc>
        <w:tc>
          <w:tcPr>
            <w:tcW w:w="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2019</w:t>
            </w:r>
          </w:p>
        </w:tc>
        <w:tc>
          <w:tcPr>
            <w:tcW w:w="640" w:type="dxa"/>
            <w:vAlign w:val="bottom"/>
            <w:tcBorders>
              <w:bottom w:val="single" w:sz="8" w:color="CCEEFF"/>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color w:val="auto"/>
                <w:w w:val="89"/>
              </w:rPr>
              <w:t>40,005,885</w:t>
            </w:r>
          </w:p>
        </w:tc>
        <w:tc>
          <w:tcPr>
            <w:tcW w:w="6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6,800,065</w:t>
            </w:r>
          </w:p>
        </w:tc>
        <w:tc>
          <w:tcPr>
            <w:tcW w:w="5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$ 68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$(3,500)</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$244,928</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$42,228</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1"/>
              </w:rPr>
              <w:t>$283,724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20" w:type="dxa"/>
            <w:vAlign w:val="bottom"/>
          </w:tcPr>
          <w:p>
            <w:pPr>
              <w:spacing w:after="0"/>
              <w:rPr>
                <w:sz w:val="20"/>
                <w:szCs w:val="20"/>
                <w:color w:val="auto"/>
              </w:rPr>
            </w:pPr>
            <w:r>
              <w:rPr>
                <w:rFonts w:ascii="Arial" w:cs="Arial" w:eastAsia="Arial" w:hAnsi="Arial"/>
                <w:sz w:val="12"/>
                <w:szCs w:val="12"/>
                <w:color w:val="auto"/>
              </w:rPr>
              <w:t>Exercise of Apollo Warrants</w:t>
            </w:r>
          </w:p>
        </w:tc>
        <w:tc>
          <w:tcPr>
            <w:tcW w:w="640" w:type="dxa"/>
            <w:vAlign w:val="bottom"/>
            <w:gridSpan w:val="4"/>
          </w:tcPr>
          <w:p>
            <w:pPr>
              <w:jc w:val="right"/>
              <w:ind w:right="40"/>
              <w:spacing w:after="0"/>
              <w:rPr>
                <w:sz w:val="20"/>
                <w:szCs w:val="20"/>
                <w:color w:val="auto"/>
              </w:rPr>
            </w:pPr>
            <w:r>
              <w:rPr>
                <w:rFonts w:ascii="Arial" w:cs="Arial" w:eastAsia="Arial" w:hAnsi="Arial"/>
                <w:sz w:val="12"/>
                <w:szCs w:val="12"/>
                <w:color w:val="auto"/>
                <w:w w:val="85"/>
              </w:rPr>
              <w:t>(40,005,885)</w:t>
            </w:r>
          </w:p>
        </w:tc>
        <w:tc>
          <w:tcPr>
            <w:tcW w:w="680" w:type="dxa"/>
            <w:vAlign w:val="bottom"/>
            <w:gridSpan w:val="4"/>
          </w:tcPr>
          <w:p>
            <w:pPr>
              <w:jc w:val="right"/>
              <w:ind w:right="80"/>
              <w:spacing w:after="0"/>
              <w:rPr>
                <w:sz w:val="20"/>
                <w:szCs w:val="20"/>
                <w:color w:val="auto"/>
              </w:rPr>
            </w:pPr>
            <w:r>
              <w:rPr>
                <w:rFonts w:ascii="Arial" w:cs="Arial" w:eastAsia="Arial" w:hAnsi="Arial"/>
                <w:sz w:val="12"/>
                <w:szCs w:val="12"/>
                <w:color w:val="auto"/>
                <w:w w:val="96"/>
              </w:rPr>
              <w:t>40,005,885</w:t>
            </w:r>
          </w:p>
        </w:tc>
        <w:tc>
          <w:tcPr>
            <w:tcW w:w="500" w:type="dxa"/>
            <w:vAlign w:val="bottom"/>
            <w:gridSpan w:val="5"/>
          </w:tcPr>
          <w:p>
            <w:pPr>
              <w:jc w:val="right"/>
              <w:ind w:right="80"/>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6"/>
          </w:tcPr>
          <w:p>
            <w:pPr>
              <w:jc w:val="right"/>
              <w:ind w:right="60"/>
              <w:spacing w:after="0"/>
              <w:rPr>
                <w:sz w:val="20"/>
                <w:szCs w:val="20"/>
                <w:color w:val="auto"/>
              </w:rPr>
            </w:pPr>
            <w:r>
              <w:rPr>
                <w:rFonts w:ascii="Arial" w:cs="Arial" w:eastAsia="Arial" w:hAnsi="Arial"/>
                <w:sz w:val="12"/>
                <w:szCs w:val="12"/>
                <w:color w:val="auto"/>
              </w:rPr>
              <w:t>(379)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16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6"/>
          </w:tcPr>
          <w:p>
            <w:pPr>
              <w:jc w:val="right"/>
              <w:ind w:right="100"/>
              <w:spacing w:after="0"/>
              <w:rPr>
                <w:sz w:val="20"/>
                <w:szCs w:val="20"/>
                <w:color w:val="auto"/>
              </w:rPr>
            </w:pPr>
            <w:r>
              <w:rPr>
                <w:rFonts w:ascii="Arial" w:cs="Arial" w:eastAsia="Arial" w:hAnsi="Arial"/>
                <w:sz w:val="12"/>
                <w:szCs w:val="12"/>
                <w:color w:val="auto"/>
              </w:rPr>
              <w:t>369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March 31, 2020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w w:val="96"/>
              </w:rPr>
              <w:t>46,805,950</w:t>
            </w:r>
          </w:p>
        </w:tc>
        <w:tc>
          <w:tcPr>
            <w:tcW w:w="50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$468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$(3,500)</w:t>
            </w:r>
          </w:p>
        </w:tc>
        <w:tc>
          <w:tcPr>
            <w:tcW w:w="80" w:type="dxa"/>
            <w:vAlign w:val="bottom"/>
            <w:shd w:val="clear" w:color="auto" w:fill="CCEEFF"/>
          </w:tcPr>
          <w:p>
            <w:pPr>
              <w:spacing w:after="0"/>
              <w:rPr>
                <w:sz w:val="16"/>
                <w:szCs w:val="16"/>
                <w:color w:val="auto"/>
              </w:rPr>
            </w:pP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$244,918</w:t>
            </w:r>
          </w:p>
        </w:tc>
        <w:tc>
          <w:tcPr>
            <w:tcW w:w="6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$49,479</w:t>
            </w:r>
          </w:p>
        </w:tc>
        <w:tc>
          <w:tcPr>
            <w:tcW w:w="160" w:type="dxa"/>
            <w:vAlign w:val="bottom"/>
            <w:tcBorders>
              <w:right w:val="single" w:sz="8" w:color="CCEEFF"/>
            </w:tcBorders>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1"/>
              </w:rPr>
              <w:t>$291,365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6"/>
          </w:tcPr>
          <w:p>
            <w:pPr>
              <w:ind w:left="40"/>
              <w:spacing w:after="0"/>
              <w:rPr>
                <w:sz w:val="20"/>
                <w:szCs w:val="20"/>
                <w:color w:val="auto"/>
              </w:rPr>
            </w:pPr>
            <w:r>
              <w:rPr>
                <w:rFonts w:ascii="Arial" w:cs="Arial" w:eastAsia="Arial" w:hAnsi="Arial"/>
                <w:sz w:val="12"/>
                <w:szCs w:val="12"/>
                <w:b w:val="1"/>
                <w:bCs w:val="1"/>
                <w:color w:val="auto"/>
                <w:w w:val="97"/>
              </w:rPr>
              <w:t>Three Months Ended March 31, 2021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8"/>
          </w:tcPr>
          <w:p>
            <w:pPr>
              <w:ind w:left="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vMerge w:val="restart"/>
          </w:tcPr>
          <w:p>
            <w:pPr>
              <w:jc w:val="center"/>
              <w:ind w:right="160"/>
              <w:spacing w:after="0"/>
              <w:rPr>
                <w:sz w:val="20"/>
                <w:szCs w:val="20"/>
                <w:color w:val="auto"/>
              </w:rPr>
            </w:pPr>
            <w:r>
              <w:rPr>
                <w:rFonts w:ascii="Arial" w:cs="Arial" w:eastAsia="Arial" w:hAnsi="Arial"/>
                <w:sz w:val="12"/>
                <w:szCs w:val="12"/>
                <w:b w:val="1"/>
                <w:bCs w:val="1"/>
                <w:color w:val="auto"/>
                <w:w w:val="83"/>
              </w:rPr>
              <w:t>Loans to</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vMerge w:val="restart"/>
          </w:tcPr>
          <w:p>
            <w:pPr>
              <w:jc w:val="center"/>
              <w:ind w:right="140"/>
              <w:spacing w:after="0"/>
              <w:rPr>
                <w:sz w:val="20"/>
                <w:szCs w:val="20"/>
                <w:color w:val="auto"/>
              </w:rPr>
            </w:pPr>
            <w:r>
              <w:rPr>
                <w:rFonts w:ascii="Arial" w:cs="Arial" w:eastAsia="Arial" w:hAnsi="Arial"/>
                <w:sz w:val="12"/>
                <w:szCs w:val="12"/>
                <w:b w:val="1"/>
                <w:bCs w:val="1"/>
                <w:color w:val="auto"/>
                <w:w w:val="88"/>
              </w:rPr>
              <w:t>Additional</w:t>
            </w:r>
          </w:p>
        </w:tc>
        <w:tc>
          <w:tcPr>
            <w:tcW w:w="140" w:type="dxa"/>
            <w:vAlign w:val="bottom"/>
          </w:tcPr>
          <w:p>
            <w:pPr>
              <w:spacing w:after="0"/>
              <w:rPr>
                <w:sz w:val="13"/>
                <w:szCs w:val="13"/>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w w:val="78"/>
              </w:rPr>
              <w:t>Retained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Warrants</w:t>
            </w:r>
          </w:p>
        </w:tc>
        <w:tc>
          <w:tcPr>
            <w:tcW w:w="80" w:type="dxa"/>
            <w:vAlign w:val="bottom"/>
          </w:tcPr>
          <w:p>
            <w:pPr>
              <w:spacing w:after="0"/>
              <w:rPr>
                <w:sz w:val="13"/>
                <w:szCs w:val="13"/>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79"/>
              </w:rPr>
              <w:t>Shares</w:t>
            </w:r>
          </w:p>
        </w:tc>
        <w:tc>
          <w:tcPr>
            <w:tcW w:w="5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4"/>
              </w:rPr>
              <w:t>Stockholders</w:t>
            </w:r>
          </w:p>
        </w:tc>
        <w:tc>
          <w:tcPr>
            <w:tcW w:w="100" w:type="dxa"/>
            <w:vAlign w:val="bottom"/>
          </w:tcPr>
          <w:p>
            <w:pPr>
              <w:spacing w:after="0"/>
              <w:rPr>
                <w:sz w:val="13"/>
                <w:szCs w:val="13"/>
                <w:color w:val="auto"/>
              </w:rPr>
            </w:pPr>
          </w:p>
        </w:tc>
        <w:tc>
          <w:tcPr>
            <w:tcW w:w="84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88"/>
              </w:rPr>
              <w:t>Paid-In Capital</w:t>
            </w:r>
          </w:p>
        </w:tc>
        <w:tc>
          <w:tcPr>
            <w:tcW w:w="14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1"/>
              </w:rPr>
              <w:t>Earnings</w:t>
            </w:r>
          </w:p>
        </w:tc>
        <w:tc>
          <w:tcPr>
            <w:tcW w:w="4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2020</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3"/>
              </w:rPr>
              <w:t>46,839,659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$468</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$(3,500)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$248,525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38,324</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6"/>
              </w:rPr>
              <w:t>$ 283,817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Shares Surrendered by</w:t>
            </w: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rPr>
                <w:sz w:val="20"/>
                <w:szCs w:val="20"/>
                <w:color w:val="auto"/>
              </w:rPr>
            </w:pPr>
            <w:r>
              <w:rPr>
                <w:rFonts w:ascii="Arial" w:cs="Arial" w:eastAsia="Arial" w:hAnsi="Arial"/>
                <w:sz w:val="12"/>
                <w:szCs w:val="12"/>
                <w:color w:val="auto"/>
              </w:rPr>
              <w:t>Stockholders</w:t>
            </w:r>
          </w:p>
        </w:tc>
        <w:tc>
          <w:tcPr>
            <w:tcW w:w="180" w:type="dxa"/>
            <w:vAlign w:val="bottom"/>
          </w:tcPr>
          <w:p>
            <w:pPr>
              <w:spacing w:after="0"/>
              <w:rPr>
                <w:sz w:val="12"/>
                <w:szCs w:val="12"/>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gridSpan w:val="3"/>
          </w:tcPr>
          <w:p>
            <w:pPr>
              <w:jc w:val="right"/>
              <w:ind w:right="40"/>
              <w:spacing w:after="0"/>
              <w:rPr>
                <w:sz w:val="20"/>
                <w:szCs w:val="20"/>
                <w:color w:val="auto"/>
              </w:rPr>
            </w:pPr>
            <w:r>
              <w:rPr>
                <w:rFonts w:ascii="Arial" w:cs="Arial" w:eastAsia="Arial" w:hAnsi="Arial"/>
                <w:sz w:val="12"/>
                <w:szCs w:val="12"/>
                <w:color w:val="auto"/>
              </w:rPr>
              <w:t>(140,737)</w:t>
            </w:r>
          </w:p>
        </w:tc>
        <w:tc>
          <w:tcPr>
            <w:tcW w:w="80" w:type="dxa"/>
            <w:vAlign w:val="bottom"/>
          </w:tcPr>
          <w:p>
            <w:pPr>
              <w:spacing w:after="0"/>
              <w:rPr>
                <w:sz w:val="12"/>
                <w:szCs w:val="12"/>
                <w:color w:val="auto"/>
              </w:rPr>
            </w:pPr>
          </w:p>
        </w:tc>
        <w:tc>
          <w:tcPr>
            <w:tcW w:w="420" w:type="dxa"/>
            <w:vAlign w:val="bottom"/>
            <w:gridSpan w:val="4"/>
          </w:tcPr>
          <w:p>
            <w:pPr>
              <w:jc w:val="right"/>
              <w:ind w:right="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3,500</w:t>
            </w:r>
          </w:p>
        </w:tc>
        <w:tc>
          <w:tcPr>
            <w:tcW w:w="8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Arial" w:cs="Arial" w:eastAsia="Arial" w:hAnsi="Arial"/>
                <w:sz w:val="12"/>
                <w:szCs w:val="12"/>
                <w:color w:val="auto"/>
              </w:rPr>
              <w:t>(3,499)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Initial Public Offering</w:t>
            </w:r>
          </w:p>
        </w:tc>
        <w:tc>
          <w:tcPr>
            <w:tcW w:w="18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3"/>
              </w:rPr>
              <w:t>10,454,545</w:t>
            </w:r>
          </w:p>
        </w:tc>
        <w:tc>
          <w:tcPr>
            <w:tcW w:w="8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224,552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224,657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5"/>
                <w:szCs w:val="15"/>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12,416</w:t>
            </w: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12,416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Receivable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Agreement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(115,200)</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(115,200)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2"/>
                <w:szCs w:val="12"/>
                <w:color w:val="auto"/>
              </w:rPr>
              <w:t>Amazon Warrants</w:t>
            </w:r>
          </w:p>
        </w:tc>
        <w:tc>
          <w:tcPr>
            <w:tcW w:w="180" w:type="dxa"/>
            <w:vAlign w:val="bottom"/>
          </w:tcPr>
          <w:p>
            <w:pPr>
              <w:spacing w:after="0"/>
              <w:rPr>
                <w:sz w:val="15"/>
                <w:szCs w:val="15"/>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5"/>
          </w:tcPr>
          <w:p>
            <w:pPr>
              <w:jc w:val="right"/>
              <w:ind w:right="1"/>
              <w:spacing w:after="0"/>
              <w:rPr>
                <w:sz w:val="20"/>
                <w:szCs w:val="20"/>
                <w:color w:val="auto"/>
              </w:rPr>
            </w:pPr>
            <w:r>
              <w:rPr>
                <w:rFonts w:ascii="Arial" w:cs="Arial" w:eastAsia="Arial" w:hAnsi="Arial"/>
                <w:sz w:val="12"/>
                <w:szCs w:val="12"/>
                <w:color w:val="auto"/>
              </w:rPr>
              <w:t>1,400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2,870</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20" w:type="dxa"/>
            <w:vAlign w:val="bottom"/>
          </w:tcPr>
          <w:p>
            <w:pPr>
              <w:spacing w:after="0"/>
              <w:rPr>
                <w:sz w:val="20"/>
                <w:szCs w:val="20"/>
                <w:color w:val="auto"/>
              </w:rPr>
            </w:pPr>
            <w:r>
              <w:rPr>
                <w:rFonts w:ascii="Arial" w:cs="Arial" w:eastAsia="Arial" w:hAnsi="Arial"/>
                <w:sz w:val="12"/>
                <w:szCs w:val="12"/>
                <w:color w:val="auto"/>
              </w:rPr>
              <w:t>March 31, 2021</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340" w:type="dxa"/>
            <w:vAlign w:val="bottom"/>
            <w:gridSpan w:val="2"/>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w w:val="83"/>
              </w:rPr>
              <w:t>57,153,467</w:t>
            </w:r>
          </w:p>
        </w:tc>
        <w:tc>
          <w:tcPr>
            <w:tcW w:w="80" w:type="dxa"/>
            <w:vAlign w:val="bottom"/>
          </w:tcPr>
          <w:p>
            <w:pPr>
              <w:spacing w:after="0"/>
              <w:rPr>
                <w:sz w:val="15"/>
                <w:szCs w:val="15"/>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2"/>
                <w:szCs w:val="12"/>
                <w:color w:val="auto"/>
              </w:rPr>
              <w:t>$572</w:t>
            </w:r>
          </w:p>
        </w:tc>
        <w:tc>
          <w:tcPr>
            <w:tcW w:w="8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5"/>
          </w:tcPr>
          <w:p>
            <w:pPr>
              <w:jc w:val="right"/>
              <w:ind w:right="1"/>
              <w:spacing w:after="0"/>
              <w:rPr>
                <w:sz w:val="20"/>
                <w:szCs w:val="20"/>
                <w:color w:val="auto"/>
              </w:rPr>
            </w:pPr>
            <w:r>
              <w:rPr>
                <w:rFonts w:ascii="Arial" w:cs="Arial" w:eastAsia="Arial" w:hAnsi="Arial"/>
                <w:sz w:val="12"/>
                <w:szCs w:val="12"/>
                <w:color w:val="auto"/>
              </w:rPr>
              <w:t>$473,848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2"/>
                <w:szCs w:val="12"/>
                <w:color w:val="auto"/>
              </w:rPr>
              <w:t>$ (64,460)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w w:val="86"/>
              </w:rPr>
              <w:t>$ 409,960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-1973580</wp:posOffset>
            </wp:positionV>
            <wp:extent cx="13970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-1973580</wp:posOffset>
            </wp:positionV>
            <wp:extent cx="237490"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-1973580</wp:posOffset>
            </wp:positionV>
            <wp:extent cx="306705"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06705"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-1973580</wp:posOffset>
            </wp:positionV>
            <wp:extent cx="244475"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-1973580</wp:posOffset>
            </wp:positionV>
            <wp:extent cx="153670"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-1973580</wp:posOffset>
            </wp:positionV>
            <wp:extent cx="161163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611630"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-2447925</wp:posOffset>
            </wp:positionV>
            <wp:extent cx="97790"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-2447925</wp:posOffset>
            </wp:positionV>
            <wp:extent cx="1604645"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604645" cy="698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-2447925</wp:posOffset>
            </wp:positionV>
            <wp:extent cx="11176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-2447925</wp:posOffset>
            </wp:positionV>
            <wp:extent cx="111760"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-2447925</wp:posOffset>
            </wp:positionV>
            <wp:extent cx="111760"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-2447925</wp:posOffset>
            </wp:positionV>
            <wp:extent cx="97790"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-1185545</wp:posOffset>
            </wp:positionV>
            <wp:extent cx="97790"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-1185545</wp:posOffset>
            </wp:positionV>
            <wp:extent cx="1548765"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548765"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-1185545</wp:posOffset>
            </wp:positionV>
            <wp:extent cx="111760"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-1185545</wp:posOffset>
            </wp:positionV>
            <wp:extent cx="11176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-1185545</wp:posOffset>
            </wp:positionV>
            <wp:extent cx="111760"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-1185545</wp:posOffset>
            </wp:positionV>
            <wp:extent cx="111760"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4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c>
          <w:tcPr>
            <w:tcW w:w="0" w:type="dxa"/>
            <w:vAlign w:val="bottom"/>
          </w:tcPr>
          <w:p>
            <w:pPr>
              <w:spacing w:after="0"/>
              <w:rPr>
                <w:sz w:val="1"/>
                <w:szCs w:val="1"/>
                <w:color w:val="auto"/>
              </w:rPr>
            </w:pPr>
          </w:p>
        </w:tc>
      </w:tr>
      <w:tr>
        <w:trPr>
          <w:trHeight w:val="123"/>
        </w:trPr>
        <w:tc>
          <w:tcPr>
            <w:tcW w:w="49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1"/>
              <w:spacing w:after="0" w:line="123"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1"/>
              <w:spacing w:after="0" w:line="123" w:lineRule="exact"/>
              <w:rPr>
                <w:sz w:val="20"/>
                <w:szCs w:val="20"/>
                <w:color w:val="auto"/>
              </w:rPr>
            </w:pPr>
            <w:r>
              <w:rPr>
                <w:rFonts w:ascii="Arial" w:cs="Arial" w:eastAsia="Arial" w:hAnsi="Arial"/>
                <w:sz w:val="12"/>
                <w:szCs w:val="12"/>
                <w:b w:val="1"/>
                <w:bCs w:val="1"/>
                <w:color w:val="auto"/>
                <w:w w:val="97"/>
              </w:rPr>
              <w:t>2020</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900" w:type="dxa"/>
            <w:vAlign w:val="bottom"/>
            <w:shd w:val="clear" w:color="auto" w:fill="CCEEFF"/>
          </w:tcPr>
          <w:p>
            <w:pPr>
              <w:spacing w:after="0" w:line="123" w:lineRule="exact"/>
              <w:rPr>
                <w:sz w:val="20"/>
                <w:szCs w:val="20"/>
                <w:color w:val="auto"/>
              </w:rPr>
            </w:pPr>
            <w:r>
              <w:rPr>
                <w:rFonts w:ascii="Arial" w:cs="Arial" w:eastAsia="Arial" w:hAnsi="Arial"/>
                <w:sz w:val="12"/>
                <w:szCs w:val="12"/>
                <w:b w:val="1"/>
                <w:bCs w:val="1"/>
                <w:color w:val="auto"/>
              </w:rPr>
              <w:t>Net Income</w:t>
            </w: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2"/>
                <w:szCs w:val="12"/>
                <w:color w:val="auto"/>
                <w:w w:val="97"/>
              </w:rPr>
              <w:t>12,416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2"/>
                <w:szCs w:val="12"/>
                <w:color w:val="auto"/>
              </w:rPr>
              <w:t>7,251</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Adjustments to reconcile Net Income to Cash from Operating Activities: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w w:val="97"/>
              </w:rPr>
              <w:t>12,615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10,527</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Reduction in Operating Lease Right-of-use Assets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5,401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6,951</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Non-Cash Loss on Asset Transactions, net</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(8,729)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Unrealized Loss (Gain) on Fuel Derivatives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(2,386)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21,752</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Amortization of Over-market Liabilities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(2,004)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5,406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2,471</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Amazon Warrants Vested</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1,400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Stock-based Compensation Expense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2,870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Amortization of Debt Issuance Costs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1,496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708</w:t>
            </w:r>
          </w:p>
        </w:tc>
        <w:tc>
          <w:tcPr>
            <w:tcW w:w="0" w:type="dxa"/>
            <w:vAlign w:val="bottom"/>
          </w:tcPr>
          <w:p>
            <w:pPr>
              <w:spacing w:after="0"/>
              <w:rPr>
                <w:sz w:val="1"/>
                <w:szCs w:val="1"/>
                <w:color w:val="auto"/>
              </w:rPr>
            </w:pPr>
          </w:p>
        </w:tc>
      </w:tr>
      <w:tr>
        <w:trPr>
          <w:trHeight w:val="132"/>
        </w:trPr>
        <w:tc>
          <w:tcPr>
            <w:tcW w:w="4900" w:type="dxa"/>
            <w:vAlign w:val="bottom"/>
          </w:tcPr>
          <w:p>
            <w:pPr>
              <w:spacing w:after="0" w:line="132" w:lineRule="exact"/>
              <w:rPr>
                <w:sz w:val="20"/>
                <w:szCs w:val="20"/>
                <w:color w:val="auto"/>
              </w:rPr>
            </w:pPr>
            <w:r>
              <w:rPr>
                <w:rFonts w:ascii="Arial" w:cs="Arial" w:eastAsia="Arial" w:hAnsi="Arial"/>
                <w:sz w:val="12"/>
                <w:szCs w:val="12"/>
                <w:b w:val="1"/>
                <w:bCs w:val="1"/>
                <w:color w:val="auto"/>
              </w:rPr>
              <w:t>Changes in Operating Assets and Liabilities: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Accounts Receivable</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2,358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5,322</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Inventory</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Prepaid Expenses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(3,676)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Lessor Maintenance Deposits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(2,219)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(5,476)</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Aircraft Lease Deposits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2,226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(2,313)</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7,107</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Accrued Transportation Taxes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4,519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(10,539)</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Air Traffic Liabilities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(21,903)</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Loyalty Program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(1,295)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Reduction in Operating Lease Obligations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(10,722)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(7,803)</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Other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1,820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3,015</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rPr>
              <w:t>Net Cash Provided by Operating Activities</w:t>
            </w: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7"/>
              </w:rPr>
              <w:t>15,839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13,858</w:t>
            </w:r>
          </w:p>
        </w:tc>
        <w:tc>
          <w:tcPr>
            <w:tcW w:w="0" w:type="dxa"/>
            <w:vAlign w:val="bottom"/>
          </w:tcPr>
          <w:p>
            <w:pPr>
              <w:spacing w:after="0"/>
              <w:rPr>
                <w:sz w:val="1"/>
                <w:szCs w:val="1"/>
                <w:color w:val="auto"/>
              </w:rPr>
            </w:pPr>
          </w:p>
        </w:tc>
      </w:tr>
      <w:tr>
        <w:trPr>
          <w:trHeight w:val="134"/>
        </w:trPr>
        <w:tc>
          <w:tcPr>
            <w:tcW w:w="4900" w:type="dxa"/>
            <w:vAlign w:val="bottom"/>
            <w:tcBorders>
              <w:top w:val="single" w:sz="8" w:color="CCEEFF"/>
            </w:tcBorders>
          </w:tcPr>
          <w:p>
            <w:pPr>
              <w:spacing w:after="0" w:line="134" w:lineRule="exact"/>
              <w:rPr>
                <w:sz w:val="20"/>
                <w:szCs w:val="20"/>
                <w:color w:val="auto"/>
              </w:rPr>
            </w:pPr>
            <w:r>
              <w:rPr>
                <w:rFonts w:ascii="Arial" w:cs="Arial" w:eastAsia="Arial" w:hAnsi="Arial"/>
                <w:sz w:val="12"/>
                <w:szCs w:val="12"/>
                <w:b w:val="1"/>
                <w:bCs w:val="1"/>
                <w:color w:val="auto"/>
              </w:rPr>
              <w:t>Cash Flows from Investing Activities:</w:t>
            </w:r>
          </w:p>
        </w:tc>
        <w:tc>
          <w:tcPr>
            <w:tcW w:w="1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Property &amp; Equipment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(54,399)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(75,250)</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Purchase of Investments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the Sale of Investments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Net Cash Used in Investing Activities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w w:val="89"/>
              </w:rPr>
              <w:t>(54,552)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3"/>
              </w:rPr>
              <w:t>(75,048)</w:t>
            </w:r>
          </w:p>
        </w:tc>
        <w:tc>
          <w:tcPr>
            <w:tcW w:w="0" w:type="dxa"/>
            <w:vAlign w:val="bottom"/>
          </w:tcPr>
          <w:p>
            <w:pPr>
              <w:spacing w:after="0"/>
              <w:rPr>
                <w:sz w:val="1"/>
                <w:szCs w:val="1"/>
                <w:color w:val="auto"/>
              </w:rPr>
            </w:pPr>
          </w:p>
        </w:tc>
      </w:tr>
      <w:tr>
        <w:trPr>
          <w:trHeight w:val="134"/>
        </w:trPr>
        <w:tc>
          <w:tcPr>
            <w:tcW w:w="49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Flows from Financing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Cash Received from Stock Offering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235,894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Costs of Stock Offering</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Proceeds Received from Exercise of Apollo Warrants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Borrowings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68,000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108,777</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Repayment of Finance Lease Obligations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(3,911)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(4,256)</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Borrowings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(46,068)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(47,255)</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Debt Issuance Costs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(2,721)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(2,432)</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rPr>
              <w:t>Net Cash Provided by Financing Activities</w:t>
            </w: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2"/>
              </w:rPr>
              <w:t>243,968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54,855</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spacing w:after="0" w:line="134" w:lineRule="exact"/>
              <w:rPr>
                <w:sz w:val="20"/>
                <w:szCs w:val="20"/>
                <w:color w:val="auto"/>
              </w:rPr>
            </w:pPr>
            <w:r>
              <w:rPr>
                <w:rFonts w:ascii="Arial" w:cs="Arial" w:eastAsia="Arial" w:hAnsi="Arial"/>
                <w:sz w:val="12"/>
                <w:szCs w:val="12"/>
                <w:b w:val="1"/>
                <w:bCs w:val="1"/>
                <w:color w:val="auto"/>
              </w:rPr>
              <w:t>Net Increase / (Decrease) in Cash, Cash Equivalents and Restricted Cash</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2"/>
              </w:rPr>
              <w:t>205,255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(6,335)</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Cash—Beginning of the Period</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70,363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64,478</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spacing w:after="0" w:line="123" w:lineRule="exact"/>
              <w:rPr>
                <w:sz w:val="20"/>
                <w:szCs w:val="20"/>
                <w:color w:val="auto"/>
              </w:rPr>
            </w:pPr>
            <w:r>
              <w:rPr>
                <w:rFonts w:ascii="Arial" w:cs="Arial" w:eastAsia="Arial" w:hAnsi="Arial"/>
                <w:sz w:val="12"/>
                <w:szCs w:val="12"/>
                <w:b w:val="1"/>
                <w:bCs w:val="1"/>
                <w:color w:val="auto"/>
              </w:rPr>
              <w:t>Cash, Cash Equivalents and Restricted Cash—End of the Period</w:t>
            </w:r>
          </w:p>
        </w:tc>
        <w:tc>
          <w:tcPr>
            <w:tcW w:w="380" w:type="dxa"/>
            <w:vAlign w:val="bottom"/>
            <w:gridSpan w:val="2"/>
          </w:tcPr>
          <w:p>
            <w:pPr>
              <w:jc w:val="right"/>
              <w:spacing w:after="0" w:line="123" w:lineRule="exact"/>
              <w:rPr>
                <w:sz w:val="20"/>
                <w:szCs w:val="20"/>
                <w:color w:val="auto"/>
              </w:rPr>
            </w:pPr>
            <w:r>
              <w:rPr>
                <w:rFonts w:ascii="Arial" w:cs="Arial" w:eastAsia="Arial" w:hAnsi="Arial"/>
                <w:sz w:val="12"/>
                <w:szCs w:val="12"/>
                <w:u w:val="single" w:color="auto"/>
                <w:color w:val="auto"/>
              </w:rPr>
              <w:t>$</w:t>
            </w:r>
          </w:p>
        </w:tc>
        <w:tc>
          <w:tcPr>
            <w:tcW w:w="520" w:type="dxa"/>
            <w:vAlign w:val="bottom"/>
            <w:gridSpan w:val="2"/>
          </w:tcPr>
          <w:p>
            <w:pPr>
              <w:jc w:val="right"/>
              <w:ind w:right="140"/>
              <w:spacing w:after="0" w:line="123" w:lineRule="exact"/>
              <w:rPr>
                <w:sz w:val="20"/>
                <w:szCs w:val="20"/>
                <w:color w:val="auto"/>
              </w:rPr>
            </w:pPr>
            <w:r>
              <w:rPr>
                <w:rFonts w:ascii="Arial" w:cs="Arial" w:eastAsia="Arial" w:hAnsi="Arial"/>
                <w:sz w:val="12"/>
                <w:szCs w:val="12"/>
                <w:color w:val="auto"/>
                <w:w w:val="82"/>
              </w:rPr>
              <w:t>275,618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line="123" w:lineRule="exact"/>
              <w:rPr>
                <w:sz w:val="20"/>
                <w:szCs w:val="20"/>
                <w:color w:val="auto"/>
              </w:rPr>
            </w:pPr>
            <w:r>
              <w:rPr>
                <w:rFonts w:ascii="Arial" w:cs="Arial" w:eastAsia="Arial" w:hAnsi="Arial"/>
                <w:sz w:val="12"/>
                <w:szCs w:val="12"/>
                <w:color w:val="auto"/>
              </w:rPr>
              <w:t>58,143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90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Supplemental information:</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Cash Payments for Interest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2,728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3,278</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Payments (Receipts) for Income Taxes, net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3"/>
        </w:trPr>
        <w:tc>
          <w:tcPr>
            <w:tcW w:w="4900" w:type="dxa"/>
            <w:vAlign w:val="bottom"/>
          </w:tcPr>
          <w:p>
            <w:pPr>
              <w:spacing w:after="0"/>
              <w:rPr>
                <w:sz w:val="20"/>
                <w:szCs w:val="20"/>
                <w:color w:val="auto"/>
              </w:rPr>
            </w:pPr>
            <w:r>
              <w:rPr>
                <w:rFonts w:ascii="Arial" w:cs="Arial" w:eastAsia="Arial" w:hAnsi="Arial"/>
                <w:sz w:val="12"/>
                <w:szCs w:val="12"/>
                <w:b w:val="1"/>
                <w:bCs w:val="1"/>
                <w:color w:val="auto"/>
              </w:rPr>
              <w:t>Non-cash transactions: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Lease Deposits Applied Against the Purchase of Aircraft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Purchases of Property &amp; Equipment in Accounts Payable</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1,186</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Costs of Stock Offering in Accounts Payable</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-1045845</wp:posOffset>
            </wp:positionV>
            <wp:extent cx="424180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-1778635</wp:posOffset>
            </wp:positionV>
            <wp:extent cx="4241800"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-2343150</wp:posOffset>
            </wp:positionV>
            <wp:extent cx="424180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-4408805</wp:posOffset>
            </wp:positionV>
            <wp:extent cx="3788410"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The following provides a reconciliation of Cash, Cash Equivalents and Restricted Cash to the amounts reported on the</w:t>
      </w:r>
    </w:p>
    <w:p>
      <w:pPr>
        <w:spacing w:after="0" w:line="10"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Consolidated Balance Sheets: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March 31, 2021</w:t>
            </w: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March 31, 2020</w:t>
            </w:r>
          </w:p>
        </w:tc>
      </w:tr>
      <w:tr>
        <w:trPr>
          <w:trHeight w:val="112"/>
        </w:trPr>
        <w:tc>
          <w:tcPr>
            <w:tcW w:w="494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2"/>
                <w:szCs w:val="12"/>
                <w:color w:val="auto"/>
              </w:rPr>
              <w:t>Cash and Equivalents</w:t>
            </w:r>
          </w:p>
        </w:tc>
        <w:tc>
          <w:tcPr>
            <w:tcW w:w="780" w:type="dxa"/>
            <w:vAlign w:val="bottom"/>
            <w:tcBorders>
              <w:top w:val="single" w:sz="8" w:color="auto"/>
            </w:tcBorders>
            <w:gridSpan w:val="3"/>
            <w:shd w:val="clear" w:color="auto" w:fill="CCEEFF"/>
          </w:tcPr>
          <w:p>
            <w:pPr>
              <w:jc w:val="right"/>
              <w:ind w:right="160"/>
              <w:spacing w:after="0" w:line="112" w:lineRule="exact"/>
              <w:rPr>
                <w:sz w:val="20"/>
                <w:szCs w:val="20"/>
                <w:color w:val="auto"/>
              </w:rPr>
            </w:pPr>
            <w:r>
              <w:rPr>
                <w:rFonts w:ascii="Arial" w:cs="Arial" w:eastAsia="Arial" w:hAnsi="Arial"/>
                <w:sz w:val="12"/>
                <w:szCs w:val="12"/>
                <w:color w:val="auto"/>
              </w:rPr>
              <w:t>$269,599</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3"/>
            <w:shd w:val="clear" w:color="auto" w:fill="CCEEFF"/>
          </w:tcPr>
          <w:p>
            <w:pPr>
              <w:jc w:val="right"/>
              <w:ind w:right="200"/>
              <w:spacing w:after="0" w:line="112" w:lineRule="exact"/>
              <w:rPr>
                <w:sz w:val="20"/>
                <w:szCs w:val="20"/>
                <w:color w:val="auto"/>
              </w:rPr>
            </w:pPr>
            <w:r>
              <w:rPr>
                <w:rFonts w:ascii="Arial" w:cs="Arial" w:eastAsia="Arial" w:hAnsi="Arial"/>
                <w:sz w:val="12"/>
                <w:szCs w:val="12"/>
                <w:color w:val="auto"/>
              </w:rPr>
              <w:t>$ 53,112</w:t>
            </w:r>
          </w:p>
        </w:tc>
      </w:tr>
      <w:tr>
        <w:trPr>
          <w:trHeight w:val="132"/>
        </w:trPr>
        <w:tc>
          <w:tcPr>
            <w:tcW w:w="4940" w:type="dxa"/>
            <w:vAlign w:val="bottom"/>
          </w:tcPr>
          <w:p>
            <w:pPr>
              <w:spacing w:after="0" w:line="132" w:lineRule="exact"/>
              <w:rPr>
                <w:sz w:val="20"/>
                <w:szCs w:val="20"/>
                <w:color w:val="auto"/>
              </w:rPr>
            </w:pPr>
            <w:r>
              <w:rPr>
                <w:rFonts w:ascii="Arial" w:cs="Arial" w:eastAsia="Arial" w:hAnsi="Arial"/>
                <w:sz w:val="12"/>
                <w:szCs w:val="12"/>
                <w:color w:val="auto"/>
              </w:rPr>
              <w:t>Restricted Cash</w:t>
            </w:r>
          </w:p>
        </w:tc>
        <w:tc>
          <w:tcPr>
            <w:tcW w:w="780" w:type="dxa"/>
            <w:vAlign w:val="bottom"/>
            <w:gridSpan w:val="3"/>
          </w:tcPr>
          <w:p>
            <w:pPr>
              <w:jc w:val="right"/>
              <w:ind w:right="160"/>
              <w:spacing w:after="0" w:line="132" w:lineRule="exact"/>
              <w:rPr>
                <w:sz w:val="20"/>
                <w:szCs w:val="20"/>
                <w:color w:val="auto"/>
              </w:rPr>
            </w:pPr>
            <w:r>
              <w:rPr>
                <w:rFonts w:ascii="Arial" w:cs="Arial" w:eastAsia="Arial" w:hAnsi="Arial"/>
                <w:sz w:val="12"/>
                <w:szCs w:val="12"/>
                <w:color w:val="auto"/>
              </w:rPr>
              <w:t>6,019</w:t>
            </w:r>
          </w:p>
        </w:tc>
        <w:tc>
          <w:tcPr>
            <w:tcW w:w="180" w:type="dxa"/>
            <w:vAlign w:val="bottom"/>
          </w:tcPr>
          <w:p>
            <w:pPr>
              <w:spacing w:after="0"/>
              <w:rPr>
                <w:sz w:val="11"/>
                <w:szCs w:val="11"/>
                <w:color w:val="auto"/>
              </w:rPr>
            </w:pP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5,031</w:t>
            </w:r>
          </w:p>
        </w:tc>
      </w:tr>
      <w:tr>
        <w:trPr>
          <w:trHeight w:val="148"/>
        </w:trPr>
        <w:tc>
          <w:tcPr>
            <w:tcW w:w="4940" w:type="dxa"/>
            <w:vAlign w:val="bottom"/>
            <w:tcBorders>
              <w:top w:val="single" w:sz="8" w:color="CCEEFF"/>
              <w:bottom w:val="single" w:sz="8" w:color="CCEEFF"/>
            </w:tcBorders>
            <w:shd w:val="clear" w:color="auto" w:fill="CCEEFF"/>
          </w:tcPr>
          <w:p>
            <w:pPr>
              <w:ind w:left="120"/>
              <w:spacing w:after="0" w:line="123" w:lineRule="exact"/>
              <w:rPr>
                <w:sz w:val="20"/>
                <w:szCs w:val="20"/>
                <w:color w:val="auto"/>
              </w:rPr>
            </w:pPr>
            <w:r>
              <w:rPr>
                <w:rFonts w:ascii="Arial" w:cs="Arial" w:eastAsia="Arial" w:hAnsi="Arial"/>
                <w:sz w:val="12"/>
                <w:szCs w:val="12"/>
                <w:color w:val="auto"/>
              </w:rPr>
              <w:t>Total Cash, Cash Equivalents and Restricted Cash</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275,618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spacing w:after="0" w:line="123"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58,143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-118110</wp:posOffset>
            </wp:positionV>
            <wp:extent cx="4241800"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-285115</wp:posOffset>
            </wp:positionV>
            <wp:extent cx="3739515"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17"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Sun Country Airlines Holdings, Inc. is the parent company of Sun Country, Inc., which is a certificated air carrier providing scheduled passenger service, cargo customers, charter air transportation and related services. Services are provided to the general public, Amazon,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Split</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 of Common Stock and Concurrent Private Placements</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$224,657 after deducting underwriting discounts and commissions, and other offering expenses.</w:t>
      </w:r>
    </w:p>
    <w:p>
      <w:pPr>
        <w:spacing w:after="0" w:line="95"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w:t>
      </w:r>
    </w:p>
    <w:p>
      <w:pPr>
        <w:spacing w:after="0" w:line="1" w:lineRule="exact"/>
        <w:rPr>
          <w:sz w:val="20"/>
          <w:szCs w:val="20"/>
          <w:color w:val="auto"/>
        </w:rPr>
      </w:pPr>
    </w:p>
    <w:p>
      <w:pPr>
        <w:jc w:val="both"/>
        <w:ind w:left="1160" w:right="1199"/>
        <w:spacing w:after="0" w:line="246" w:lineRule="auto"/>
        <w:rPr>
          <w:sz w:val="20"/>
          <w:szCs w:val="20"/>
          <w:color w:val="auto"/>
        </w:rPr>
      </w:pPr>
      <w:r>
        <w:rPr>
          <w:rFonts w:ascii="Arial" w:cs="Arial" w:eastAsia="Arial" w:hAnsi="Arial"/>
          <w:sz w:val="15"/>
          <w:szCs w:val="15"/>
          <w:color w:val="auto"/>
        </w:rPr>
        <w:t>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28"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aircraft Sun Country operates from 10 to 12.</w:t>
      </w:r>
    </w:p>
    <w:p>
      <w:pPr>
        <w:spacing w:after="0" w:line="77"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months ended March 31, 2021,</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color w:val="auto"/>
        </w:rPr>
        <w:t>189,652 warrants vested and the cumulative warrants vested as of March 31, 2021 were 1,074,704. No warrants vested during the three months ended March 31, 2020.</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w:t>
      </w:r>
    </w:p>
    <w:p>
      <w:pPr>
        <w:spacing w:after="0" w:line="117"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three months ended March 31, 2021, there were no significant changes to the Company’s critical accounting policies.</w:t>
      </w:r>
    </w:p>
    <w:p>
      <w:pPr>
        <w:spacing w:after="0" w:line="10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and March 31, 2020. The reclass as of December 31, 2019 was $239,073. Also, historical shares of common stock have been adjusted to reflect the March 2021 approximately 18.8886 for 1 stock split.</w:t>
      </w:r>
    </w:p>
    <w:p>
      <w:pPr>
        <w:spacing w:after="0" w:line="9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impairment of goodwill, impairment of long- lived and intangible assets, air traffic liabilities, the loyalty program, as well as the valuation of Amazon warrants.</w:t>
      </w:r>
    </w:p>
    <w:p>
      <w:pPr>
        <w:spacing w:after="0" w:line="8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4"/>
          <w:szCs w:val="14"/>
          <w:color w:val="auto"/>
        </w:rPr>
        <w:t>Due to severe impacts from the global coronavirus (“COVID-19”) pandemic, seasonal variations in the demand for air travel, the volatility of aircraft fuel prices and other factors, operating results for the</w:t>
      </w:r>
    </w:p>
    <w:p>
      <w:pPr>
        <w:spacing w:after="0" w:line="1" w:lineRule="exact"/>
        <w:rPr>
          <w:sz w:val="20"/>
          <w:szCs w:val="20"/>
          <w:color w:val="auto"/>
        </w:rPr>
      </w:pPr>
    </w:p>
    <w:p>
      <w:pPr>
        <w:ind w:left="1160" w:right="1219"/>
        <w:spacing w:after="0" w:line="232" w:lineRule="auto"/>
        <w:rPr>
          <w:sz w:val="20"/>
          <w:szCs w:val="20"/>
          <w:color w:val="auto"/>
        </w:rPr>
      </w:pPr>
      <w:r>
        <w:rPr>
          <w:rFonts w:ascii="Arial" w:cs="Arial" w:eastAsia="Arial" w:hAnsi="Arial"/>
          <w:sz w:val="15"/>
          <w:szCs w:val="15"/>
          <w:color w:val="auto"/>
        </w:rPr>
        <w:t>three months ended March 31, 2021 are not necessarily indicative of operating results for future quarters or for the year ended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9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3"/>
          <w:szCs w:val="13"/>
          <w:b w:val="1"/>
          <w:bCs w:val="1"/>
          <w:i w:val="1"/>
          <w:iCs w:val="1"/>
          <w:color w:val="auto"/>
        </w:rPr>
        <w:t xml:space="preserve">Income Taxes—Simplifying the Accounting for Income Taxes— </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69" w:lineRule="exact"/>
        <w:rPr>
          <w:sz w:val="20"/>
          <w:szCs w:val="20"/>
          <w:color w:val="auto"/>
        </w:rPr>
      </w:pPr>
    </w:p>
    <w:p>
      <w:pPr>
        <w:ind w:left="1160" w:right="1539" w:firstLine="293"/>
        <w:spacing w:after="0" w:line="323" w:lineRule="auto"/>
        <w:rPr>
          <w:sz w:val="20"/>
          <w:szCs w:val="20"/>
          <w:color w:val="auto"/>
        </w:rPr>
      </w:pPr>
      <w:r>
        <w:rPr>
          <w:rFonts w:ascii="Arial" w:cs="Arial" w:eastAsia="Arial" w:hAnsi="Arial"/>
          <w:sz w:val="13"/>
          <w:szCs w:val="13"/>
          <w:b w:val="1"/>
          <w:bCs w:val="1"/>
          <w:i w:val="1"/>
          <w:iCs w:val="1"/>
          <w:color w:val="auto"/>
        </w:rPr>
        <w:t>Simplifying the Test for Goodwill Impairment—</w:t>
      </w:r>
      <w:r>
        <w:rPr>
          <w:rFonts w:ascii="Arial" w:cs="Arial" w:eastAsia="Arial" w:hAnsi="Arial"/>
          <w:sz w:val="13"/>
          <w:szCs w:val="13"/>
          <w:color w:val="auto"/>
        </w:rPr>
        <w:t>In January 2017, the Financial Accounting Standards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Board (FASB) issued Accounting Standards Update (ASU) 2017-04, </w:t>
      </w:r>
      <w:r>
        <w:rPr>
          <w:rFonts w:ascii="Arial" w:cs="Arial" w:eastAsia="Arial" w:hAnsi="Arial"/>
          <w:sz w:val="13"/>
          <w:szCs w:val="13"/>
          <w:i w:val="1"/>
          <w:iCs w:val="1"/>
          <w:color w:val="auto"/>
        </w:rPr>
        <w:t>Simplifying the Test for Goodwill</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(continued)</w:t>
      </w:r>
    </w:p>
    <w:p>
      <w:pPr>
        <w:spacing w:after="0" w:line="183" w:lineRule="exact"/>
        <w:rPr>
          <w:sz w:val="20"/>
          <w:szCs w:val="20"/>
          <w:color w:val="auto"/>
        </w:rPr>
      </w:pPr>
    </w:p>
    <w:p>
      <w:pPr>
        <w:ind w:left="1160" w:right="1199"/>
        <w:spacing w:after="0" w:line="274" w:lineRule="auto"/>
        <w:rPr>
          <w:sz w:val="20"/>
          <w:szCs w:val="20"/>
          <w:color w:val="auto"/>
        </w:rPr>
      </w:pPr>
      <w:r>
        <w:rPr>
          <w:rFonts w:ascii="Arial" w:cs="Arial" w:eastAsia="Arial" w:hAnsi="Arial"/>
          <w:sz w:val="14"/>
          <w:szCs w:val="14"/>
          <w:i w:val="1"/>
          <w:iCs w:val="1"/>
          <w:color w:val="auto"/>
        </w:rPr>
        <w:t>Impairment</w:t>
      </w:r>
      <w:r>
        <w:rPr>
          <w:rFonts w:ascii="Arial" w:cs="Arial" w:eastAsia="Arial" w:hAnsi="Arial"/>
          <w:sz w:val="14"/>
          <w:szCs w:val="14"/>
          <w:color w:val="auto"/>
        </w:rPr>
        <w:t>. The new standard eliminates Step 2 from the goodwill impairment test. An entity should</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 a goodwill impairment charge for the amount by which the carrying amount exceeds the reporting unit’s fair value. The standard was adopted and applied prospectively by the Company on April 1, 2020, and it did not have an impact on the Company’s Condensed Consolidated Financial Statements.</w:t>
      </w:r>
    </w:p>
    <w:p>
      <w:pPr>
        <w:spacing w:after="0" w:line="78" w:lineRule="exact"/>
        <w:rPr>
          <w:sz w:val="20"/>
          <w:szCs w:val="20"/>
          <w:color w:val="auto"/>
        </w:rPr>
      </w:pPr>
    </w:p>
    <w:p>
      <w:pPr>
        <w:ind w:left="1160" w:right="1239" w:firstLine="293"/>
        <w:spacing w:after="0" w:line="292" w:lineRule="auto"/>
        <w:rPr>
          <w:sz w:val="20"/>
          <w:szCs w:val="20"/>
          <w:color w:val="auto"/>
        </w:rPr>
      </w:pPr>
      <w:r>
        <w:rPr>
          <w:rFonts w:ascii="Arial" w:cs="Arial" w:eastAsia="Arial" w:hAnsi="Arial"/>
          <w:sz w:val="13"/>
          <w:szCs w:val="13"/>
          <w:b w:val="1"/>
          <w:bCs w:val="1"/>
          <w:i w:val="1"/>
          <w:iCs w:val="1"/>
          <w:color w:val="auto"/>
        </w:rPr>
        <w:t>Financial Instruments—Credit Losses—</w:t>
      </w:r>
      <w:r>
        <w:rPr>
          <w:rFonts w:ascii="Arial" w:cs="Arial" w:eastAsia="Arial" w:hAnsi="Arial"/>
          <w:sz w:val="13"/>
          <w:szCs w:val="13"/>
          <w:color w:val="auto"/>
        </w:rPr>
        <w:t>In June 2016, the FASB issued ASU 2016-13,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Financial</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 xml:space="preserve">Instruments—Credit Losses </w:t>
      </w:r>
      <w:r>
        <w:rPr>
          <w:rFonts w:ascii="Arial" w:cs="Arial" w:eastAsia="Arial" w:hAnsi="Arial"/>
          <w:sz w:val="13"/>
          <w:szCs w:val="13"/>
          <w:color w:val="auto"/>
        </w:rPr>
        <w:t>(Topic 326)</w:t>
      </w:r>
      <w:r>
        <w:rPr>
          <w:rFonts w:ascii="Arial" w:cs="Arial" w:eastAsia="Arial" w:hAnsi="Arial"/>
          <w:sz w:val="13"/>
          <w:szCs w:val="13"/>
          <w:i w:val="1"/>
          <w:iCs w:val="1"/>
          <w:color w:val="auto"/>
        </w:rPr>
        <w:t>: Measurement of Credit Losses on Financial Instruments</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Condensed Consolidated Financial Statements.</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State and local governments may have additional restrictions that adversely impact travel.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dramatic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w:t>
      </w:r>
    </w:p>
    <w:p>
      <w:pPr>
        <w:spacing w:after="0" w:line="9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continued distribution of effective vaccines and the easing of travel advisories and restrictions has lead to growing customer confidence and increased demand. There have been fluctuations in the rate of infections during 2021 and the U.S. Food and Drug Administration has issued an emergency use authorization for COVID-19 vaccines.</w:t>
      </w:r>
    </w:p>
    <w:p>
      <w:pPr>
        <w:spacing w:after="0" w:line="91"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timing and pace of the recovery from the COVID-19 pandemic are uncertain as certain markets have reopened, some of which have since experienced a resurgence of COVID-19 cases, while others, particularly international markets, remain closed or are enforcing extended quarantines for most U.S. residents.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have restricted non-essential travel for their employees.</w:t>
      </w:r>
    </w:p>
    <w:p>
      <w:pPr>
        <w:spacing w:after="0" w:line="9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05" w:lineRule="exact"/>
        <w:rPr>
          <w:sz w:val="20"/>
          <w:szCs w:val="20"/>
          <w:color w:val="auto"/>
        </w:rPr>
      </w:pPr>
    </w:p>
    <w:p>
      <w:pPr>
        <w:ind w:left="1160" w:right="1499" w:firstLine="293"/>
        <w:spacing w:after="0" w:line="281" w:lineRule="auto"/>
        <w:rPr>
          <w:sz w:val="20"/>
          <w:szCs w:val="20"/>
          <w:color w:val="auto"/>
        </w:rPr>
      </w:pPr>
      <w:r>
        <w:rPr>
          <w:rFonts w:ascii="Arial" w:cs="Arial" w:eastAsia="Arial" w:hAnsi="Arial"/>
          <w:sz w:val="14"/>
          <w:szCs w:val="14"/>
          <w:color w:val="auto"/>
        </w:rPr>
        <w:t>As the COVID-19 pandemic continues to evolve, the Company’s financial and operational outlook remains subject to change. Despite the pandemic’s impact on the Company’s passenger segment, the Company has continued to provide air cargo service under the ATSA as planned.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Coronavirus Aid, Relief, and Economic Security Act (“CARES Act”)</w:t>
      </w:r>
    </w:p>
    <w:p>
      <w:pPr>
        <w:spacing w:after="0" w:line="117"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105" w:lineRule="exact"/>
        <w:rPr>
          <w:sz w:val="20"/>
          <w:szCs w:val="20"/>
          <w:color w:val="auto"/>
        </w:rPr>
      </w:pPr>
    </w:p>
    <w:p>
      <w:pPr>
        <w:ind w:left="1160" w:right="1379" w:firstLine="293"/>
        <w:spacing w:after="0" w:line="271" w:lineRule="auto"/>
        <w:rPr>
          <w:sz w:val="20"/>
          <w:szCs w:val="20"/>
          <w:color w:val="auto"/>
        </w:rPr>
      </w:pPr>
      <w:r>
        <w:rPr>
          <w:rFonts w:ascii="Arial" w:cs="Arial" w:eastAsia="Arial" w:hAnsi="Arial"/>
          <w:sz w:val="14"/>
          <w:szCs w:val="14"/>
          <w:color w:val="auto"/>
        </w:rPr>
        <w:t>The grant amount recognized under the CARES Act Payroll Support Program for the year ended December 31, 2020 was $62,312 and was recorded in Special Items, net. During the first quarter of 2021, the Company received and recognized as income $32,208 from the Treasury under the Payroll Support Program Extension (“PSP2”). Subsequent to the first quarter of 2021, on April 22, 2021, the Company received an additional $4,831 from the Treasury as a top-off grant under PSP2.</w:t>
      </w:r>
    </w:p>
    <w:p>
      <w:pPr>
        <w:spacing w:after="0" w:line="91"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and an additional $334 was recognized in the first quarter of 2021.</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the CARES Act Loan Program, the Company received a $45,000 loan (the “CARES Act Loan”)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from the Treasury on October 26, 2020, which was repaid in full on March 24, 2021.</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Further, the Company was notified on April 15, 2021 that it will receive a grant of approximately</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$34,547 under the American Rescue Plan Act of 2021 (“PSP3”) enacted on March 11, 2021, in which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Treasury is authorized to provide additional assistance to passenger air carriers and contractors that received</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financial assistance under the CARES Act. Of this grant amount, $17,274 was received on April 29, 2021.</w:t>
      </w:r>
    </w:p>
    <w:p>
      <w:pPr>
        <w:spacing w:after="0" w:line="12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which was extended to September 30, 2022 under PSP3; and restrictions on the payment of certain executive compensation until the October 1, 2022, which was extended to April 1, 2023 under PSP3.</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w:t>
      </w:r>
    </w:p>
    <w:p>
      <w:pPr>
        <w:spacing w:after="0" w:line="11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54,620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$114,228</w:t>
            </w:r>
          </w:p>
        </w:tc>
      </w:tr>
      <w:tr>
        <w:trPr>
          <w:trHeight w:val="209"/>
        </w:trPr>
        <w:tc>
          <w:tcPr>
            <w:tcW w:w="4900" w:type="dxa"/>
            <w:vAlign w:val="bottom"/>
          </w:tcPr>
          <w:p>
            <w:pPr>
              <w:spacing w:after="0"/>
              <w:rPr>
                <w:sz w:val="20"/>
                <w:szCs w:val="20"/>
                <w:color w:val="auto"/>
              </w:rPr>
            </w:pPr>
            <w:r>
              <w:rPr>
                <w:rFonts w:ascii="Arial" w:cs="Arial" w:eastAsia="Arial" w:hAnsi="Arial"/>
                <w:sz w:val="15"/>
                <w:szCs w:val="15"/>
                <w:color w:val="auto"/>
              </w:rPr>
              <w:t>Charter service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25,805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29,227</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Ancillary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35,031</w:t>
            </w: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490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104,195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178,486</w:t>
            </w: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Cargo</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21,585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14"/>
        </w:trPr>
        <w:tc>
          <w:tcPr>
            <w:tcW w:w="4900" w:type="dxa"/>
            <w:vAlign w:val="bottom"/>
          </w:tcPr>
          <w:p>
            <w:pPr>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1,844</w:t>
            </w: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6"/>
        </w:trPr>
        <w:tc>
          <w:tcPr>
            <w:tcW w:w="4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Operating Revenue</w:t>
            </w:r>
          </w:p>
        </w:tc>
        <w:tc>
          <w:tcPr>
            <w:tcW w:w="260" w:type="dxa"/>
            <w:vAlign w:val="bottom"/>
            <w:gridSpan w:val="2"/>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127,611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$180,330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-996950</wp:posOffset>
            </wp:positionV>
            <wp:extent cx="378841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178"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The Company attributes and measures its Operating Revenue by geographic region as defined by the Department of Transportation for airline reporting based upon the origin of each passenger and cargo flight segment.</w:t>
      </w:r>
    </w:p>
    <w:p>
      <w:pPr>
        <w:spacing w:after="0" w:line="101"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7"/>
          </w:tcPr>
          <w:p>
            <w:pPr>
              <w:ind w:left="20"/>
              <w:spacing w:after="0"/>
              <w:rPr>
                <w:sz w:val="20"/>
                <w:szCs w:val="20"/>
                <w:color w:val="auto"/>
              </w:rPr>
            </w:pPr>
            <w:r>
              <w:rPr>
                <w:rFonts w:ascii="Arial" w:cs="Arial" w:eastAsia="Arial" w:hAnsi="Arial"/>
                <w:sz w:val="12"/>
                <w:szCs w:val="12"/>
                <w:b w:val="1"/>
                <w:bCs w:val="1"/>
                <w:color w:val="auto"/>
                <w:w w:val="86"/>
              </w:rPr>
              <w:t>Three Months Ended March 31,</w:t>
            </w:r>
          </w:p>
        </w:tc>
      </w:tr>
      <w:tr>
        <w:trPr>
          <w:trHeight w:val="21"/>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4920" w:type="dxa"/>
            <w:vAlign w:val="bottom"/>
          </w:tcPr>
          <w:p>
            <w:pPr>
              <w:spacing w:after="0"/>
              <w:rPr>
                <w:sz w:val="13"/>
                <w:szCs w:val="13"/>
                <w:color w:val="auto"/>
              </w:rPr>
            </w:pPr>
          </w:p>
        </w:tc>
        <w:tc>
          <w:tcPr>
            <w:tcW w:w="80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$119,312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$163,038</w:t>
            </w:r>
          </w:p>
        </w:tc>
        <w:tc>
          <w:tcPr>
            <w:tcW w:w="80" w:type="dxa"/>
            <w:vAlign w:val="bottom"/>
            <w:shd w:val="clear" w:color="auto" w:fill="CCEEFF"/>
          </w:tcPr>
          <w:p>
            <w:pPr>
              <w:spacing w:after="0"/>
              <w:rPr>
                <w:sz w:val="17"/>
                <w:szCs w:val="17"/>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5"/>
                <w:szCs w:val="15"/>
                <w:color w:val="auto"/>
              </w:rPr>
              <w:t>Latin America</w:t>
            </w:r>
          </w:p>
        </w:tc>
        <w:tc>
          <w:tcPr>
            <w:tcW w:w="880" w:type="dxa"/>
            <w:vAlign w:val="bottom"/>
            <w:gridSpan w:val="4"/>
          </w:tcPr>
          <w:p>
            <w:pPr>
              <w:jc w:val="right"/>
              <w:ind w:right="80"/>
              <w:spacing w:after="0"/>
              <w:rPr>
                <w:sz w:val="20"/>
                <w:szCs w:val="20"/>
                <w:color w:val="auto"/>
              </w:rPr>
            </w:pPr>
            <w:r>
              <w:rPr>
                <w:rFonts w:ascii="Arial" w:cs="Arial" w:eastAsia="Arial" w:hAnsi="Arial"/>
                <w:sz w:val="15"/>
                <w:szCs w:val="15"/>
                <w:color w:val="auto"/>
              </w:rPr>
              <w:t>7,877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5"/>
                <w:szCs w:val="15"/>
                <w:color w:val="auto"/>
              </w:rPr>
              <w:t>17,076</w:t>
            </w:r>
          </w:p>
        </w:tc>
      </w:tr>
      <w:tr>
        <w:trPr>
          <w:trHeight w:val="21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5"/>
                <w:szCs w:val="15"/>
                <w:color w:val="auto"/>
              </w:rPr>
              <w:t>Total Operating Revenue</w:t>
            </w:r>
          </w:p>
        </w:tc>
        <w:tc>
          <w:tcPr>
            <w:tcW w:w="880" w:type="dxa"/>
            <w:vAlign w:val="bottom"/>
            <w:gridSpan w:val="4"/>
          </w:tcPr>
          <w:p>
            <w:pPr>
              <w:jc w:val="right"/>
              <w:ind w:right="80"/>
              <w:spacing w:after="0"/>
              <w:rPr>
                <w:sz w:val="20"/>
                <w:szCs w:val="20"/>
                <w:color w:val="auto"/>
              </w:rPr>
            </w:pPr>
            <w:r>
              <w:rPr>
                <w:rFonts w:ascii="Arial" w:cs="Arial" w:eastAsia="Arial" w:hAnsi="Arial"/>
                <w:sz w:val="15"/>
                <w:szCs w:val="15"/>
                <w:color w:val="auto"/>
              </w:rPr>
              <w:t>$127,611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86"/>
              </w:rPr>
              <w:t>$180,330</w:t>
            </w: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8841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17" w:lineRule="exact"/>
        <w:rPr>
          <w:sz w:val="20"/>
          <w:szCs w:val="20"/>
          <w:color w:val="auto"/>
        </w:rPr>
      </w:pPr>
    </w:p>
    <w:p>
      <w:pPr>
        <w:ind w:left="1160" w:right="1399" w:firstLine="293"/>
        <w:spacing w:after="0" w:line="271" w:lineRule="auto"/>
        <w:rPr>
          <w:sz w:val="20"/>
          <w:szCs w:val="20"/>
          <w:color w:val="auto"/>
        </w:rPr>
      </w:pPr>
      <w:r>
        <w:rPr>
          <w:rFonts w:ascii="Arial" w:cs="Arial" w:eastAsia="Arial" w:hAnsi="Arial"/>
          <w:sz w:val="14"/>
          <w:szCs w:val="14"/>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months ended March 31, 2021 was $138 and is included in Maintenance expense. There was nothing expensed in the three months ended March 31, 2020, since the Amazon cargo services had not started yet.</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Amazon Deferred Up-front Payment received (reported within Other Liabilities on the Condensed Consolidated Balance Sheets).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5"/>
                <w:szCs w:val="15"/>
                <w:color w:val="auto"/>
              </w:rPr>
              <w:t>Costs to fulfill contract with Amazon</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3,312</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3,614</w:t>
            </w:r>
          </w:p>
        </w:tc>
        <w:tc>
          <w:tcPr>
            <w:tcW w:w="200" w:type="dxa"/>
            <w:vAlign w:val="bottom"/>
          </w:tcPr>
          <w:p>
            <w:pPr>
              <w:spacing w:after="0"/>
              <w:rPr>
                <w:sz w:val="19"/>
                <w:szCs w:val="19"/>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Air Traffic Liabilities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94,733</w:t>
            </w:r>
          </w:p>
        </w:tc>
        <w:tc>
          <w:tcPr>
            <w:tcW w:w="1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200" w:type="dxa"/>
            <w:vAlign w:val="bottom"/>
            <w:shd w:val="clear" w:color="auto" w:fill="CCEEFF"/>
          </w:tcPr>
          <w:p>
            <w:pPr>
              <w:spacing w:after="0"/>
              <w:rPr>
                <w:sz w:val="15"/>
                <w:szCs w:val="15"/>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Loyalty Program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20,774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22,068</w:t>
            </w:r>
          </w:p>
        </w:tc>
        <w:tc>
          <w:tcPr>
            <w:tcW w:w="200" w:type="dxa"/>
            <w:vAlign w:val="bottom"/>
          </w:tcPr>
          <w:p>
            <w:pPr>
              <w:spacing w:after="0"/>
              <w:rPr>
                <w:sz w:val="18"/>
                <w:szCs w:val="18"/>
                <w:color w:val="auto"/>
              </w:rPr>
            </w:pPr>
          </w:p>
        </w:tc>
      </w:tr>
      <w:tr>
        <w:trPr>
          <w:trHeight w:val="21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Amazon Deferred Start-up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200" w:type="dxa"/>
            <w:vAlign w:val="bottom"/>
            <w:shd w:val="clear" w:color="auto" w:fill="CCEEFF"/>
          </w:tcPr>
          <w:p>
            <w:pPr>
              <w:spacing w:after="0"/>
              <w:rPr>
                <w:sz w:val="18"/>
                <w:szCs w:val="18"/>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5"/>
                <w:szCs w:val="15"/>
                <w:color w:val="auto"/>
              </w:rPr>
              <w:t>Total Contract Liabilities</w:t>
            </w:r>
          </w:p>
        </w:tc>
        <w:tc>
          <w:tcPr>
            <w:tcW w:w="2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120,517</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128,383</w:t>
            </w:r>
          </w:p>
        </w:tc>
        <w:tc>
          <w:tcPr>
            <w:tcW w:w="2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-878205</wp:posOffset>
            </wp:positionV>
            <wp:extent cx="3634740"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56"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period ended March 31, 2021, $60,039 of revenue was recognized in Passenger revenue that was included in the Air Traffic Liabilities as of December 31, 2020.</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is being amortized into revenue on a pro-rata basis over the initial six years of the ATSA. For the three months ended March 31, 2021, $231 was amortized into Cargo revenue. Nothing was amortized for the three months ended March 31, 2020 as services did not begin until the second quarter of 2020.</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28"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6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5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$22,069</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60" w:type="dxa"/>
            <w:vAlign w:val="bottom"/>
          </w:tcPr>
          <w:p>
            <w:pPr>
              <w:spacing w:after="0"/>
              <w:rPr>
                <w:sz w:val="17"/>
                <w:szCs w:val="17"/>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5"/>
                <w:szCs w:val="15"/>
                <w:color w:val="auto"/>
              </w:rPr>
              <w:t>Loyalty Points Earned</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857</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1,635</w:t>
            </w:r>
          </w:p>
        </w:tc>
        <w:tc>
          <w:tcPr>
            <w:tcW w:w="60" w:type="dxa"/>
            <w:vAlign w:val="bottom"/>
          </w:tcPr>
          <w:p>
            <w:pPr>
              <w:spacing w:after="0"/>
              <w:rPr>
                <w:sz w:val="18"/>
                <w:szCs w:val="18"/>
                <w:color w:val="auto"/>
              </w:rPr>
            </w:pPr>
          </w:p>
        </w:tc>
      </w:tr>
      <w:tr>
        <w:trPr>
          <w:trHeight w:val="231"/>
        </w:trPr>
        <w:tc>
          <w:tcPr>
            <w:tcW w:w="552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(2,152)</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(2,206)</w:t>
            </w:r>
          </w:p>
        </w:tc>
        <w:tc>
          <w:tcPr>
            <w:tcW w:w="60" w:type="dxa"/>
            <w:vAlign w:val="bottom"/>
          </w:tcPr>
          <w:p>
            <w:pPr>
              <w:spacing w:after="0"/>
              <w:rPr>
                <w:sz w:val="20"/>
                <w:szCs w:val="20"/>
                <w:color w:val="auto"/>
              </w:rPr>
            </w:pPr>
          </w:p>
        </w:tc>
      </w:tr>
      <w:tr>
        <w:trPr>
          <w:trHeight w:val="211"/>
        </w:trPr>
        <w:tc>
          <w:tcPr>
            <w:tcW w:w="554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Balance—March 31</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$20,774</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$22,321</w:t>
            </w:r>
          </w:p>
        </w:tc>
        <w:tc>
          <w:tcPr>
            <w:tcW w:w="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-662305</wp:posOffset>
            </wp:positionV>
            <wp:extent cx="3927475"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57" w:lineRule="exact"/>
        <w:rPr>
          <w:sz w:val="20"/>
          <w:szCs w:val="20"/>
          <w:color w:val="auto"/>
        </w:rPr>
      </w:pPr>
    </w:p>
    <w:p>
      <w:pPr>
        <w:ind w:left="1460" w:right="1199" w:hanging="296"/>
        <w:spacing w:after="0" w:line="241" w:lineRule="auto"/>
        <w:tabs>
          <w:tab w:leader="none" w:pos="14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Principally relates to revenue recognized from the redemption of loyalty points for both air and non-air travel awards. Loyalty points are combined in one homogenous pool and are not separately identifiable. As such, the revenue is comprised of points that were part of the loyalty program deferred revenue balance at the beginning of the period, as well as points that were earned during the period.</w:t>
      </w:r>
    </w:p>
    <w:p>
      <w:pPr>
        <w:spacing w:after="0" w:line="100" w:lineRule="exact"/>
        <w:rPr>
          <w:sz w:val="20"/>
          <w:szCs w:val="20"/>
          <w:color w:val="auto"/>
        </w:rPr>
      </w:pPr>
    </w:p>
    <w:p>
      <w:pPr>
        <w:ind w:left="1160" w:right="1319" w:firstLine="293"/>
        <w:spacing w:after="0" w:line="300" w:lineRule="auto"/>
        <w:rPr>
          <w:sz w:val="20"/>
          <w:szCs w:val="20"/>
          <w:color w:val="auto"/>
        </w:rPr>
      </w:pPr>
      <w:r>
        <w:rPr>
          <w:rFonts w:ascii="Arial" w:cs="Arial" w:eastAsia="Arial" w:hAnsi="Arial"/>
          <w:sz w:val="14"/>
          <w:szCs w:val="14"/>
          <w:color w:val="auto"/>
        </w:rPr>
        <w:t>The timing of loyalty point redemptions can vary significantly, however most new points, that are not left to expire, are redeemed within two years. Given the inherent uncertainty of the current operating</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94" w:lineRule="exact"/>
        <w:rPr>
          <w:sz w:val="20"/>
          <w:szCs w:val="20"/>
          <w:color w:val="auto"/>
        </w:rPr>
      </w:pPr>
    </w:p>
    <w:p>
      <w:pPr>
        <w:ind w:left="1160" w:right="1319"/>
        <w:spacing w:after="0" w:line="279" w:lineRule="auto"/>
        <w:rPr>
          <w:sz w:val="20"/>
          <w:szCs w:val="20"/>
          <w:color w:val="auto"/>
        </w:rPr>
      </w:pPr>
      <w:r>
        <w:rPr>
          <w:rFonts w:ascii="Arial" w:cs="Arial" w:eastAsia="Arial" w:hAnsi="Arial"/>
          <w:sz w:val="15"/>
          <w:szCs w:val="15"/>
          <w:color w:val="auto"/>
        </w:rPr>
        <w:t>environment due to COVID-19, the Company will continue to monitor redemption patterns and will adjust estimates in the future, which could be material.</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EARNINGS PER SHARE</w:t>
      </w:r>
    </w:p>
    <w:p>
      <w:pPr>
        <w:spacing w:after="0" w:line="117" w:lineRule="exact"/>
        <w:rPr>
          <w:sz w:val="20"/>
          <w:szCs w:val="20"/>
          <w:color w:val="auto"/>
        </w:rPr>
      </w:pPr>
    </w:p>
    <w:p>
      <w:pPr>
        <w:ind w:left="1160" w:right="1439" w:firstLine="293"/>
        <w:spacing w:after="0" w:line="254" w:lineRule="auto"/>
        <w:rPr>
          <w:sz w:val="20"/>
          <w:szCs w:val="20"/>
          <w:color w:val="auto"/>
        </w:rPr>
      </w:pPr>
      <w:r>
        <w:rPr>
          <w:rFonts w:ascii="Arial" w:cs="Arial" w:eastAsia="Arial" w:hAnsi="Arial"/>
          <w:sz w:val="15"/>
          <w:szCs w:val="15"/>
          <w:color w:val="auto"/>
        </w:rPr>
        <w:t>Basic earnings per share, which excludes dilution, is computed by dividing Net Income available to common stockholders by the weighted average number of shares of common stock outstanding for the period.</w:t>
      </w:r>
    </w:p>
    <w:p>
      <w:pPr>
        <w:spacing w:after="0" w:line="10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1660" w:type="dxa"/>
            <w:vAlign w:val="bottom"/>
            <w:gridSpan w:val="5"/>
          </w:tcPr>
          <w:p>
            <w:pPr>
              <w:jc w:val="right"/>
              <w:spacing w:after="0"/>
              <w:rPr>
                <w:sz w:val="20"/>
                <w:szCs w:val="20"/>
                <w:color w:val="auto"/>
              </w:rPr>
            </w:pPr>
            <w:r>
              <w:rPr>
                <w:rFonts w:ascii="Arial" w:cs="Arial" w:eastAsia="Arial" w:hAnsi="Arial"/>
                <w:sz w:val="12"/>
                <w:szCs w:val="12"/>
                <w:b w:val="1"/>
                <w:bCs w:val="1"/>
                <w:color w:val="auto"/>
                <w:w w:val="89"/>
              </w:rPr>
              <w:t>Three Months Ended March 31,</w:t>
            </w:r>
          </w:p>
        </w:tc>
      </w:tr>
      <w:tr>
        <w:trPr>
          <w:trHeight w:val="21"/>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5"/>
                <w:szCs w:val="15"/>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7,251</w:t>
            </w:r>
          </w:p>
        </w:tc>
      </w:tr>
      <w:tr>
        <w:trPr>
          <w:trHeight w:val="297"/>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5"/>
                <w:szCs w:val="15"/>
                <w:color w:val="auto"/>
              </w:rPr>
              <w:t>Weighted Average Common Shares Outstanding—Basic</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48,496,077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46,805,951</w:t>
            </w:r>
          </w:p>
        </w:tc>
      </w:tr>
      <w:tr>
        <w:trPr>
          <w:trHeight w:val="231"/>
        </w:trPr>
        <w:tc>
          <w:tcPr>
            <w:tcW w:w="5020" w:type="dxa"/>
            <w:vAlign w:val="bottom"/>
            <w:shd w:val="clear" w:color="auto" w:fill="CCEEFF"/>
          </w:tcPr>
          <w:p>
            <w:pPr>
              <w:spacing w:after="0" w:line="231" w:lineRule="exact"/>
              <w:rPr>
                <w:sz w:val="20"/>
                <w:szCs w:val="20"/>
                <w:color w:val="auto"/>
              </w:rPr>
            </w:pPr>
            <w:r>
              <w:rPr>
                <w:rFonts w:ascii="Arial" w:cs="Arial" w:eastAsia="Arial" w:hAnsi="Arial"/>
                <w:sz w:val="15"/>
                <w:szCs w:val="15"/>
                <w:color w:val="auto"/>
              </w:rPr>
              <w:t>Dilutive effect of Stock Options and Warrants</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4,012,109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1,419,652</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5020" w:type="dxa"/>
            <w:vAlign w:val="bottom"/>
          </w:tcPr>
          <w:p>
            <w:pPr>
              <w:spacing w:after="0"/>
              <w:rPr>
                <w:sz w:val="20"/>
                <w:szCs w:val="20"/>
                <w:color w:val="auto"/>
              </w:rPr>
            </w:pPr>
            <w:r>
              <w:rPr>
                <w:rFonts w:ascii="Arial" w:cs="Arial" w:eastAsia="Arial" w:hAnsi="Arial"/>
                <w:sz w:val="15"/>
                <w:szCs w:val="15"/>
                <w:color w:val="auto"/>
              </w:rPr>
              <w:t>Weighted Average Common Shares Outstanding—Diluted</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52,508,186</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48,225,603</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r>
      <w:tr>
        <w:trPr>
          <w:trHeight w:val="220"/>
        </w:trPr>
        <w:tc>
          <w:tcPr>
            <w:tcW w:w="5020" w:type="dxa"/>
            <w:vAlign w:val="bottom"/>
          </w:tcPr>
          <w:p>
            <w:pPr>
              <w:spacing w:after="0"/>
              <w:rPr>
                <w:sz w:val="20"/>
                <w:szCs w:val="20"/>
                <w:color w:val="auto"/>
              </w:rPr>
            </w:pPr>
            <w:r>
              <w:rPr>
                <w:rFonts w:ascii="Arial" w:cs="Arial" w:eastAsia="Arial" w:hAnsi="Arial"/>
                <w:sz w:val="15"/>
                <w:szCs w:val="15"/>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-278765</wp:posOffset>
            </wp:positionV>
            <wp:extent cx="3774440"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-1164590</wp:posOffset>
            </wp:positionV>
            <wp:extent cx="3767455"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39" w:hanging="296"/>
        <w:spacing w:after="0" w:line="239" w:lineRule="auto"/>
        <w:tabs>
          <w:tab w:leader="none" w:pos="1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There were 3,557,432 and 3,646,690 performance-based stock options outstanding at March 31, 2021 and 2020, respectively. As a result of the Company’s initial public offering, 75 percent of these options are expected to meet the performance conditions and are included in dilutive options at March 31, 2021. At March 31, 2020, these options were excluded from the calculation of diluted EPS since the performance conditions were not considered likely to be met.</w:t>
      </w:r>
    </w:p>
    <w:p>
      <w:pPr>
        <w:spacing w:after="0" w:line="99" w:lineRule="exact"/>
        <w:rPr>
          <w:sz w:val="20"/>
          <w:szCs w:val="20"/>
          <w:color w:val="auto"/>
        </w:rPr>
      </w:pPr>
    </w:p>
    <w:p>
      <w:pPr>
        <w:ind w:left="1160" w:right="131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94"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5"/>
          <w:szCs w:val="15"/>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AIRCRAFT—OWNED AND LEASED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tables summarize the Company’s aircraft fleet activity for the three months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March 31, 2021 and 2020, respectively:</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6"/>
              </w:rPr>
              <w:t>March 31, 2021</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0"/>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320" w:type="dxa"/>
            <w:vAlign w:val="bottom"/>
          </w:tcPr>
          <w:p>
            <w:pPr>
              <w:spacing w:after="0"/>
              <w:rPr>
                <w:sz w:val="18"/>
                <w:szCs w:val="18"/>
                <w:color w:val="auto"/>
              </w:rPr>
            </w:pPr>
          </w:p>
        </w:tc>
      </w:tr>
      <w:tr>
        <w:trPr>
          <w:trHeight w:val="209"/>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w:t>
            </w:r>
          </w:p>
        </w:tc>
      </w:tr>
      <w:tr>
        <w:trPr>
          <w:trHeight w:val="214"/>
        </w:trPr>
        <w:tc>
          <w:tcPr>
            <w:tcW w:w="32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7</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05"/>
        </w:trPr>
        <w:tc>
          <w:tcPr>
            <w:tcW w:w="3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shd w:val="clear" w:color="auto" w:fill="CCEEFF"/>
          </w:tcPr>
          <w:p>
            <w:pPr>
              <w:spacing w:after="0"/>
              <w:rPr>
                <w:sz w:val="17"/>
                <w:szCs w:val="17"/>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3"/>
              </w:rPr>
              <w:t>31</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5"/>
                <w:szCs w:val="15"/>
                <w:color w:val="auto"/>
              </w:rPr>
              <w:t>Cargo:</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Operated for Amazon</w:t>
            </w:r>
          </w:p>
        </w:tc>
        <w:tc>
          <w:tcPr>
            <w:tcW w:w="5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3"/>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spacing w:after="0"/>
              <w:rPr>
                <w:sz w:val="18"/>
                <w:szCs w:val="18"/>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43</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424180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-1129665</wp:posOffset>
            </wp:positionV>
            <wp:extent cx="11176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-1129665</wp:posOffset>
            </wp:positionV>
            <wp:extent cx="111760"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-1129665</wp:posOffset>
            </wp:positionV>
            <wp:extent cx="290195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156"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The five aircraft purchased during the three months ended March 31, 2021 were financed through the Delayed Draw Term Loan Facility (see Note 7). All five of these were previously under operating leases.</w:t>
      </w:r>
    </w:p>
    <w:p>
      <w:pPr>
        <w:spacing w:after="0" w:line="5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6"/>
              </w:rPr>
              <w:t>March 31, 2020</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0"/>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8</w:t>
            </w:r>
          </w:p>
        </w:tc>
      </w:tr>
      <w:tr>
        <w:trPr>
          <w:trHeight w:val="209"/>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20" w:type="dxa"/>
            <w:vAlign w:val="bottom"/>
            <w:shd w:val="clear" w:color="auto" w:fill="CCEEFF"/>
          </w:tcPr>
          <w:p>
            <w:pPr>
              <w:spacing w:after="0"/>
              <w:rPr>
                <w:sz w:val="18"/>
                <w:szCs w:val="18"/>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320" w:type="dxa"/>
            <w:vAlign w:val="bottom"/>
          </w:tcPr>
          <w:p>
            <w:pPr>
              <w:spacing w:after="0"/>
              <w:rPr>
                <w:sz w:val="18"/>
                <w:szCs w:val="18"/>
                <w:color w:val="auto"/>
              </w:rPr>
            </w:pPr>
          </w:p>
        </w:tc>
      </w:tr>
      <w:tr>
        <w:trPr>
          <w:trHeight w:val="214"/>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Seasonal leases</w:t>
            </w:r>
          </w:p>
        </w:tc>
        <w:tc>
          <w:tcPr>
            <w:tcW w:w="5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31</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-850265</wp:posOffset>
            </wp:positionV>
            <wp:extent cx="11176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-850265</wp:posOffset>
            </wp:positionV>
            <wp:extent cx="111760"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901950"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156" w:lineRule="exact"/>
        <w:rPr>
          <w:sz w:val="20"/>
          <w:szCs w:val="20"/>
          <w:color w:val="auto"/>
        </w:rPr>
      </w:pPr>
    </w:p>
    <w:p>
      <w:pPr>
        <w:ind w:left="1160" w:right="1299" w:firstLine="293"/>
        <w:spacing w:after="0" w:line="258" w:lineRule="auto"/>
        <w:rPr>
          <w:sz w:val="20"/>
          <w:szCs w:val="20"/>
          <w:color w:val="auto"/>
        </w:rPr>
      </w:pPr>
      <w:r>
        <w:rPr>
          <w:rFonts w:ascii="Arial" w:cs="Arial" w:eastAsia="Arial" w:hAnsi="Arial"/>
          <w:sz w:val="14"/>
          <w:szCs w:val="14"/>
          <w:color w:val="auto"/>
        </w:rPr>
        <w:t>The three aircraft purchased during the three months ended March 31, 2020 were financed through equipment trust certificates (see Note 7). One of these aircraft was previously under an operating lease and the other two aircraft were new to the Company’s fleet. In addition, the Company refinanced three previously owned and financed aircraft in January 2020 utilizing equipment trust certificates (see Note 7).</w:t>
      </w:r>
    </w:p>
    <w:p>
      <w:pPr>
        <w:spacing w:after="0" w:line="88"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The Accumulated Depreciation on owned assets was $57,950 and $ 52,048 as of March 31, 2021 and December 31, 2020, respectively. Depreciation expense was $8,800 and $5,121 for the three months ended March 31, 2021 and 2020, respectively.</w:t>
      </w:r>
    </w:p>
    <w:p>
      <w:pPr>
        <w:spacing w:after="0" w:line="10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The Accumulated Amortization on Finance Lease Assets was $18,517 and $13,018 as of March 31, 2021 and December 31, 2020, respectively. Amortization Expense was $2,692 and $4,290 for the three months ended March 31, 2021 and 2020, respectively.</w:t>
      </w:r>
    </w:p>
    <w:p>
      <w:pPr>
        <w:spacing w:after="0" w:line="89" w:lineRule="exact"/>
        <w:rPr>
          <w:sz w:val="20"/>
          <w:szCs w:val="20"/>
          <w:color w:val="auto"/>
        </w:rPr>
      </w:pPr>
    </w:p>
    <w:p>
      <w:pPr>
        <w:ind w:left="1160" w:right="1499" w:firstLine="293"/>
        <w:spacing w:after="0" w:line="341" w:lineRule="auto"/>
        <w:rPr>
          <w:sz w:val="20"/>
          <w:szCs w:val="20"/>
          <w:color w:val="auto"/>
        </w:rPr>
      </w:pPr>
      <w:r>
        <w:rPr>
          <w:rFonts w:ascii="Arial" w:cs="Arial" w:eastAsia="Arial" w:hAnsi="Arial"/>
          <w:sz w:val="13"/>
          <w:szCs w:val="13"/>
          <w:color w:val="auto"/>
        </w:rPr>
        <w:t>Depreciation expense on owned assets and amortization expense on Finance Lease Assets are each classified in Depreciation and Amortization on the Condensed Consolidated Statements of Operations.</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Lease Payment Deferrals</w:t>
      </w:r>
    </w:p>
    <w:p>
      <w:pPr>
        <w:spacing w:after="0" w:line="128"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During the year ended December 31, 2020 the Company negotiated rent payment deferrals with a majority of its aircraft lessors due to COVID-19 cash flow impacts. The amount deferred as of March 31, 2021 was $975, consisting of $533 under finance leases and $442 under operating leases. The amount deferred</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0" w:name="page251"/>
    <w:bookmarkEnd w:id="250"/>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AIRCRAFT—OWNED AND LEASED (continued)</w:t>
      </w:r>
    </w:p>
    <w:p>
      <w:pPr>
        <w:spacing w:after="0" w:line="183"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as of December 31, 2020 was $7,569, consisting of $2,133 under finance leases and $ 5,436 under operating leases. These deferrals are classified within the current portion of the respective lease liabilities on the Condensed Consolidated Balance Sheets.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Maintenance Deposits Contra-Assets</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At April 11, 2018 (the “Acquisition Date”), the Company established a deposit contra-asset to represent the Company’s obligation to perform planned maintenance events on leased aircraft held as of the Acquisition Date. As of March 31, 2021 and December 31, 2020, the remaining balance of the contra-asset was $26,512 and $36,729, respectively. Of the $10,217 reduction in the contra-asset during the three months ended March 31, 2021, $ 9,880 related to the purchase of five aircrafts previously leased, whereupon the contra-assets and related maintenance deposits were written-off concurrently to Aircraft lease buy- out expense in Special Items, net (see Note 11). For the three months ended March 31, 2021 and 2020, the Company recognized none and $425, respectively, of the contra-asset as a reduction to Maintenance expense on the accompanying Condensed Consolidated Statements of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Over-market Liabilities</w:t>
      </w:r>
    </w:p>
    <w:p>
      <w:pPr>
        <w:spacing w:after="0" w:line="128"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At the Acquisition Date, the Company acquired liabilities related to its over-market lease rates and over-market maintenance reserve payments.</w:t>
      </w:r>
    </w:p>
    <w:p>
      <w:pPr>
        <w:spacing w:after="0" w:line="9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As of the Acquisition Date, the Company recognized a liability representing lease terms which are unfavorable compared with market terms of similar leases. The remaining balance of this contra -asset as of March 31, 2021 and December 31, 2020 was $12,891 and $ 16,501, respectively and is recorded within Operating Lease Right-of-Use Assets. The purchase of five aircraft in March 2021 contributed $2,858 of the decrease.</w:t>
      </w:r>
    </w:p>
    <w:p>
      <w:pPr>
        <w:spacing w:after="0" w:line="89"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March 31, 2021 and December 31, 2020 was $21,600 and $37,409, respectively. Of the $ 15,809 reduction in the over-market maintenance reserve liabilities during the three months ended March 31, 2021, $13,805 related to the purchase of five aircrafts previously leased, whereupon the over-market liabilities for those aircraft are included in Aircraft lease buy-out expense in Special Items, net (see Note 11).</w:t>
      </w:r>
    </w:p>
    <w:p>
      <w:pPr>
        <w:spacing w:after="0" w:line="103"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Aircraft Rent expense for the three months ended March 31, 2021 and 2020, includes credits of $2,755 and $4,103, respectively, for the amortization of over-market liabilities established at the Acquisition Date related to lease rates and maintenance reserves.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w:t>
      </w:r>
    </w:p>
    <w:p>
      <w:pPr>
        <w:spacing w:after="0" w:line="124"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b w:val="1"/>
          <w:bCs w:val="1"/>
          <w:color w:val="auto"/>
        </w:rPr>
        <w:t>Lines of Credit—</w:t>
      </w:r>
      <w:r>
        <w:rPr>
          <w:rFonts w:ascii="Arial" w:cs="Arial" w:eastAsia="Arial" w:hAnsi="Arial"/>
          <w:sz w:val="14"/>
          <w:szCs w:val="14"/>
          <w:color w:val="auto"/>
        </w:rPr>
        <w:t>On February 10, 2021, the Company executed a new five-year credit agreement with a</w:t>
      </w:r>
      <w:r>
        <w:rPr>
          <w:rFonts w:ascii="Arial" w:cs="Arial" w:eastAsia="Arial" w:hAnsi="Arial"/>
          <w:sz w:val="14"/>
          <w:szCs w:val="14"/>
          <w:b w:val="1"/>
          <w:bCs w:val="1"/>
          <w:color w:val="auto"/>
        </w:rPr>
        <w:t xml:space="preserve"> </w:t>
      </w:r>
      <w:r>
        <w:rPr>
          <w:rFonts w:ascii="Arial" w:cs="Arial" w:eastAsia="Arial" w:hAnsi="Arial"/>
          <w:sz w:val="14"/>
          <w:szCs w:val="14"/>
          <w:color w:val="auto"/>
        </w:rPr>
        <w:t>group of lenders that replaced the Company’s prior $25,000 asset -based revolving credit facility (the “ABL Facility”).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w:t>
      </w:r>
    </w:p>
    <w:p>
      <w:pPr>
        <w:spacing w:after="0" w:line="3" w:lineRule="exact"/>
        <w:rPr>
          <w:sz w:val="20"/>
          <w:szCs w:val="20"/>
          <w:color w:val="auto"/>
        </w:rPr>
      </w:pPr>
    </w:p>
    <w:p>
      <w:pPr>
        <w:jc w:val="both"/>
        <w:ind w:left="1160" w:right="1479"/>
        <w:spacing w:after="0" w:line="233" w:lineRule="auto"/>
        <w:rPr>
          <w:sz w:val="20"/>
          <w:szCs w:val="20"/>
          <w:color w:val="auto"/>
        </w:rPr>
      </w:pPr>
      <w:r>
        <w:rPr>
          <w:rFonts w:ascii="Arial" w:cs="Arial" w:eastAsia="Arial" w:hAnsi="Arial"/>
          <w:sz w:val="15"/>
          <w:szCs w:val="15"/>
          <w:color w:val="auto"/>
        </w:rPr>
        <w:t>0.5%. The proceeds from the Revolving Credit Facility can be used for general corporate purposes. The proceeds from the Delayed Draw Term Loan Facility are to be used solely to finance the acquisition of aircraft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83"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or engines to be registered in the U.S. During the three months ended March 31, 2021, the Company drew $68,000 on the Delayed Draw Term Loan Facility to purchase five aircrafts. On April 6, 2021, the Company drew an additional $12,500 for the purchase of an additional aircraft, which was under operating lease as of March 31, 2021. The Credit Facilities have financial covenants that require a minimum EBITDAR (ranging from $62,100 to $87,700) and a minimum liquidity of $30,000 at the close of any business day.</w:t>
      </w:r>
    </w:p>
    <w:p>
      <w:pPr>
        <w:spacing w:after="0" w:line="76" w:lineRule="exact"/>
        <w:rPr>
          <w:sz w:val="20"/>
          <w:szCs w:val="20"/>
          <w:color w:val="auto"/>
        </w:rPr>
      </w:pPr>
    </w:p>
    <w:p>
      <w:pPr>
        <w:jc w:val="both"/>
        <w:ind w:left="1160" w:right="1299" w:firstLine="293"/>
        <w:spacing w:after="0" w:line="315" w:lineRule="auto"/>
        <w:rPr>
          <w:sz w:val="20"/>
          <w:szCs w:val="20"/>
          <w:color w:val="auto"/>
        </w:rPr>
      </w:pPr>
      <w:r>
        <w:rPr>
          <w:rFonts w:ascii="Arial" w:cs="Arial" w:eastAsia="Arial" w:hAnsi="Arial"/>
          <w:sz w:val="13"/>
          <w:szCs w:val="13"/>
          <w:b w:val="1"/>
          <w:bCs w:val="1"/>
          <w:color w:val="auto"/>
        </w:rPr>
        <w:t>Long-term Debt—</w:t>
      </w:r>
      <w:r>
        <w:rPr>
          <w:rFonts w:ascii="Arial" w:cs="Arial" w:eastAsia="Arial" w:hAnsi="Arial"/>
          <w:sz w:val="13"/>
          <w:szCs w:val="13"/>
          <w:color w:val="auto"/>
        </w:rPr>
        <w:t>In December 2019, the Company arranged for the issuance of Class A, Class B and</w:t>
      </w:r>
      <w:r>
        <w:rPr>
          <w:rFonts w:ascii="Arial" w:cs="Arial" w:eastAsia="Arial" w:hAnsi="Arial"/>
          <w:sz w:val="13"/>
          <w:szCs w:val="13"/>
          <w:b w:val="1"/>
          <w:bCs w:val="1"/>
          <w:color w:val="auto"/>
        </w:rPr>
        <w:t xml:space="preserve"> </w:t>
      </w:r>
      <w:r>
        <w:rPr>
          <w:rFonts w:ascii="Arial" w:cs="Arial" w:eastAsia="Arial" w:hAnsi="Arial"/>
          <w:sz w:val="13"/>
          <w:szCs w:val="13"/>
          <w:color w:val="auto"/>
        </w:rPr>
        <w:t>Class C pass-through trust certificates Series 2019-1 (the “2019-1 EETC”), in an aggregate face amount of $248,587 for the purpose of financing or refinancing 13 used aircraft, which was completed in 2020.</w:t>
      </w:r>
    </w:p>
    <w:p>
      <w:pPr>
        <w:spacing w:after="0" w:line="64"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Under the CARES Act Loan Program, on October 26, 2020, the Company was awarded a $45,000 loan, which was secured by the Company’s loyalty program and certain cash deposit accounts.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was in compliance with all covenants in its debt agreements at March 31, 2021.</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78"/>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annual installments through December 2027. These notes bear interest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at an annual rate of between 4.13% and 6.95% and are secured by the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97"/>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$227,347</w:t>
            </w: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Delayed Draw Term Loan Facility (see terms and conditions above)</w:t>
            </w:r>
          </w:p>
        </w:tc>
        <w:tc>
          <w:tcPr>
            <w:tcW w:w="960" w:type="dxa"/>
            <w:vAlign w:val="bottom"/>
            <w:gridSpan w:val="4"/>
          </w:tcPr>
          <w:p>
            <w:pPr>
              <w:jc w:val="right"/>
              <w:ind w:right="120"/>
              <w:spacing w:after="0"/>
              <w:rPr>
                <w:sz w:val="20"/>
                <w:szCs w:val="20"/>
                <w:color w:val="auto"/>
              </w:rPr>
            </w:pPr>
            <w:r>
              <w:rPr>
                <w:rFonts w:ascii="Arial" w:cs="Arial" w:eastAsia="Arial" w:hAnsi="Arial"/>
                <w:sz w:val="15"/>
                <w:szCs w:val="15"/>
                <w:color w:val="auto"/>
              </w:rPr>
              <w:t>68,000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U. S. Department of the Treasury CARES Act Loan (see terms and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7"/>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conditions above)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45,419</w:t>
            </w:r>
          </w:p>
        </w:tc>
      </w:tr>
      <w:tr>
        <w:trPr>
          <w:trHeight w:val="187"/>
        </w:trPr>
        <w:tc>
          <w:tcPr>
            <w:tcW w:w="4600" w:type="dxa"/>
            <w:vAlign w:val="bottom"/>
          </w:tcPr>
          <w:p>
            <w:pPr>
              <w:spacing w:after="0"/>
              <w:rPr>
                <w:sz w:val="20"/>
                <w:szCs w:val="20"/>
                <w:color w:val="auto"/>
              </w:rPr>
            </w:pPr>
            <w:r>
              <w:rPr>
                <w:rFonts w:ascii="Arial" w:cs="Arial" w:eastAsia="Arial" w:hAnsi="Arial"/>
                <w:sz w:val="15"/>
                <w:szCs w:val="15"/>
                <w:color w:val="auto"/>
                <w:w w:val="97"/>
              </w:rPr>
              <w:t>Notes payable to Wilmington Trust Company. Notes bear interest at an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0" w:type="dxa"/>
            <w:vAlign w:val="bottom"/>
          </w:tcPr>
          <w:p>
            <w:pPr>
              <w:ind w:left="160"/>
              <w:spacing w:after="0"/>
              <w:rPr>
                <w:sz w:val="20"/>
                <w:szCs w:val="20"/>
                <w:color w:val="auto"/>
              </w:rPr>
            </w:pPr>
            <w:r>
              <w:rPr>
                <w:rFonts w:ascii="Arial" w:cs="Arial" w:eastAsia="Arial" w:hAnsi="Arial"/>
                <w:sz w:val="15"/>
                <w:szCs w:val="15"/>
                <w:color w:val="auto"/>
              </w:rPr>
              <w:t>annual rate of 8.45% and mature Nov. 2023 to Feb. 2024.</w:t>
            </w:r>
          </w:p>
        </w:tc>
        <w:tc>
          <w:tcPr>
            <w:tcW w:w="960" w:type="dxa"/>
            <w:vAlign w:val="bottom"/>
            <w:gridSpan w:val="4"/>
          </w:tcPr>
          <w:p>
            <w:pPr>
              <w:jc w:val="right"/>
              <w:ind w:right="120"/>
              <w:spacing w:after="0"/>
              <w:rPr>
                <w:sz w:val="20"/>
                <w:szCs w:val="20"/>
                <w:color w:val="auto"/>
              </w:rPr>
            </w:pPr>
            <w:r>
              <w:rPr>
                <w:rFonts w:ascii="Arial" w:cs="Arial" w:eastAsia="Arial" w:hAnsi="Arial"/>
                <w:sz w:val="15"/>
                <w:szCs w:val="15"/>
                <w:color w:val="auto"/>
              </w:rPr>
              <w:t>11,880</w:t>
            </w:r>
          </w:p>
        </w:tc>
        <w:tc>
          <w:tcPr>
            <w:tcW w:w="16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12,506</w:t>
            </w:r>
          </w:p>
        </w:tc>
      </w:tr>
      <w:tr>
        <w:trPr>
          <w:trHeight w:val="193"/>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Other Notes payable. These notes bear interest at an annual rate of</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approximately 5.0% and mature March 2029.</w:t>
            </w: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505</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529</w:t>
            </w: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0"/>
        </w:trPr>
        <w:tc>
          <w:tcPr>
            <w:tcW w:w="4600" w:type="dxa"/>
            <w:vAlign w:val="bottom"/>
          </w:tcPr>
          <w:p>
            <w:pPr>
              <w:spacing w:after="0"/>
              <w:rPr>
                <w:sz w:val="20"/>
                <w:szCs w:val="20"/>
                <w:color w:val="auto"/>
              </w:rPr>
            </w:pPr>
            <w:r>
              <w:rPr>
                <w:rFonts w:ascii="Arial" w:cs="Arial" w:eastAsia="Arial" w:hAnsi="Arial"/>
                <w:sz w:val="15"/>
                <w:szCs w:val="15"/>
                <w:color w:val="auto"/>
              </w:rPr>
              <w:t>Total Debt</w:t>
            </w:r>
          </w:p>
        </w:tc>
        <w:tc>
          <w:tcPr>
            <w:tcW w:w="280" w:type="dxa"/>
            <w:vAlign w:val="bottom"/>
            <w:gridSpan w:val="2"/>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307,732</w:t>
            </w: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285,801</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Less: Unamortized debt issuance costs</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(4,391)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(3,338)</w:t>
            </w:r>
          </w:p>
        </w:tc>
      </w:tr>
      <w:tr>
        <w:trPr>
          <w:trHeight w:val="214"/>
        </w:trPr>
        <w:tc>
          <w:tcPr>
            <w:tcW w:w="460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280" w:type="dxa"/>
            <w:vAlign w:val="bottom"/>
            <w:gridSpan w:val="2"/>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(29,232)</w:t>
            </w:r>
          </w:p>
        </w:tc>
        <w:tc>
          <w:tcPr>
            <w:tcW w:w="16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(26,118)</w:t>
            </w: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Long-term Debt</w:t>
            </w:r>
          </w:p>
        </w:tc>
        <w:tc>
          <w:tcPr>
            <w:tcW w:w="280" w:type="dxa"/>
            <w:vAlign w:val="bottom"/>
            <w:gridSpan w:val="2"/>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$274,109</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$256,345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-2043430</wp:posOffset>
            </wp:positionV>
            <wp:extent cx="363474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b w:val="1"/>
                <w:bCs w:val="1"/>
                <w:color w:val="auto"/>
                <w:w w:val="86"/>
              </w:rPr>
              <w:t>Debt Principal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11"/>
          </w:tcPr>
          <w:p>
            <w:pPr>
              <w:ind w:left="20"/>
              <w:spacing w:after="0"/>
              <w:rPr>
                <w:sz w:val="20"/>
                <w:szCs w:val="20"/>
                <w:color w:val="auto"/>
              </w:rPr>
            </w:pPr>
            <w:r>
              <w:rPr>
                <w:rFonts w:ascii="Arial" w:cs="Arial" w:eastAsia="Arial" w:hAnsi="Arial"/>
                <w:sz w:val="12"/>
                <w:szCs w:val="12"/>
                <w:b w:val="1"/>
                <w:bCs w:val="1"/>
                <w:color w:val="auto"/>
              </w:rPr>
              <w:t>Amortization of Debt</w:t>
            </w:r>
          </w:p>
        </w:tc>
      </w:tr>
      <w:tr>
        <w:trPr>
          <w:trHeight w:val="150"/>
        </w:trPr>
        <w:tc>
          <w:tcPr>
            <w:tcW w:w="3940" w:type="dxa"/>
            <w:vAlign w:val="bottom"/>
          </w:tcPr>
          <w:p>
            <w:pPr>
              <w:spacing w:after="0"/>
              <w:rPr>
                <w:sz w:val="20"/>
                <w:szCs w:val="20"/>
                <w:color w:val="auto"/>
              </w:rPr>
            </w:pPr>
            <w:r>
              <w:rPr>
                <w:rFonts w:ascii="Arial" w:cs="Arial" w:eastAsia="Arial" w:hAnsi="Arial"/>
                <w:sz w:val="12"/>
                <w:szCs w:val="12"/>
                <w:b w:val="1"/>
                <w:bCs w:val="1"/>
                <w:color w:val="auto"/>
              </w:rPr>
              <w:t>March 31, 2021</w:t>
            </w:r>
          </w:p>
        </w:tc>
        <w:tc>
          <w:tcPr>
            <w:tcW w:w="10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4"/>
              </w:rPr>
              <w:t>Payments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ind w:left="160"/>
              <w:spacing w:after="0"/>
              <w:rPr>
                <w:sz w:val="20"/>
                <w:szCs w:val="20"/>
                <w:color w:val="auto"/>
              </w:rPr>
            </w:pPr>
            <w:r>
              <w:rPr>
                <w:rFonts w:ascii="Arial" w:cs="Arial" w:eastAsia="Arial" w:hAnsi="Arial"/>
                <w:sz w:val="12"/>
                <w:szCs w:val="12"/>
                <w:b w:val="1"/>
                <w:bCs w:val="1"/>
                <w:color w:val="auto"/>
                <w:w w:val="79"/>
              </w:rPr>
              <w:t>Issuance Costs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28,799</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  (775)</w:t>
            </w:r>
          </w:p>
        </w:tc>
        <w:tc>
          <w:tcPr>
            <w:tcW w:w="4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$ 28,024</w:t>
            </w:r>
          </w:p>
        </w:tc>
      </w:tr>
      <w:tr>
        <w:trPr>
          <w:trHeight w:val="209"/>
        </w:trPr>
        <w:tc>
          <w:tcPr>
            <w:tcW w:w="3940" w:type="dxa"/>
            <w:vAlign w:val="bottom"/>
          </w:tcPr>
          <w:p>
            <w:pPr>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32,059</w:t>
            </w:r>
          </w:p>
        </w:tc>
        <w:tc>
          <w:tcPr>
            <w:tcW w:w="1040" w:type="dxa"/>
            <w:vAlign w:val="bottom"/>
            <w:gridSpan w:val="7"/>
          </w:tcPr>
          <w:p>
            <w:pPr>
              <w:jc w:val="right"/>
              <w:ind w:right="40"/>
              <w:spacing w:after="0"/>
              <w:rPr>
                <w:sz w:val="20"/>
                <w:szCs w:val="20"/>
                <w:color w:val="auto"/>
              </w:rPr>
            </w:pPr>
            <w:r>
              <w:rPr>
                <w:rFonts w:ascii="Arial" w:cs="Arial" w:eastAsia="Arial" w:hAnsi="Arial"/>
                <w:sz w:val="15"/>
                <w:szCs w:val="15"/>
                <w:color w:val="auto"/>
              </w:rPr>
              <w:t>(983)</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31,076</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44,900</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(908)</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43,992</w:t>
            </w:r>
          </w:p>
        </w:tc>
      </w:tr>
      <w:tr>
        <w:trPr>
          <w:trHeight w:val="209"/>
        </w:trPr>
        <w:tc>
          <w:tcPr>
            <w:tcW w:w="3940" w:type="dxa"/>
            <w:vAlign w:val="bottom"/>
          </w:tcPr>
          <w:p>
            <w:pPr>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43,962</w:t>
            </w:r>
          </w:p>
        </w:tc>
        <w:tc>
          <w:tcPr>
            <w:tcW w:w="1040" w:type="dxa"/>
            <w:vAlign w:val="bottom"/>
            <w:gridSpan w:val="7"/>
          </w:tcPr>
          <w:p>
            <w:pPr>
              <w:jc w:val="right"/>
              <w:ind w:right="40"/>
              <w:spacing w:after="0"/>
              <w:rPr>
                <w:sz w:val="20"/>
                <w:szCs w:val="20"/>
                <w:color w:val="auto"/>
              </w:rPr>
            </w:pPr>
            <w:r>
              <w:rPr>
                <w:rFonts w:ascii="Arial" w:cs="Arial" w:eastAsia="Arial" w:hAnsi="Arial"/>
                <w:sz w:val="15"/>
                <w:szCs w:val="15"/>
                <w:color w:val="auto"/>
              </w:rPr>
              <w:t>(785)</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43,177</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45,062</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(670)</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44,392</w:t>
            </w:r>
          </w:p>
        </w:tc>
      </w:tr>
      <w:tr>
        <w:trPr>
          <w:trHeight w:val="214"/>
        </w:trPr>
        <w:tc>
          <w:tcPr>
            <w:tcW w:w="394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112,950</w:t>
            </w:r>
          </w:p>
        </w:tc>
        <w:tc>
          <w:tcPr>
            <w:tcW w:w="8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(270)</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112,680</w:t>
            </w: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36"/>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307,732</w:t>
            </w:r>
          </w:p>
        </w:tc>
        <w:tc>
          <w:tcPr>
            <w:tcW w:w="80" w:type="dxa"/>
            <w:vAlign w:val="bottom"/>
            <w:shd w:val="clear" w:color="auto" w:fill="CCEEFF"/>
          </w:tcPr>
          <w:p>
            <w:pPr>
              <w:spacing w:after="0"/>
              <w:rPr>
                <w:sz w:val="20"/>
                <w:szCs w:val="20"/>
                <w:color w:val="auto"/>
              </w:rPr>
            </w:pPr>
          </w:p>
        </w:tc>
        <w:tc>
          <w:tcPr>
            <w:tcW w:w="480" w:type="dxa"/>
            <w:vAlign w:val="bottom"/>
            <w:gridSpan w:val="4"/>
            <w:shd w:val="clear" w:color="auto" w:fill="CCEEFF"/>
          </w:tcPr>
          <w:p>
            <w:pPr>
              <w:spacing w:after="0"/>
              <w:rPr>
                <w:sz w:val="20"/>
                <w:szCs w:val="20"/>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89"/>
              </w:rPr>
              <w:t>$(4,391)</w:t>
            </w:r>
          </w:p>
        </w:tc>
        <w:tc>
          <w:tcPr>
            <w:tcW w:w="4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$303,341</w:t>
            </w:r>
          </w:p>
        </w:tc>
      </w:tr>
      <w:tr>
        <w:trPr>
          <w:trHeight w:val="20"/>
        </w:trPr>
        <w:tc>
          <w:tcPr>
            <w:tcW w:w="404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349"/>
        </w:trPr>
        <w:tc>
          <w:tcPr>
            <w:tcW w:w="4680" w:type="dxa"/>
            <w:vAlign w:val="bottom"/>
            <w:gridSpan w:val="5"/>
          </w:tcPr>
          <w:p>
            <w:pPr>
              <w:ind w:left="300"/>
              <w:spacing w:after="0"/>
              <w:rPr>
                <w:sz w:val="20"/>
                <w:szCs w:val="20"/>
                <w:color w:val="auto"/>
              </w:rPr>
            </w:pPr>
            <w:r>
              <w:rPr>
                <w:rFonts w:ascii="Arial" w:cs="Arial" w:eastAsia="Arial" w:hAnsi="Arial"/>
                <w:sz w:val="15"/>
                <w:szCs w:val="15"/>
                <w:color w:val="auto"/>
                <w:w w:val="94"/>
              </w:rPr>
              <w:t>The table below presents the Company’s debt measured at fair value: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5"/>
        </w:trPr>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7"/>
          </w:tcPr>
          <w:p>
            <w:pPr>
              <w:ind w:left="20"/>
              <w:spacing w:after="0"/>
              <w:rPr>
                <w:sz w:val="20"/>
                <w:szCs w:val="20"/>
                <w:color w:val="auto"/>
              </w:rPr>
            </w:pPr>
            <w:r>
              <w:rPr>
                <w:rFonts w:ascii="Arial" w:cs="Arial" w:eastAsia="Arial" w:hAnsi="Arial"/>
                <w:sz w:val="12"/>
                <w:szCs w:val="12"/>
                <w:b w:val="1"/>
                <w:bCs w:val="1"/>
                <w:color w:val="auto"/>
              </w:rPr>
              <w:t>March 31, 2021</w:t>
            </w:r>
          </w:p>
        </w:tc>
        <w:tc>
          <w:tcPr>
            <w:tcW w:w="9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$307,732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center"/>
              <w:ind w:left="88"/>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5"/>
                <w:szCs w:val="15"/>
                <w:color w:val="auto"/>
              </w:rPr>
              <w:t>Fair 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5"/>
                <w:szCs w:val="15"/>
                <w:color w:val="auto"/>
              </w:rPr>
              <w:t>$301,513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center"/>
              <w:ind w:left="88"/>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4311015</wp:posOffset>
            </wp:positionH>
            <wp:positionV relativeFrom="paragraph">
              <wp:posOffset>-920115</wp:posOffset>
            </wp:positionV>
            <wp:extent cx="313690"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-920115</wp:posOffset>
            </wp:positionV>
            <wp:extent cx="3279140"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27914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-1729740</wp:posOffset>
            </wp:positionV>
            <wp:extent cx="11176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-1729740</wp:posOffset>
            </wp:positionV>
            <wp:extent cx="3083560"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0835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634740"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89" w:lineRule="exact"/>
        <w:rPr>
          <w:sz w:val="20"/>
          <w:szCs w:val="20"/>
          <w:color w:val="auto"/>
        </w:rPr>
      </w:pPr>
    </w:p>
    <w:p>
      <w:pPr>
        <w:ind w:left="1160" w:right="1359" w:firstLine="293"/>
        <w:spacing w:after="0" w:line="269"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FUEL DERIVATIVES AND RISK MANAGEMENT</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9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March 31, 2021 and December 31, 2020. Derivatives where the payment due date is greater than one year from the balance sheet date are classified as long-term.</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20" w:type="dxa"/>
            <w:vAlign w:val="bottom"/>
            <w:gridSpan w:val="8"/>
          </w:tcPr>
          <w:p>
            <w:pPr>
              <w:jc w:val="right"/>
              <w:ind w:right="40"/>
              <w:spacing w:after="0"/>
              <w:rPr>
                <w:sz w:val="20"/>
                <w:szCs w:val="20"/>
                <w:color w:val="auto"/>
              </w:rPr>
            </w:pPr>
            <w:r>
              <w:rPr>
                <w:rFonts w:ascii="Arial" w:cs="Arial" w:eastAsia="Arial" w:hAnsi="Arial"/>
                <w:sz w:val="12"/>
                <w:szCs w:val="12"/>
                <w:b w:val="1"/>
                <w:bCs w:val="1"/>
                <w:color w:val="auto"/>
                <w:w w:val="87"/>
              </w:rPr>
              <w:t>Three Months Ended March 31,</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8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340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2,233</w:t>
            </w: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Non-cash Gains (Losses)</w:t>
            </w:r>
          </w:p>
        </w:tc>
        <w:tc>
          <w:tcPr>
            <w:tcW w:w="3400" w:type="dxa"/>
            <w:vAlign w:val="bottom"/>
            <w:gridSpan w:val="4"/>
          </w:tcPr>
          <w:p>
            <w:pPr>
              <w:jc w:val="right"/>
              <w:ind w:right="120"/>
              <w:spacing w:after="0"/>
              <w:rPr>
                <w:sz w:val="20"/>
                <w:szCs w:val="20"/>
                <w:color w:val="auto"/>
              </w:rPr>
            </w:pPr>
            <w:r>
              <w:rPr>
                <w:rFonts w:ascii="Arial" w:cs="Arial" w:eastAsia="Arial" w:hAnsi="Arial"/>
                <w:sz w:val="15"/>
                <w:szCs w:val="15"/>
                <w:color w:val="auto"/>
              </w:rPr>
              <w:t>2,386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(21,752)</w:t>
            </w:r>
          </w:p>
        </w:tc>
        <w:tc>
          <w:tcPr>
            <w:tcW w:w="102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282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Balance—March 31</w:t>
            </w:r>
          </w:p>
        </w:tc>
        <w:tc>
          <w:tcPr>
            <w:tcW w:w="2820" w:type="dxa"/>
            <w:vAlign w:val="bottom"/>
            <w:gridSpan w:val="2"/>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$ 1,205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(19,454)</w:t>
            </w: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9"/>
        </w:trPr>
        <w:tc>
          <w:tcPr>
            <w:tcW w:w="1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80" w:type="dxa"/>
            <w:vAlign w:val="bottom"/>
            <w:gridSpan w:val="6"/>
          </w:tcPr>
          <w:p>
            <w:pPr>
              <w:ind w:left="820"/>
              <w:spacing w:after="0"/>
              <w:rPr>
                <w:sz w:val="20"/>
                <w:szCs w:val="20"/>
                <w:color w:val="auto"/>
              </w:rPr>
            </w:pPr>
            <w:r>
              <w:rPr>
                <w:rFonts w:ascii="Arial" w:cs="Arial" w:eastAsia="Arial" w:hAnsi="Arial"/>
                <w:sz w:val="15"/>
                <w:szCs w:val="15"/>
                <w:color w:val="auto"/>
              </w:rPr>
              <w:t>F-63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-1122680</wp:posOffset>
            </wp:positionV>
            <wp:extent cx="3760470"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76047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300" w:hanging="136"/>
        <w:spacing w:after="0"/>
        <w:tabs>
          <w:tab w:leader="none" w:pos="1300"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FUEL DERIVATIVES AND RISK MANAGEMENT (continued)</w:t>
      </w:r>
    </w:p>
    <w:p>
      <w:pPr>
        <w:spacing w:after="0" w:line="183" w:lineRule="exact"/>
        <w:rPr>
          <w:rFonts w:ascii="Arial" w:cs="Arial" w:eastAsia="Arial" w:hAnsi="Arial"/>
          <w:sz w:val="15"/>
          <w:szCs w:val="15"/>
          <w:b w:val="1"/>
          <w:bCs w:val="1"/>
          <w:color w:val="auto"/>
        </w:rPr>
      </w:pPr>
    </w:p>
    <w:p>
      <w:pPr>
        <w:ind w:left="1460"/>
        <w:spacing w:after="0"/>
        <w:rPr>
          <w:rFonts w:ascii="Arial" w:cs="Arial" w:eastAsia="Arial" w:hAnsi="Arial"/>
          <w:sz w:val="15"/>
          <w:szCs w:val="15"/>
          <w:b w:val="1"/>
          <w:bCs w:val="1"/>
          <w:color w:val="auto"/>
        </w:rPr>
      </w:pPr>
      <w:r>
        <w:rPr>
          <w:rFonts w:ascii="Arial" w:cs="Arial" w:eastAsia="Arial" w:hAnsi="Arial"/>
          <w:sz w:val="15"/>
          <w:szCs w:val="15"/>
          <w:color w:val="auto"/>
        </w:rPr>
        <w:t>Fuel Derivative Gains (Losses)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80" w:type="dxa"/>
            <w:vAlign w:val="bottom"/>
          </w:tcPr>
          <w:p>
            <w:pPr>
              <w:spacing w:after="0"/>
              <w:rPr>
                <w:sz w:val="13"/>
                <w:szCs w:val="13"/>
                <w:color w:val="auto"/>
              </w:rPr>
            </w:pPr>
          </w:p>
        </w:tc>
        <w:tc>
          <w:tcPr>
            <w:tcW w:w="160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50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5080" w:type="dxa"/>
            <w:vAlign w:val="bottom"/>
          </w:tcPr>
          <w:p>
            <w:pPr>
              <w:spacing w:after="0"/>
              <w:rPr>
                <w:sz w:val="13"/>
                <w:szCs w:val="13"/>
                <w:color w:val="auto"/>
              </w:rPr>
            </w:pPr>
          </w:p>
        </w:tc>
        <w:tc>
          <w:tcPr>
            <w:tcW w:w="520" w:type="dxa"/>
            <w:vAlign w:val="bottom"/>
            <w:gridSpan w:val="2"/>
          </w:tcPr>
          <w:p>
            <w:pPr>
              <w:jc w:val="right"/>
              <w:ind w:right="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0"/>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$2,386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$(21,752)</w:t>
            </w:r>
          </w:p>
        </w:tc>
      </w:tr>
      <w:tr>
        <w:trPr>
          <w:trHeight w:val="214"/>
        </w:trPr>
        <w:tc>
          <w:tcPr>
            <w:tcW w:w="5080" w:type="dxa"/>
            <w:vAlign w:val="bottom"/>
          </w:tcPr>
          <w:p>
            <w:pPr>
              <w:spacing w:after="0"/>
              <w:rPr>
                <w:sz w:val="20"/>
                <w:szCs w:val="20"/>
                <w:color w:val="auto"/>
              </w:rPr>
            </w:pPr>
            <w:r>
              <w:rPr>
                <w:rFonts w:ascii="Arial" w:cs="Arial" w:eastAsia="Arial" w:hAnsi="Arial"/>
                <w:sz w:val="15"/>
                <w:szCs w:val="15"/>
                <w:color w:val="auto"/>
              </w:rPr>
              <w:t>Cash Premiums Paid</w:t>
            </w:r>
          </w:p>
        </w:tc>
        <w:tc>
          <w:tcPr>
            <w:tcW w:w="12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(284)</w:t>
            </w: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Fuel Derivative Gains (Losses)</w:t>
            </w: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$2,386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$(22,036)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746500" cy="69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746500" cy="6985"/>
                    </a:xfrm>
                    <a:prstGeom prst="rect">
                      <a:avLst/>
                    </a:prstGeom>
                    <a:noFill/>
                  </pic:spPr>
                </pic:pic>
              </a:graphicData>
            </a:graphic>
          </wp:anchor>
        </w:drawing>
      </w:r>
    </w:p>
    <w:p>
      <w:pPr>
        <w:spacing w:after="0" w:line="145"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The gain in the quarter ended March 31, 2021 was primarily due to an increase in oil prices. The loss in the quarter ended March 31, 2020 was primarily due to the significant decline in oil prices. There were fuel derivative gains in the second, third and fourth quarters of 2020, primarily due to the partial recovery of oil prices following the decline during the first quarter of 2020. Fuel derivative gains and losses are classified in Aircraft Fuel on the Condensed Consolidated Statements of Operations.</w:t>
      </w:r>
    </w:p>
    <w:p>
      <w:pPr>
        <w:spacing w:after="0" w:line="90"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As of March 31, 2021, the Company had outstanding fuel derivative contracts covering 12.7 million gallons of crude oil and jet fuel that will settle between April 2021 and September 2021.</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w:t>
      </w:r>
    </w:p>
    <w:p>
      <w:pPr>
        <w:spacing w:after="0" w:line="117"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102"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90"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following table summarizes the assets and liabilities measured at fair value on a recurring basis:</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120"/>
              <w:spacing w:after="0"/>
              <w:rPr>
                <w:sz w:val="20"/>
                <w:szCs w:val="20"/>
                <w:color w:val="auto"/>
              </w:rPr>
            </w:pPr>
            <w:r>
              <w:rPr>
                <w:rFonts w:ascii="Arial" w:cs="Arial" w:eastAsia="Arial" w:hAnsi="Arial"/>
                <w:sz w:val="12"/>
                <w:szCs w:val="12"/>
                <w:b w:val="1"/>
                <w:bCs w:val="1"/>
                <w:color w:val="auto"/>
              </w:rPr>
              <w:t>March 31, 2021</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3"/>
              </w:rPr>
              <w:t>Level 1</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Level 2</w:t>
            </w:r>
          </w:p>
        </w:tc>
        <w:tc>
          <w:tcPr>
            <w:tcW w:w="5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Level 3</w:t>
            </w:r>
          </w:p>
        </w:tc>
        <w:tc>
          <w:tcPr>
            <w:tcW w:w="142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$1,205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1420" w:type="dxa"/>
            <w:vAlign w:val="bottom"/>
            <w:gridSpan w:val="2"/>
          </w:tcPr>
          <w:p>
            <w:pPr>
              <w:jc w:val="center"/>
              <w:ind w:right="1020"/>
              <w:spacing w:after="0"/>
              <w:rPr>
                <w:sz w:val="20"/>
                <w:szCs w:val="20"/>
                <w:color w:val="auto"/>
              </w:rPr>
            </w:pPr>
            <w:r>
              <w:rPr>
                <w:rFonts w:ascii="Arial" w:cs="Arial" w:eastAsia="Arial" w:hAnsi="Arial"/>
                <w:sz w:val="15"/>
                <w:szCs w:val="15"/>
                <w:color w:val="auto"/>
                <w:w w:val="87"/>
              </w:rPr>
              <w:t>$1,205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$1,205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$1,205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ind w:left="3180"/>
              <w:spacing w:after="0"/>
              <w:rPr>
                <w:sz w:val="20"/>
                <w:szCs w:val="20"/>
                <w:color w:val="auto"/>
              </w:rPr>
            </w:pPr>
            <w:r>
              <w:rPr>
                <w:rFonts w:ascii="Arial" w:cs="Arial" w:eastAsia="Arial" w:hAnsi="Arial"/>
                <w:sz w:val="15"/>
                <w:szCs w:val="15"/>
                <w:color w:val="auto"/>
              </w:rPr>
              <w:t>F-64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0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-704215</wp:posOffset>
            </wp:positionV>
            <wp:extent cx="3983355"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-969010</wp:posOffset>
            </wp:positionV>
            <wp:extent cx="3976370"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97637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66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3"/>
              </w:rPr>
              <w:t>Level 1</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Level 2</w:t>
            </w:r>
          </w:p>
        </w:tc>
        <w:tc>
          <w:tcPr>
            <w:tcW w:w="5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4"/>
        </w:trPr>
        <w:tc>
          <w:tcPr>
            <w:tcW w:w="466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$1,173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6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$1,173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83355"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76370"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976370" cy="6985"/>
                    </a:xfrm>
                    <a:prstGeom prst="rect">
                      <a:avLst/>
                    </a:prstGeom>
                    <a:noFill/>
                  </pic:spPr>
                </pic:pic>
              </a:graphicData>
            </a:graphic>
          </wp:anchor>
        </w:drawing>
      </w:r>
    </w:p>
    <w:p>
      <w:pPr>
        <w:spacing w:after="0" w:line="156"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 -financial assets are assessed for impairment and, if applicable, written down to fair value using significant unobservable inputs, classified as Level 3.</w:t>
      </w:r>
    </w:p>
    <w:p>
      <w:pPr>
        <w:spacing w:after="0" w:line="91" w:lineRule="exact"/>
        <w:rPr>
          <w:sz w:val="20"/>
          <w:szCs w:val="20"/>
          <w:color w:val="auto"/>
        </w:rPr>
      </w:pPr>
    </w:p>
    <w:p>
      <w:pPr>
        <w:ind w:left="1160" w:right="1479" w:firstLine="293"/>
        <w:spacing w:after="0" w:line="248" w:lineRule="auto"/>
        <w:rPr>
          <w:sz w:val="20"/>
          <w:szCs w:val="20"/>
          <w:color w:val="auto"/>
        </w:rPr>
      </w:pPr>
      <w:r>
        <w:rPr>
          <w:rFonts w:ascii="Arial" w:cs="Arial" w:eastAsia="Arial" w:hAnsi="Arial"/>
          <w:sz w:val="15"/>
          <w:szCs w:val="15"/>
          <w:color w:val="auto"/>
        </w:rPr>
        <w:t>The Company’s debt portfolio consists of 2019-1 EETC certificates, borrowings under the Delayed Draw Term Loan Facility, and fixed-rate notes payable. See Note 7 for debt fair values.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w:t>
      </w:r>
    </w:p>
    <w:p>
      <w:pPr>
        <w:spacing w:after="0" w:line="117"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 Company’s effective tax rate for the three months ended March 31, 2021 and 2020 was 30.3% and 25.2%, respectively. The effective tax rate represents a blend of federal and state taxes and includes the impact of certain nondeductible items. The increase is primarily related to an unfavorable permanent difference and discrete items related to executive compensation disallowed under Internal Revenue Code Section 162(m), partially offset by the reduction in meals and entertainment disallowed expenses during the current year.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Tax Receivable Agreement</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98"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 governmental programs, the Company is not required to make payments under the Tax Receivable Agreement for Pre-IPO Tax Attributes utilized in such periods. Based on our current participation in the CARES Act Loan Program, the Company does not expect to make payments under the Tax Receivable Agreement until 2023.</w:t>
      </w:r>
    </w:p>
    <w:p>
      <w:pPr>
        <w:spacing w:after="0" w:line="109"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April 2021, the Company was notified that it is to receive a PSP3 grant of</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 (continued)</w:t>
      </w:r>
    </w:p>
    <w:p>
      <w:pPr>
        <w:spacing w:after="0" w:line="183"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approximately $34,547 under the American Rescue Plan Act of 2021, which will result in a decrease to the Tax Receivable Agreement liability in Q2 2021. This TRA liability decrease is due to an extension in the time period in which distributions made to shareholders are restricted. 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represents undiscounted aggregate payments that we expect to pay the TRA holders under the Tax Receivable Agreement and is presented in “Long-term Liabilities” on the Condensed Consolidated Balance Sheet as of March 31, 2021, with an offset to Stockholders’ Equity. Subsequent changes in the measurement of the liability will be adjusted through the Consolidated Statements of Operations.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SPECIAL ITEMS, NET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Special Items, net on the Condensed Consolidated Statements of Operations consisted of the following:</w:t>
      </w:r>
    </w:p>
    <w:p>
      <w:pPr>
        <w:spacing w:after="0" w:line="162" w:lineRule="exact"/>
        <w:rPr>
          <w:sz w:val="20"/>
          <w:szCs w:val="20"/>
          <w:color w:val="auto"/>
        </w:rPr>
      </w:pPr>
    </w:p>
    <w:p>
      <w:pPr>
        <w:jc w:val="right"/>
        <w:ind w:right="1199"/>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20955</wp:posOffset>
            </wp:positionV>
            <wp:extent cx="1018540"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01854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-146685</wp:posOffset>
            </wp:positionV>
            <wp:extent cx="4241800" cy="1466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160"/>
        <w:spacing w:after="0" w:line="229" w:lineRule="auto"/>
        <w:rPr>
          <w:sz w:val="20"/>
          <w:szCs w:val="20"/>
          <w:color w:val="auto"/>
        </w:rPr>
      </w:pPr>
      <w:r>
        <w:rPr>
          <w:rFonts w:ascii="Arial" w:cs="Arial" w:eastAsia="Arial" w:hAnsi="Arial"/>
          <w:sz w:val="14"/>
          <w:szCs w:val="14"/>
          <w:color w:val="auto"/>
        </w:rPr>
        <w:t>CARES Act employee retention credit</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0</wp:posOffset>
            </wp:positionV>
            <wp:extent cx="4241800" cy="1397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5"/>
          <w:szCs w:val="15"/>
          <w:color w:val="auto"/>
        </w:rPr>
        <w:t>Aircraft lease buy-out expense</w:t>
      </w:r>
      <w:r>
        <w:rPr>
          <w:rFonts w:ascii="Arial" w:cs="Arial" w:eastAsia="Arial" w:hAnsi="Arial"/>
          <w:sz w:val="21"/>
          <w:szCs w:val="21"/>
          <w:color w:val="auto"/>
          <w:vertAlign w:val="superscript"/>
        </w:rPr>
        <w:t>(3)</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606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4640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9"/>
          <w:szCs w:val="9"/>
          <w:b w:val="1"/>
          <w:bCs w:val="1"/>
          <w:color w:val="auto"/>
        </w:rPr>
        <w:t>2021</w:t>
      </w:r>
      <w:r>
        <w:rPr>
          <w:sz w:val="20"/>
          <w:szCs w:val="20"/>
          <w:color w:val="auto"/>
        </w:rPr>
        <w:tab/>
      </w:r>
      <w:r>
        <w:rPr>
          <w:rFonts w:ascii="Arial" w:cs="Arial" w:eastAsia="Arial" w:hAnsi="Arial"/>
          <w:sz w:val="9"/>
          <w:szCs w:val="9"/>
          <w:b w:val="1"/>
          <w:bCs w:val="1"/>
          <w:color w:val="auto"/>
        </w:rPr>
        <w:t>2020</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color w:val="auto"/>
        </w:rPr>
        <w:t>$(32,208)</w:t>
      </w:r>
      <w:r>
        <w:rPr>
          <w:sz w:val="20"/>
          <w:szCs w:val="20"/>
          <w:color w:val="auto"/>
        </w:rPr>
        <w:tab/>
      </w:r>
      <w:r>
        <w:rPr>
          <w:rFonts w:ascii="Arial" w:cs="Arial" w:eastAsia="Arial" w:hAnsi="Arial"/>
          <w:sz w:val="14"/>
          <w:szCs w:val="14"/>
          <w:color w:val="auto"/>
        </w:rPr>
        <w:t>$—</w:t>
      </w:r>
    </w:p>
    <w:p>
      <w:pPr>
        <w:spacing w:after="0" w:line="47" w:lineRule="exact"/>
        <w:rPr>
          <w:sz w:val="20"/>
          <w:szCs w:val="20"/>
          <w:color w:val="auto"/>
        </w:rPr>
      </w:pPr>
    </w:p>
    <w:p>
      <w:pPr>
        <w:ind w:left="1140" w:hanging="865"/>
        <w:spacing w:after="0"/>
        <w:tabs>
          <w:tab w:leader="none" w:pos="11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t>
      </w:r>
    </w:p>
    <w:p>
      <w:pPr>
        <w:spacing w:after="0" w:line="59" w:lineRule="exact"/>
        <w:rPr>
          <w:sz w:val="20"/>
          <w:szCs w:val="20"/>
          <w:color w:val="auto"/>
        </w:rPr>
      </w:pPr>
    </w:p>
    <w:p>
      <w:pPr>
        <w:jc w:val="both"/>
        <w:ind w:left="220"/>
        <w:spacing w:after="0"/>
        <w:tabs>
          <w:tab w:leader="none" w:pos="1120" w:val="left"/>
        </w:tabs>
        <w:rPr>
          <w:sz w:val="20"/>
          <w:szCs w:val="20"/>
          <w:color w:val="auto"/>
        </w:rPr>
      </w:pPr>
      <w:r>
        <w:rPr>
          <w:rFonts w:ascii="Arial" w:cs="Arial" w:eastAsia="Arial" w:hAnsi="Arial"/>
          <w:sz w:val="15"/>
          <w:szCs w:val="15"/>
          <w:color w:val="auto"/>
        </w:rPr>
        <w:t>5,664</w:t>
      </w:r>
      <w:r>
        <w:rPr>
          <w:sz w:val="20"/>
          <w:szCs w:val="20"/>
          <w:color w:val="auto"/>
        </w:rPr>
        <w:tab/>
      </w:r>
      <w:r>
        <w:rPr>
          <w:rFonts w:ascii="Arial" w:cs="Arial" w:eastAsia="Arial" w:hAnsi="Arial"/>
          <w:sz w:val="15"/>
          <w:szCs w:val="15"/>
          <w:color w:val="auto"/>
        </w:rPr>
        <w:t>—</w:t>
      </w:r>
    </w:p>
    <w:p>
      <w:pPr>
        <w:spacing w:after="0" w:line="36" w:lineRule="exact"/>
        <w:rPr>
          <w:sz w:val="20"/>
          <w:szCs w:val="20"/>
          <w:color w:val="auto"/>
        </w:rPr>
      </w:pPr>
    </w:p>
    <w:p>
      <w:pPr>
        <w:ind w:left="1140" w:hanging="670"/>
        <w:spacing w:after="0"/>
        <w:tabs>
          <w:tab w:leader="none" w:pos="11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w:t>
      </w:r>
    </w:p>
    <w:p>
      <w:pPr>
        <w:spacing w:after="0" w:line="6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$(26,871)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36830</wp:posOffset>
            </wp:positionV>
            <wp:extent cx="146685"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341630"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41630" cy="698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5680" w:space="720"/>
            <w:col w:w="2619"/>
          </w:cols>
          <w:pgMar w:left="1440" w:top="134" w:right="1440" w:bottom="1440" w:gutter="0" w:footer="0" w:header="0"/>
          <w:type w:val="continuous"/>
        </w:sectPr>
      </w:pPr>
    </w:p>
    <w:p>
      <w:pPr>
        <w:spacing w:after="0" w:line="45" w:lineRule="exact"/>
        <w:rPr>
          <w:sz w:val="20"/>
          <w:szCs w:val="20"/>
          <w:color w:val="auto"/>
        </w:rPr>
      </w:pPr>
    </w:p>
    <w:p>
      <w:pPr>
        <w:ind w:left="1460" w:hanging="296"/>
        <w:spacing w:after="0"/>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In the quarter ended March 31, 2021, the Treasury awarded the Company a grant under PSP2.</w:t>
      </w:r>
    </w:p>
    <w:p>
      <w:pPr>
        <w:spacing w:after="0" w:line="58" w:lineRule="exact"/>
        <w:rPr>
          <w:rFonts w:ascii="Arial" w:cs="Arial" w:eastAsia="Arial" w:hAnsi="Arial"/>
          <w:sz w:val="15"/>
          <w:szCs w:val="15"/>
          <w:color w:val="auto"/>
        </w:rPr>
      </w:pPr>
    </w:p>
    <w:p>
      <w:pPr>
        <w:ind w:left="1460" w:right="1299" w:hanging="296"/>
        <w:spacing w:after="0" w:line="236"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Relates to a credit recognized under the CARES Act Employee Retention credit which is a refundable tax credit against certain employment taxes.</w:t>
      </w:r>
    </w:p>
    <w:p>
      <w:pPr>
        <w:spacing w:after="0" w:line="34" w:lineRule="exact"/>
        <w:rPr>
          <w:rFonts w:ascii="Arial" w:cs="Arial" w:eastAsia="Arial" w:hAnsi="Arial"/>
          <w:sz w:val="15"/>
          <w:szCs w:val="15"/>
          <w:color w:val="auto"/>
        </w:rPr>
      </w:pPr>
    </w:p>
    <w:p>
      <w:pPr>
        <w:ind w:left="1460" w:right="1259" w:hanging="296"/>
        <w:spacing w:after="0" w:line="225"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Five aircraft were purchased in March 2021 that were previously under operating leases. Aircraft lease buy-out expense represents the net costs incurred to terminate the leases on those five aircraft. This includes the associated lease termination costs, write-off of previously capitalized maintenance deposits, and the write-off of over-market liabilities (see Note 6).</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COMMITMENTS AND CONTINGENCIES</w:t>
      </w:r>
    </w:p>
    <w:p>
      <w:pPr>
        <w:spacing w:after="0" w:line="117"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repayment of debt (see Note 7) and future purchases of aircraft.</w:t>
      </w:r>
    </w:p>
    <w:p>
      <w:pPr>
        <w:spacing w:after="0" w:line="93"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w:t>
      </w:r>
    </w:p>
    <w:p>
      <w:pPr>
        <w:spacing w:after="0" w:line="12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56" w:name="page257"/>
    <w:bookmarkEnd w:id="256"/>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 (continued)</w:t>
      </w:r>
    </w:p>
    <w:p>
      <w:pPr>
        <w:spacing w:after="0" w:line="183" w:lineRule="exact"/>
        <w:rPr>
          <w:sz w:val="20"/>
          <w:szCs w:val="20"/>
          <w:color w:val="auto"/>
        </w:rPr>
      </w:pPr>
    </w:p>
    <w:p>
      <w:pPr>
        <w:ind w:left="1160" w:right="1579"/>
        <w:spacing w:after="0" w:line="283" w:lineRule="auto"/>
        <w:rPr>
          <w:sz w:val="20"/>
          <w:szCs w:val="20"/>
          <w:color w:val="auto"/>
        </w:rPr>
      </w:pPr>
      <w:r>
        <w:rPr>
          <w:rFonts w:ascii="Arial" w:cs="Arial" w:eastAsia="Arial" w:hAnsi="Arial"/>
          <w:sz w:val="14"/>
          <w:szCs w:val="14"/>
          <w:color w:val="auto"/>
        </w:rPr>
        <w:t>Company’s tangible assets are located in the U.S. or relate to flight equipment, which is mobile across geographic markets. The Company has two operating segments: Passenger and Cargo.</w:t>
      </w:r>
    </w:p>
    <w:p>
      <w:pPr>
        <w:spacing w:after="0" w:line="60" w:lineRule="exact"/>
        <w:rPr>
          <w:sz w:val="20"/>
          <w:szCs w:val="20"/>
          <w:color w:val="auto"/>
        </w:rPr>
      </w:pPr>
    </w:p>
    <w:p>
      <w:pPr>
        <w:ind w:left="1160" w:right="1439" w:firstLine="293"/>
        <w:spacing w:after="0" w:line="279" w:lineRule="auto"/>
        <w:rPr>
          <w:sz w:val="20"/>
          <w:szCs w:val="20"/>
          <w:color w:val="auto"/>
        </w:rPr>
      </w:pPr>
      <w:r>
        <w:rPr>
          <w:rFonts w:ascii="Arial" w:cs="Arial" w:eastAsia="Arial" w:hAnsi="Arial"/>
          <w:sz w:val="13"/>
          <w:szCs w:val="13"/>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76"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The Cargo segment began providing air cargo services under the ATSA in May 2020. Fuel consumed in Cargo operations is directly reimbursed by Amazon and therefore presented net on the Consolidated Statements of Operations. Fuel consumed in Cargo maintenance activities is included in the Cargo segment. Certain operating expenses are directly attributable to this operating segment.</w:t>
      </w:r>
    </w:p>
    <w:p>
      <w:pPr>
        <w:spacing w:after="0" w:line="88"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91"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have not been presented herein.</w:t>
      </w:r>
    </w:p>
    <w:p>
      <w:pPr>
        <w:spacing w:after="0" w:line="33"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2"/>
                <w:szCs w:val="12"/>
                <w:b w:val="1"/>
                <w:bCs w:val="1"/>
                <w:color w:val="auto"/>
                <w:w w:val="84"/>
              </w:rPr>
              <w:t>Three Months Ended March 31, 2021</w:t>
            </w:r>
            <w:r>
              <w:rPr>
                <w:rFonts w:ascii="Arial" w:cs="Arial" w:eastAsia="Arial" w:hAnsi="Arial"/>
                <w:sz w:val="17"/>
                <w:szCs w:val="17"/>
                <w:b w:val="1"/>
                <w:bCs w:val="1"/>
                <w:color w:val="auto"/>
                <w:w w:val="84"/>
                <w:vertAlign w:val="superscript"/>
              </w:rPr>
              <w:t>(1)</w:t>
            </w:r>
          </w:p>
        </w:tc>
      </w:tr>
      <w:tr>
        <w:trPr>
          <w:trHeight w:val="157"/>
        </w:trPr>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82"/>
              </w:rPr>
              <w:t>Passenger</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106,026</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$21,585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127,611</w:t>
            </w:r>
          </w:p>
        </w:tc>
        <w:tc>
          <w:tcPr>
            <w:tcW w:w="40" w:type="dxa"/>
            <w:vAlign w:val="bottom"/>
            <w:shd w:val="clear" w:color="auto" w:fill="CCEEFF"/>
          </w:tcPr>
          <w:p>
            <w:pPr>
              <w:spacing w:after="0"/>
              <w:rPr>
                <w:sz w:val="17"/>
                <w:szCs w:val="17"/>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Non-Fuel Operating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87,205</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18,070</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105,275</w:t>
            </w:r>
          </w:p>
        </w:tc>
        <w:tc>
          <w:tcPr>
            <w:tcW w:w="40" w:type="dxa"/>
            <w:vAlign w:val="bottom"/>
          </w:tcPr>
          <w:p>
            <w:pPr>
              <w:spacing w:after="0"/>
              <w:rPr>
                <w:sz w:val="17"/>
                <w:szCs w:val="17"/>
                <w:color w:val="auto"/>
              </w:rPr>
            </w:pPr>
          </w:p>
        </w:tc>
      </w:tr>
      <w:tr>
        <w:trPr>
          <w:trHeight w:val="209"/>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24,253</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24,274</w:t>
            </w:r>
          </w:p>
        </w:tc>
        <w:tc>
          <w:tcPr>
            <w:tcW w:w="40" w:type="dxa"/>
            <w:vAlign w:val="bottom"/>
            <w:shd w:val="clear" w:color="auto" w:fill="CCEEFF"/>
          </w:tcPr>
          <w:p>
            <w:pPr>
              <w:spacing w:after="0"/>
              <w:rPr>
                <w:sz w:val="18"/>
                <w:szCs w:val="18"/>
                <w:color w:val="auto"/>
              </w:rPr>
            </w:pPr>
          </w:p>
        </w:tc>
      </w:tr>
      <w:tr>
        <w:trPr>
          <w:trHeight w:val="214"/>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(18,206)</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(8,665)</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(26,871)</w:t>
            </w: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93,252</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102,678</w:t>
            </w:r>
          </w:p>
        </w:tc>
        <w:tc>
          <w:tcPr>
            <w:tcW w:w="40" w:type="dxa"/>
            <w:vAlign w:val="bottom"/>
            <w:shd w:val="clear" w:color="auto" w:fill="CCEEFF"/>
          </w:tcPr>
          <w:p>
            <w:pPr>
              <w:spacing w:after="0"/>
              <w:rPr>
                <w:sz w:val="18"/>
                <w:szCs w:val="18"/>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44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12,774</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w w:val="84"/>
              </w:rPr>
              <w:t>$12,159</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24,933</w:t>
            </w:r>
          </w:p>
        </w:tc>
        <w:tc>
          <w:tcPr>
            <w:tcW w:w="40" w:type="dxa"/>
            <w:vAlign w:val="bottom"/>
          </w:tcPr>
          <w:p>
            <w:pPr>
              <w:spacing w:after="0"/>
              <w:rPr>
                <w:sz w:val="18"/>
                <w:szCs w:val="18"/>
                <w:color w:val="auto"/>
              </w:rPr>
            </w:pPr>
          </w:p>
        </w:tc>
      </w:tr>
      <w:tr>
        <w:trPr>
          <w:trHeight w:val="205"/>
        </w:trPr>
        <w:tc>
          <w:tcPr>
            <w:tcW w:w="44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(7,121)</w:t>
            </w:r>
          </w:p>
        </w:tc>
      </w:tr>
      <w:tr>
        <w:trPr>
          <w:trHeight w:val="214"/>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6"/>
        </w:trPr>
        <w:tc>
          <w:tcPr>
            <w:tcW w:w="444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Income before Income Tax</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17,822</w:t>
            </w:r>
          </w:p>
        </w:tc>
        <w:tc>
          <w:tcPr>
            <w:tcW w:w="4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-243840</wp:posOffset>
            </wp:positionV>
            <wp:extent cx="27940"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-655320</wp:posOffset>
            </wp:positionV>
            <wp:extent cx="27940" cy="69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-655320</wp:posOffset>
            </wp:positionV>
            <wp:extent cx="3858260"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-801370</wp:posOffset>
            </wp:positionV>
            <wp:extent cx="27940"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-948055</wp:posOffset>
            </wp:positionV>
            <wp:extent cx="2794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-948055</wp:posOffset>
            </wp:positionV>
            <wp:extent cx="3858260"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-1359535</wp:posOffset>
            </wp:positionV>
            <wp:extent cx="2794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-1506220</wp:posOffset>
            </wp:positionV>
            <wp:extent cx="383032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830320" cy="6985"/>
                    </a:xfrm>
                    <a:prstGeom prst="rect">
                      <a:avLst/>
                    </a:prstGeom>
                    <a:noFill/>
                  </pic:spPr>
                </pic:pic>
              </a:graphicData>
            </a:graphic>
          </wp:anchor>
        </w:drawing>
      </w:r>
    </w:p>
    <w:p>
      <w:pPr>
        <w:spacing w:after="0" w:line="6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period information.</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SUBSEQUENT EVENTS</w:t>
      </w:r>
    </w:p>
    <w:p>
      <w:pPr>
        <w:spacing w:after="0" w:line="128"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Company evaluated subsequent events for the period from the Balance Sheet date through May 6, 2021, the date that the Condensed Consolidated Financial Statements were available to be issued.</w:t>
      </w:r>
    </w:p>
    <w:p>
      <w:pPr>
        <w:spacing w:after="0" w:line="6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On April 22, 2021, we received $4,831 from the Treasury as a top-off grant under PSP2.</w:t>
      </w:r>
    </w:p>
    <w:p>
      <w:pPr>
        <w:spacing w:after="0" w:line="124" w:lineRule="exact"/>
        <w:rPr>
          <w:sz w:val="20"/>
          <w:szCs w:val="20"/>
          <w:color w:val="auto"/>
        </w:rPr>
      </w:pPr>
    </w:p>
    <w:p>
      <w:pPr>
        <w:ind w:left="1160" w:right="1579" w:firstLine="293"/>
        <w:spacing w:after="0" w:line="283" w:lineRule="auto"/>
        <w:rPr>
          <w:sz w:val="20"/>
          <w:szCs w:val="20"/>
          <w:color w:val="auto"/>
        </w:rPr>
      </w:pPr>
      <w:r>
        <w:rPr>
          <w:rFonts w:ascii="Arial" w:cs="Arial" w:eastAsia="Arial" w:hAnsi="Arial"/>
          <w:sz w:val="14"/>
          <w:szCs w:val="14"/>
          <w:color w:val="auto"/>
        </w:rPr>
        <w:t>Further, the Company was notified on April 15, 2021 that it will receive a grant of approximately $34,547 under PSP3, of which $17,274 was received on April 29, 2021 (see Note 3).</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140"/>
        <w:spacing w:after="0"/>
        <w:rPr>
          <w:rFonts w:ascii="Arial" w:cs="Arial" w:eastAsia="Arial" w:hAnsi="Arial"/>
          <w:sz w:val="12"/>
          <w:szCs w:val="12"/>
          <w:color w:val="003366"/>
        </w:rPr>
      </w:pPr>
      <w:hyperlink w:anchor="page19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7,250,000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130810</wp:posOffset>
            </wp:positionV>
            <wp:extent cx="1814195" cy="23050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Sun Country Airlines Holdings,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1379855</wp:posOffset>
            </wp:positionV>
            <wp:extent cx="1004570"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Prospectus</w:t>
      </w:r>
    </w:p>
    <w:p>
      <w:pPr>
        <w:spacing w:after="0" w:line="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May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186055</wp:posOffset>
            </wp:positionV>
            <wp:extent cx="100457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156" w:lineRule="exact"/>
        <w:rPr>
          <w:sz w:val="20"/>
          <w:szCs w:val="20"/>
          <w:color w:val="auto"/>
        </w:rPr>
      </w:pPr>
    </w:p>
    <w:tbl>
      <w:tblPr>
        <w:tblLayout w:type="fixed"/>
        <w:tblInd w:w="140" w:type="dxa"/>
        <w:tblCellMar>
          <w:top w:w="0" w:type="dxa"/>
          <w:left w:w="0" w:type="dxa"/>
          <w:bottom w:w="0" w:type="dxa"/>
          <w:right w:w="0" w:type="dxa"/>
        </w:tblCellMar>
      </w:tblPr>
      <w:tr>
        <w:trPr>
          <w:trHeight w:val="241"/>
        </w:trPr>
        <w:tc>
          <w:tcPr>
            <w:tcW w:w="2720" w:type="dxa"/>
            <w:vAlign w:val="bottom"/>
          </w:tcPr>
          <w:p>
            <w:pPr>
              <w:ind w:left="1020"/>
              <w:spacing w:after="0"/>
              <w:rPr>
                <w:sz w:val="20"/>
                <w:szCs w:val="20"/>
                <w:color w:val="auto"/>
              </w:rPr>
            </w:pPr>
            <w:r>
              <w:rPr>
                <w:rFonts w:ascii="Arial" w:cs="Arial" w:eastAsia="Arial" w:hAnsi="Arial"/>
                <w:sz w:val="21"/>
                <w:szCs w:val="21"/>
                <w:b w:val="1"/>
                <w:bCs w:val="1"/>
                <w:color w:val="auto"/>
              </w:rPr>
              <w:t>Barclays</w:t>
            </w:r>
          </w:p>
        </w:tc>
        <w:tc>
          <w:tcPr>
            <w:tcW w:w="920" w:type="dxa"/>
            <w:vAlign w:val="bottom"/>
          </w:tcPr>
          <w:p>
            <w:pPr>
              <w:spacing w:after="0"/>
              <w:rPr>
                <w:sz w:val="20"/>
                <w:szCs w:val="20"/>
                <w:color w:val="auto"/>
              </w:rPr>
            </w:pPr>
          </w:p>
        </w:tc>
        <w:tc>
          <w:tcPr>
            <w:tcW w:w="5080" w:type="dxa"/>
            <w:vAlign w:val="bottom"/>
            <w:gridSpan w:val="2"/>
          </w:tcPr>
          <w:p>
            <w:pPr>
              <w:jc w:val="right"/>
              <w:ind w:right="3437"/>
              <w:spacing w:after="0"/>
              <w:rPr>
                <w:sz w:val="20"/>
                <w:szCs w:val="20"/>
                <w:color w:val="auto"/>
              </w:rPr>
            </w:pPr>
            <w:r>
              <w:rPr>
                <w:rFonts w:ascii="Arial" w:cs="Arial" w:eastAsia="Arial" w:hAnsi="Arial"/>
                <w:sz w:val="21"/>
                <w:szCs w:val="21"/>
                <w:b w:val="1"/>
                <w:bCs w:val="1"/>
                <w:color w:val="auto"/>
                <w:w w:val="98"/>
              </w:rPr>
              <w:t>Morgan Stanley</w:t>
            </w:r>
          </w:p>
        </w:tc>
      </w:tr>
      <w:tr>
        <w:trPr>
          <w:trHeight w:val="516"/>
        </w:trPr>
        <w:tc>
          <w:tcPr>
            <w:tcW w:w="3640" w:type="dxa"/>
            <w:vAlign w:val="bottom"/>
            <w:gridSpan w:val="2"/>
          </w:tcPr>
          <w:p>
            <w:pPr>
              <w:ind w:left="1020"/>
              <w:spacing w:after="0"/>
              <w:rPr>
                <w:sz w:val="20"/>
                <w:szCs w:val="20"/>
                <w:color w:val="auto"/>
              </w:rPr>
            </w:pPr>
            <w:r>
              <w:rPr>
                <w:rFonts w:ascii="Arial" w:cs="Arial" w:eastAsia="Arial" w:hAnsi="Arial"/>
                <w:sz w:val="21"/>
                <w:szCs w:val="21"/>
                <w:b w:val="1"/>
                <w:bCs w:val="1"/>
                <w:color w:val="auto"/>
                <w:w w:val="97"/>
              </w:rPr>
              <w:t>Goldman Sachs &amp; Co. LLC</w:t>
            </w:r>
          </w:p>
        </w:tc>
        <w:tc>
          <w:tcPr>
            <w:tcW w:w="640" w:type="dxa"/>
            <w:vAlign w:val="bottom"/>
          </w:tcPr>
          <w:p>
            <w:pPr>
              <w:spacing w:after="0"/>
              <w:rPr>
                <w:sz w:val="24"/>
                <w:szCs w:val="24"/>
                <w:color w:val="auto"/>
              </w:rPr>
            </w:pPr>
          </w:p>
        </w:tc>
        <w:tc>
          <w:tcPr>
            <w:tcW w:w="4440" w:type="dxa"/>
            <w:vAlign w:val="bottom"/>
          </w:tcPr>
          <w:p>
            <w:pPr>
              <w:jc w:val="right"/>
              <w:ind w:right="937"/>
              <w:spacing w:after="0"/>
              <w:rPr>
                <w:sz w:val="20"/>
                <w:szCs w:val="20"/>
                <w:color w:val="auto"/>
              </w:rPr>
            </w:pPr>
            <w:r>
              <w:rPr>
                <w:rFonts w:ascii="Arial" w:cs="Arial" w:eastAsia="Arial" w:hAnsi="Arial"/>
                <w:sz w:val="41"/>
                <w:szCs w:val="41"/>
                <w:b w:val="1"/>
                <w:bCs w:val="1"/>
                <w:color w:val="auto"/>
                <w:w w:val="94"/>
                <w:vertAlign w:val="subscript"/>
              </w:rPr>
              <w:t>Nomura</w:t>
            </w:r>
            <w:r>
              <w:rPr>
                <w:rFonts w:ascii="Arial" w:cs="Arial" w:eastAsia="Arial" w:hAnsi="Arial"/>
                <w:sz w:val="21"/>
                <w:szCs w:val="21"/>
                <w:b w:val="1"/>
                <w:bCs w:val="1"/>
                <w:color w:val="auto"/>
                <w:w w:val="94"/>
              </w:rPr>
              <w:t>Deutsche Bank Securities</w:t>
            </w:r>
          </w:p>
        </w:tc>
      </w:tr>
      <w:tr>
        <w:trPr>
          <w:trHeight w:val="231"/>
        </w:trPr>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80" w:type="dxa"/>
            <w:vAlign w:val="bottom"/>
            <w:gridSpan w:val="2"/>
          </w:tcPr>
          <w:p>
            <w:pPr>
              <w:jc w:val="right"/>
              <w:ind w:right="3717"/>
              <w:spacing w:after="0"/>
              <w:rPr>
                <w:sz w:val="20"/>
                <w:szCs w:val="20"/>
                <w:color w:val="auto"/>
              </w:rPr>
            </w:pPr>
            <w:r>
              <w:rPr>
                <w:rFonts w:ascii="Arial" w:cs="Arial" w:eastAsia="Arial" w:hAnsi="Arial"/>
                <w:sz w:val="18"/>
                <w:szCs w:val="18"/>
                <w:b w:val="1"/>
                <w:bCs w:val="1"/>
                <w:i w:val="1"/>
                <w:iCs w:val="1"/>
                <w:color w:val="auto"/>
              </w:rPr>
              <w:t>Co-Managers</w:t>
            </w:r>
          </w:p>
        </w:tc>
      </w:tr>
      <w:tr>
        <w:trPr>
          <w:trHeight w:val="272"/>
        </w:trPr>
        <w:tc>
          <w:tcPr>
            <w:tcW w:w="2720" w:type="dxa"/>
            <w:vAlign w:val="bottom"/>
          </w:tcPr>
          <w:p>
            <w:pPr>
              <w:ind w:left="1020"/>
              <w:spacing w:after="0"/>
              <w:rPr>
                <w:sz w:val="20"/>
                <w:szCs w:val="20"/>
                <w:color w:val="auto"/>
              </w:rPr>
            </w:pPr>
            <w:r>
              <w:rPr>
                <w:rFonts w:ascii="Arial" w:cs="Arial" w:eastAsia="Arial" w:hAnsi="Arial"/>
                <w:sz w:val="13"/>
                <w:szCs w:val="13"/>
                <w:b w:val="1"/>
                <w:bCs w:val="1"/>
                <w:color w:val="auto"/>
              </w:rPr>
              <w:t>Apollo Global Securities</w:t>
            </w:r>
          </w:p>
        </w:tc>
        <w:tc>
          <w:tcPr>
            <w:tcW w:w="1560" w:type="dxa"/>
            <w:vAlign w:val="bottom"/>
            <w:gridSpan w:val="2"/>
          </w:tcPr>
          <w:p>
            <w:pPr>
              <w:ind w:left="240"/>
              <w:spacing w:after="0"/>
              <w:rPr>
                <w:sz w:val="20"/>
                <w:szCs w:val="20"/>
                <w:color w:val="auto"/>
              </w:rPr>
            </w:pPr>
            <w:r>
              <w:rPr>
                <w:rFonts w:ascii="Arial" w:cs="Arial" w:eastAsia="Arial" w:hAnsi="Arial"/>
                <w:sz w:val="13"/>
                <w:szCs w:val="13"/>
                <w:b w:val="1"/>
                <w:bCs w:val="1"/>
                <w:color w:val="auto"/>
              </w:rPr>
              <w:t>AmeriVet Securities</w:t>
            </w:r>
          </w:p>
        </w:tc>
        <w:tc>
          <w:tcPr>
            <w:tcW w:w="4440" w:type="dxa"/>
            <w:vAlign w:val="bottom"/>
          </w:tcPr>
          <w:p>
            <w:pPr>
              <w:jc w:val="right"/>
              <w:ind w:right="937"/>
              <w:spacing w:after="0"/>
              <w:rPr>
                <w:sz w:val="20"/>
                <w:szCs w:val="20"/>
                <w:color w:val="auto"/>
              </w:rPr>
            </w:pPr>
            <w:r>
              <w:rPr>
                <w:rFonts w:ascii="Arial" w:cs="Arial" w:eastAsia="Arial" w:hAnsi="Arial"/>
                <w:sz w:val="13"/>
                <w:szCs w:val="13"/>
                <w:b w:val="1"/>
                <w:bCs w:val="1"/>
                <w:color w:val="auto"/>
              </w:rPr>
              <w:t>Siebert Williams Shank Tribal Capital Markets, LLC</w:t>
            </w:r>
          </w:p>
        </w:tc>
      </w:tr>
      <w:tr>
        <w:trPr>
          <w:trHeight w:val="2304"/>
        </w:trPr>
        <w:tc>
          <w:tcPr>
            <w:tcW w:w="2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sectPr>
      <w:pgSz w:w="11900" w:h="16838" w:orient="portrait"/>
      <w:cols w:equalWidth="0" w:num="1">
        <w:col w:w="9019"/>
      </w:cols>
      <w:pgMar w:left="144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3"/>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1)"/>
      <w:numFmt w:val="lowerLetter"/>
      <w:start w:val="1"/>
    </w:lvl>
  </w:abstractNum>
  <w:abstractNum w:abstractNumId="14">
    <w:nsid w:val="1381823A"/>
    <w:multiLevelType w:val="hybridMultilevel"/>
    <w:lvl w:ilvl="0">
      <w:lvlJc w:val="left"/>
      <w:lvlText w:val="(%1)"/>
      <w:numFmt w:val="lowerLetter"/>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1)"/>
      <w:numFmt w:val="decimal"/>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A"/>
      <w:numFmt w:val="bullet"/>
      <w:start w:val="1"/>
    </w:lvl>
  </w:abstractNum>
  <w:abstractNum w:abstractNumId="19">
    <w:nsid w:val="5F5E7FD0"/>
    <w:multiLevelType w:val="hybridMultilevel"/>
    <w:lvl w:ilvl="0">
      <w:lvlJc w:val="left"/>
      <w:lvlText w:val="A"/>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1)"/>
      <w:numFmt w:val="lowerRoman"/>
      <w:start w:val="6"/>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1)"/>
      <w:numFmt w:val="lowerRoman"/>
      <w:start w:val="3"/>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1)"/>
      <w:numFmt w:val="decimal"/>
      <w:start w:val="3"/>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2"/>
    </w:lvl>
  </w:abstractNum>
  <w:abstractNum w:abstractNumId="37">
    <w:nsid w:val="1A32234B"/>
    <w:multiLevelType w:val="hybridMultilevel"/>
    <w:lvl w:ilvl="0">
      <w:lvlJc w:val="left"/>
      <w:lvlText w:val="(%1)"/>
      <w:numFmt w:val="decimal"/>
      <w:start w:val="1"/>
    </w:lvl>
  </w:abstractNum>
  <w:abstractNum w:abstractNumId="38">
    <w:nsid w:val="3B0FD379"/>
    <w:multiLevelType w:val="hybridMultilevel"/>
    <w:lvl w:ilvl="0">
      <w:lvlJc w:val="left"/>
      <w:lvlText w:val="(%1)"/>
      <w:numFmt w:val="decimal"/>
      <w:start w:val="2"/>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1)"/>
      <w:numFmt w:val="decimal"/>
      <w:start w:val="1"/>
    </w:lvl>
  </w:abstractNum>
  <w:abstractNum w:abstractNumId="43">
    <w:nsid w:val="14330624"/>
    <w:multiLevelType w:val="hybridMultilevel"/>
    <w:lvl w:ilvl="0">
      <w:lvlJc w:val="left"/>
      <w:lvlText w:val="(%1)"/>
      <w:numFmt w:val="decimal"/>
      <w:start w:val="3"/>
    </w:lvl>
  </w:abstractNum>
  <w:abstractNum w:abstractNumId="44">
    <w:nsid w:val="7FFFCA11"/>
    <w:multiLevelType w:val="hybridMultilevel"/>
    <w:lvl w:ilvl="0">
      <w:lvlJc w:val="left"/>
      <w:lvlText w:val="(%1)"/>
      <w:numFmt w:val="decimal"/>
      <w:start w:val="1"/>
    </w:lvl>
  </w:abstractNum>
  <w:abstractNum w:abstractNumId="45">
    <w:nsid w:val="1A27709E"/>
    <w:multiLevelType w:val="hybridMultilevel"/>
    <w:lvl w:ilvl="0">
      <w:lvlJc w:val="left"/>
      <w:lvlText w:val="(%1)"/>
      <w:numFmt w:val="lowerLetter"/>
      <w:start w:val="1"/>
    </w:lvl>
  </w:abstractNum>
  <w:abstractNum w:abstractNumId="46">
    <w:nsid w:val="71EA1109"/>
    <w:multiLevelType w:val="hybridMultilevel"/>
    <w:lvl w:ilvl="0">
      <w:lvlJc w:val="left"/>
      <w:lvlText w:val="(%1)"/>
      <w:numFmt w:val="lowerLetter"/>
      <w:start w:val="1"/>
    </w:lvl>
  </w:abstractNum>
  <w:abstractNum w:abstractNumId="47">
    <w:nsid w:val="100F59DC"/>
    <w:multiLevelType w:val="hybridMultilevel"/>
    <w:lvl w:ilvl="0">
      <w:lvlJc w:val="left"/>
      <w:lvlText w:val="(%1)"/>
      <w:numFmt w:val="lowerLetter"/>
      <w:start w:val="2"/>
    </w:lvl>
  </w:abstractNum>
  <w:abstractNum w:abstractNumId="48">
    <w:nsid w:val="7FB7E0AA"/>
    <w:multiLevelType w:val="hybridMultilevel"/>
    <w:lvl w:ilvl="0">
      <w:lvlJc w:val="left"/>
      <w:lvlText w:val="(%1)"/>
      <w:numFmt w:val="lowerLetter"/>
      <w:start w:val="1"/>
    </w:lvl>
  </w:abstractNum>
  <w:abstractNum w:abstractNumId="49">
    <w:nsid w:val="6EB5BD4"/>
    <w:multiLevelType w:val="hybridMultilevel"/>
    <w:lvl w:ilvl="0">
      <w:lvlJc w:val="left"/>
      <w:lvlText w:val="(%1)"/>
      <w:numFmt w:val="lowerLetter"/>
      <w:start w:val="25"/>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1)"/>
      <w:numFmt w:val="decimal"/>
      <w:start w:val="3"/>
    </w:lvl>
  </w:abstractNum>
  <w:abstractNum w:abstractNumId="54">
    <w:nsid w:val="4C04A8AF"/>
    <w:multiLevelType w:val="hybridMultilevel"/>
    <w:lvl w:ilvl="0">
      <w:lvlJc w:val="left"/>
      <w:lvlText w:val="(%1)"/>
      <w:numFmt w:val="decimal"/>
      <w:start w:val="7"/>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1)"/>
      <w:numFmt w:val="lowerRoman"/>
      <w:start w:val="4"/>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amp;"/>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1)"/>
      <w:numFmt w:val="lowerRoman"/>
      <w:start w:val="4"/>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1"/>
      <w:numFmt w:val="decimal"/>
      <w:start w:val="18"/>
    </w:lvl>
  </w:abstractNum>
  <w:abstractNum w:abstractNumId="72">
    <w:nsid w:val="5FB8370B"/>
    <w:multiLevelType w:val="hybridMultilevel"/>
    <w:lvl w:ilvl="0">
      <w:lvlJc w:val="left"/>
      <w:lvlText w:val="%1"/>
      <w:numFmt w:val="decimal"/>
      <w:start w:val="12"/>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lowerRoman"/>
      <w:start w:val="4"/>
    </w:lvl>
  </w:abstractNum>
  <w:abstractNum w:abstractNumId="75">
    <w:nsid w:val="5FB8011C"/>
    <w:multiLevelType w:val="hybridMultilevel"/>
    <w:lvl w:ilvl="0">
      <w:lvlJc w:val="left"/>
      <w:lvlText w:val="(%1)"/>
      <w:numFmt w:val="lowerRoman"/>
      <w:start w:val="1"/>
    </w:lvl>
  </w:abstractNum>
  <w:abstractNum w:abstractNumId="76">
    <w:nsid w:val="6AA78F7F"/>
    <w:multiLevelType w:val="hybridMultilevel"/>
    <w:lvl w:ilvl="0">
      <w:lvlJc w:val="left"/>
      <w:lvlText w:val="(%1)"/>
      <w:numFmt w:val="decimal"/>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decimal"/>
      <w:start w:val="4"/>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1)"/>
      <w:numFmt w:val="lowerRoman"/>
      <w:start w:val="1"/>
    </w:lvl>
  </w:abstractNum>
  <w:abstractNum w:abstractNumId="94">
    <w:nsid w:val="59ADEA3D"/>
    <w:multiLevelType w:val="hybridMultilevel"/>
    <w:lvl w:ilvl="0">
      <w:lvlJc w:val="left"/>
      <w:lvlText w:val="(%1)"/>
      <w:numFmt w:val="lowerRoman"/>
      <w:start w:val="3"/>
    </w:lvl>
  </w:abstractNum>
  <w:abstractNum w:abstractNumId="95">
    <w:nsid w:val="288F1A34"/>
    <w:multiLevelType w:val="hybridMultilevel"/>
    <w:lvl w:ilvl="0">
      <w:lvlJc w:val="left"/>
      <w:lvlText w:val="(%1)"/>
      <w:numFmt w:val="lowerRoman"/>
      <w:start w:val="1"/>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Roman"/>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decimal"/>
      <w:start w:val="2"/>
    </w:lvl>
  </w:abstractNum>
  <w:abstractNum w:abstractNumId="102">
    <w:nsid w:val="415E286C"/>
    <w:multiLevelType w:val="hybridMultilevel"/>
    <w:lvl w:ilvl="0">
      <w:lvlJc w:val="left"/>
      <w:lvlText w:val="%1."/>
      <w:numFmt w:val="decimal"/>
      <w:start w:val="2"/>
    </w:lvl>
  </w:abstractNum>
  <w:abstractNum w:abstractNumId="103">
    <w:nsid w:val="7C58FD05"/>
    <w:multiLevelType w:val="hybridMultilevel"/>
    <w:lvl w:ilvl="0">
      <w:lvlJc w:val="left"/>
      <w:lvlText w:val="%1."/>
      <w:numFmt w:val="decimal"/>
      <w:start w:val="2"/>
    </w:lvl>
  </w:abstractNum>
  <w:abstractNum w:abstractNumId="104">
    <w:nsid w:val="23D86AAC"/>
    <w:multiLevelType w:val="hybridMultilevel"/>
    <w:lvl w:ilvl="0">
      <w:lvlJc w:val="left"/>
      <w:lvlText w:val="%1."/>
      <w:numFmt w:val="decimal"/>
      <w:start w:val="2"/>
    </w:lvl>
  </w:abstractNum>
  <w:abstractNum w:abstractNumId="105">
    <w:nsid w:val="45E6D486"/>
    <w:multiLevelType w:val="hybridMultilevel"/>
    <w:lvl w:ilvl="0">
      <w:lvlJc w:val="left"/>
      <w:lvlText w:val="%1."/>
      <w:numFmt w:val="decimal"/>
      <w:start w:val="2"/>
    </w:lvl>
  </w:abstractNum>
  <w:abstractNum w:abstractNumId="106">
    <w:nsid w:val="5C10FE21"/>
    <w:multiLevelType w:val="hybridMultilevel"/>
    <w:lvl w:ilvl="0">
      <w:lvlJc w:val="left"/>
      <w:lvlText w:val="%1."/>
      <w:numFmt w:val="decimal"/>
      <w:start w:val="2"/>
    </w:lvl>
  </w:abstractNum>
  <w:abstractNum w:abstractNumId="107">
    <w:nsid w:val="E7FFA2B"/>
    <w:multiLevelType w:val="hybridMultilevel"/>
    <w:lvl w:ilvl="0">
      <w:lvlJc w:val="left"/>
      <w:lvlText w:val="%1."/>
      <w:numFmt w:val="decimal"/>
      <w:start w:val="2"/>
    </w:lvl>
  </w:abstractNum>
  <w:abstractNum w:abstractNumId="108">
    <w:nsid w:val="3C5991AA"/>
    <w:multiLevelType w:val="hybridMultilevel"/>
    <w:lvl w:ilvl="0">
      <w:lvlJc w:val="left"/>
      <w:lvlText w:val="(%1)"/>
      <w:numFmt w:val="decimal"/>
      <w:start w:val="1"/>
    </w:lvl>
  </w:abstractNum>
  <w:abstractNum w:abstractNumId="109">
    <w:nsid w:val="4BD8591A"/>
    <w:multiLevelType w:val="hybridMultilevel"/>
    <w:lvl w:ilvl="0">
      <w:lvlJc w:val="left"/>
      <w:lvlText w:val="(%1)"/>
      <w:numFmt w:val="decimal"/>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1"/>
    </w:lvl>
  </w:abstractNum>
  <w:abstractNum w:abstractNumId="112">
    <w:nsid w:val="2B0D8DBE"/>
    <w:multiLevelType w:val="hybridMultilevel"/>
    <w:lvl w:ilvl="0">
      <w:lvlJc w:val="left"/>
      <w:lvlText w:val="(%1)"/>
      <w:numFmt w:val="decimal"/>
      <w:start w:val="4"/>
    </w:lvl>
  </w:abstractNum>
  <w:abstractNum w:abstractNumId="113">
    <w:nsid w:val="6C80EC70"/>
    <w:multiLevelType w:val="hybridMultilevel"/>
    <w:lvl w:ilvl="0">
      <w:lvlJc w:val="left"/>
      <w:lvlText w:val="%1."/>
      <w:numFmt w:val="decimal"/>
      <w:start w:val="19"/>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8"/>
    </w:lvl>
  </w:abstractNum>
  <w:abstractNum w:abstractNumId="117">
    <w:nsid w:val="4C9B0904"/>
    <w:multiLevelType w:val="hybridMultilevel"/>
    <w:lvl w:ilvl="0">
      <w:lvlJc w:val="left"/>
      <w:lvlText w:val="(%1)"/>
      <w:numFmt w:val="decimal"/>
      <w:start w:val="334"/>
    </w:lvl>
  </w:abstractNum>
  <w:abstractNum w:abstractNumId="118">
    <w:nsid w:val="6AA7B75C"/>
    <w:multiLevelType w:val="hybridMultilevel"/>
    <w:lvl w:ilvl="0">
      <w:lvlJc w:val="left"/>
      <w:lvlText w:val="7"/>
      <w:numFmt w:val="bullet"/>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2021-05-21T15:27:51Z</dcterms:created>
  <dcterms:modified xsi:type="dcterms:W3CDTF">2021-05-21T15:27:51Z</dcterms:modified>
</cp:coreProperties>
</file>