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517525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5" w:lineRule="exact"/>
        <w:rPr>
          <w:sz w:val="24"/>
          <w:szCs w:val="24"/>
          <w:color w:val="auto"/>
        </w:rPr>
      </w:pPr>
    </w:p>
    <w:tbl>
      <w:tblPr>
        <w:tblLayout w:type="fixed"/>
        <w:tblInd w:w="1540" w:type="dxa"/>
        <w:tblCellMar>
          <w:top w:w="0" w:type="dxa"/>
          <w:left w:w="0" w:type="dxa"/>
          <w:bottom w:w="0" w:type="dxa"/>
          <w:right w:w="0" w:type="dxa"/>
        </w:tblCellMar>
      </w:tblPr>
      <w:tr>
        <w:trPr>
          <w:trHeight w:val="159"/>
        </w:trPr>
        <w:tc>
          <w:tcPr>
            <w:tcW w:w="1600" w:type="dxa"/>
            <w:vAlign w:val="bottom"/>
          </w:tcPr>
          <w:p>
            <w:pPr>
              <w:spacing w:after="0"/>
              <w:rPr>
                <w:sz w:val="13"/>
                <w:szCs w:val="13"/>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FORM 8-K</w:t>
            </w:r>
          </w:p>
        </w:tc>
        <w:tc>
          <w:tcPr>
            <w:tcW w:w="1760" w:type="dxa"/>
            <w:vAlign w:val="bottom"/>
          </w:tcPr>
          <w:p>
            <w:pPr>
              <w:spacing w:after="0"/>
              <w:rPr>
                <w:sz w:val="13"/>
                <w:szCs w:val="13"/>
                <w:color w:val="auto"/>
              </w:rPr>
            </w:pPr>
          </w:p>
        </w:tc>
      </w:tr>
      <w:tr>
        <w:trPr>
          <w:trHeight w:val="273"/>
        </w:trPr>
        <w:tc>
          <w:tcPr>
            <w:tcW w:w="1600" w:type="dxa"/>
            <w:vAlign w:val="bottom"/>
          </w:tcPr>
          <w:p>
            <w:pPr>
              <w:spacing w:after="0"/>
              <w:rPr>
                <w:sz w:val="23"/>
                <w:szCs w:val="23"/>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CURRENT REPORT</w:t>
            </w:r>
          </w:p>
        </w:tc>
        <w:tc>
          <w:tcPr>
            <w:tcW w:w="1760" w:type="dxa"/>
            <w:vAlign w:val="bottom"/>
          </w:tcPr>
          <w:p>
            <w:pPr>
              <w:spacing w:after="0"/>
              <w:rPr>
                <w:sz w:val="23"/>
                <w:szCs w:val="23"/>
                <w:color w:val="auto"/>
              </w:rPr>
            </w:pPr>
          </w:p>
        </w:tc>
      </w:tr>
      <w:tr>
        <w:trPr>
          <w:trHeight w:val="144"/>
        </w:trPr>
        <w:tc>
          <w:tcPr>
            <w:tcW w:w="1600" w:type="dxa"/>
            <w:vAlign w:val="bottom"/>
          </w:tcPr>
          <w:p>
            <w:pPr>
              <w:spacing w:after="0"/>
              <w:rPr>
                <w:sz w:val="12"/>
                <w:szCs w:val="12"/>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tc>
        <w:tc>
          <w:tcPr>
            <w:tcW w:w="1760" w:type="dxa"/>
            <w:vAlign w:val="bottom"/>
          </w:tcPr>
          <w:p>
            <w:pPr>
              <w:spacing w:after="0"/>
              <w:rPr>
                <w:sz w:val="12"/>
                <w:szCs w:val="12"/>
                <w:color w:val="auto"/>
              </w:rPr>
            </w:pPr>
          </w:p>
        </w:tc>
      </w:tr>
      <w:tr>
        <w:trPr>
          <w:trHeight w:val="159"/>
        </w:trPr>
        <w:tc>
          <w:tcPr>
            <w:tcW w:w="1600" w:type="dxa"/>
            <w:vAlign w:val="bottom"/>
          </w:tcPr>
          <w:p>
            <w:pPr>
              <w:spacing w:after="0"/>
              <w:rPr>
                <w:sz w:val="13"/>
                <w:szCs w:val="13"/>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of the Securities Exchange Act of 1934</w:t>
            </w:r>
          </w:p>
        </w:tc>
        <w:tc>
          <w:tcPr>
            <w:tcW w:w="1760" w:type="dxa"/>
            <w:vAlign w:val="bottom"/>
          </w:tcPr>
          <w:p>
            <w:pPr>
              <w:spacing w:after="0"/>
              <w:rPr>
                <w:sz w:val="13"/>
                <w:szCs w:val="13"/>
                <w:color w:val="auto"/>
              </w:rPr>
            </w:pPr>
          </w:p>
        </w:tc>
      </w:tr>
      <w:tr>
        <w:trPr>
          <w:trHeight w:val="288"/>
        </w:trPr>
        <w:tc>
          <w:tcPr>
            <w:tcW w:w="160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 of Report (Date of earliest event reported): June 20, 2024</w:t>
            </w:r>
          </w:p>
        </w:tc>
        <w:tc>
          <w:tcPr>
            <w:tcW w:w="1760" w:type="dxa"/>
            <w:vAlign w:val="bottom"/>
          </w:tcPr>
          <w:p>
            <w:pPr>
              <w:spacing w:after="0"/>
              <w:rPr>
                <w:sz w:val="24"/>
                <w:szCs w:val="24"/>
                <w:color w:val="auto"/>
              </w:rPr>
            </w:pPr>
          </w:p>
        </w:tc>
      </w:tr>
      <w:tr>
        <w:trPr>
          <w:trHeight w:val="277"/>
        </w:trPr>
        <w:tc>
          <w:tcPr>
            <w:tcW w:w="160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Sun Country Airlines Holdings, Inc.</w:t>
            </w:r>
          </w:p>
        </w:tc>
        <w:tc>
          <w:tcPr>
            <w:tcW w:w="1760" w:type="dxa"/>
            <w:vAlign w:val="bottom"/>
          </w:tcPr>
          <w:p>
            <w:pPr>
              <w:spacing w:after="0"/>
              <w:rPr>
                <w:sz w:val="24"/>
                <w:szCs w:val="24"/>
                <w:color w:val="auto"/>
              </w:rPr>
            </w:pPr>
          </w:p>
        </w:tc>
      </w:tr>
      <w:tr>
        <w:trPr>
          <w:trHeight w:val="155"/>
        </w:trPr>
        <w:tc>
          <w:tcPr>
            <w:tcW w:w="1600" w:type="dxa"/>
            <w:vAlign w:val="bottom"/>
          </w:tcPr>
          <w:p>
            <w:pPr>
              <w:spacing w:after="0"/>
              <w:rPr>
                <w:sz w:val="13"/>
                <w:szCs w:val="13"/>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c>
          <w:tcPr>
            <w:tcW w:w="1760" w:type="dxa"/>
            <w:vAlign w:val="bottom"/>
          </w:tcPr>
          <w:p>
            <w:pPr>
              <w:spacing w:after="0"/>
              <w:rPr>
                <w:sz w:val="13"/>
                <w:szCs w:val="13"/>
                <w:color w:val="auto"/>
              </w:rPr>
            </w:pPr>
          </w:p>
        </w:tc>
      </w:tr>
      <w:tr>
        <w:trPr>
          <w:trHeight w:val="324"/>
        </w:trPr>
        <w:tc>
          <w:tcPr>
            <w:tcW w:w="1600" w:type="dxa"/>
            <w:vAlign w:val="bottom"/>
          </w:tcPr>
          <w:p>
            <w:pPr>
              <w:jc w:val="center"/>
              <w:ind w:right="86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4960" w:type="dxa"/>
            <w:vAlign w:val="bottom"/>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9"/>
              </w:rPr>
              <w:t>001-40217</w:t>
            </w:r>
          </w:p>
        </w:tc>
        <w:tc>
          <w:tcPr>
            <w:tcW w:w="1760" w:type="dxa"/>
            <w:vAlign w:val="bottom"/>
          </w:tcPr>
          <w:p>
            <w:pPr>
              <w:jc w:val="center"/>
              <w:ind w:left="800"/>
              <w:spacing w:after="0"/>
              <w:rPr>
                <w:sz w:val="20"/>
                <w:szCs w:val="20"/>
                <w:color w:val="auto"/>
              </w:rPr>
            </w:pPr>
            <w:r>
              <w:rPr>
                <w:rFonts w:ascii="Times New Roman" w:cs="Times New Roman" w:eastAsia="Times New Roman" w:hAnsi="Times New Roman"/>
                <w:sz w:val="12"/>
                <w:szCs w:val="12"/>
                <w:b w:val="1"/>
                <w:bCs w:val="1"/>
                <w:color w:val="auto"/>
                <w:w w:val="99"/>
              </w:rPr>
              <w:t>82-4092570</w:t>
            </w:r>
          </w:p>
        </w:tc>
      </w:tr>
      <w:tr>
        <w:trPr>
          <w:trHeight w:val="169"/>
        </w:trPr>
        <w:tc>
          <w:tcPr>
            <w:tcW w:w="1600" w:type="dxa"/>
            <w:vAlign w:val="bottom"/>
          </w:tcPr>
          <w:p>
            <w:pPr>
              <w:jc w:val="center"/>
              <w:ind w:right="860"/>
              <w:spacing w:after="0"/>
              <w:rPr>
                <w:sz w:val="20"/>
                <w:szCs w:val="20"/>
                <w:color w:val="auto"/>
              </w:rPr>
            </w:pPr>
            <w:r>
              <w:rPr>
                <w:rFonts w:ascii="Times New Roman" w:cs="Times New Roman" w:eastAsia="Times New Roman" w:hAnsi="Times New Roman"/>
                <w:sz w:val="12"/>
                <w:szCs w:val="12"/>
                <w:color w:val="auto"/>
                <w:w w:val="97"/>
              </w:rPr>
              <w:t>(State of</w:t>
            </w:r>
          </w:p>
        </w:tc>
        <w:tc>
          <w:tcPr>
            <w:tcW w:w="49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(Commission</w:t>
            </w:r>
          </w:p>
        </w:tc>
        <w:tc>
          <w:tcPr>
            <w:tcW w:w="1760" w:type="dxa"/>
            <w:vAlign w:val="bottom"/>
          </w:tcPr>
          <w:p>
            <w:pPr>
              <w:jc w:val="center"/>
              <w:ind w:left="800"/>
              <w:spacing w:after="0"/>
              <w:rPr>
                <w:sz w:val="20"/>
                <w:szCs w:val="20"/>
                <w:color w:val="auto"/>
              </w:rPr>
            </w:pPr>
            <w:r>
              <w:rPr>
                <w:rFonts w:ascii="Times New Roman" w:cs="Times New Roman" w:eastAsia="Times New Roman" w:hAnsi="Times New Roman"/>
                <w:sz w:val="12"/>
                <w:szCs w:val="12"/>
                <w:color w:val="auto"/>
                <w:w w:val="99"/>
              </w:rPr>
              <w:t>(I.R.S. Employer</w:t>
            </w:r>
          </w:p>
        </w:tc>
      </w:tr>
      <w:tr>
        <w:trPr>
          <w:trHeight w:val="155"/>
        </w:trPr>
        <w:tc>
          <w:tcPr>
            <w:tcW w:w="1600" w:type="dxa"/>
            <w:vAlign w:val="bottom"/>
          </w:tcPr>
          <w:p>
            <w:pPr>
              <w:jc w:val="center"/>
              <w:ind w:right="860"/>
              <w:spacing w:after="0"/>
              <w:rPr>
                <w:sz w:val="20"/>
                <w:szCs w:val="20"/>
                <w:color w:val="auto"/>
              </w:rPr>
            </w:pPr>
            <w:r>
              <w:rPr>
                <w:rFonts w:ascii="Times New Roman" w:cs="Times New Roman" w:eastAsia="Times New Roman" w:hAnsi="Times New Roman"/>
                <w:sz w:val="12"/>
                <w:szCs w:val="12"/>
                <w:color w:val="auto"/>
                <w:w w:val="98"/>
              </w:rPr>
              <w:t>Incorporation)</w:t>
            </w:r>
          </w:p>
        </w:tc>
        <w:tc>
          <w:tcPr>
            <w:tcW w:w="49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File Number)</w:t>
            </w:r>
          </w:p>
        </w:tc>
        <w:tc>
          <w:tcPr>
            <w:tcW w:w="1760" w:type="dxa"/>
            <w:vAlign w:val="bottom"/>
          </w:tcPr>
          <w:p>
            <w:pPr>
              <w:jc w:val="center"/>
              <w:ind w:left="800"/>
              <w:spacing w:after="0"/>
              <w:rPr>
                <w:sz w:val="20"/>
                <w:szCs w:val="20"/>
                <w:color w:val="auto"/>
              </w:rPr>
            </w:pPr>
            <w:r>
              <w:rPr>
                <w:rFonts w:ascii="Times New Roman" w:cs="Times New Roman" w:eastAsia="Times New Roman" w:hAnsi="Times New Roman"/>
                <w:sz w:val="12"/>
                <w:szCs w:val="12"/>
                <w:color w:val="auto"/>
              </w:rPr>
              <w:t>Identification No.)</w:t>
            </w:r>
          </w:p>
        </w:tc>
      </w:tr>
    </w:tbl>
    <w:p>
      <w:pPr>
        <w:spacing w:after="0" w:line="200" w:lineRule="exact"/>
        <w:rPr>
          <w:sz w:val="24"/>
          <w:szCs w:val="24"/>
          <w:color w:val="auto"/>
        </w:rPr>
      </w:pPr>
    </w:p>
    <w:p>
      <w:pPr>
        <w:sectPr>
          <w:pgSz w:w="11900" w:h="16838" w:orient="portrait"/>
          <w:cols w:equalWidth="0" w:num="1">
            <w:col w:w="11280"/>
          </w:cols>
          <w:pgMar w:left="300" w:top="1016" w:right="319" w:bottom="1440" w:gutter="0" w:footer="0" w:header="0"/>
        </w:sectPr>
      </w:pPr>
    </w:p>
    <w:p>
      <w:pPr>
        <w:spacing w:after="0" w:line="28" w:lineRule="exact"/>
        <w:rPr>
          <w:sz w:val="24"/>
          <w:szCs w:val="24"/>
          <w:color w:val="auto"/>
        </w:rPr>
      </w:pPr>
    </w:p>
    <w:p>
      <w:pPr>
        <w:jc w:val="center"/>
        <w:ind w:right="2480"/>
        <w:spacing w:after="0"/>
        <w:rPr>
          <w:sz w:val="20"/>
          <w:szCs w:val="20"/>
          <w:color w:val="auto"/>
        </w:rPr>
      </w:pPr>
      <w:r>
        <w:rPr>
          <w:rFonts w:ascii="Times New Roman" w:cs="Times New Roman" w:eastAsia="Times New Roman" w:hAnsi="Times New Roman"/>
          <w:sz w:val="12"/>
          <w:szCs w:val="12"/>
          <w:b w:val="1"/>
          <w:bCs w:val="1"/>
          <w:color w:val="auto"/>
        </w:rPr>
        <w:t>2005 Cargo Road</w:t>
      </w:r>
    </w:p>
    <w:p>
      <w:pPr>
        <w:spacing w:after="0" w:line="177" w:lineRule="exact"/>
        <w:rPr>
          <w:sz w:val="24"/>
          <w:szCs w:val="24"/>
          <w:color w:val="auto"/>
        </w:rPr>
      </w:pPr>
    </w:p>
    <w:p>
      <w:pPr>
        <w:jc w:val="center"/>
        <w:ind w:right="2480"/>
        <w:spacing w:after="0"/>
        <w:rPr>
          <w:sz w:val="20"/>
          <w:szCs w:val="20"/>
          <w:color w:val="auto"/>
        </w:rPr>
      </w:pPr>
      <w:r>
        <w:rPr>
          <w:rFonts w:ascii="Times New Roman" w:cs="Times New Roman" w:eastAsia="Times New Roman" w:hAnsi="Times New Roman"/>
          <w:sz w:val="12"/>
          <w:szCs w:val="12"/>
          <w:b w:val="1"/>
          <w:bCs w:val="1"/>
          <w:color w:val="auto"/>
        </w:rPr>
        <w:t>Minneapolis, Minnesota</w:t>
      </w:r>
    </w:p>
    <w:p>
      <w:pPr>
        <w:spacing w:after="0" w:line="28" w:lineRule="exact"/>
        <w:rPr>
          <w:sz w:val="24"/>
          <w:szCs w:val="24"/>
          <w:color w:val="auto"/>
        </w:rPr>
      </w:pPr>
    </w:p>
    <w:p>
      <w:pPr>
        <w:jc w:val="center"/>
        <w:ind w:right="2480"/>
        <w:spacing w:after="0"/>
        <w:rPr>
          <w:sz w:val="20"/>
          <w:szCs w:val="20"/>
          <w:color w:val="auto"/>
        </w:rPr>
      </w:pPr>
      <w:r>
        <w:rPr>
          <w:rFonts w:ascii="Times New Roman" w:cs="Times New Roman" w:eastAsia="Times New Roman" w:hAnsi="Times New Roman"/>
          <w:sz w:val="12"/>
          <w:szCs w:val="12"/>
          <w:color w:val="auto"/>
        </w:rPr>
        <w:t>(Address of principal executive offices)</w:t>
      </w:r>
    </w:p>
    <w:p>
      <w:pPr>
        <w:spacing w:after="0" w:line="227" w:lineRule="exact"/>
        <w:rPr>
          <w:sz w:val="24"/>
          <w:szCs w:val="24"/>
          <w:color w:val="auto"/>
        </w:rPr>
      </w:pPr>
    </w:p>
    <w:p>
      <w:pPr>
        <w:jc w:val="center"/>
        <w:ind w:left="3160"/>
        <w:spacing w:after="0"/>
        <w:rPr>
          <w:sz w:val="20"/>
          <w:szCs w:val="20"/>
          <w:color w:val="auto"/>
        </w:rPr>
      </w:pPr>
      <w:r>
        <w:rPr>
          <w:rFonts w:ascii="Times New Roman" w:cs="Times New Roman" w:eastAsia="Times New Roman" w:hAnsi="Times New Roman"/>
          <w:sz w:val="12"/>
          <w:szCs w:val="12"/>
          <w:b w:val="1"/>
          <w:bCs w:val="1"/>
          <w:color w:val="auto"/>
        </w:rPr>
        <w:t>(651) 681-3900</w:t>
      </w:r>
    </w:p>
    <w:p>
      <w:pPr>
        <w:spacing w:after="0" w:line="21" w:lineRule="exact"/>
        <w:rPr>
          <w:sz w:val="24"/>
          <w:szCs w:val="24"/>
          <w:color w:val="auto"/>
        </w:rPr>
      </w:pPr>
    </w:p>
    <w:p>
      <w:pPr>
        <w:jc w:val="center"/>
        <w:ind w:left="3160"/>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p>
      <w:pPr>
        <w:spacing w:after="0" w:line="139"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50"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Check the appropriate box below if the Form 8-K filing is intended to simultaneously satisfy the filing obligation of the Registrant under any of the following provisions:</w:t>
      </w:r>
    </w:p>
    <w:p>
      <w:pPr>
        <w:spacing w:after="0" w:line="198" w:lineRule="exact"/>
        <w:rPr>
          <w:sz w:val="24"/>
          <w:szCs w:val="24"/>
          <w:color w:val="auto"/>
        </w:rPr>
      </w:pPr>
    </w:p>
    <w:p>
      <w:pPr>
        <w:ind w:left="460" w:hanging="456"/>
        <w:spacing w:after="0"/>
        <w:tabs>
          <w:tab w:leader="none" w:pos="4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42" w:lineRule="exact"/>
        <w:rPr>
          <w:rFonts w:ascii="MS PGothic" w:cs="MS PGothic" w:eastAsia="MS PGothic" w:hAnsi="MS PGothic"/>
          <w:sz w:val="12"/>
          <w:szCs w:val="12"/>
          <w:color w:val="auto"/>
        </w:rPr>
      </w:pPr>
    </w:p>
    <w:p>
      <w:pPr>
        <w:ind w:left="460" w:hanging="456"/>
        <w:spacing w:after="0"/>
        <w:tabs>
          <w:tab w:leader="none" w:pos="4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42" w:lineRule="exact"/>
        <w:rPr>
          <w:rFonts w:ascii="MS PGothic" w:cs="MS PGothic" w:eastAsia="MS PGothic" w:hAnsi="MS PGothic"/>
          <w:sz w:val="12"/>
          <w:szCs w:val="12"/>
          <w:color w:val="auto"/>
        </w:rPr>
      </w:pPr>
    </w:p>
    <w:p>
      <w:pPr>
        <w:ind w:left="460" w:hanging="456"/>
        <w:spacing w:after="0"/>
        <w:tabs>
          <w:tab w:leader="none" w:pos="4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42" w:lineRule="exact"/>
        <w:rPr>
          <w:rFonts w:ascii="MS PGothic" w:cs="MS PGothic" w:eastAsia="MS PGothic" w:hAnsi="MS PGothic"/>
          <w:sz w:val="12"/>
          <w:szCs w:val="12"/>
          <w:color w:val="auto"/>
        </w:rPr>
      </w:pPr>
    </w:p>
    <w:p>
      <w:pPr>
        <w:ind w:left="460" w:hanging="456"/>
        <w:spacing w:after="0"/>
        <w:tabs>
          <w:tab w:leader="none" w:pos="4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305" w:lineRule="exact"/>
        <w:rPr>
          <w:sz w:val="24"/>
          <w:szCs w:val="24"/>
          <w:color w:val="auto"/>
        </w:rPr>
      </w:pPr>
    </w:p>
    <w:p>
      <w:pPr>
        <w:jc w:val="center"/>
        <w:ind w:right="2540"/>
        <w:spacing w:after="0"/>
        <w:rPr>
          <w:sz w:val="20"/>
          <w:szCs w:val="20"/>
          <w:color w:val="auto"/>
        </w:rPr>
      </w:pPr>
      <w:r>
        <w:rPr>
          <w:rFonts w:ascii="Times New Roman" w:cs="Times New Roman" w:eastAsia="Times New Roman" w:hAnsi="Times New Roman"/>
          <w:sz w:val="12"/>
          <w:szCs w:val="12"/>
          <w:b w:val="1"/>
          <w:bCs w:val="1"/>
          <w:color w:val="auto"/>
        </w:rPr>
        <w:t>55450</w:t>
      </w:r>
    </w:p>
    <w:p>
      <w:pPr>
        <w:spacing w:after="0" w:line="46" w:lineRule="exact"/>
        <w:rPr>
          <w:sz w:val="24"/>
          <w:szCs w:val="24"/>
          <w:color w:val="auto"/>
        </w:rPr>
      </w:pPr>
    </w:p>
    <w:p>
      <w:pPr>
        <w:jc w:val="center"/>
        <w:ind w:right="2540"/>
        <w:spacing w:after="0"/>
        <w:rPr>
          <w:sz w:val="20"/>
          <w:szCs w:val="20"/>
          <w:color w:val="auto"/>
        </w:rPr>
      </w:pPr>
      <w:r>
        <w:rPr>
          <w:rFonts w:ascii="Times New Roman" w:cs="Times New Roman" w:eastAsia="Times New Roman" w:hAnsi="Times New Roman"/>
          <w:sz w:val="12"/>
          <w:szCs w:val="12"/>
          <w:color w:val="auto"/>
        </w:rPr>
        <w:t>(Zip Code)</w:t>
      </w:r>
    </w:p>
    <w:p>
      <w:pPr>
        <w:spacing w:after="0" w:line="2503" w:lineRule="exact"/>
        <w:rPr>
          <w:sz w:val="24"/>
          <w:szCs w:val="24"/>
          <w:color w:val="auto"/>
        </w:rPr>
      </w:pPr>
    </w:p>
    <w:p>
      <w:pPr>
        <w:sectPr>
          <w:pgSz w:w="11900" w:h="16838" w:orient="portrait"/>
          <w:cols w:equalWidth="0" w:num="2">
            <w:col w:w="8120" w:space="80"/>
            <w:col w:w="3080"/>
          </w:cols>
          <w:pgMar w:left="300" w:top="1016" w:right="319" w:bottom="1440" w:gutter="0" w:footer="0" w:header="0"/>
          <w:type w:val="continuous"/>
        </w:sectPr>
      </w:pPr>
    </w:p>
    <w:tbl>
      <w:tblPr>
        <w:tblLayout w:type="fixed"/>
        <w:tblInd w:w="0" w:type="dxa"/>
        <w:tblCellMar>
          <w:top w:w="0" w:type="dxa"/>
          <w:left w:w="0" w:type="dxa"/>
          <w:bottom w:w="0" w:type="dxa"/>
          <w:right w:w="0" w:type="dxa"/>
        </w:tblCellMar>
      </w:tblPr>
      <w:tr>
        <w:trPr>
          <w:trHeight w:val="144"/>
        </w:trPr>
        <w:tc>
          <w:tcPr>
            <w:tcW w:w="3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Trading</w:t>
            </w:r>
          </w:p>
        </w:tc>
        <w:tc>
          <w:tcPr>
            <w:tcW w:w="3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w:t>
            </w:r>
          </w:p>
        </w:tc>
      </w:tr>
      <w:tr>
        <w:trPr>
          <w:trHeight w:val="168"/>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80" w:type="dxa"/>
            <w:vAlign w:val="bottom"/>
          </w:tcPr>
          <w:p>
            <w:pPr>
              <w:spacing w:after="0"/>
              <w:rPr>
                <w:sz w:val="14"/>
                <w:szCs w:val="14"/>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Symbol(s)</w:t>
            </w:r>
          </w:p>
        </w:tc>
        <w:tc>
          <w:tcPr>
            <w:tcW w:w="80" w:type="dxa"/>
            <w:vAlign w:val="bottom"/>
          </w:tcPr>
          <w:p>
            <w:pPr>
              <w:spacing w:after="0"/>
              <w:rPr>
                <w:sz w:val="14"/>
                <w:szCs w:val="14"/>
                <w:color w:val="auto"/>
              </w:rPr>
            </w:pPr>
          </w:p>
        </w:tc>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on which registered</w:t>
            </w:r>
          </w:p>
        </w:tc>
      </w:tr>
      <w:tr>
        <w:trPr>
          <w:trHeight w:val="160"/>
        </w:trPr>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9"/>
              </w:rPr>
              <w:t>Common Stock, par value $0.01 per share</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SNCY</w:t>
            </w:r>
          </w:p>
        </w:tc>
        <w:tc>
          <w:tcPr>
            <w:tcW w:w="37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The Nasdaq Stock Market LLC</w:t>
            </w:r>
          </w:p>
        </w:tc>
      </w:tr>
    </w:tbl>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(17 CFR §230.405) or Rule 12b-2 of the Securities Exchange Act of 1934 (17 CFR §240.12b-2).</w:t>
      </w:r>
    </w:p>
    <w:p>
      <w:pPr>
        <w:spacing w:after="0" w:line="122"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ind w:right="4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496570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57785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74930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type w:val="continuous"/>
        </w:sectPr>
      </w:pPr>
    </w:p>
    <w:bookmarkStart w:id="1" w:name="page2"/>
    <w:bookmarkEnd w:id="1"/>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June 20, 2024, Sun Country Airlines Holdings, Inc. provided an update to investors. A copy of the investor presentation is attached hereto as Exhibit 99.1 and incorporated by reference herein.</w:t>
      </w:r>
    </w:p>
    <w:p>
      <w:pPr>
        <w:spacing w:after="0" w:line="168"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The information in this report furnished pursuant to Item 7.01 shall not be deemed “filed” for the purposes of Section 18 of the Securities and Exchange Act of 1934, as amended (the “Exchange Act”), or otherwise subject to the liabilities of that section. It may only be incorporated by reference in another filing under the Exchange Act or the Securities Act of 1933, as amended, if such subsequent filing specifically references the information furnished pursuant to Item 7.01 of this report.</w:t>
      </w:r>
    </w:p>
    <w:p>
      <w:pPr>
        <w:spacing w:after="0" w:line="18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xml:space="preserve">(d) </w:t>
            </w:r>
            <w:r>
              <w:rPr>
                <w:rFonts w:ascii="Times New Roman" w:cs="Times New Roman" w:eastAsia="Times New Roman" w:hAnsi="Times New Roman"/>
                <w:sz w:val="12"/>
                <w:szCs w:val="12"/>
                <w:i w:val="1"/>
                <w:iCs w:val="1"/>
                <w:color w:val="auto"/>
              </w:rPr>
              <w:t>Exhibits.</w:t>
            </w:r>
          </w:p>
        </w:tc>
        <w:tc>
          <w:tcPr>
            <w:tcW w:w="1020" w:type="dxa"/>
            <w:vAlign w:val="bottom"/>
          </w:tcPr>
          <w:p>
            <w:pPr>
              <w:spacing w:after="0"/>
              <w:rPr>
                <w:sz w:val="13"/>
                <w:szCs w:val="13"/>
                <w:color w:val="auto"/>
              </w:rPr>
            </w:pPr>
          </w:p>
        </w:tc>
        <w:tc>
          <w:tcPr>
            <w:tcW w:w="8620" w:type="dxa"/>
            <w:vAlign w:val="bottom"/>
          </w:tcPr>
          <w:p>
            <w:pPr>
              <w:spacing w:after="0"/>
              <w:rPr>
                <w:sz w:val="13"/>
                <w:szCs w:val="13"/>
                <w:color w:val="auto"/>
              </w:rPr>
            </w:pPr>
          </w:p>
        </w:tc>
      </w:tr>
      <w:tr>
        <w:trPr>
          <w:trHeight w:val="189"/>
        </w:trPr>
        <w:tc>
          <w:tcPr>
            <w:tcW w:w="16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96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33"/>
        </w:trPr>
        <w:tc>
          <w:tcPr>
            <w:tcW w:w="158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99.1</w:t>
            </w:r>
          </w:p>
        </w:tc>
        <w:tc>
          <w:tcPr>
            <w:tcW w:w="80" w:type="dxa"/>
            <w:vAlign w:val="bottom"/>
          </w:tcPr>
          <w:p>
            <w:pPr>
              <w:spacing w:after="0"/>
              <w:rPr>
                <w:sz w:val="11"/>
                <w:szCs w:val="11"/>
                <w:color w:val="auto"/>
              </w:rPr>
            </w:pPr>
          </w:p>
        </w:tc>
        <w:tc>
          <w:tcPr>
            <w:tcW w:w="9640" w:type="dxa"/>
            <w:vAlign w:val="bottom"/>
            <w:tcBorders>
              <w:top w:val="single" w:sz="8" w:color="auto"/>
            </w:tcBorders>
            <w:gridSpan w:val="2"/>
          </w:tcPr>
          <w:p>
            <w:pPr>
              <w:spacing w:after="0" w:line="133" w:lineRule="exact"/>
              <w:rPr>
                <w:sz w:val="20"/>
                <w:szCs w:val="20"/>
                <w:color w:val="auto"/>
              </w:rPr>
            </w:pPr>
            <w:r>
              <w:rPr>
                <w:rFonts w:ascii="Times New Roman" w:cs="Times New Roman" w:eastAsia="Times New Roman" w:hAnsi="Times New Roman"/>
                <w:sz w:val="12"/>
                <w:szCs w:val="12"/>
                <w:color w:val="0000FF"/>
              </w:rPr>
              <w:t>Investor Presentation</w:t>
            </w:r>
          </w:p>
        </w:tc>
      </w:tr>
      <w:tr>
        <w:trPr>
          <w:trHeight w:val="20"/>
        </w:trPr>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r>
      <w:tr>
        <w:trPr>
          <w:trHeight w:val="187"/>
        </w:trPr>
        <w:tc>
          <w:tcPr>
            <w:tcW w:w="158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80" w:type="dxa"/>
            <w:vAlign w:val="bottom"/>
          </w:tcPr>
          <w:p>
            <w:pPr>
              <w:spacing w:after="0"/>
              <w:rPr>
                <w:sz w:val="16"/>
                <w:szCs w:val="16"/>
                <w:color w:val="auto"/>
              </w:rPr>
            </w:pPr>
          </w:p>
        </w:tc>
        <w:tc>
          <w:tcPr>
            <w:tcW w:w="9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693"/>
        </w:trPr>
        <w:tc>
          <w:tcPr>
            <w:tcW w:w="1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81" w:right="29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as amended, the registrant has duly caused this report to be signed on its behalf by the undersigned thereunto duly authorized.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000" w:type="dxa"/>
            <w:vAlign w:val="bottom"/>
          </w:tcPr>
          <w:p>
            <w:pPr>
              <w:spacing w:after="0"/>
              <w:rPr>
                <w:sz w:val="20"/>
                <w:szCs w:val="20"/>
                <w:color w:val="auto"/>
              </w:rPr>
            </w:pPr>
            <w:r>
              <w:rPr>
                <w:rFonts w:ascii="Times New Roman" w:cs="Times New Roman" w:eastAsia="Times New Roman" w:hAnsi="Times New Roman"/>
                <w:sz w:val="12"/>
                <w:szCs w:val="12"/>
                <w:color w:val="auto"/>
              </w:rPr>
              <w:t>Date: June 20, 2024</w:t>
            </w:r>
          </w:p>
        </w:tc>
        <w:tc>
          <w:tcPr>
            <w:tcW w:w="8300" w:type="dxa"/>
            <w:vAlign w:val="bottom"/>
            <w:gridSpan w:val="3"/>
          </w:tcPr>
          <w:p>
            <w:pPr>
              <w:ind w:left="2020"/>
              <w:spacing w:after="0"/>
              <w:rPr>
                <w:sz w:val="20"/>
                <w:szCs w:val="20"/>
                <w:color w:val="auto"/>
              </w:rPr>
            </w:pPr>
            <w:r>
              <w:rPr>
                <w:rFonts w:ascii="Times New Roman" w:cs="Times New Roman" w:eastAsia="Times New Roman" w:hAnsi="Times New Roman"/>
                <w:sz w:val="12"/>
                <w:szCs w:val="12"/>
                <w:b w:val="1"/>
                <w:bCs w:val="1"/>
                <w:color w:val="auto"/>
              </w:rPr>
              <w:t>Sun Country Airlines Holdings, Inc.</w:t>
            </w:r>
          </w:p>
        </w:tc>
      </w:tr>
      <w:tr>
        <w:trPr>
          <w:trHeight w:val="342"/>
        </w:trPr>
        <w:tc>
          <w:tcPr>
            <w:tcW w:w="3000" w:type="dxa"/>
            <w:vAlign w:val="bottom"/>
          </w:tcPr>
          <w:p>
            <w:pPr>
              <w:spacing w:after="0"/>
              <w:rPr>
                <w:sz w:val="24"/>
                <w:szCs w:val="24"/>
                <w:color w:val="auto"/>
              </w:rPr>
            </w:pPr>
          </w:p>
        </w:tc>
        <w:tc>
          <w:tcPr>
            <w:tcW w:w="2460" w:type="dxa"/>
            <w:vAlign w:val="bottom"/>
          </w:tcPr>
          <w:p>
            <w:pPr>
              <w:ind w:left="2020"/>
              <w:spacing w:after="0"/>
              <w:rPr>
                <w:sz w:val="20"/>
                <w:szCs w:val="20"/>
                <w:color w:val="auto"/>
              </w:rPr>
            </w:pPr>
            <w:r>
              <w:rPr>
                <w:rFonts w:ascii="Times New Roman" w:cs="Times New Roman" w:eastAsia="Times New Roman" w:hAnsi="Times New Roman"/>
                <w:sz w:val="12"/>
                <w:szCs w:val="12"/>
                <w:color w:val="auto"/>
              </w:rPr>
              <w:t>By:</w:t>
            </w:r>
          </w:p>
        </w:tc>
        <w:tc>
          <w:tcPr>
            <w:tcW w:w="5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color w:val="auto"/>
              </w:rPr>
              <w:t>/s/ Erin Rose Neale</w:t>
            </w:r>
          </w:p>
        </w:tc>
      </w:tr>
      <w:tr>
        <w:trPr>
          <w:trHeight w:val="140"/>
        </w:trPr>
        <w:tc>
          <w:tcPr>
            <w:tcW w:w="30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Name:</w:t>
            </w:r>
          </w:p>
        </w:tc>
        <w:tc>
          <w:tcPr>
            <w:tcW w:w="53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Erin Rose Neale</w:t>
            </w:r>
          </w:p>
        </w:tc>
      </w:tr>
      <w:tr>
        <w:trPr>
          <w:trHeight w:val="155"/>
        </w:trPr>
        <w:tc>
          <w:tcPr>
            <w:tcW w:w="30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Title:</w:t>
            </w:r>
          </w:p>
        </w:tc>
        <w:tc>
          <w:tcPr>
            <w:tcW w:w="53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Senior Vice President, General Counsel and Secretary</w:t>
            </w:r>
          </w:p>
        </w:tc>
      </w:tr>
    </w:tbl>
    <w:p>
      <w:pPr>
        <w:sectPr>
          <w:pgSz w:w="11900" w:h="16838" w:orient="portrait"/>
          <w:cols w:equalWidth="0" w:num="1">
            <w:col w:w="11300"/>
          </w:cols>
          <w:pgMar w:left="300" w:top="809" w:right="2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4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2024-06-20T13:12:48Z</dcterms:created>
  <dcterms:modified xsi:type="dcterms:W3CDTF">2024-06-20T13:12:48Z</dcterms:modified>
</cp:coreProperties>
</file>