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Sun Country Airlines Holdings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866683105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13</w:t>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866683105</w:t>
      </w:r>
    </w:p>
    <w:p>
      <w:pPr>
        <w:spacing w:after="0" w:line="17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Group Limited</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1220" w:right="7640" w:hanging="657"/>
        <w:spacing w:after="0" w:line="346" w:lineRule="auto"/>
        <w:tabs>
          <w:tab w:leader="none" w:pos="662"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Sydney, New South Wales Australia 5.    Sole Voting Power</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40" w:type="dxa"/>
            <w:vAlign w:val="bottom"/>
          </w:tcPr>
          <w:p>
            <w:pPr>
              <w:spacing w:after="0"/>
              <w:rPr>
                <w:sz w:val="18"/>
                <w:szCs w:val="18"/>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Pr>
          <w:p>
            <w:pPr>
              <w:spacing w:after="0"/>
              <w:rPr>
                <w:sz w:val="19"/>
                <w:szCs w:val="19"/>
                <w:color w:val="auto"/>
              </w:rPr>
            </w:pP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4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hanging="92"/>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4" w:lineRule="exact"/>
        <w:rPr>
          <w:sz w:val="20"/>
          <w:szCs w:val="20"/>
          <w:color w:val="auto"/>
        </w:rPr>
      </w:pPr>
    </w:p>
    <w:p>
      <w:pPr>
        <w:ind w:left="660" w:right="740"/>
        <w:spacing w:after="0" w:line="266" w:lineRule="auto"/>
        <w:rPr>
          <w:sz w:val="20"/>
          <w:szCs w:val="20"/>
          <w:color w:val="auto"/>
        </w:rPr>
      </w:pPr>
      <w:r>
        <w:rPr>
          <w:rFonts w:ascii="Times New Roman" w:cs="Times New Roman" w:eastAsia="Times New Roman" w:hAnsi="Times New Roman"/>
          <w:sz w:val="18"/>
          <w:szCs w:val="18"/>
          <w:color w:val="auto"/>
        </w:rPr>
        <w:t>3,062,024 deemed beneficially owned due to reporting person’s ownership of Macquarie Management Holdings Inc. and Macquarie Investment Management Business Trust whose individual holdings are shown on the following forms.</w:t>
      </w: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2 of 13</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866683105</w:t>
      </w:r>
    </w:p>
    <w:p>
      <w:pPr>
        <w:spacing w:after="0" w:line="293"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Management Holdings Inc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State of Delaware</w:t>
      </w:r>
    </w:p>
    <w:p>
      <w:pPr>
        <w:spacing w:after="0" w:line="36" w:lineRule="exact"/>
        <w:rPr>
          <w:sz w:val="20"/>
          <w:szCs w:val="20"/>
          <w:color w:val="auto"/>
        </w:rPr>
      </w:pPr>
    </w:p>
    <w:p>
      <w:pPr>
        <w:ind w:left="1220"/>
        <w:spacing w:after="0"/>
        <w:tabs>
          <w:tab w:leader="none" w:pos="152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3,062,024</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40" w:type="dxa"/>
            <w:vAlign w:val="bottom"/>
          </w:tcPr>
          <w:p>
            <w:pPr>
              <w:spacing w:after="0"/>
              <w:rPr>
                <w:sz w:val="18"/>
                <w:szCs w:val="18"/>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Pr>
          <w:p>
            <w:pPr>
              <w:spacing w:after="0"/>
              <w:rPr>
                <w:sz w:val="19"/>
                <w:szCs w:val="19"/>
                <w:color w:val="auto"/>
              </w:rPr>
            </w:pP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3,062,024</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4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hanging="92"/>
        <w:spacing w:after="0"/>
        <w:tabs>
          <w:tab w:leader="none" w:pos="1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3,062,024 deemed beneficially owned due to reporting person’s ownership of Macquarie Investment Management Business Trust</w:t>
      </w:r>
    </w:p>
    <w:p>
      <w:pPr>
        <w:spacing w:after="0" w:line="36" w:lineRule="exact"/>
        <w:rPr>
          <w:sz w:val="20"/>
          <w:szCs w:val="20"/>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3 of 13</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866683105</w:t>
      </w:r>
    </w:p>
    <w:p>
      <w:pPr>
        <w:spacing w:after="0" w:line="171"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Investment Management Business Trust</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State of Delaware</w:t>
      </w:r>
    </w:p>
    <w:p>
      <w:pPr>
        <w:spacing w:after="0" w:line="36" w:lineRule="exact"/>
        <w:rPr>
          <w:sz w:val="20"/>
          <w:szCs w:val="20"/>
          <w:color w:val="auto"/>
        </w:rPr>
      </w:pPr>
    </w:p>
    <w:p>
      <w:pPr>
        <w:ind w:left="1220"/>
        <w:spacing w:after="0"/>
        <w:tabs>
          <w:tab w:leader="none" w:pos="1520"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3,062,024</w:t>
            </w:r>
          </w:p>
        </w:tc>
        <w:tc>
          <w:tcPr>
            <w:tcW w:w="0" w:type="dxa"/>
            <w:vAlign w:val="bottom"/>
          </w:tcPr>
          <w:p>
            <w:pPr>
              <w:spacing w:after="0"/>
              <w:rPr>
                <w:sz w:val="1"/>
                <w:szCs w:val="1"/>
                <w:color w:val="auto"/>
              </w:rPr>
            </w:pPr>
          </w:p>
        </w:tc>
      </w:tr>
      <w:tr>
        <w:trPr>
          <w:trHeight w:val="23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40" w:type="dxa"/>
            <w:vAlign w:val="bottom"/>
          </w:tcPr>
          <w:p>
            <w:pPr>
              <w:spacing w:after="0"/>
              <w:rPr>
                <w:sz w:val="18"/>
                <w:szCs w:val="18"/>
                <w:color w:val="auto"/>
              </w:rPr>
            </w:pP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Pr>
          <w:p>
            <w:pPr>
              <w:spacing w:after="0"/>
              <w:rPr>
                <w:sz w:val="19"/>
                <w:szCs w:val="19"/>
                <w:color w:val="auto"/>
              </w:rPr>
            </w:pPr>
          </w:p>
        </w:tc>
        <w:tc>
          <w:tcPr>
            <w:tcW w:w="9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3,062,024</w:t>
            </w:r>
          </w:p>
        </w:tc>
        <w:tc>
          <w:tcPr>
            <w:tcW w:w="0" w:type="dxa"/>
            <w:vAlign w:val="bottom"/>
          </w:tcPr>
          <w:p>
            <w:pPr>
              <w:spacing w:after="0"/>
              <w:rPr>
                <w:sz w:val="1"/>
                <w:szCs w:val="1"/>
                <w:color w:val="auto"/>
              </w:rPr>
            </w:pPr>
          </w:p>
        </w:tc>
      </w:tr>
      <w:tr>
        <w:trPr>
          <w:trHeight w:val="6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34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4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hanging="92"/>
        <w:spacing w:after="0"/>
        <w:tabs>
          <w:tab w:leader="none" w:pos="1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3,062,024</w:t>
      </w:r>
    </w:p>
    <w:p>
      <w:pPr>
        <w:spacing w:after="0" w:line="36" w:lineRule="exact"/>
        <w:rPr>
          <w:sz w:val="20"/>
          <w:szCs w:val="20"/>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0" w:hanging="97"/>
        <w:spacing w:after="0" w:line="207" w:lineRule="exact"/>
        <w:tabs>
          <w:tab w:leader="none" w:pos="66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4 of 13</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31" w:lineRule="exact"/>
        <w:rPr>
          <w:sz w:val="20"/>
          <w:szCs w:val="20"/>
          <w:color w:val="auto"/>
        </w:rPr>
      </w:pPr>
    </w:p>
    <w:p>
      <w:pPr>
        <w:ind w:left="1080" w:hanging="328"/>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 Airlines Holdings Inc</w:t>
      </w:r>
    </w:p>
    <w:p>
      <w:pPr>
        <w:spacing w:after="0" w:line="125" w:lineRule="exact"/>
        <w:rPr>
          <w:rFonts w:ascii="Times New Roman" w:cs="Times New Roman" w:eastAsia="Times New Roman" w:hAnsi="Times New Roman"/>
          <w:sz w:val="18"/>
          <w:szCs w:val="18"/>
          <w:color w:val="auto"/>
        </w:rPr>
      </w:pPr>
    </w:p>
    <w:p>
      <w:pPr>
        <w:ind w:left="1080" w:right="6500" w:hanging="328"/>
        <w:spacing w:after="0" w:line="279"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2005 Cargo Road, Minneapolis, MN 55450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-361950</wp:posOffset>
            </wp:positionV>
            <wp:extent cx="6309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-1905</wp:posOffset>
            </wp:positionV>
            <wp:extent cx="6309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080" w:hanging="328"/>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080"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jointly filed by Macquarie Group Limited, Macquarie Management Holdings Inc and Macquarie Investment Management Business Trust</w:t>
      </w:r>
    </w:p>
    <w:p>
      <w:pPr>
        <w:spacing w:after="0" w:line="100"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7" w:lineRule="exact"/>
        <w:rPr>
          <w:rFonts w:ascii="Times New Roman" w:cs="Times New Roman" w:eastAsia="Times New Roman" w:hAnsi="Times New Roman"/>
          <w:sz w:val="18"/>
          <w:szCs w:val="18"/>
          <w:color w:val="auto"/>
        </w:rPr>
      </w:pPr>
    </w:p>
    <w:p>
      <w:pPr>
        <w:ind w:left="108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Macquarie Group Limited is Level 1, 1 Elizabeth Street, Sydney, New South Wales, Australia. The principal business address of Macquarie Management Holdings Inc. and Macquarie Investment Management Business Trust is 610 Market Street, Philadelphia, PA 19106.</w:t>
      </w:r>
    </w:p>
    <w:p>
      <w:pPr>
        <w:spacing w:after="0" w:line="104"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Group Limited - Sydney, New South Wales, Australia Corporation</w:t>
      </w:r>
    </w:p>
    <w:p>
      <w:pPr>
        <w:spacing w:after="0" w:line="9"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Management Holdings Inc., Macquarie Investment Management Business Trust– incorporated or formed under the laws of the State of Delaware.</w:t>
      </w:r>
    </w:p>
    <w:p>
      <w:pPr>
        <w:spacing w:after="0" w:line="100" w:lineRule="exact"/>
        <w:rPr>
          <w:rFonts w:ascii="Times New Roman" w:cs="Times New Roman" w:eastAsia="Times New Roman" w:hAnsi="Times New Roman"/>
          <w:sz w:val="18"/>
          <w:szCs w:val="18"/>
          <w:color w:val="auto"/>
        </w:rPr>
      </w:pPr>
    </w:p>
    <w:p>
      <w:pPr>
        <w:ind w:left="1080" w:right="8020" w:hanging="328"/>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80" w:lineRule="exact"/>
        <w:rPr>
          <w:rFonts w:ascii="Times New Roman" w:cs="Times New Roman" w:eastAsia="Times New Roman" w:hAnsi="Times New Roman"/>
          <w:sz w:val="18"/>
          <w:szCs w:val="18"/>
          <w:color w:val="auto"/>
        </w:rPr>
      </w:pPr>
    </w:p>
    <w:p>
      <w:pPr>
        <w:ind w:left="1080" w:right="8780" w:hanging="328"/>
        <w:spacing w:after="0" w:line="312"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-2025015</wp:posOffset>
            </wp:positionV>
            <wp:extent cx="6309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-1390650</wp:posOffset>
            </wp:positionV>
            <wp:extent cx="63093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-756285</wp:posOffset>
            </wp:positionV>
            <wp:extent cx="6309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-396240</wp:posOffset>
            </wp:positionV>
            <wp:extent cx="63093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-36195</wp:posOffset>
            </wp:positionV>
            <wp:extent cx="6309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§§240.13d-1(b) or 240.13d-2(b) or (c), check whether the person filing is a:</w:t>
      </w:r>
    </w:p>
    <w:p>
      <w:pPr>
        <w:spacing w:after="0" w:line="80" w:lineRule="exact"/>
        <w:rPr>
          <w:sz w:val="20"/>
          <w:szCs w:val="20"/>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440" w:right="20" w:hanging="688"/>
        <w:spacing w:after="0" w:line="245" w:lineRule="exact"/>
        <w:tabs>
          <w:tab w:leader="none" w:pos="1076"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440" w:right="160" w:hanging="688"/>
        <w:spacing w:after="0" w:line="245" w:lineRule="exact"/>
        <w:tabs>
          <w:tab w:leader="none" w:pos="1076"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institution:____________________________</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13</w:t>
      </w:r>
    </w:p>
    <w:p>
      <w:pPr>
        <w:sectPr>
          <w:pgSz w:w="11900" w:h="16838" w:orient="portrait"/>
          <w:cols w:equalWidth="0" w:num="1">
            <w:col w:w="11000"/>
          </w:cols>
          <w:pgMar w:left="440" w:top="266" w:right="459" w:bottom="1440" w:gutter="0" w:footer="0" w:header="0"/>
        </w:sectPr>
      </w:pPr>
    </w:p>
    <w:bookmarkStart w:id="5" w:name="page6"/>
    <w:bookmarkEnd w:id="5"/>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tab/>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080" w:hanging="3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on the cover page hereto.</w:t>
      </w:r>
    </w:p>
    <w:p>
      <w:pPr>
        <w:spacing w:after="0" w:line="125"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on the cover page hereto.</w:t>
      </w:r>
    </w:p>
    <w:p>
      <w:pPr>
        <w:spacing w:after="0" w:line="125"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44" w:lineRule="exact"/>
        <w:rPr>
          <w:rFonts w:ascii="Times New Roman" w:cs="Times New Roman" w:eastAsia="Times New Roman" w:hAnsi="Times New Roman"/>
          <w:sz w:val="18"/>
          <w:szCs w:val="18"/>
          <w:color w:val="auto"/>
        </w:rPr>
      </w:pPr>
    </w:p>
    <w:p>
      <w:pPr>
        <w:jc w:val="both"/>
        <w:ind w:left="1540" w:right="6480" w:hanging="464"/>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responses on the cover page hereto.</w:t>
      </w:r>
    </w:p>
    <w:p>
      <w:pPr>
        <w:spacing w:after="0" w:line="80" w:lineRule="exact"/>
        <w:rPr>
          <w:rFonts w:ascii="Times New Roman" w:cs="Times New Roman" w:eastAsia="Times New Roman" w:hAnsi="Times New Roman"/>
          <w:sz w:val="18"/>
          <w:szCs w:val="18"/>
          <w:color w:val="auto"/>
        </w:rPr>
      </w:pPr>
    </w:p>
    <w:p>
      <w:pPr>
        <w:ind w:left="1540" w:right="6360" w:hanging="464"/>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80" w:lineRule="exact"/>
        <w:rPr>
          <w:rFonts w:ascii="Times New Roman" w:cs="Times New Roman" w:eastAsia="Times New Roman" w:hAnsi="Times New Roman"/>
          <w:sz w:val="18"/>
          <w:szCs w:val="18"/>
          <w:color w:val="auto"/>
        </w:rPr>
      </w:pPr>
    </w:p>
    <w:p>
      <w:pPr>
        <w:ind w:left="1540" w:right="5640" w:hanging="464"/>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responses on the cover page hereto.</w:t>
      </w:r>
    </w:p>
    <w:p>
      <w:pPr>
        <w:spacing w:after="0" w:line="80" w:lineRule="exact"/>
        <w:rPr>
          <w:rFonts w:ascii="Times New Roman" w:cs="Times New Roman" w:eastAsia="Times New Roman" w:hAnsi="Times New Roman"/>
          <w:sz w:val="18"/>
          <w:szCs w:val="18"/>
          <w:color w:val="auto"/>
        </w:rPr>
      </w:pPr>
    </w:p>
    <w:p>
      <w:pPr>
        <w:ind w:left="1540" w:right="5460" w:hanging="464"/>
        <w:spacing w:after="0" w:line="282" w:lineRule="auto"/>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-2259965</wp:posOffset>
            </wp:positionV>
            <wp:extent cx="63093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-1899920</wp:posOffset>
            </wp:positionV>
            <wp:extent cx="63093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-1462405</wp:posOffset>
            </wp:positionV>
            <wp:extent cx="63093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-1102360</wp:posOffset>
            </wp:positionV>
            <wp:extent cx="6009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-742315</wp:posOffset>
            </wp:positionV>
            <wp:extent cx="6009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-382270</wp:posOffset>
            </wp:positionV>
            <wp:extent cx="6009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-22225</wp:posOffset>
            </wp:positionV>
            <wp:extent cx="6009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6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tab/>
        <w:t>Ownership of Five Percent or Less of a Class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158" w:lineRule="exact"/>
        <w:rPr>
          <w:sz w:val="20"/>
          <w:szCs w:val="20"/>
          <w:color w:val="auto"/>
        </w:rPr>
      </w:pPr>
    </w:p>
    <w:p>
      <w:pPr>
        <w:ind w:right="5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6. Ownership of More than Five Percent on Behalf of Another Person </w:t>
      </w:r>
      <w:r>
        <w:rPr>
          <w:rFonts w:ascii="Times New Roman" w:cs="Times New Roman" w:eastAsia="Times New Roman" w:hAnsi="Times New Roman"/>
          <w:sz w:val="18"/>
          <w:szCs w:val="18"/>
          <w:color w:val="auto"/>
        </w:rPr>
        <w:t>Not applicable.</w:t>
      </w:r>
    </w:p>
    <w:p>
      <w:pPr>
        <w:spacing w:after="0" w:line="45" w:lineRule="exact"/>
        <w:rPr>
          <w:sz w:val="20"/>
          <w:szCs w:val="20"/>
          <w:color w:val="auto"/>
        </w:rPr>
      </w:pPr>
    </w:p>
    <w:p>
      <w:pPr>
        <w:ind w:left="760" w:hanging="759"/>
        <w:spacing w:after="0" w:line="28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A.</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8.</w:t>
        <w:tab/>
        <w:t>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tab/>
        <w:t>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6 of 13</w:t>
      </w:r>
    </w:p>
    <w:p>
      <w:pPr>
        <w:sectPr>
          <w:pgSz w:w="11900" w:h="16838" w:orient="portrait"/>
          <w:cols w:equalWidth="0" w:num="1">
            <w:col w:w="10900"/>
          </w:cols>
          <w:pgMar w:left="440" w:top="414" w:right="559" w:bottom="1440" w:gutter="0" w:footer="0" w:header="0"/>
        </w:sectPr>
      </w:pPr>
    </w:p>
    <w:bookmarkStart w:id="6" w:name="page7"/>
    <w:bookmarkEnd w:id="6"/>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tab/>
        <w:t>Certification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Macquarie Group Limited</w:t>
            </w:r>
          </w:p>
        </w:tc>
        <w:tc>
          <w:tcPr>
            <w:tcW w:w="660" w:type="dxa"/>
            <w:vAlign w:val="bottom"/>
          </w:tcPr>
          <w:p>
            <w:pPr>
              <w:spacing w:after="0"/>
              <w:rPr>
                <w:sz w:val="20"/>
                <w:szCs w:val="20"/>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 2024</w:t>
            </w:r>
          </w:p>
        </w:tc>
      </w:tr>
      <w:tr>
        <w:trPr>
          <w:trHeight w:val="228"/>
        </w:trPr>
        <w:tc>
          <w:tcPr>
            <w:tcW w:w="5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7"/>
        </w:trPr>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Philip Alexander</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Glorioso</w:t>
            </w:r>
          </w:p>
        </w:tc>
      </w:t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6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r>
      <w:tr>
        <w:trPr>
          <w:trHeight w:val="225"/>
        </w:trPr>
        <w:tc>
          <w:tcPr>
            <w:tcW w:w="52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r>
      <w:tr>
        <w:trPr>
          <w:trHeight w:val="2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Philip Alexander</w:t>
            </w:r>
          </w:p>
        </w:tc>
        <w:tc>
          <w:tcPr>
            <w:tcW w:w="6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Glorioso</w:t>
            </w:r>
          </w:p>
        </w:tc>
      </w:tr>
      <w:tr>
        <w:trPr>
          <w:trHeight w:val="234"/>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Associate Director</w:t>
            </w:r>
          </w:p>
        </w:tc>
        <w:tc>
          <w:tcPr>
            <w:tcW w:w="6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Division Director</w:t>
            </w:r>
          </w:p>
        </w:tc>
      </w:tr>
    </w:tbl>
    <w:p>
      <w:pPr>
        <w:spacing w:after="0" w:line="21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Macquarie Management Holdings, Inc.</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 2024</w:t>
            </w:r>
          </w:p>
        </w:tc>
      </w:tr>
      <w:tr>
        <w:trPr>
          <w:trHeight w:val="228"/>
        </w:trPr>
        <w:tc>
          <w:tcPr>
            <w:tcW w:w="4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7"/>
        </w:trPr>
        <w:tc>
          <w:tcPr>
            <w:tcW w:w="450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7"/>
              </w:rPr>
              <w:t>/s/ Marty Wolin</w:t>
            </w:r>
          </w:p>
        </w:tc>
        <w:tc>
          <w:tcPr>
            <w:tcW w:w="780" w:type="dxa"/>
            <w:vAlign w:val="bottom"/>
            <w:tcBorders>
              <w:bottom w:val="single" w:sz="8" w:color="auto"/>
            </w:tcBorders>
          </w:tcPr>
          <w:p>
            <w:pPr>
              <w:spacing w:after="0"/>
              <w:rPr>
                <w:sz w:val="24"/>
                <w:szCs w:val="24"/>
                <w:color w:val="auto"/>
              </w:rPr>
            </w:pP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8"/>
        </w:trPr>
        <w:tc>
          <w:tcPr>
            <w:tcW w:w="45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Signature</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41"/>
        </w:trPr>
        <w:tc>
          <w:tcPr>
            <w:tcW w:w="4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45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Marty Wolin</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34"/>
        </w:trPr>
        <w:tc>
          <w:tcPr>
            <w:tcW w:w="45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45"/>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Macquarie Investment Management Business Trust</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 2024</w:t>
            </w:r>
          </w:p>
        </w:tc>
      </w:tr>
      <w:tr>
        <w:trPr>
          <w:trHeight w:val="228"/>
        </w:trPr>
        <w:tc>
          <w:tcPr>
            <w:tcW w:w="4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7"/>
        </w:trPr>
        <w:tc>
          <w:tcPr>
            <w:tcW w:w="450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7"/>
              </w:rPr>
              <w:t>/s/ Marty Wolin</w:t>
            </w: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8"/>
        </w:trPr>
        <w:tc>
          <w:tcPr>
            <w:tcW w:w="45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Signature</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41"/>
        </w:trPr>
        <w:tc>
          <w:tcPr>
            <w:tcW w:w="4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2"/>
        </w:trPr>
        <w:tc>
          <w:tcPr>
            <w:tcW w:w="45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Marty Wolin</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34"/>
        </w:trPr>
        <w:tc>
          <w:tcPr>
            <w:tcW w:w="45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78"/>
        </w:trPr>
        <w:tc>
          <w:tcPr>
            <w:tcW w:w="4500" w:type="dxa"/>
            <w:vAlign w:val="bottom"/>
          </w:tcPr>
          <w:p>
            <w:pPr>
              <w:spacing w:after="0"/>
              <w:rPr>
                <w:sz w:val="24"/>
                <w:szCs w:val="24"/>
                <w:color w:val="auto"/>
              </w:rPr>
            </w:pP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Page 7 of 13</w:t>
            </w:r>
          </w:p>
        </w:tc>
      </w:tr>
    </w:tbl>
    <w:p>
      <w:pPr>
        <w:sectPr>
          <w:pgSz w:w="11900" w:h="16838" w:orient="portrait"/>
          <w:cols w:equalWidth="0" w:num="1">
            <w:col w:w="11020"/>
          </w:cols>
          <w:pgMar w:left="440" w:top="414"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TO FILE JOINT ACQUISITION STATEMENTS</w:t>
      </w:r>
    </w:p>
    <w:p>
      <w:pPr>
        <w:spacing w:after="0" w:line="117" w:lineRule="exact"/>
        <w:rPr>
          <w:sz w:val="20"/>
          <w:szCs w:val="20"/>
          <w:color w:val="auto"/>
        </w:rPr>
      </w:pPr>
    </w:p>
    <w:p>
      <w:pPr>
        <w:ind w:left="4" w:right="140"/>
        <w:spacing w:after="0" w:line="224" w:lineRule="auto"/>
        <w:rPr>
          <w:sz w:val="20"/>
          <w:szCs w:val="20"/>
          <w:color w:val="auto"/>
        </w:rPr>
      </w:pPr>
      <w:r>
        <w:rPr>
          <w:rFonts w:ascii="Times New Roman" w:cs="Times New Roman" w:eastAsia="Times New Roman" w:hAnsi="Times New Roman"/>
          <w:sz w:val="18"/>
          <w:szCs w:val="18"/>
          <w:color w:val="auto"/>
        </w:rPr>
        <w:t>AGREEMENT made this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of FEBRUARY, 2024 by and between Delaware Funds by Macquarie,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Optimum Fund Trust and Macquarie ETF Trust listed on Annex A hereto, Macquarie Investment Management Business Trust, Macquarie Management Holdings, Inc, and the Macquarie Parties listed on Annex B hereto (collectively referred to as the “parties”).</w:t>
      </w:r>
    </w:p>
    <w:p>
      <w:pPr>
        <w:spacing w:after="0" w:line="19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WHEREAS, the parties hereto may be deemed to be the direct or indirect beneficial owners of the same equity securities for the purpose of the reporting requirements of Section 13(d) of the Securities Exchange Act of 1934, as amended (the “Exchange Act”), and</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WHEREAS, the regulations promulgated under Section 13(d) of the Exchange Act permit the joining of such beneficial owners in the filing of a single Joint Acquisition Statement reporting such ownership to the Securities and Exchange Commission.</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 contained, and each of the parties hereto intending to be legally bound, it is agreed as follows:</w:t>
      </w:r>
    </w:p>
    <w:p>
      <w:pPr>
        <w:spacing w:after="0" w:line="162" w:lineRule="exact"/>
        <w:rPr>
          <w:sz w:val="20"/>
          <w:szCs w:val="20"/>
          <w:color w:val="auto"/>
        </w:rPr>
      </w:pPr>
    </w:p>
    <w:p>
      <w:pPr>
        <w:ind w:left="4" w:right="20" w:hanging="4"/>
        <w:spacing w:after="0" w:line="255"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two or more parties shall be deemed to be the direct or indirect beneficial owners of the same equity security required to be reported to the Securities and Exchange Commission such parties may join together in the filing of a Joint Acquisition Statement with respect to that security. Additional persons who may after the date hereof be deemed to be the direct or indirect beneficial owners of the same equity security as a party hereto and required to be reported to the Securities and Exchange Commission (a “New Party”) may be added as a party this agreement by signing a counterpart hereof. An amendment to this agreement is deemed effective upon the signature of such new party and the amendment of the applicable Annex which may be affixed to this agreement as amended. Each party hereto agrees that this agreement, as it may be amended from time to time as provided herein, is a valid and binding agreement of each such party.</w:t>
      </w:r>
    </w:p>
    <w:p>
      <w:pPr>
        <w:spacing w:after="0" w:line="188" w:lineRule="exact"/>
        <w:rPr>
          <w:rFonts w:ascii="Times New Roman" w:cs="Times New Roman" w:eastAsia="Times New Roman" w:hAnsi="Times New Roman"/>
          <w:sz w:val="18"/>
          <w:szCs w:val="18"/>
          <w:color w:val="auto"/>
        </w:rPr>
      </w:pPr>
    </w:p>
    <w:p>
      <w:pPr>
        <w:ind w:left="4" w:right="60" w:hanging="4"/>
        <w:spacing w:after="0" w:line="258"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Joint Acquisition Statement in which a party joins, each party acknowledges that (a) it will be eligible under applicable regulations of the Securities and Exchange Commission to join in the filing and (b) it will be responsible for the timely filing of such statement and any amendments thereto and the completeness and accuracy of the information concerning such party; but each such party shall not be responsible for the completeness and accuracy of the information concerning the other parties making the filing, unless such party knows or has reason to believe that such information with respect to such other parties is inaccurate.</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consent to the inclusion of a copy of this agreement as an exhibit to any Joint Acquisition Statement filed on behalf of any of them.</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8 of 13</w:t>
      </w:r>
    </w:p>
    <w:p>
      <w:pPr>
        <w:sectPr>
          <w:pgSz w:w="11900" w:h="16838" w:orient="portrait"/>
          <w:cols w:equalWidth="0" w:num="1">
            <w:col w:w="10984"/>
          </w:cols>
          <w:pgMar w:left="436" w:top="117"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by their duly authorized officers as of the date set forth above.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FUNDS</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BY MACQUARIE (listed on Annex A hereto)</w:t>
      </w:r>
    </w:p>
    <w:p>
      <w:pPr>
        <w:spacing w:after="0"/>
        <w:rPr>
          <w:sz w:val="20"/>
          <w:szCs w:val="20"/>
          <w:color w:val="auto"/>
        </w:rPr>
      </w:pPr>
      <w:r>
        <w:rPr>
          <w:rFonts w:ascii="Times New Roman" w:cs="Times New Roman" w:eastAsia="Times New Roman" w:hAnsi="Times New Roman"/>
          <w:sz w:val="18"/>
          <w:szCs w:val="18"/>
          <w:b w:val="1"/>
          <w:bCs w:val="1"/>
          <w:color w:val="auto"/>
        </w:rPr>
        <w:t>MACQUARIE ETF TRUST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OPTIMUM FUND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 BY: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FUNDS BY MACQUARIE</w:t>
      </w:r>
      <w:r>
        <w:rPr>
          <w:rFonts w:ascii="Times New Roman" w:cs="Times New Roman" w:eastAsia="Times New Roman" w:hAnsi="Times New Roman"/>
          <w:sz w:val="26"/>
          <w:szCs w:val="26"/>
          <w:b w:val="1"/>
          <w:bCs w:val="1"/>
          <w:color w:val="auto"/>
          <w:vertAlign w:val="superscript"/>
        </w:rPr>
        <w:t>®</w:t>
      </w:r>
    </w:p>
    <w:p>
      <w:pPr>
        <w:spacing w:after="0"/>
        <w:rPr>
          <w:sz w:val="20"/>
          <w:szCs w:val="20"/>
          <w:color w:val="auto"/>
        </w:rPr>
      </w:pPr>
      <w:r>
        <w:rPr>
          <w:rFonts w:ascii="Times New Roman" w:cs="Times New Roman" w:eastAsia="Times New Roman" w:hAnsi="Times New Roman"/>
          <w:sz w:val="18"/>
          <w:szCs w:val="18"/>
          <w:b w:val="1"/>
          <w:bCs w:val="1"/>
          <w:color w:val="auto"/>
        </w:rPr>
        <w:t>MACQUARIE ETF TRUST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Marty Wolin</w:t>
            </w:r>
          </w:p>
        </w:tc>
        <w:tc>
          <w:tcPr>
            <w:tcW w:w="440" w:type="dxa"/>
            <w:vAlign w:val="bottom"/>
          </w:tcPr>
          <w:p>
            <w:pPr>
              <w:spacing w:after="0"/>
              <w:rPr>
                <w:sz w:val="20"/>
                <w:szCs w:val="20"/>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44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spacing w:after="0"/>
              <w:rPr>
                <w:sz w:val="19"/>
                <w:szCs w:val="19"/>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Marty Wolin</w:t>
            </w:r>
          </w:p>
        </w:tc>
        <w:tc>
          <w:tcPr>
            <w:tcW w:w="440" w:type="dxa"/>
            <w:vAlign w:val="bottom"/>
            <w:vMerge w:val="continue"/>
          </w:tcPr>
          <w:p>
            <w:pPr>
              <w:spacing w:after="0"/>
              <w:rPr>
                <w:sz w:val="15"/>
                <w:szCs w:val="15"/>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49"/>
        </w:trPr>
        <w:tc>
          <w:tcPr>
            <w:tcW w:w="54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5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OPTIMUM FUND TRUST</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Speacht</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A.G. Ciavarelli</w:t>
            </w:r>
          </w:p>
        </w:tc>
        <w:tc>
          <w:tcPr>
            <w:tcW w:w="0" w:type="dxa"/>
            <w:vAlign w:val="bottom"/>
          </w:tcPr>
          <w:p>
            <w:pPr>
              <w:spacing w:after="0"/>
              <w:rPr>
                <w:sz w:val="1"/>
                <w:szCs w:val="1"/>
                <w:color w:val="auto"/>
              </w:rPr>
            </w:pP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44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Speacht</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 Ciavarelli</w:t>
            </w: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4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MACQUARIE INVESTMENT MANAGEMENT BUSINESS TRUST</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Marty Wolin</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44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Marty Wolin</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MACQUARIE MANAGEMENT HOLDINGS, INC.</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Marty Wolin</w:t>
            </w: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44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Marty Wolin</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Compliance Officer</w:t>
            </w:r>
          </w:p>
        </w:tc>
        <w:tc>
          <w:tcPr>
            <w:tcW w:w="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13</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MACQUARIE PARTIES (LISTED ON ANNEX B 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 BY: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/s/ Philip Alexander</w:t>
            </w:r>
          </w:p>
        </w:tc>
        <w:tc>
          <w:tcPr>
            <w:tcW w:w="118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Charles Glorioso</w:t>
            </w:r>
          </w:p>
        </w:tc>
      </w:tr>
      <w:tr>
        <w:trPr>
          <w:trHeight w:val="228"/>
        </w:trPr>
        <w:tc>
          <w:tcPr>
            <w:tcW w:w="4220" w:type="dxa"/>
            <w:vAlign w:val="bottom"/>
            <w:tcBorders>
              <w:top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8"/>
              </w:rPr>
              <w:t>Signature</w:t>
            </w:r>
          </w:p>
        </w:tc>
        <w:tc>
          <w:tcPr>
            <w:tcW w:w="11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r>
      <w:tr>
        <w:trPr>
          <w:trHeight w:val="225"/>
        </w:trPr>
        <w:tc>
          <w:tcPr>
            <w:tcW w:w="4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r>
      <w:tr>
        <w:trPr>
          <w:trHeight w:val="232"/>
        </w:trPr>
        <w:tc>
          <w:tcPr>
            <w:tcW w:w="42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Philip Alexander</w:t>
            </w: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Charles Glorioso</w:t>
            </w:r>
          </w:p>
        </w:tc>
      </w:tr>
      <w:tr>
        <w:trPr>
          <w:trHeight w:val="234"/>
        </w:trPr>
        <w:tc>
          <w:tcPr>
            <w:tcW w:w="42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Associate Director</w:t>
            </w: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Division Director</w:t>
            </w:r>
          </w:p>
        </w:tc>
      </w:tr>
      <w:tr>
        <w:trPr>
          <w:trHeight w:val="378"/>
        </w:trPr>
        <w:tc>
          <w:tcPr>
            <w:tcW w:w="4220" w:type="dxa"/>
            <w:vAlign w:val="bottom"/>
          </w:tcPr>
          <w:p>
            <w:pPr>
              <w:spacing w:after="0"/>
              <w:rPr>
                <w:sz w:val="24"/>
                <w:szCs w:val="24"/>
                <w:color w:val="auto"/>
              </w:rPr>
            </w:pPr>
          </w:p>
        </w:tc>
        <w:tc>
          <w:tcPr>
            <w:tcW w:w="26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Page 10 of 13</w:t>
            </w:r>
          </w:p>
        </w:tc>
        <w:tc>
          <w:tcPr>
            <w:tcW w:w="41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Delaware Funds by Macquarie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and Macquarie ETF Trust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Adviser Funds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Cash Reserve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Equity Funds 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Equity Funds IV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Equity Funds 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Global &amp; International Funds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Government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Income Funds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Limited-Term Government Funds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State Tax-Free Income Trust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Tax-Free Fund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Pooled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Trust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VIP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Trust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Insured Funds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Intermediate Tax Free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Tax Free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Variable Insurance Portfolios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ETF Trust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Optimum Fund Trust</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Page 11 of 13</w:t>
      </w:r>
    </w:p>
    <w:p>
      <w:pPr>
        <w:sectPr>
          <w:pgSz w:w="11900" w:h="16838" w:orient="portrait"/>
          <w:cols w:equalWidth="0" w:num="1">
            <w:col w:w="10019"/>
          </w:cols>
          <w:pgMar w:left="440" w:top="266" w:right="1440" w:bottom="1440" w:gutter="0" w:footer="0" w:header="0"/>
        </w:sectPr>
      </w:pPr>
    </w:p>
    <w:bookmarkStart w:id="11" w:name="page12"/>
    <w:bookmarkEnd w:id="11"/>
    <w:p>
      <w:pPr>
        <w:jc w:val="right"/>
        <w:ind w:right="3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 — the Macquarie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Bank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Asset Management Holdings Pty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Asset Management US Holdings Pty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Affiliated Managers (USA)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Affiliated Managers Holdings (USA)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Americas Holdings Pty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B.H. Pty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FG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Funding Holdings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Europe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Austria Kapitalanlage AG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Global Limited</w:t>
      </w:r>
    </w:p>
    <w:p>
      <w:pPr>
        <w:spacing w:after="0" w:line="2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12 of 13</w:t>
      </w:r>
    </w:p>
    <w:p>
      <w:pPr>
        <w:sectPr>
          <w:pgSz w:w="11900" w:h="16838" w:orient="portrait"/>
          <w:cols w:equalWidth="0" w:num="1">
            <w:col w:w="10019"/>
          </w:cols>
          <w:pgMar w:left="440" w:top="26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Powers of Attorney for Macquarie Group Limited incorporated by reference to 13G filings made by Macquarie Group Limited on June 7, 2023.</w:t>
      </w:r>
    </w:p>
    <w:p>
      <w:pPr>
        <w:spacing w:after="0" w:line="1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Page 13 of 13</w:t>
      </w:r>
    </w:p>
    <w:sectPr>
      <w:pgSz w:w="11900" w:h="16838" w:orient="portrait"/>
      <w:cols w:equalWidth="0" w:num="1">
        <w:col w:w="10360"/>
      </w:cols>
      <w:pgMar w:left="440" w:top="117"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
      <w:numFmt w:val="bullet"/>
      <w:start w:val="1"/>
    </w:lvl>
    <w:lvl w:ilvl="1">
      <w:lvlJc w:val="left"/>
      <w:lvlText w:val=" "/>
      <w:numFmt w:val="bullet"/>
      <w:start w:val="1"/>
    </w:lvl>
  </w:abstractNum>
  <w:abstractNum w:abstractNumId="3">
    <w:nsid w:val="1190CDE7"/>
    <w:multiLevelType w:val="hybridMultilevel"/>
    <w:lvl w:ilvl="0">
      <w:lvlJc w:val="left"/>
      <w:lvlText w:val=" "/>
      <w:numFmt w:val="bullet"/>
      <w:start w:val="1"/>
    </w:lvl>
    <w:lvl w:ilvl="1">
      <w:lvlJc w:val="left"/>
      <w:lvlText w:val=" "/>
      <w:numFmt w:val="bullet"/>
      <w:start w:val="1"/>
    </w:lvl>
  </w:abstractNum>
  <w:abstractNum w:abstractNumId="4">
    <w:nsid w:val="66EF438D"/>
    <w:multiLevelType w:val="hybridMultilevel"/>
    <w:lvl w:ilvl="0">
      <w:lvlJc w:val="left"/>
      <w:lvlText w:val=" "/>
      <w:numFmt w:val="bullet"/>
      <w:start w:val="1"/>
    </w:lvl>
    <w:lvl w:ilvl="1">
      <w:lvlJc w:val="left"/>
      <w:lvlText w:val=" "/>
      <w:numFmt w:val="bullet"/>
      <w:start w:val="1"/>
    </w:lvl>
  </w:abstractNum>
  <w:abstractNum w:abstractNumId="5">
    <w:nsid w:val="140E0F76"/>
    <w:multiLevelType w:val="hybridMultilevel"/>
    <w:lvl w:ilvl="0">
      <w:lvlJc w:val="left"/>
      <w:lvlText w:val="%1."/>
      <w:numFmt w:val="decimal"/>
      <w:start w:val="10"/>
    </w:lvl>
    <w:lvl w:ilvl="1">
      <w:lvlJc w:val="left"/>
      <w:lvlText w:val=" "/>
      <w:numFmt w:val="bullet"/>
      <w:start w:val="1"/>
    </w:lvl>
  </w:abstractNum>
  <w:abstractNum w:abstractNumId="6">
    <w:nsid w:val="3352255A"/>
    <w:multiLevelType w:val="hybridMultilevel"/>
    <w:lvl w:ilvl="0">
      <w:lvlJc w:val="left"/>
      <w:lvlText w:val=" "/>
      <w:numFmt w:val="bullet"/>
      <w:start w:val="1"/>
    </w:lvl>
    <w:lvl w:ilvl="1">
      <w:lvlJc w:val="left"/>
      <w:lvlText w:val=" "/>
      <w:numFmt w:val="bullet"/>
      <w:start w:val="1"/>
    </w:lvl>
  </w:abstractNum>
  <w:abstractNum w:abstractNumId="7">
    <w:nsid w:val="109CF92E"/>
    <w:multiLevelType w:val="hybridMultilevel"/>
    <w:lvl w:ilvl="0">
      <w:lvlJc w:val="left"/>
      <w:lvlText w:val=" "/>
      <w:numFmt w:val="bullet"/>
      <w:start w:val="1"/>
    </w:lvl>
  </w:abstractNum>
  <w:abstractNum w:abstractNumId="8">
    <w:nsid w:val="DED7263"/>
    <w:multiLevelType w:val="hybridMultilevel"/>
    <w:lvl w:ilvl="0">
      <w:lvlJc w:val="left"/>
      <w:lvlText w:val=" "/>
      <w:numFmt w:val="bullet"/>
      <w:start w:val="1"/>
    </w:lvl>
    <w:lvl w:ilvl="1">
      <w:lvlJc w:val="left"/>
      <w:lvlText w:val=" "/>
      <w:numFmt w:val="bullet"/>
      <w:start w:val="1"/>
    </w:lvl>
  </w:abstractNum>
  <w:abstractNum w:abstractNumId="9">
    <w:nsid w:val="7FDCC233"/>
    <w:multiLevelType w:val="hybridMultilevel"/>
    <w:lvl w:ilvl="0">
      <w:lvlJc w:val="left"/>
      <w:lvlText w:val="%1."/>
      <w:numFmt w:val="decimal"/>
      <w:start w:val="10"/>
    </w:lvl>
    <w:lvl w:ilvl="1">
      <w:lvlJc w:val="left"/>
      <w:lvlText w:val=" "/>
      <w:numFmt w:val="bullet"/>
      <w:start w:val="1"/>
    </w:lvl>
  </w:abstractNum>
  <w:abstractNum w:abstractNumId="10">
    <w:nsid w:val="1BEFD79F"/>
    <w:multiLevelType w:val="hybridMultilevel"/>
    <w:lvl w:ilvl="0">
      <w:lvlJc w:val="left"/>
      <w:lvlText w:val=" "/>
      <w:numFmt w:val="bullet"/>
      <w:start w:val="1"/>
    </w:lvl>
    <w:lvl w:ilvl="1">
      <w:lvlJc w:val="left"/>
      <w:lvlText w:val=" "/>
      <w:numFmt w:val="bullet"/>
      <w:start w:val="1"/>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 "/>
      <w:numFmt w:val="bullet"/>
      <w:start w:val="1"/>
    </w:lvl>
    <w:lvl w:ilvl="1">
      <w:lvlJc w:val="left"/>
      <w:lvlText w:val=" "/>
      <w:numFmt w:val="bullet"/>
      <w:start w:val="1"/>
    </w:lvl>
  </w:abstractNum>
  <w:abstractNum w:abstractNumId="13">
    <w:nsid w:val="4E6AFB66"/>
    <w:multiLevelType w:val="hybridMultilevel"/>
    <w:lvl w:ilvl="0">
      <w:lvlJc w:val="left"/>
      <w:lvlText w:val="%1."/>
      <w:numFmt w:val="decimal"/>
      <w:start w:val="10"/>
    </w:lvl>
    <w:lvl w:ilvl="1">
      <w:lvlJc w:val="left"/>
      <w:lvlText w:val=" "/>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2024-11-01T15:28:10Z</dcterms:created>
  <dcterms:modified xsi:type="dcterms:W3CDTF">2024-11-01T15:28:10Z</dcterms:modified>
</cp:coreProperties>
</file>