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254d10ka.htm"/>
      <w:bookmarkStart w:id="1" w:name="ksd117254d10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001-40217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336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3619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Sun Country Airlines Holdings, Inc.</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82-4092570</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2005 Cargo Road</w:t>
            </w:r>
          </w:p>
          <w:p>
            <w:pPr>
              <w:pStyle w:val="TableContents"/>
              <w:bidi w:val="0"/>
              <w:spacing w:before="0" w:after="20"/>
              <w:jc w:val="center"/>
              <w:rPr>
                <w:rFonts w:ascii="Times New Roman" w:hAnsi="Times New Roman"/>
                <w:b/>
                <w:sz w:val="20"/>
              </w:rPr>
            </w:pPr>
            <w:r>
              <w:rPr>
                <w:rFonts w:ascii="Times New Roman" w:hAnsi="Times New Roman"/>
                <w:b/>
                <w:sz w:val="20"/>
              </w:rPr>
              <w:t>Minneapolis, Minnesota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55450</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(651)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681-3900</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4025"/>
        <w:gridCol w:w="60"/>
        <w:gridCol w:w="68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SNCY</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the voting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240" w:after="0"/>
        <w:jc w:val="left"/>
        <w:rPr>
          <w:rFonts w:ascii="Times New Roman" w:hAnsi="Times New Roman"/>
          <w:sz w:val="20"/>
        </w:rPr>
      </w:pPr>
      <w:r>
        <w:rPr>
          <w:rFonts w:ascii="Times New Roman" w:hAnsi="Times New Roman"/>
          <w:sz w:val="20"/>
        </w:rPr>
        <w:t xml:space="preserve">common equity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of the registrant as of June 30, 2025 was approximately $624 million.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outstanding by each class of common stock, as of December 31, 2025: Common Stock, $0.01 par value 53,223,302 shares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8900"/>
        <w:gridCol w:w="120"/>
        <w:gridCol w:w="60"/>
        <w:gridCol w:w="260"/>
        <w:gridCol w:w="75"/>
      </w:tblGrid>
      <w:tr>
        <w:trPr/>
        <w:tc>
          <w:tcPr>
            <w:tcW w:w="8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0" w:type="dxa"/>
            <w:tcBorders/>
            <w:vAlign w:val="center"/>
          </w:tcPr>
          <w:p>
            <w:pPr>
              <w:pStyle w:val="TableContents"/>
              <w:bidi w:val="0"/>
              <w:spacing w:before="0" w:after="0"/>
              <w:jc w:val="left"/>
              <w:rPr/>
            </w:pPr>
            <w:hyperlink w:anchor="tx117254_1">
              <w:r>
                <w:rPr>
                  <w:rStyle w:val="InternetLink"/>
                  <w:rFonts w:ascii="Times New Roman" w:hAnsi="Times New Roman"/>
                  <w:b/>
                  <w:sz w:val="20"/>
                </w:rPr>
                <w:t>PART III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900" w:type="dxa"/>
            <w:tcBorders/>
            <w:vAlign w:val="center"/>
          </w:tcPr>
          <w:p>
            <w:pPr>
              <w:pStyle w:val="TableContents"/>
              <w:bidi w:val="0"/>
              <w:spacing w:before="0" w:after="0"/>
              <w:jc w:val="left"/>
              <w:rPr/>
            </w:pPr>
            <w:hyperlink w:anchor="tx117254_2">
              <w:r>
                <w:rPr>
                  <w:rStyle w:val="InternetLink"/>
                  <w:rFonts w:ascii="Times New Roman" w:hAnsi="Times New Roman"/>
                  <w:sz w:val="20"/>
                </w:rPr>
                <w:t>Item 10: Directors, Executive Officers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0"/>
              <w:jc w:val="left"/>
              <w:rPr/>
            </w:pPr>
            <w:hyperlink w:anchor="tx117254_3">
              <w:r>
                <w:rPr>
                  <w:rStyle w:val="InternetLink"/>
                  <w:rFonts w:ascii="Times New Roman" w:hAnsi="Times New Roman"/>
                  <w:sz w:val="20"/>
                </w:rPr>
                <w:t>Item 11: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0"/>
              <w:jc w:val="left"/>
              <w:rPr/>
            </w:pPr>
            <w:hyperlink w:anchor="tx117254_4">
              <w:r>
                <w:rPr>
                  <w:rStyle w:val="InternetLink"/>
                  <w:rFonts w:ascii="Times New Roman" w:hAnsi="Times New Roman"/>
                  <w:sz w:val="20"/>
                </w:rPr>
                <w:t>Item 12: 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0"/>
              <w:jc w:val="left"/>
              <w:rPr/>
            </w:pPr>
            <w:hyperlink w:anchor="tx117254_5">
              <w:r>
                <w:rPr>
                  <w:rStyle w:val="InternetLink"/>
                  <w:rFonts w:ascii="Times New Roman" w:hAnsi="Times New Roman"/>
                  <w:sz w:val="20"/>
                </w:rPr>
                <w:t>Item 13: Certain Relationships and Related Transactions and 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0"/>
              <w:jc w:val="left"/>
              <w:rPr/>
            </w:pPr>
            <w:hyperlink w:anchor="tx117254_6">
              <w:r>
                <w:rPr>
                  <w:rStyle w:val="InternetLink"/>
                  <w:rFonts w:ascii="Times New Roman" w:hAnsi="Times New Roman"/>
                  <w:sz w:val="20"/>
                </w:rPr>
                <w:t>Item 14: 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900" w:type="dxa"/>
            <w:tcBorders/>
            <w:vAlign w:val="center"/>
          </w:tcPr>
          <w:p>
            <w:pPr>
              <w:pStyle w:val="TableContents"/>
              <w:bidi w:val="0"/>
              <w:spacing w:before="0" w:after="0"/>
              <w:jc w:val="left"/>
              <w:rPr/>
            </w:pPr>
            <w:hyperlink w:anchor="tx117254_7">
              <w:r>
                <w:rPr>
                  <w:rStyle w:val="InternetLink"/>
                  <w:rFonts w:ascii="Times New Roman" w:hAnsi="Times New Roman"/>
                  <w:b/>
                  <w:sz w:val="20"/>
                </w:rPr>
                <w:t>PART IV</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900" w:type="dxa"/>
            <w:tcBorders/>
            <w:vAlign w:val="center"/>
          </w:tcPr>
          <w:p>
            <w:pPr>
              <w:pStyle w:val="TableContents"/>
              <w:bidi w:val="0"/>
              <w:spacing w:before="0" w:after="0"/>
              <w:jc w:val="left"/>
              <w:rPr/>
            </w:pPr>
            <w:hyperlink w:anchor="tx117254_8">
              <w:r>
                <w:rPr>
                  <w:rStyle w:val="InternetLink"/>
                  <w:rFonts w:ascii="Times New Roman" w:hAnsi="Times New Roman"/>
                  <w:sz w:val="20"/>
                </w:rPr>
                <w:t>Item 15: Exhibits and Financial Statement Schedules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890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900" w:type="dxa"/>
            <w:tcBorders/>
            <w:vAlign w:val="center"/>
          </w:tcPr>
          <w:p>
            <w:pPr>
              <w:pStyle w:val="TableContents"/>
              <w:bidi w:val="0"/>
              <w:spacing w:before="0" w:after="0"/>
              <w:jc w:val="left"/>
              <w:rPr/>
            </w:pPr>
            <w:hyperlink w:anchor="tx117254_9">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pacing w:val="0"/>
          <w:sz w:val="20"/>
          <w:u w:val="single"/>
        </w:rPr>
      </w:pPr>
      <w:r>
        <w:rPr>
          <w:rFonts w:ascii="Times New Roman" w:hAnsi="Times New Roman"/>
          <w:b/>
          <w:spacing w:val="0"/>
          <w:sz w:val="20"/>
          <w:u w:val="single"/>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the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amends the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originally filed on February 12, 2026 (the “Original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by Sun Country Airlines Holdings, Inc., a Delaware corporation (referred to herein as the “Company”, “we”, “our”, “us” or “Sun Country”).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Sun Country, entered into the Merger Agreement with Allegiant Travel Company, a Nevada corporation (“Allegiant”), under which Allegiant will acquire the Company (the “Merger”). Subject to the satisfaction or waiver of the remaining conditions to closing, Allegiant and Sun Country now expect the closing to occur as early as May 13, 2026 following shareholder approval at the special meetings. In this event, the Company will not hold a 2026 annual meeting of stockholders. Sun Country is filing this Amendment solely to present the information required by Part III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as Sun Country will not file its definitive proxy statement within 120 days of the end of its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other changes have been made to the Original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and this Amendment does not modify, amend or update in any way any of the financial or other information contained in the Original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does not reflect events that may have occurred subsequent to the filing of the Original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PART III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rPr>
      </w:pPr>
      <w:r>
        <w:rPr>
          <w:rFonts w:ascii="Times New Roman" w:hAnsi="Times New Roman"/>
          <w:b/>
          <w:sz w:val="20"/>
        </w:rPr>
        <w:t xml:space="preserve">ITEM 10: DIRECTORS, EXECUTIVE OFFICERS AND 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(referred to herein as the “Board of Directors” or the “Board”) is divided into three classes. The members of each class serve staggered, three-year terms. Upon the expiration of the term of a class of directors, directors in that class will be elected for three-year terms at the annual meeting of stockholders in the year in which their term expires. Under the Company’s bylaws and certificate of incorporation, the Board of Directors can change the number of directors comprising the entire Board of Directors so long as the number is not less than three nor more than fifteen. Any additional directorships resulting from an increase in the number of directors will be distributed among the three classes so that, as nearly as possible, each class will consist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one-third</w:t>
      </w:r>
    </w:p>
    <w:p>
      <w:pPr>
        <w:pStyle w:val="TextBody"/>
        <w:bidi w:val="0"/>
        <w:spacing w:before="120" w:after="0"/>
        <w:jc w:val="left"/>
        <w:rPr>
          <w:rFonts w:ascii="Times New Roman" w:hAnsi="Times New Roman"/>
          <w:sz w:val="20"/>
        </w:rPr>
      </w:pPr>
      <w:r>
        <w:rPr>
          <w:rFonts w:ascii="Times New Roman" w:hAnsi="Times New Roman"/>
          <w:sz w:val="20"/>
        </w:rPr>
        <w:t xml:space="preserve">of our directors. The Board of Directors currently consists of eight directors. Our Board of Directors consisted of seven directors until October 1, 2025, at which time our Board of Directors appointed Ms. Wendy Schoppert to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about our directors as of the date of this Amendment. </w:t>
      </w:r>
    </w:p>
    <w:p>
      <w:pPr>
        <w:pStyle w:val="TextBody"/>
        <w:bidi w:val="0"/>
        <w:spacing w:before="0" w:after="0"/>
        <w:jc w:val="left"/>
        <w:rPr/>
      </w:pPr>
      <w:r>
        <w:rPr/>
        <w:t> </w:t>
      </w:r>
    </w:p>
    <w:tbl>
      <w:tblPr>
        <w:tblW w:w="7185" w:type="dxa"/>
        <w:jc w:val="left"/>
        <w:tblInd w:w="0" w:type="dxa"/>
        <w:tblLayout w:type="fixed"/>
        <w:tblCellMar>
          <w:top w:w="0" w:type="dxa"/>
          <w:left w:w="0" w:type="dxa"/>
          <w:bottom w:w="0" w:type="dxa"/>
          <w:right w:w="0" w:type="dxa"/>
        </w:tblCellMar>
      </w:tblPr>
      <w:tblGrid>
        <w:gridCol w:w="1745"/>
        <w:gridCol w:w="120"/>
        <w:gridCol w:w="425"/>
        <w:gridCol w:w="120"/>
        <w:gridCol w:w="30"/>
        <w:gridCol w:w="30"/>
        <w:gridCol w:w="60"/>
        <w:gridCol w:w="120"/>
        <w:gridCol w:w="453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b/>
                <w:spacing w:val="0"/>
              </w:rPr>
            </w:pPr>
            <w:r>
              <w:rPr>
                <w:b/>
                <w:spacing w:val="0"/>
              </w:rPr>
              <w:t>Name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center"/>
              <w:rPr>
                <w:b/>
                <w:spacing w:val="0"/>
              </w:rPr>
            </w:pPr>
            <w:r>
              <w:rPr>
                <w:b/>
                <w:spacing w:val="0"/>
              </w:rPr>
              <w:t>Age</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b/>
                <w:spacing w:val="0"/>
              </w:rPr>
            </w:pPr>
            <w:r>
              <w:rPr>
                <w:b/>
                <w:spacing w:val="0"/>
              </w:rPr>
              <w:t>Position</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Marion Blakey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78</w:t>
            </w:r>
          </w:p>
        </w:tc>
        <w:tc>
          <w:tcPr>
            <w:tcW w:w="12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President and Chief Executive Officer; Director</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Thomas C. Kennedy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60</w:t>
            </w:r>
          </w:p>
        </w:tc>
        <w:tc>
          <w:tcPr>
            <w:tcW w:w="12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Patrick O’Keeffe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Gail Peterson</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47</w:t>
            </w:r>
          </w:p>
        </w:tc>
        <w:tc>
          <w:tcPr>
            <w:tcW w:w="12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Kerry Philipovitch</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55</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Wendy Schoppert</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59</w:t>
            </w:r>
          </w:p>
        </w:tc>
        <w:tc>
          <w:tcPr>
            <w:tcW w:w="12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Jennifer Vogel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64</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Chair; Director</w:t>
            </w:r>
          </w:p>
        </w:tc>
      </w:tr>
    </w:tbl>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II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three Class II directors will expire at the annual meeting of stockholders to be held in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Independent Directors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Marion Blakey.</w:t>
      </w:r>
    </w:p>
    <w:p>
      <w:pPr>
        <w:pStyle w:val="TextBody"/>
        <w:bidi w:val="0"/>
        <w:spacing w:before="120" w:after="0"/>
        <w:jc w:val="left"/>
        <w:rPr>
          <w:rFonts w:ascii="Times New Roman" w:hAnsi="Times New Roman"/>
          <w:sz w:val="20"/>
        </w:rPr>
      </w:pPr>
      <w:r>
        <w:rPr>
          <w:rFonts w:ascii="Times New Roman" w:hAnsi="Times New Roman"/>
          <w:sz w:val="20"/>
        </w:rPr>
        <w:t xml:space="preserve">Ms. Blakey has been a member of our Board of Directors since December 2021. Ms. Blakey currently serves as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120" w:after="0"/>
        <w:jc w:val="left"/>
        <w:rPr>
          <w:rFonts w:ascii="Times New Roman" w:hAnsi="Times New Roman"/>
          <w:sz w:val="20"/>
        </w:rPr>
      </w:pPr>
      <w:r>
        <w:rPr>
          <w:rFonts w:ascii="Times New Roman" w:hAnsi="Times New Roman"/>
          <w:sz w:val="20"/>
        </w:rPr>
        <w:t xml:space="preserve">director for Eve Air Mobility and on the advisory boards of Radia and Sunrise Transportation Holdings, having retired from Rolls-Royce North America Inc. in 2018 as President and Chief Executive Officer. Prior to joining Rolls-Royce, Ms.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 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Ms. Blakey’s board experience is vast, and includes recent roles serving on the board of Alaska Airlines Group, Cobham LLC, Aerojet Rocketdyne, and NASA’s National Advisory Council. Ms. Blakey graduated from Mary Washington College of the University of Virginia before continuing graduate work at Johns Hopkins University, School of Advanced International Studies.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Ms. Blakey is a valuable member of the Board of Directors because of her experience in the airline industry, including her leadership positions in both the private and public sectors (including with our primary regulator), and her past experience as a director of other public companies, as well as her deep expertise in safety oversight and administration.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Patrick O’Keeffe.</w:t>
      </w:r>
    </w:p>
    <w:p>
      <w:pPr>
        <w:pStyle w:val="TextBody"/>
        <w:bidi w:val="0"/>
        <w:spacing w:before="240" w:after="0"/>
        <w:jc w:val="left"/>
        <w:rPr>
          <w:rFonts w:ascii="Times New Roman" w:hAnsi="Times New Roman"/>
          <w:sz w:val="20"/>
        </w:rPr>
      </w:pPr>
      <w:r>
        <w:rPr>
          <w:rFonts w:ascii="Times New Roman" w:hAnsi="Times New Roman"/>
          <w:sz w:val="20"/>
        </w:rPr>
        <w:t xml:space="preserve">Mr. O’Keeffe has been a member of our Board of Directors since April 2022. Mr. O’Keeffe brings more than 30 years of experience in the airline industry where he worked at American Airlines Group, Inc. until his retirement in 2020. O’Keeffe is the former Senior Vice President, People for American Airlines, where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at American Airlines. He is currently an advisory board member for ID90 Travel. He earned an MBA from Rice University in Houston and a BBS in accounting and finance from the University of Limerick in Ireland. </w:t>
      </w:r>
    </w:p>
    <w:p>
      <w:pPr>
        <w:pStyle w:val="TextBody"/>
        <w:bidi w:val="0"/>
        <w:spacing w:before="240" w:after="0"/>
        <w:jc w:val="left"/>
        <w:rPr>
          <w:rFonts w:ascii="Times New Roman" w:hAnsi="Times New Roman"/>
          <w:sz w:val="20"/>
        </w:rPr>
      </w:pPr>
      <w:r>
        <w:rPr>
          <w:rFonts w:ascii="Times New Roman" w:hAnsi="Times New Roman"/>
          <w:sz w:val="20"/>
        </w:rPr>
        <w:t xml:space="preserve">Mr. O’Keeffe is a valuable member of the Board of Directors because of his experience as an executive at a large public company and his expertise in the airline industry, as well as his significant experience in and expertise with talent management and information technology for companies in our industry.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Wendy Schoppert.</w:t>
      </w:r>
    </w:p>
    <w:p>
      <w:pPr>
        <w:pStyle w:val="TextBody"/>
        <w:bidi w:val="0"/>
        <w:spacing w:before="240" w:after="0"/>
        <w:jc w:val="left"/>
        <w:rPr>
          <w:rFonts w:ascii="Times New Roman" w:hAnsi="Times New Roman"/>
          <w:sz w:val="20"/>
        </w:rPr>
      </w:pPr>
      <w:r>
        <w:rPr>
          <w:rFonts w:ascii="Times New Roman" w:hAnsi="Times New Roman"/>
          <w:sz w:val="20"/>
        </w:rPr>
        <w:t xml:space="preserve">Ms. Schoppert has been a member of our Board of Directors since October 2025. Ms. Schoppert is an experienced corporate board director for public and private companies in the retail, consumer products, financial services and healthcare industries. Ms. Schoppert currently serves on the board of directors of DaVita Inc. (NYSE: DVA), a position she has held since July 2023, and Fossil Group, Inc. (NASDAQ: FOSL), a position she has held since May 2025. Ms. Schoppert previously served as the Chair of the board of directors of The ODP Corporation/Office Depot (NASDAQ: ODP) from July 2020 until it was acquired by Atlas Holdings in December of 2025. Ms. Schoppert has also previously served on the board of directors of The Hershey Company (NYSE: HSY), Bremer Financial Corporation, and Big Lots, Inc. (NYSE: BIG). Ms. Schoppert’s executive experience includes nine years at Sleep Number (NASDAQ: SNBR), where she held the roles of EVP/Chief Financial Officer, SVP/Chief Information Officer, SVP of International, Head of Digital, and Interim Chief Marketing Officer, and three years at U.S. Bancorp Asset Management, where she led Private Asset Management, as well as Product, Marketing and Corporate Development. Ms. Schoppert brings 12 years of experience in the airline industry, having held roles at America West Holdings Corporation, Northwest Airlines, Inc. and American Airlines, Inc. Ms. Schoppert holds a BA in Mathematics and Operations Research from Cornell University, and an MBA in Finance and General Management from Cornell University. </w:t>
      </w:r>
    </w:p>
    <w:p>
      <w:pPr>
        <w:pStyle w:val="TextBody"/>
        <w:bidi w:val="0"/>
        <w:spacing w:before="240" w:after="0"/>
        <w:jc w:val="left"/>
        <w:rPr>
          <w:rFonts w:ascii="Times New Roman" w:hAnsi="Times New Roman"/>
          <w:sz w:val="20"/>
        </w:rPr>
      </w:pPr>
      <w:r>
        <w:rPr>
          <w:rFonts w:ascii="Times New Roman" w:hAnsi="Times New Roman"/>
          <w:sz w:val="20"/>
        </w:rPr>
        <w:t xml:space="preserve">Ms. Schoppert is a valuable member of the Board of Directors because of her experience as an executive and member of the board of directors at various large public companies, financial expertise and deep knowledge of the airline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I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three Class I directors, Mr. Thomas C. Kennedy, Ms. Gail Peterson and Ms. Vogel, will expire at the annual meeting of stockholders to be held in 2028.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Thomas C. Kennedy.</w:t>
      </w:r>
    </w:p>
    <w:p>
      <w:pPr>
        <w:pStyle w:val="TextBody"/>
        <w:bidi w:val="0"/>
        <w:spacing w:before="240" w:after="0"/>
        <w:jc w:val="left"/>
        <w:rPr>
          <w:rFonts w:ascii="Times New Roman" w:hAnsi="Times New Roman"/>
          <w:sz w:val="20"/>
        </w:rPr>
      </w:pPr>
      <w:r>
        <w:rPr>
          <w:rFonts w:ascii="Times New Roman" w:hAnsi="Times New Roman"/>
          <w:sz w:val="20"/>
        </w:rPr>
        <w:t xml:space="preserve">Mr. Kennedy has been a member of our Board of Directors since April 2021. Mr. Kennedy currently serves as President and CEO North America of SIXT Rental Car, a role he has held since January 2025, and prior to that, Mr. Kennedy served as President and CFO since November 2020. Previously, Mr. Kennedy served as Senior Executive Vice President and Chief Financial Officer of Hertz Global Holdings from 2013 until his retirement in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 </w:t>
      </w:r>
    </w:p>
    <w:p>
      <w:pPr>
        <w:pStyle w:val="TextBody"/>
        <w:bidi w:val="0"/>
        <w:spacing w:before="240" w:after="0"/>
        <w:jc w:val="left"/>
        <w:rPr>
          <w:rFonts w:ascii="Times New Roman" w:hAnsi="Times New Roman"/>
          <w:sz w:val="20"/>
        </w:rPr>
      </w:pPr>
      <w:r>
        <w:rPr>
          <w:rFonts w:ascii="Times New Roman" w:hAnsi="Times New Roman"/>
          <w:sz w:val="20"/>
        </w:rPr>
        <w:t xml:space="preserve">Mr. Kennedy is a valuable member of the Board of Directors because of his experience as an executive at large public companies and his financial expertise.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Gail Peterson.</w:t>
      </w:r>
    </w:p>
    <w:p>
      <w:pPr>
        <w:pStyle w:val="TextBody"/>
        <w:bidi w:val="0"/>
        <w:spacing w:before="240" w:after="0"/>
        <w:jc w:val="left"/>
        <w:rPr>
          <w:rFonts w:ascii="Times New Roman" w:hAnsi="Times New Roman"/>
          <w:sz w:val="20"/>
        </w:rPr>
      </w:pPr>
      <w:r>
        <w:rPr>
          <w:rFonts w:ascii="Times New Roman" w:hAnsi="Times New Roman"/>
          <w:sz w:val="20"/>
        </w:rPr>
        <w:t xml:space="preserve">Ms. Peterson has been a member of our Board of Directors since January 2023. Ms. Peterson is a former Executive Vice President and Global Chief Marketing Officer at Ecolab, Inc. where she oversaw the company’s global brand, global communications, market research, sustainability and water partnership teams, a role she held since January 2020. Ms. Peterson previously served as marketing executive for Ecolab’s Global Healthcare business. Prior to joining Ecolab in 2016, she spent 15 years as a marketing executive at General Mills, Inc. Ms. Peterson served on the board of the Minnesota Children’s Museum and the Minnesota Chamber of Commerce. She is a member of the Executive Leadership Council and Black Executive CMO Alliance. Ms. Peterson has been named to Savoy’s “Most Influential Black Corporate Directors” and “Top 100 Executives” lists and Women’s Inc.’s “Most Influential Women in Business.” Ms. Peterson earned her bachelor’s degree in psychology from Princeton University and her MBA from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Ms. Peterson is a valuable member of the Board of Directors because of her experience as a global marketing, branding, and communications executive at two large public Minnesota-based companies and her broad marketing expertise, which provides the Board valuable insight into proven marketing and communication strategies that can span across markets and key stakeholders. She is a resource on these matters for management.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Jennifer Vogel.</w:t>
      </w:r>
    </w:p>
    <w:p>
      <w:pPr>
        <w:pStyle w:val="TextBody"/>
        <w:bidi w:val="0"/>
        <w:spacing w:before="240" w:after="0"/>
        <w:jc w:val="left"/>
        <w:rPr>
          <w:rFonts w:ascii="Times New Roman" w:hAnsi="Times New Roman"/>
          <w:sz w:val="20"/>
        </w:rPr>
      </w:pPr>
      <w:r>
        <w:rPr>
          <w:rFonts w:ascii="Times New Roman" w:hAnsi="Times New Roman"/>
          <w:sz w:val="20"/>
        </w:rPr>
        <w:t xml:space="preserve">Ms. Vogel has been a member of our Board of Directors since October 2022 and has served as our Chair since March 2023. Ms. Vogel is the former Senior Vice President, General Counsel, Secretary and Chief Compliance Officer of Continental Airlines, Inc., where she worked until 2010 when she retired. Since then, she has worked as an independent consultant and board member, serving on 5 public company boards. Ms. Vogel is currently on the board of AAR Corp., a global provider of after market aviation services to commercial and government customers, the board of the Telluride Regional Airport Authority and on the National Council of the World Wildlife Fund. Previous public company boards include Virgin America, Inc., Clearwire Corporation, and AS&amp;E Inc. Recognitions include “Most Influential Corporate Board Directors” by Women’s Inc. and “Most Powerful and Influential Women in Texas” by the Texas Diversity Council and Texas Diversity Magazine, and one of the “100 Women Leaders in the Boardroom” for 2025 by Board Prospects. Ms. Vogel earned her BBA from the University of Iowa and her JD from the University of Texas. </w:t>
      </w:r>
    </w:p>
    <w:p>
      <w:pPr>
        <w:pStyle w:val="TextBody"/>
        <w:bidi w:val="0"/>
        <w:spacing w:before="240" w:after="0"/>
        <w:jc w:val="left"/>
        <w:rPr>
          <w:rFonts w:ascii="Times New Roman" w:hAnsi="Times New Roman"/>
          <w:sz w:val="20"/>
        </w:rPr>
      </w:pPr>
      <w:r>
        <w:rPr>
          <w:rFonts w:ascii="Times New Roman" w:hAnsi="Times New Roman"/>
          <w:sz w:val="20"/>
        </w:rPr>
        <w:t xml:space="preserve">Ms. Vogel is a valuable member of the Board of Directors because of her over 30 years of executive leadership and board experience in the airline and related industries, including leadership positions with Continental Airlines, extensive corporate governance and legal expertise, her experience in regulatory issues, mergers and acquisitions, ethics and compliance matters and her experience as a director of four other public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III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following two Class III directors will expire at the annual meeting of stockholders to be held in 2027.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Jude Bricker.</w:t>
      </w:r>
    </w:p>
    <w:p>
      <w:pPr>
        <w:pStyle w:val="TextBody"/>
        <w:bidi w:val="0"/>
        <w:spacing w:before="240" w:after="0"/>
        <w:jc w:val="left"/>
        <w:rPr>
          <w:rFonts w:ascii="Times New Roman" w:hAnsi="Times New Roman"/>
          <w:sz w:val="20"/>
        </w:rPr>
      </w:pPr>
      <w:r>
        <w:rPr>
          <w:rFonts w:ascii="Times New Roman" w:hAnsi="Times New Roman"/>
          <w:sz w:val="20"/>
        </w:rPr>
        <w:t xml:space="preserve">Mr. Bricker has served as our Chief Executive Officer since July 2017 and as a member of our Board of Directors since April 2018, and was appointed President in April 2025. Mr. Bricker has 20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 Additionally, Mr. Bricker served as an infantry officer with the United States Marine Corps from 1996 to 2002. Mr. Bricker is an independent board member of SAS Airlines. </w:t>
      </w:r>
    </w:p>
    <w:p>
      <w:pPr>
        <w:pStyle w:val="TextBody"/>
        <w:bidi w:val="0"/>
        <w:spacing w:before="240" w:after="0"/>
        <w:jc w:val="left"/>
        <w:rPr>
          <w:rFonts w:ascii="Times New Roman" w:hAnsi="Times New Roman"/>
          <w:sz w:val="20"/>
        </w:rPr>
      </w:pPr>
      <w:r>
        <w:rPr>
          <w:rFonts w:ascii="Times New Roman" w:hAnsi="Times New Roman"/>
          <w:sz w:val="20"/>
        </w:rPr>
        <w:t xml:space="preserve">As the Company’s current President and Chief Executive Officer, Mr. Bricker is a valuable member of our Board of Directors because he has a direct connection to senior management and the benefit of management’s perspective on the Company’s business and immediate strategic goals. He provides leadership, extensive knowledge of the Company, and insight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day-to-day</w:t>
      </w:r>
    </w:p>
    <w:p>
      <w:pPr>
        <w:pStyle w:val="TextBody"/>
        <w:bidi w:val="0"/>
        <w:spacing w:before="240" w:after="0"/>
        <w:jc w:val="left"/>
        <w:rPr>
          <w:rFonts w:ascii="Times New Roman" w:hAnsi="Times New Roman"/>
          <w:sz w:val="20"/>
        </w:rPr>
      </w:pPr>
      <w:r>
        <w:rPr>
          <w:rFonts w:ascii="Times New Roman" w:hAnsi="Times New Roman"/>
          <w:sz w:val="20"/>
        </w:rPr>
        <w:t xml:space="preserve">operation of the business.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Kerry Philipovitch.</w:t>
      </w:r>
    </w:p>
    <w:p>
      <w:pPr>
        <w:pStyle w:val="TextBody"/>
        <w:bidi w:val="0"/>
        <w:spacing w:before="240" w:after="0"/>
        <w:jc w:val="left"/>
        <w:rPr>
          <w:rFonts w:ascii="Times New Roman" w:hAnsi="Times New Roman"/>
          <w:sz w:val="20"/>
        </w:rPr>
      </w:pPr>
      <w:r>
        <w:rPr>
          <w:rFonts w:ascii="Times New Roman" w:hAnsi="Times New Roman"/>
          <w:sz w:val="20"/>
        </w:rPr>
        <w:t xml:space="preserve">Ms. Philipovitch has been a member of our Board of Directors since December 2020. She also serves on the board of hospitality wine management company Intervine and served on the board of Avianca from 2021-2026. Ms. Philipovitch served in aviation management roles for 23 years, most recently from 2010 to 2019 as Senior Vice President-Customer Experience for US Airways, and at American Airlines following the merger with US Airways. She oversaw airline operations impacting critical measures of customer value, including worldwide airport customer service, ramp and baggage operations; onboard flight service and catering; global call centers; cargo; customer planning; and service recovery. She has a proven ability to manage external risk and reputation, having testified before Congress and collaborated with government officials on critical industry policy.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Committed to advancing board effectiveness, she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co-chairs</w:t>
      </w:r>
    </w:p>
    <w:p>
      <w:pPr>
        <w:pStyle w:val="TextBody"/>
        <w:bidi w:val="0"/>
        <w:spacing w:before="240" w:after="0"/>
        <w:jc w:val="left"/>
        <w:rPr>
          <w:rFonts w:ascii="Times New Roman" w:hAnsi="Times New Roman"/>
          <w:sz w:val="20"/>
        </w:rPr>
      </w:pPr>
      <w:r>
        <w:rPr>
          <w:rFonts w:ascii="Times New Roman" w:hAnsi="Times New Roman"/>
          <w:sz w:val="20"/>
        </w:rPr>
        <w:t xml:space="preserve">the Arizona chapter of Women Corporate Directors and mentors future leaders at Arizona State University’s W.P. Carey School of Business. Ms. Philipovitch graduated with a Bachelor of Arts in economics from Tulane University and received her Master of Business Administration from the University of Michigan. Ms. Philipovitch is a valuable member of the Board of Directors because of her leadership and experience in the airline industry and her advocacy for strong corporate governance.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Nasdaq listing standards require that a majority of the Board of Directors be independent. No director qualifies as independent unless the Board of Directors affirmatively determines that the director has no relationship which would interfere with the exercise of independent judgment in carrying out the responsibilities of a director. The Board of Directors broadly considers all relevant facts and circumstances relative to independence and considers the issue not merely from the standpoint of the director, but also from the viewpoint of persons or organizations with which the director has an affiliation. The Board of Directors has determined that Marion Blakey, Thomas C. Kennedy, Patrick O’Keeffe, Gail Peterson, Kerry Philipovitch, Wendy Schoppert and Jennifer Vogel are all independent directors, as such term is defined by the applicable rules and regulations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Board of Directors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an oversight role, as a whole and also at the committee level, in overseeing management of the Company’s risks. The Board of Directors regularly reviews information regarding our credit, liquidity and operations, including the risks associated with each. Our Board of Directors is also responsible for establishing accountability for our executive officers and ensuring reasonable internal controls are in place, including processes and procedures for detecting, containing, evaluating and responding to cybersecurity incidents and to evaluate the risks related to emerging technologies, artificial intelligence and our integration of any new technology. The Board of Directors is informed of the cybersecurity threats potentially facing the Company and the Company’s prevention activities on a quarterly basis, or more frequently if needed. More information on the Company’s cybersecurity policy is included in the Company’s Original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The Safety Committee is responsible for overseeing the risks associated with our operations, the Compensation and Human Resources Committee is responsible for overseeing executive officer succession planning, the determination of executive officer compensation and the management of risks relating to executive compensation plans. The Compensation and Human Resources Committee also reviews the Company’s human resources policies and practices and oversees the risks related thereto. The Audit Committee oversees the management of financial risks and the Nominating and Corporate Governance Committee oversees Board of Directors succession planning and governance policy and practices. While each committee is responsible for evaluating certain risks and overseeing the management of such risks, the entire Board of Directors is regularly informed through committee reports about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does not currently have a policy as to whether the role of Chair of our Board of Directors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as circumstances change.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understands that no single approach to board leadership is universally accepted and that the appropriate leadership structure may vary based on several factors, such as a company’s size, industry, operations, history and culture. Accordingly, our Board of Directors, with the assistance of the Nominating and Corporate Governance Committee, assesses its leadership structure in light of these factors and the current environment to achieve the optimal model for us and for our stockholders. Currently the committee and Board believe the best leadership structure for our Board is to split the position of CEO and Chair of the Board and to have an independent board member appointed as Chair.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of the Board of Directors, the tenure of the directors with the Company, the overall experience of the directors and the experience that the directors have had with the Chair and the executive management team permit and encourage each member to take an active role in all discussions, and each member does actively participate in all substantive discussions. We believe that our current Board of Directors’ leadership structure is serving the Company well at this time.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Board of Directors Meetings and Committees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2025, the Board of Directors held thirteen Board meetings and twenty regular meetings of its committees. Our directors had a 100% attendance rate for the meetings of the Board of Directors and 98.98% attendance rate for the meetings of the committees on which they served.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four committees: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110"/>
        <w:gridCol w:w="60"/>
        <w:gridCol w:w="1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and Human Resources Committee;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and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Safety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Audit, Compensation and Human Resources, Nominating and Corporate Governance and Safety committees operate under written charters which are available at the Company’s website at https://ir.suncountry.com. Committee charters are also available in print upon the written request of any stockholder. Copies of the pertinent committee charters are available on request to the Secretary at the address set forth below. The current committee composition of our Board of Directors is as follows: </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745"/>
        <w:gridCol w:w="120"/>
        <w:gridCol w:w="1130"/>
        <w:gridCol w:w="120"/>
        <w:gridCol w:w="1490"/>
        <w:gridCol w:w="120"/>
        <w:gridCol w:w="1535"/>
        <w:gridCol w:w="120"/>
        <w:gridCol w:w="114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Director</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Audit</w:t>
              <w:br/>
              <w:t>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and Human</w:t>
              <w:br/>
              <w:t>Resources</w:t>
              <w:br/>
              <w:t>Committee</w:t>
            </w:r>
          </w:p>
        </w:tc>
        <w:tc>
          <w:tcPr>
            <w:tcW w:w="1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Nominating</w:t>
              <w:br/>
              <w:t>and Corporate</w:t>
              <w:br/>
              <w:t>Governance</w:t>
              <w:br/>
              <w:t>Committee</w:t>
            </w:r>
          </w:p>
        </w:tc>
        <w:tc>
          <w:tcPr>
            <w:tcW w:w="12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Safety</w:t>
              <w:br/>
              <w:t>Committee</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Marion Blakey</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C</w:t>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Thomas C. Kennedy</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C</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Patrick O’Keeffe</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Gail Peterson</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Kerry Philipovitch</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17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Wendy Schoppert</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Jennifer Vogel</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C = Chairperson </w:t>
      </w:r>
    </w:p>
    <w:p>
      <w:pPr>
        <w:pStyle w:val="TextBody"/>
        <w:bidi w:val="0"/>
        <w:spacing w:before="0" w:after="0"/>
        <w:jc w:val="left"/>
        <w:rPr/>
      </w:pPr>
      <w:r>
        <w:rPr/>
        <w:t xml:space="preserve">✓ </w:t>
      </w:r>
      <w:r>
        <w:rPr>
          <w:rFonts w:ascii="Times New Roman" w:hAnsi="Times New Roman"/>
          <w:sz w:val="20"/>
        </w:rPr>
        <w:t xml:space="preserve">= Member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held a total of five meetings in 2025. Our Audit Committee consists of Thomas C. Kennedy, as chairperson, Kerry Philipovitch, Jennifer Vogel and Wendy Schoppert. Ms. Schoppert joined the Audit Committee in February of 2026.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Mr. Kennedy qualifies as an “audit committee financial expert” as such term is defined in Item 407(d)(5)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and that each of Mr. Kennedy, Ms. Philipovitch, Ms. Vogel and Ms. Schoppert are independent as independence is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10A-3</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and Nasdaq’s listing standards. The principal duties and responsibilities of our Audit Committee are as follows: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prepare the annual Audit Committee report to be included in our annual proxy statement;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our accounting and financial reporting processes;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integrity of our financial statements and internal control system;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independence, retention, performance and compensation of our independent auditor;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performance, appointment and retention of our internal audit department;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discuss, oversee and monitor the Company’s risks and policies with respect to risk assessment and risk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the adequacy of the Company’s internal controls, processes and procedures designed to ensure compliance with laws and regulations;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oversee, and review the implementation and effectiveness of the Company’s compliance and ethics programs. The Audit Committee also has the authority to retain counsel and advisors to fulfill its responsibilities and duties and to form and delegate authority to subcommittees.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and Human Resources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and Human Resources Committee held a total of seven meetings in 2025. Our Compensation and Human Resources Committee consists of Patrick O’Keeffe, as chairperson, Marion Blakey, Gail Peterson and Jennifer Vogel, each of whom is an independent director, as defined under the rules and regulations of Nasdaq. The principal duties and responsibilities of the Compensation and Human Resources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evaluate and make recommendations to the full Board of Directors regarding our executive compensation philosophy, policies and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approve the compensation of our chief executive officer and other executive officers, including all material benefits, option or stock award grants and perquisites;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make recommendations to the Board of Directors with respect to our executive incentive compensation plans and equity-based compensation plans, including the financial and other performance targets that must be met and assess risks related thereto;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govern our executive incentive compensation and equity-related plans;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make recommendations to the Board of Directors with respect to the compensation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non-executive</w:t>
            </w:r>
          </w:p>
          <w:p>
            <w:pPr>
              <w:pStyle w:val="TableContents"/>
              <w:bidi w:val="0"/>
              <w:spacing w:before="0" w:after="0"/>
              <w:jc w:val="left"/>
              <w:rPr>
                <w:rFonts w:ascii="Times New Roman" w:hAnsi="Times New Roman"/>
                <w:sz w:val="20"/>
              </w:rPr>
            </w:pPr>
            <w:r>
              <w:rPr>
                <w:rFonts w:ascii="Times New Roman" w:hAnsi="Times New Roman"/>
                <w:sz w:val="20"/>
              </w:rPr>
              <w:t xml:space="preserve">members of the Board of Directors;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approve any employment, severance or similar agreement with an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the Company’s human resources policies and practices and compensation-related policies, and oversee risks related to human capital management;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and recommend to the Board of Directors and periodically review an executive officer succession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recommend to the Board of Directors any report required by applicable rules and regulations or listing standards and take such other actions as are necessary and consistent with the governing law and our organizational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held a total of four meetings in 2025. Our Nominating and Corporate Governance Committee consists of Kerry Philipovitch, as chairperson, Patrick O’Keeffe and Gail Peterson, each of whom is an independent director, as defined under the rules and regulations of Nasdaq. The principal duties and responsibilities of the Nominating and Corporate Governance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identify and interview candidates qualified to become directors of the Company, consistent with criteria approved by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recommend to our Board of Directors nominees for election as directors at the next annual meeting of stockholders or a special meeting of stockholders at which directors are to be elected;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recommend to our Board of Directors candidates to fill vacancies and newly created directorships on the Board of Directors;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each director’s continuation on the Board of Directors at the end of the term of such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advise the Board of Directors and the Board Chair on governance policy, practices and matters of governance structure and the conduct of the Board;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assist the Board of Directors in determining director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recommend to the Board of Directors for approval and review the Company’s corporate governance guidelines;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the evaluation of our CEO;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and conduct an evaluation of the Board, including the composition of each Committee; and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provide guidance to the Company regarding environmental sustainability.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Safety Committee </w:t>
      </w:r>
    </w:p>
    <w:p>
      <w:pPr>
        <w:pStyle w:val="TextBody"/>
        <w:bidi w:val="0"/>
        <w:spacing w:before="120" w:after="0"/>
        <w:jc w:val="left"/>
        <w:rPr>
          <w:rFonts w:ascii="Times New Roman" w:hAnsi="Times New Roman"/>
          <w:sz w:val="20"/>
        </w:rPr>
      </w:pPr>
      <w:r>
        <w:rPr>
          <w:rFonts w:ascii="Times New Roman" w:hAnsi="Times New Roman"/>
          <w:sz w:val="20"/>
        </w:rPr>
        <w:t xml:space="preserve">The Safety Committee held a total of four meetings in 2025. Our Safety Committee consists of Marion Blakey, as chairperson, Jude Bricker, Kerry Philipovitch and Patrick O’Keeffe. Mr. O’Keeffe joined the Safety Committee in 2025. The principal duties and responsibilities of the Safety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assist the Board of Directors with overseeing the Company’s safety and security processes, procedures and reporting and promoting a robust safety culture;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management’s efforts to ensure the safety of our passengers and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our policies, procedures and investments and monitor our activities with respect to physical security and disaster preparedness;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and assist management in creating a uniform safety culture that achieves the highest possible industry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periodically review all aspects of airline and employee safety and security with management and outside experts, as necessary.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Safety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and Human Resources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and Human Resources Committee consists of Patrick O’Keeffe, as chairperson, Marion Blakey, Gail Peterson and Jennifer Vogel, each of whom is an independent director, as defined under the rules and regulations of Nasdaq. None of these directors has ever served as an officer or employee of the Company. During 2025, none of the members of the Compensation and Human Resources Committee had any relationship with the Company requiring disclosure under Item 404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None of our executive officers served as a member of the board of directors or Compensation and Human Resources Committee, or similar committee, of any other company whose executive officer(s) served as a member of our Board of Directors or our Compensation and Human Resources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Identifying and Evaluating Candidates for the Board of Directors and Succession Planning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possible candidates to serve on the Board of Directors, the Nominating and Corporate Governance Committee considers factors such as industry experience, financial and business expertise, public company service, educational background and other relevant information. The Committee considers the entirety of each candidate’s credentials and further reviews these in the context of the current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make-up</w:t>
      </w:r>
    </w:p>
    <w:p>
      <w:pPr>
        <w:pStyle w:val="TextBody"/>
        <w:bidi w:val="0"/>
        <w:spacing w:before="120" w:after="0"/>
        <w:jc w:val="left"/>
        <w:rPr>
          <w:rFonts w:ascii="Times New Roman" w:hAnsi="Times New Roman"/>
          <w:sz w:val="20"/>
        </w:rPr>
      </w:pPr>
      <w:r>
        <w:rPr>
          <w:rFonts w:ascii="Times New Roman" w:hAnsi="Times New Roman"/>
          <w:sz w:val="20"/>
        </w:rPr>
        <w:t xml:space="preserve">of the Board of Directors. In fulfilling its responsibilities, the Committee strives to maximize the Board’s effectiveness by ensuring that the Board is composed of individuals with skills and experiences that allow them to uniquely contribute to the company’s success and growth and for the full Board to leverage the individual skills and experience of each director in order to fulfill its oversight role, and support the interests of shareholders as a collective body. The Company may engage executive search firms to assist the Nominating and Corporate Governance Committee in identifying potential new directors and in the past has engaged executive search firms in identifying potential new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consultation with the Board, the Nominating and Corporate Governance Committee oversees Board of Directors succession planning. The Nominating and Corporate Governance Committee evaluates Board of Directors succession planning alternatives on an annual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Management Succession Planning </w:t>
      </w:r>
    </w:p>
    <w:p>
      <w:pPr>
        <w:pStyle w:val="TextBody"/>
        <w:bidi w:val="0"/>
        <w:spacing w:before="120" w:after="0"/>
        <w:jc w:val="left"/>
        <w:rPr>
          <w:rFonts w:ascii="Times New Roman" w:hAnsi="Times New Roman"/>
          <w:sz w:val="20"/>
        </w:rPr>
      </w:pPr>
      <w:r>
        <w:rPr>
          <w:rFonts w:ascii="Times New Roman" w:hAnsi="Times New Roman"/>
          <w:sz w:val="20"/>
        </w:rPr>
        <w:t xml:space="preserve">In consultation with the Board, the Nominating and Corporate Governance Committee and the Compensation and Human Resources Committee, alongside the Human Resources team,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evaluates its succession planning alternatives on an annual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Director Onboarding, Education &amp; Performance Evaluations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delegated to the Nominating and Corporate Governance Committee the task of monitoring, in consultation with the Chairman of the Board and with the support of management, the orientation program for new directors and continuing training/education programs for all directors. The Company maintains a corporate membership with the National Association of Corporate Directors, which allows board members access to governance resources, educational materials, and a nationwide network of other directors. Directors are encouraged to undertake continuing training/education in areas that may be of particular relevance to the Company’s business. The Nominating and Corporate Governance Committee, in consultation with the full Board, conducts annual evaluations/assessments of the Board and respective Committees, including individual interviews and written performance feedback.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and ethics is available on our website.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Executive Sessions of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Non-Management</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non-management</w:t>
      </w:r>
    </w:p>
    <w:p>
      <w:pPr>
        <w:pStyle w:val="TextBody"/>
        <w:bidi w:val="0"/>
        <w:spacing w:before="120" w:after="0"/>
        <w:jc w:val="left"/>
        <w:rPr>
          <w:rFonts w:ascii="Times New Roman" w:hAnsi="Times New Roman"/>
          <w:sz w:val="20"/>
        </w:rPr>
      </w:pPr>
      <w:r>
        <w:rPr>
          <w:rFonts w:ascii="Times New Roman" w:hAnsi="Times New Roman"/>
          <w:sz w:val="20"/>
        </w:rPr>
        <w:t xml:space="preserve">directors of the Company meet in executive sessions without management on a regular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performance goals and incentive plan structures generally established under the Company’s executive, annual and long-term incentive programs do not contribute to excessive risk-taking by our senior executives or employees. The approved goals under our incentive programs are consistent with our financial operating plans and strategies, and these programs are discussed and reviewed by the Compensation and Human Resources Committee. The Company’s compensation systems are balanced, rewarding both short-term and long-term performance, and its performance goals are team oriented, rather than individually focused, and include measurable factors and objective criteria. The Compensation and Human Resources Committee is actively engaged in setting compensation systems, monitoring those systems during the year, and using discretion in making rewards, as necessary. As a result of the procedures and practices described above, the Compensation and Human Resources Committee believes that the Company’s compensation policies and practices for its employees do not encourage risk-taking that is reasonably likely to have a material adverse effect on the Company. The Compensation and Human Resources Committee has retained Meridian Compensation Partners, LLC (“Meridian”), an independent compensation consulting company, to advise on these matters. Meridian annually conducts a compensation risk assessment of Sun Country’s executive pay programs.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Stockholder Engagement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and members of our management team routinely engage with stockholders on matters such as corporate governance, executive compensation and performance outlook, in addition to any other matters that stockholders may wish to discuss.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desiring to communicate directly with the full Board of Directors, the Audit Committee,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non-management</w:t>
      </w:r>
    </w:p>
    <w:p>
      <w:pPr>
        <w:pStyle w:val="TextBody"/>
        <w:bidi w:val="0"/>
        <w:spacing w:before="120" w:after="0"/>
        <w:jc w:val="left"/>
        <w:rPr>
          <w:rFonts w:ascii="Times New Roman" w:hAnsi="Times New Roman"/>
          <w:sz w:val="20"/>
        </w:rPr>
      </w:pPr>
      <w:r>
        <w:rPr>
          <w:rFonts w:ascii="Times New Roman" w:hAnsi="Times New Roman"/>
          <w:sz w:val="20"/>
        </w:rPr>
        <w:t xml:space="preserve">directors as a group or with any individual director or directors may do so by sending such communication in writing, addressed to the attention of the intended recipient(s), c/o Rose Neale, Chief Legal Officer, Sun Country Airlines Holdings, Inc., 2005 Cargo Road, Minneapolis, MN 55450. Interested parties may communicate anonymously and/or confidentially if they desire. All communications received that relate to accounting, internal accounting controls or auditing matters will be referred to the chairperson of the Audit Committee unless the communication is otherwise addressed. All other communications received will be forwarded to the appropriate director or directors.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Independent Director Attendance at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encourages all of our directors to attend each annual meeting of stockholders. Marion Blakey, Patrick O’Keeffe, Gail Peterson, Kerry Philipovitch and Jennifer Vogel each attended the 2025 annual meeting of stockholders.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Insider Trading Policy; Prohibition on Hedging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securities trading policy, which prohibits our directors, executive officers, and other designated employees from, among other things, purchasing any financial instruments (including prepaid variable forward contracts, equity swaps, collars, and exchange funds) or engaging in transactions that are designed to or have the effect of hedging or offsetting any decrease in market value of our equity securities. Our securities trading policy also prohibits directors, officers, and employees from engaging in the following activities with respect to our securities: (i) short sales, (ii) buying or selling puts, calls, options, or other derivatives, and (iii) purchases of securities on margin. A copy of our insider trading policy is filed as Exhibit 19.1 to our Original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Community Involvement </w:t>
      </w:r>
    </w:p>
    <w:p>
      <w:pPr>
        <w:pStyle w:val="TextBody"/>
        <w:bidi w:val="0"/>
        <w:spacing w:before="120" w:after="0"/>
        <w:jc w:val="left"/>
        <w:rPr>
          <w:rFonts w:ascii="Times New Roman" w:hAnsi="Times New Roman"/>
          <w:sz w:val="20"/>
        </w:rPr>
      </w:pPr>
      <w:r>
        <w:rPr>
          <w:rFonts w:ascii="Times New Roman" w:hAnsi="Times New Roman"/>
          <w:sz w:val="20"/>
        </w:rPr>
        <w:t xml:space="preserve">At Sun Country, we place tremendous value in all our stakeholders, including our customers, partners, and members of our community. As a fast-growing and dynamic airline, we know our success depends on collaboration with stakeholders, and we strive to engage with stakeholders in our community and more broadly.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Sun Country is a proud partner of the Department of War, and we take pride in providing charter service for our nation’s military domestically and abroad. Additionally, Sun Country is proud to help transport 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our nation’s veterans and the Department of War. </w:t>
      </w:r>
    </w:p>
    <w:p>
      <w:pPr>
        <w:pStyle w:val="TextBody"/>
        <w:bidi w:val="0"/>
        <w:spacing w:before="240" w:after="0"/>
        <w:jc w:val="left"/>
        <w:rPr>
          <w:rFonts w:ascii="Times New Roman" w:hAnsi="Times New Roman"/>
          <w:sz w:val="20"/>
        </w:rPr>
      </w:pPr>
      <w:r>
        <w:rPr>
          <w:rFonts w:ascii="Times New Roman" w:hAnsi="Times New Roman"/>
          <w:sz w:val="20"/>
        </w:rPr>
        <w:t xml:space="preserve">We are a longtime partner with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Make-A-Wish</w:t>
      </w:r>
    </w:p>
    <w:p>
      <w:pPr>
        <w:pStyle w:val="TextBody"/>
        <w:bidi w:val="0"/>
        <w:spacing w:before="240" w:after="0"/>
        <w:jc w:val="left"/>
        <w:rPr>
          <w:rFonts w:ascii="Times New Roman" w:hAnsi="Times New Roman"/>
          <w:sz w:val="20"/>
        </w:rPr>
      </w:pPr>
      <w:r>
        <w:rPr>
          <w:rFonts w:ascii="Times New Roman" w:hAnsi="Times New Roman"/>
          <w:sz w:val="20"/>
        </w:rPr>
        <w:t xml:space="preserve">Minnesota and provide flights for children with critical illnesses (referred to as “Wish Kids”) to help them safely travel to and from their wish destinations. In 2024, we renewed our three-year commitment to donate travel to accommodate Wish Kids traveling anywhere that our airline flies. Each December, our “Flight to the North Pole” helps bring holiday cheer to Wish Kids by “flying” them to the home of Santa Claus. </w:t>
      </w:r>
    </w:p>
    <w:p>
      <w:pPr>
        <w:pStyle w:val="TextBody"/>
        <w:bidi w:val="0"/>
        <w:spacing w:before="240" w:after="0"/>
        <w:jc w:val="left"/>
        <w:rPr>
          <w:rFonts w:ascii="Times New Roman" w:hAnsi="Times New Roman"/>
          <w:sz w:val="20"/>
        </w:rPr>
      </w:pPr>
      <w:r>
        <w:rPr>
          <w:rFonts w:ascii="Times New Roman" w:hAnsi="Times New Roman"/>
          <w:sz w:val="20"/>
        </w:rPr>
        <w:t xml:space="preserve">We support the development of a “workforce of tomorrow” by investing in initiatives like STARBASE STEM and Girls in Aviation, which both serve to educate and create a pipeline for historically disadvantaged students. We also sponsor the Hennepin Theatre Trust Spotlight Education program.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Sustainability Initiatives </w:t>
      </w:r>
    </w:p>
    <w:p>
      <w:pPr>
        <w:pStyle w:val="TextBody"/>
        <w:bidi w:val="0"/>
        <w:spacing w:before="120" w:after="0"/>
        <w:jc w:val="left"/>
        <w:rPr>
          <w:rFonts w:ascii="Times New Roman" w:hAnsi="Times New Roman"/>
          <w:sz w:val="20"/>
        </w:rPr>
      </w:pPr>
      <w:r>
        <w:rPr>
          <w:rFonts w:ascii="Times New Roman" w:hAnsi="Times New Roman"/>
          <w:sz w:val="20"/>
        </w:rPr>
        <w:t xml:space="preserve">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low-cost</w:t>
      </w:r>
    </w:p>
    <w:p>
      <w:pPr>
        <w:pStyle w:val="TextBody"/>
        <w:bidi w:val="0"/>
        <w:spacing w:before="120" w:after="0"/>
        <w:jc w:val="left"/>
        <w:rPr>
          <w:rFonts w:ascii="Times New Roman" w:hAnsi="Times New Roman"/>
          <w:sz w:val="20"/>
        </w:rPr>
      </w:pPr>
      <w:r>
        <w:rPr>
          <w:rFonts w:ascii="Times New Roman" w:hAnsi="Times New Roman"/>
          <w:sz w:val="20"/>
        </w:rPr>
        <w:t xml:space="preserve">business model demands that we consistently look for ways to reduce the amount of jet fuel we consume. These jet fuel reduction initiatives include the following: </w:t>
      </w:r>
    </w:p>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Efficient seating</w:t>
            </w:r>
          </w:p>
          <w:p>
            <w:pPr>
              <w:pStyle w:val="TableContents"/>
              <w:bidi w:val="0"/>
              <w:spacing w:before="0" w:after="0"/>
              <w:jc w:val="left"/>
              <w:rPr/>
            </w:pPr>
            <w:r>
              <w:rPr/>
              <w:t xml:space="preserve">– </w:t>
            </w:r>
            <w:r>
              <w:rPr>
                <w:rFonts w:ascii="Times New Roman" w:hAnsi="Times New Roman"/>
                <w:sz w:val="20"/>
              </w:rPr>
              <w:t xml:space="preserve">we optimize the number of seats on our planes, making each flight as fuel efficient as possible.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Focus on demand</w:t>
            </w:r>
          </w:p>
          <w:p>
            <w:pPr>
              <w:pStyle w:val="TableContents"/>
              <w:bidi w:val="0"/>
              <w:spacing w:before="0" w:after="0"/>
              <w:jc w:val="left"/>
              <w:rPr/>
            </w:pPr>
            <w:r>
              <w:rPr/>
              <w:t xml:space="preserve">– </w:t>
            </w:r>
            <w:r>
              <w:rPr>
                <w:rFonts w:ascii="Times New Roman" w:hAnsi="Times New Roman"/>
                <w:sz w:val="20"/>
              </w:rPr>
              <w:t xml:space="preserve">we understand our customers’ travel needs and patterns. We conserve fuel by limiting ferry flights and flying only when and where demand exists.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On-the-ground</w:t>
            </w:r>
          </w:p>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tactics</w:t>
            </w:r>
          </w:p>
          <w:p>
            <w:pPr>
              <w:pStyle w:val="TableContents"/>
              <w:bidi w:val="0"/>
              <w:spacing w:before="0" w:after="0"/>
              <w:jc w:val="left"/>
              <w:rPr/>
            </w:pPr>
            <w:r>
              <w:rPr/>
              <w:t xml:space="preserve">– </w:t>
            </w:r>
            <w:r>
              <w:rPr>
                <w:rFonts w:ascii="Times New Roman" w:hAnsi="Times New Roman"/>
                <w:sz w:val="20"/>
              </w:rPr>
              <w:t xml:space="preserve">our commitment to fuel efficiency includes tactical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on-ground</w:t>
            </w:r>
          </w:p>
          <w:p>
            <w:pPr>
              <w:pStyle w:val="TableContents"/>
              <w:bidi w:val="0"/>
              <w:spacing w:before="0" w:after="0"/>
              <w:jc w:val="left"/>
              <w:rPr>
                <w:rFonts w:ascii="Times New Roman" w:hAnsi="Times New Roman"/>
                <w:sz w:val="20"/>
              </w:rPr>
            </w:pPr>
            <w:r>
              <w:rPr>
                <w:rFonts w:ascii="Times New Roman" w:hAnsi="Times New Roman"/>
                <w:sz w:val="20"/>
              </w:rPr>
              <w:t xml:space="preserve">procedures, such as only using one engine to taxi around the airport and utilizing super tugs to position aircraft, which allows us to reduce fuel consumption.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names of the current executive officers of the Company (and their respective ages as of the date of this Amendment) are set forth below. </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1565"/>
        <w:gridCol w:w="120"/>
        <w:gridCol w:w="425"/>
        <w:gridCol w:w="120"/>
        <w:gridCol w:w="642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Age</w:t>
            </w:r>
          </w:p>
        </w:tc>
        <w:tc>
          <w:tcPr>
            <w:tcW w:w="120" w:type="dxa"/>
            <w:tcBorders/>
            <w:vAlign w:val="center"/>
          </w:tcPr>
          <w:p>
            <w:pPr>
              <w:pStyle w:val="TableContents"/>
              <w:bidi w:val="0"/>
              <w:spacing w:before="0" w:after="283"/>
              <w:jc w:val="left"/>
              <w:rPr/>
            </w:pPr>
            <w:r>
              <w:rPr/>
              <w:t>  </w:t>
            </w:r>
          </w:p>
        </w:tc>
        <w:tc>
          <w:tcPr>
            <w:tcW w:w="64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52</w:t>
            </w:r>
          </w:p>
        </w:tc>
        <w:tc>
          <w:tcPr>
            <w:tcW w:w="120" w:type="dxa"/>
            <w:tcBorders/>
            <w:shd w:fill="CCEEFF" w:val="clear"/>
            <w:vAlign w:val="center"/>
          </w:tcPr>
          <w:p>
            <w:pPr>
              <w:pStyle w:val="TableContents"/>
              <w:bidi w:val="0"/>
              <w:spacing w:before="0" w:after="283"/>
              <w:jc w:val="left"/>
              <w:rPr/>
            </w:pPr>
            <w:r>
              <w:rPr/>
              <w:t>  </w:t>
            </w:r>
          </w:p>
        </w:tc>
        <w:tc>
          <w:tcPr>
            <w:tcW w:w="6425" w:type="dxa"/>
            <w:tcBorders/>
            <w:shd w:fill="CCEEFF" w:val="clear"/>
            <w:vAlign w:val="center"/>
          </w:tcPr>
          <w:p>
            <w:pPr>
              <w:pStyle w:val="TableContents"/>
              <w:bidi w:val="0"/>
              <w:spacing w:before="0" w:after="283"/>
              <w:jc w:val="left"/>
              <w:rPr/>
            </w:pPr>
            <w:r>
              <w:rPr/>
              <w:t>President and Chief Executive Officer; Director</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55</w:t>
            </w:r>
          </w:p>
        </w:tc>
        <w:tc>
          <w:tcPr>
            <w:tcW w:w="12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Chief Financial Officer and Senior Vice President</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40</w:t>
            </w:r>
          </w:p>
        </w:tc>
        <w:tc>
          <w:tcPr>
            <w:tcW w:w="120" w:type="dxa"/>
            <w:tcBorders/>
            <w:shd w:fill="CCEEFF" w:val="clear"/>
            <w:vAlign w:val="center"/>
          </w:tcPr>
          <w:p>
            <w:pPr>
              <w:pStyle w:val="TableContents"/>
              <w:bidi w:val="0"/>
              <w:spacing w:before="0" w:after="283"/>
              <w:jc w:val="left"/>
              <w:rPr/>
            </w:pPr>
            <w:r>
              <w:rPr/>
              <w:t>  </w:t>
            </w:r>
          </w:p>
        </w:tc>
        <w:tc>
          <w:tcPr>
            <w:tcW w:w="6425" w:type="dxa"/>
            <w:tcBorders/>
            <w:shd w:fill="CCEEFF" w:val="clear"/>
            <w:vAlign w:val="center"/>
          </w:tcPr>
          <w:p>
            <w:pPr>
              <w:pStyle w:val="TableContents"/>
              <w:bidi w:val="0"/>
              <w:spacing w:before="0" w:after="283"/>
              <w:jc w:val="left"/>
              <w:rPr/>
            </w:pPr>
            <w:r>
              <w:rPr/>
              <w:t>Chief Operating Officer and Senior Vice President</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51</w:t>
            </w:r>
          </w:p>
        </w:tc>
        <w:tc>
          <w:tcPr>
            <w:tcW w:w="12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Chief Legal Officer, Senior Vice President and Corporate Secretary</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37</w:t>
            </w:r>
          </w:p>
        </w:tc>
        <w:tc>
          <w:tcPr>
            <w:tcW w:w="120" w:type="dxa"/>
            <w:tcBorders/>
            <w:shd w:fill="CCEEFF" w:val="clear"/>
            <w:vAlign w:val="center"/>
          </w:tcPr>
          <w:p>
            <w:pPr>
              <w:pStyle w:val="TableContents"/>
              <w:bidi w:val="0"/>
              <w:spacing w:before="0" w:after="283"/>
              <w:jc w:val="left"/>
              <w:rPr/>
            </w:pPr>
            <w:r>
              <w:rPr/>
              <w:t>  </w:t>
            </w:r>
          </w:p>
        </w:tc>
        <w:tc>
          <w:tcPr>
            <w:tcW w:w="6425" w:type="dxa"/>
            <w:tcBorders/>
            <w:shd w:fill="CCEEFF" w:val="clear"/>
            <w:vAlign w:val="center"/>
          </w:tcPr>
          <w:p>
            <w:pPr>
              <w:pStyle w:val="TableContents"/>
              <w:bidi w:val="0"/>
              <w:spacing w:before="0" w:after="283"/>
              <w:jc w:val="left"/>
              <w:rPr/>
            </w:pPr>
            <w:r>
              <w:rPr/>
              <w:t>Chief Commercial Officer and Senior Vice President</w:t>
            </w:r>
          </w:p>
        </w:tc>
      </w:tr>
    </w:tbl>
    <w:p>
      <w:pPr>
        <w:pStyle w:val="TextBody"/>
        <w:bidi w:val="0"/>
        <w:spacing w:before="240" w:after="0"/>
        <w:jc w:val="left"/>
        <w:rPr>
          <w:rFonts w:ascii="Times New Roman" w:hAnsi="Times New Roman"/>
          <w:b/>
          <w:spacing w:val="0"/>
          <w:sz w:val="20"/>
        </w:rPr>
      </w:pPr>
      <w:r>
        <w:rPr>
          <w:rFonts w:ascii="Times New Roman" w:hAnsi="Times New Roman"/>
          <w:b/>
          <w:spacing w:val="0"/>
          <w:sz w:val="20"/>
        </w:rPr>
        <w:t>Jude Bricker.</w:t>
      </w:r>
    </w:p>
    <w:p>
      <w:pPr>
        <w:pStyle w:val="TextBody"/>
        <w:bidi w:val="0"/>
        <w:spacing w:before="240" w:after="0"/>
        <w:jc w:val="left"/>
        <w:rPr>
          <w:rFonts w:ascii="Times New Roman" w:hAnsi="Times New Roman"/>
          <w:sz w:val="20"/>
        </w:rPr>
      </w:pPr>
      <w:r>
        <w:rPr>
          <w:rFonts w:ascii="Times New Roman" w:hAnsi="Times New Roman"/>
          <w:sz w:val="20"/>
        </w:rPr>
        <w:t xml:space="preserve">Mr. Bricker has served as our Chief Executive Officer since July 2017 and as a member of our Board of Directors since April 2018, and was appointed President in April 2025. Mr. Bricker has 20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 Additionally, Mr. Bricker served as an infantry officer with the United States Marine Corps from 1996 to 2002. Mr. Bricker is an independent board member of SAS Airlines.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D. Torque Zubeck.</w:t>
      </w:r>
    </w:p>
    <w:p>
      <w:pPr>
        <w:pStyle w:val="TextBody"/>
        <w:bidi w:val="0"/>
        <w:spacing w:before="240" w:after="0"/>
        <w:jc w:val="left"/>
        <w:rPr>
          <w:rFonts w:ascii="Times New Roman" w:hAnsi="Times New Roman"/>
          <w:sz w:val="20"/>
        </w:rPr>
      </w:pPr>
      <w:r>
        <w:rPr>
          <w:rFonts w:ascii="Times New Roman" w:hAnsi="Times New Roman"/>
          <w:sz w:val="20"/>
        </w:rPr>
        <w:t xml:space="preserve">Mr. Zubeck has served as our Chief Financial Officer since September 2025. Mr. Zubeck has more than 30 years of business experience including more than 22 years of airline leadership roles. He served as Chief Financial Officer of Mesa Airlines from 2021 to 2023. He also served as Chief Financial Officer for Continuant from 2023 to 2024, and as Chief Financial Officer for Seattle Hospitality Group from 2024 to 2025. Prior thereto, Mr. Zubeck worked for 20 years at Alaska Airlines serving in several senior roles including Managing director of Audit Programs, Managing Director of Financial &amp; Strategic Planning, and Managing Director of Air Cargo. He also led the successful integration of Virgin America into Alaska Airlines as the Managing Director of integration management office. Mr. Zubeck earned his bachelor’s degree at Stanford University and MBA at Eastern Michigan University.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Stephen Coley.</w:t>
      </w:r>
    </w:p>
    <w:p>
      <w:pPr>
        <w:pStyle w:val="TextBody"/>
        <w:bidi w:val="0"/>
        <w:spacing w:before="240" w:after="0"/>
        <w:jc w:val="left"/>
        <w:rPr>
          <w:rFonts w:ascii="Times New Roman" w:hAnsi="Times New Roman"/>
          <w:sz w:val="20"/>
        </w:rPr>
      </w:pPr>
      <w:r>
        <w:rPr>
          <w:rFonts w:ascii="Times New Roman" w:hAnsi="Times New Roman"/>
          <w:sz w:val="20"/>
        </w:rPr>
        <w:t xml:space="preserve">Mr. Coley serves as Chief Operating Officer and Senior Vice President of Sun Country Airlines, effective January 6, 2026. In this role, he leads Flight Operations, Ground Operations, Technical Operations, Inflight, Organizational Research and Analysis, Safety and Security, and the System Operations Control (SOC) center. Prior to his current position, Mr. Coley initially served as Vice President of Technical Operations when he joined Sun Country in January 2025, until he was subsequently promoted to serve as Interim Head of Operations in April 2025, a role which became permanent, effective August 13, 2025. Prior to joining Sun Country, Mr. Coley previously held the role of Director of Base Maintenance at United Airlines in 2023 and spent several years in progressive leadership positions at HAECO Americas. Earlier in his career, he held multiple roles with TIMCO Aviation Services from 2005 to 2012. Mr. Coley began his career as an Airframe and Powerplant Technician, building a strong technical foundation that continues to inform his leadership approach. He earned his Airframe and Powerplant (A&amp;P) certification from Guilford Technical Community College. With more than 22 years of aviation and operational experience, Mr. Coley brings deep industry expertise and a pragmatic, strategic perspective to advancing Sun Country’s operational performance.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Rose Neale.</w:t>
      </w:r>
    </w:p>
    <w:p>
      <w:pPr>
        <w:pStyle w:val="TextBody"/>
        <w:bidi w:val="0"/>
        <w:spacing w:before="240" w:after="0"/>
        <w:jc w:val="left"/>
        <w:rPr>
          <w:rFonts w:ascii="Times New Roman" w:hAnsi="Times New Roman"/>
          <w:sz w:val="20"/>
        </w:rPr>
      </w:pPr>
      <w:r>
        <w:rPr>
          <w:rFonts w:ascii="Times New Roman" w:hAnsi="Times New Roman"/>
          <w:sz w:val="20"/>
        </w:rPr>
        <w:t xml:space="preserve">Ms. Neale is Sun Country’s Chief Legal Officer, Senior Vice President and Corporate Secretary. Ms. Neale previously served as General Counsel beginning in July 2022 and, before that, as Associate General Counsel and Vice President. She oversees all legal matters and has enterprise responsibility for airport and government affairs, fleet, fuel procurement, insurance, facilities, and sourcing. Prior to joining Sun Country in 2021, Ms. Neale was Managing Counsel at Castlelake, a top quartile private equity investment advisor, where she had legal oversight of the firm’s aviation investments and debt and equity capital raising activities. Earlier in her career, she practiced corporate law and served as legal counsel for an investment firm. Ms. Neale earned her Juris Doctor from the University of Arizona James E. Rogers College of Law and her Bachelor of Science from the University of Arizona. She also holds a Master of Laws in Taxation from New York University School of Law. In addition, Ms. Neale served as Chair of the National Air Carriers Association and is Vice Chair of the Board of Directors of Minnesota Make a Wish, where she also serves as member of the Executive Committee and Chair of the Governance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Colton M. Snow. </w:t>
      </w:r>
    </w:p>
    <w:p>
      <w:pPr>
        <w:pStyle w:val="TextBody"/>
        <w:bidi w:val="0"/>
        <w:spacing w:before="0" w:after="0"/>
        <w:jc w:val="left"/>
        <w:rPr>
          <w:rFonts w:ascii="Times New Roman" w:hAnsi="Times New Roman"/>
          <w:sz w:val="20"/>
        </w:rPr>
      </w:pPr>
      <w:r>
        <w:rPr>
          <w:rFonts w:ascii="Times New Roman" w:hAnsi="Times New Roman"/>
          <w:sz w:val="20"/>
        </w:rPr>
        <w:t xml:space="preserve">Mr. Snow is Sun Country’s Chief Commercial Officer and Senior Vice President, effective as of January 6, 2026. Prior to this, he served as Sun Country’s Senior Vice President and Chief Marketing Officer. In his role, he leads the teams responsible for Network Planning, Revenue, Charter, Brand, Communications, Customer Acquisition, eCommerce, Loyalty, and Customer Service and Experience. Previously, Colton spent six years leading the Sun Country eCommerce and Product teams and six years with Allegiant (NASDAQ: ALGT), where he served in leadership positions in loyalty and customer experience. He received a BS in Finance &amp; Information Systems from the University of Montana.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the fiscal year ended December 31, 2025, or written representations that no other reports were required, the Company believes that our Section 16(a) reporting persons complied with all applicable filing requirements during the fiscal year ended December 31, 2025, except that one Form 3 for Christopher M. Mangione reporting his initial ownership interests as of the date he first became an insider on November 16, 2025 was filed late.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11: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rPr>
      </w:pPr>
      <w:r>
        <w:rPr>
          <w:rFonts w:ascii="Times New Roman" w:hAnsi="Times New Roman"/>
          <w:b/>
          <w:sz w:val="20"/>
        </w:rPr>
        <w:t>C</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OMPENSATION</w:t>
      </w:r>
    </w:p>
    <w:p>
      <w:pPr>
        <w:pStyle w:val="TextBody"/>
        <w:bidi w:val="0"/>
        <w:spacing w:before="120" w:after="0"/>
        <w:jc w:val="left"/>
        <w:rPr>
          <w:rFonts w:ascii="Times New Roman" w:hAnsi="Times New Roman"/>
          <w:b/>
          <w:sz w:val="20"/>
        </w:rPr>
      </w:pPr>
      <w:r>
        <w:rPr>
          <w:rFonts w:ascii="Times New Roman" w:hAnsi="Times New Roman"/>
          <w:b/>
          <w:sz w:val="20"/>
        </w:rPr>
        <w:t>D</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ISCUSSION</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AND</w:t>
      </w:r>
    </w:p>
    <w:p>
      <w:pPr>
        <w:pStyle w:val="TextBody"/>
        <w:bidi w:val="0"/>
        <w:spacing w:before="120" w:after="0"/>
        <w:jc w:val="left"/>
        <w:rPr>
          <w:rFonts w:ascii="Times New Roman" w:hAnsi="Times New Roman"/>
          <w:b/>
          <w:sz w:val="20"/>
        </w:rPr>
      </w:pPr>
      <w:r>
        <w:rPr>
          <w:rFonts w:ascii="Times New Roman" w:hAnsi="Times New Roman"/>
          <w:b/>
          <w:sz w:val="20"/>
        </w:rPr>
        <w:t>A</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NALYSIS</w:t>
      </w:r>
    </w:p>
    <w:p>
      <w:pPr>
        <w:pStyle w:val="TextBody"/>
        <w:bidi w:val="0"/>
        <w:spacing w:before="480" w:after="0"/>
        <w:jc w:val="center"/>
        <w:rPr>
          <w:rFonts w:ascii="Times New Roman" w:hAnsi="Times New Roman"/>
          <w:b/>
          <w:sz w:val="20"/>
        </w:rPr>
      </w:pPr>
      <w:r>
        <w:rPr>
          <w:rFonts w:ascii="Times New Roman" w:hAnsi="Times New Roman"/>
          <w:b/>
          <w:sz w:val="20"/>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This section explains our executive compensation philosophy, objectives, and design; our compensation governance; our compensation-setting process; our executive compensation program elements; and the decisions made in 2025 with respect to the compensation of each of our named executive officers (“NEOs”). </w:t>
      </w:r>
    </w:p>
    <w:p>
      <w:pPr>
        <w:pStyle w:val="TextBody"/>
        <w:bidi w:val="0"/>
        <w:spacing w:before="240" w:after="0"/>
        <w:jc w:val="left"/>
        <w:rPr>
          <w:rFonts w:ascii="Times New Roman" w:hAnsi="Times New Roman"/>
          <w:sz w:val="20"/>
        </w:rPr>
      </w:pPr>
      <w:r>
        <w:rPr>
          <w:rFonts w:ascii="Times New Roman" w:hAnsi="Times New Roman"/>
          <w:sz w:val="20"/>
        </w:rPr>
        <w:t xml:space="preserve">Our NEOs for 2025 are: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940"/>
        <w:gridCol w:w="120"/>
        <w:gridCol w:w="4820"/>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48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1940" w:type="dxa"/>
            <w:tcBorders/>
            <w:shd w:fill="CCEEFF" w:val="clear"/>
            <w:vAlign w:val="center"/>
          </w:tcPr>
          <w:p>
            <w:pPr>
              <w:pStyle w:val="TableContents"/>
              <w:bidi w:val="0"/>
              <w:spacing w:before="0" w:after="0"/>
              <w:jc w:val="left"/>
              <w:rPr>
                <w:b/>
                <w:spacing w:val="0"/>
              </w:rPr>
            </w:pPr>
            <w:r>
              <w:rPr>
                <w:b/>
                <w:spacing w:val="0"/>
              </w:rPr>
              <w:t>Jude Bricker</w:t>
            </w:r>
          </w:p>
        </w:tc>
        <w:tc>
          <w:tcPr>
            <w:tcW w:w="120" w:type="dxa"/>
            <w:tcBorders/>
            <w:shd w:fill="CCEEFF" w:val="clear"/>
            <w:vAlign w:val="center"/>
          </w:tcPr>
          <w:p>
            <w:pPr>
              <w:pStyle w:val="TableContents"/>
              <w:bidi w:val="0"/>
              <w:spacing w:before="0" w:after="283"/>
              <w:jc w:val="left"/>
              <w:rPr/>
            </w:pPr>
            <w:r>
              <w:rPr/>
              <w:t>  </w:t>
            </w:r>
          </w:p>
        </w:tc>
        <w:tc>
          <w:tcPr>
            <w:tcW w:w="4820" w:type="dxa"/>
            <w:tcBorders/>
            <w:shd w:fill="CCEEFF" w:val="clear"/>
            <w:vAlign w:val="center"/>
          </w:tcPr>
          <w:p>
            <w:pPr>
              <w:pStyle w:val="TableContents"/>
              <w:bidi w:val="0"/>
              <w:spacing w:before="0" w:after="283"/>
              <w:jc w:val="left"/>
              <w:rPr/>
            </w:pPr>
            <w:r>
              <w:rPr/>
              <w:t>President and Chief Executive Officer</w:t>
            </w:r>
          </w:p>
        </w:tc>
      </w:tr>
      <w:tr>
        <w:trPr/>
        <w:tc>
          <w:tcPr>
            <w:tcW w:w="1940" w:type="dxa"/>
            <w:tcBorders/>
            <w:vAlign w:val="center"/>
          </w:tcPr>
          <w:p>
            <w:pPr>
              <w:pStyle w:val="TableContents"/>
              <w:bidi w:val="0"/>
              <w:spacing w:before="0" w:after="0"/>
              <w:jc w:val="left"/>
              <w:rPr>
                <w:b/>
                <w:spacing w:val="0"/>
              </w:rPr>
            </w:pPr>
            <w:r>
              <w:rPr>
                <w:b/>
                <w:spacing w:val="0"/>
              </w:rPr>
              <w:t>D. Torque Zubeck</w:t>
            </w:r>
          </w:p>
        </w:tc>
        <w:tc>
          <w:tcPr>
            <w:tcW w:w="12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SVP, Chief Financial Officer</w:t>
            </w:r>
          </w:p>
        </w:tc>
      </w:tr>
      <w:tr>
        <w:trPr/>
        <w:tc>
          <w:tcPr>
            <w:tcW w:w="1940" w:type="dxa"/>
            <w:tcBorders/>
            <w:shd w:fill="CCEEFF" w:val="clear"/>
            <w:vAlign w:val="center"/>
          </w:tcPr>
          <w:p>
            <w:pPr>
              <w:pStyle w:val="TableContents"/>
              <w:bidi w:val="0"/>
              <w:spacing w:before="0" w:after="0"/>
              <w:jc w:val="left"/>
              <w:rPr>
                <w:b/>
                <w:spacing w:val="0"/>
              </w:rPr>
            </w:pPr>
            <w:r>
              <w:rPr>
                <w:b/>
                <w:spacing w:val="0"/>
              </w:rPr>
              <w:t>Stephen Coley</w:t>
            </w:r>
          </w:p>
        </w:tc>
        <w:tc>
          <w:tcPr>
            <w:tcW w:w="120" w:type="dxa"/>
            <w:tcBorders/>
            <w:shd w:fill="CCEEFF" w:val="clear"/>
            <w:vAlign w:val="center"/>
          </w:tcPr>
          <w:p>
            <w:pPr>
              <w:pStyle w:val="TableContents"/>
              <w:bidi w:val="0"/>
              <w:spacing w:before="0" w:after="283"/>
              <w:jc w:val="left"/>
              <w:rPr/>
            </w:pPr>
            <w:r>
              <w:rPr/>
              <w:t>  </w:t>
            </w:r>
          </w:p>
        </w:tc>
        <w:tc>
          <w:tcPr>
            <w:tcW w:w="4820" w:type="dxa"/>
            <w:tcBorders/>
            <w:shd w:fill="CCEEFF" w:val="clear"/>
            <w:vAlign w:val="center"/>
          </w:tcPr>
          <w:p>
            <w:pPr>
              <w:pStyle w:val="TableContents"/>
              <w:bidi w:val="0"/>
              <w:spacing w:before="0" w:after="283"/>
              <w:jc w:val="left"/>
              <w:rPr/>
            </w:pPr>
            <w:r>
              <w:rPr/>
              <w:t>SVP, Chief Operating Officer</w:t>
            </w:r>
          </w:p>
        </w:tc>
      </w:tr>
      <w:tr>
        <w:trPr/>
        <w:tc>
          <w:tcPr>
            <w:tcW w:w="1940" w:type="dxa"/>
            <w:tcBorders/>
            <w:vAlign w:val="center"/>
          </w:tcPr>
          <w:p>
            <w:pPr>
              <w:pStyle w:val="TableContents"/>
              <w:bidi w:val="0"/>
              <w:spacing w:before="0" w:after="0"/>
              <w:jc w:val="left"/>
              <w:rPr>
                <w:b/>
                <w:spacing w:val="0"/>
              </w:rPr>
            </w:pPr>
            <w:r>
              <w:rPr>
                <w:b/>
                <w:spacing w:val="0"/>
              </w:rPr>
              <w:t>Rose Neale</w:t>
            </w:r>
          </w:p>
        </w:tc>
        <w:tc>
          <w:tcPr>
            <w:tcW w:w="12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SVP, Chief Legal Officer and Corporate Secretary</w:t>
            </w:r>
          </w:p>
        </w:tc>
      </w:tr>
      <w:tr>
        <w:trPr/>
        <w:tc>
          <w:tcPr>
            <w:tcW w:w="1940" w:type="dxa"/>
            <w:tcBorders/>
            <w:shd w:fill="CCEEFF" w:val="clear"/>
            <w:vAlign w:val="center"/>
          </w:tcPr>
          <w:p>
            <w:pPr>
              <w:pStyle w:val="TableContents"/>
              <w:bidi w:val="0"/>
              <w:spacing w:before="0" w:after="0"/>
              <w:jc w:val="left"/>
              <w:rPr>
                <w:b/>
                <w:spacing w:val="0"/>
              </w:rPr>
            </w:pPr>
            <w:r>
              <w:rPr>
                <w:b/>
                <w:spacing w:val="0"/>
              </w:rPr>
              <w:t>Colton M. Snow</w:t>
            </w:r>
          </w:p>
        </w:tc>
        <w:tc>
          <w:tcPr>
            <w:tcW w:w="120" w:type="dxa"/>
            <w:tcBorders/>
            <w:shd w:fill="CCEEFF" w:val="clear"/>
            <w:vAlign w:val="center"/>
          </w:tcPr>
          <w:p>
            <w:pPr>
              <w:pStyle w:val="TableContents"/>
              <w:bidi w:val="0"/>
              <w:spacing w:before="0" w:after="283"/>
              <w:jc w:val="left"/>
              <w:rPr/>
            </w:pPr>
            <w:r>
              <w:rPr/>
              <w:t>  </w:t>
            </w:r>
          </w:p>
        </w:tc>
        <w:tc>
          <w:tcPr>
            <w:tcW w:w="4820" w:type="dxa"/>
            <w:tcBorders/>
            <w:shd w:fill="CCEEFF" w:val="clear"/>
            <w:vAlign w:val="center"/>
          </w:tcPr>
          <w:p>
            <w:pPr>
              <w:pStyle w:val="TableContents"/>
              <w:bidi w:val="0"/>
              <w:spacing w:before="0" w:after="283"/>
              <w:jc w:val="left"/>
              <w:rPr/>
            </w:pPr>
            <w:r>
              <w:rPr/>
              <w:t>SVP, Chief Commercial Officer</w:t>
            </w:r>
          </w:p>
        </w:tc>
      </w:tr>
      <w:tr>
        <w:trPr/>
        <w:tc>
          <w:tcPr>
            <w:tcW w:w="1940" w:type="dxa"/>
            <w:tcBorders/>
            <w:vAlign w:val="center"/>
          </w:tcPr>
          <w:p>
            <w:pPr>
              <w:pStyle w:val="TableContents"/>
              <w:bidi w:val="0"/>
              <w:spacing w:before="0" w:after="0"/>
              <w:jc w:val="left"/>
              <w:rPr>
                <w:b/>
                <w:spacing w:val="0"/>
              </w:rPr>
            </w:pPr>
            <w:r>
              <w:rPr>
                <w:b/>
                <w:spacing w:val="0"/>
              </w:rPr>
              <w:t>Dave Davis</w:t>
            </w:r>
          </w:p>
        </w:tc>
        <w:tc>
          <w:tcPr>
            <w:tcW w:w="12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Former President and Chief Financial Officer</w:t>
            </w:r>
          </w:p>
        </w:tc>
      </w:tr>
      <w:tr>
        <w:trPr/>
        <w:tc>
          <w:tcPr>
            <w:tcW w:w="1940" w:type="dxa"/>
            <w:tcBorders/>
            <w:shd w:fill="CCEEFF" w:val="clear"/>
            <w:vAlign w:val="center"/>
          </w:tcPr>
          <w:p>
            <w:pPr>
              <w:pStyle w:val="TableContents"/>
              <w:bidi w:val="0"/>
              <w:spacing w:before="0" w:after="0"/>
              <w:jc w:val="left"/>
              <w:rPr>
                <w:b/>
                <w:spacing w:val="0"/>
              </w:rPr>
            </w:pPr>
            <w:r>
              <w:rPr>
                <w:b/>
                <w:spacing w:val="0"/>
              </w:rPr>
              <w:t>Bill Trousdale</w:t>
            </w:r>
          </w:p>
        </w:tc>
        <w:tc>
          <w:tcPr>
            <w:tcW w:w="120" w:type="dxa"/>
            <w:tcBorders/>
            <w:shd w:fill="CCEEFF" w:val="clear"/>
            <w:vAlign w:val="center"/>
          </w:tcPr>
          <w:p>
            <w:pPr>
              <w:pStyle w:val="TableContents"/>
              <w:bidi w:val="0"/>
              <w:spacing w:before="0" w:after="283"/>
              <w:jc w:val="left"/>
              <w:rPr/>
            </w:pPr>
            <w:r>
              <w:rPr/>
              <w:t>  </w:t>
            </w:r>
          </w:p>
        </w:tc>
        <w:tc>
          <w:tcPr>
            <w:tcW w:w="4820" w:type="dxa"/>
            <w:tcBorders/>
            <w:shd w:fill="CCEEFF" w:val="clear"/>
            <w:vAlign w:val="center"/>
          </w:tcPr>
          <w:p>
            <w:pPr>
              <w:pStyle w:val="TableContents"/>
              <w:bidi w:val="0"/>
              <w:spacing w:before="0" w:after="283"/>
              <w:jc w:val="left"/>
              <w:rPr/>
            </w:pPr>
            <w:r>
              <w:rPr/>
              <w:t>Former SVP and Interim Chief Financial Officer</w:t>
            </w:r>
          </w:p>
        </w:tc>
      </w:tr>
      <w:tr>
        <w:trPr/>
        <w:tc>
          <w:tcPr>
            <w:tcW w:w="1940" w:type="dxa"/>
            <w:tcBorders/>
            <w:vAlign w:val="center"/>
          </w:tcPr>
          <w:p>
            <w:pPr>
              <w:pStyle w:val="TableContents"/>
              <w:bidi w:val="0"/>
              <w:spacing w:before="0" w:after="0"/>
              <w:jc w:val="left"/>
              <w:rPr>
                <w:b/>
                <w:spacing w:val="0"/>
              </w:rPr>
            </w:pPr>
            <w:r>
              <w:rPr>
                <w:b/>
                <w:spacing w:val="0"/>
              </w:rPr>
              <w:t>Gregory Mays</w:t>
            </w:r>
          </w:p>
        </w:tc>
        <w:tc>
          <w:tcPr>
            <w:tcW w:w="12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Former EVP, Chief Operating Officer</w:t>
            </w:r>
          </w:p>
        </w:tc>
      </w:tr>
      <w:tr>
        <w:trPr/>
        <w:tc>
          <w:tcPr>
            <w:tcW w:w="1940" w:type="dxa"/>
            <w:tcBorders/>
            <w:shd w:fill="CCEEFF" w:val="clear"/>
            <w:vAlign w:val="center"/>
          </w:tcPr>
          <w:p>
            <w:pPr>
              <w:pStyle w:val="TableContents"/>
              <w:bidi w:val="0"/>
              <w:spacing w:before="0" w:after="0"/>
              <w:jc w:val="left"/>
              <w:rPr>
                <w:b/>
                <w:spacing w:val="0"/>
              </w:rPr>
            </w:pPr>
            <w:r>
              <w:rPr>
                <w:b/>
                <w:spacing w:val="0"/>
              </w:rPr>
              <w:t>Grant Whitney</w:t>
            </w:r>
          </w:p>
        </w:tc>
        <w:tc>
          <w:tcPr>
            <w:tcW w:w="120" w:type="dxa"/>
            <w:tcBorders/>
            <w:shd w:fill="CCEEFF" w:val="clear"/>
            <w:vAlign w:val="center"/>
          </w:tcPr>
          <w:p>
            <w:pPr>
              <w:pStyle w:val="TableContents"/>
              <w:bidi w:val="0"/>
              <w:spacing w:before="0" w:after="283"/>
              <w:jc w:val="left"/>
              <w:rPr/>
            </w:pPr>
            <w:r>
              <w:rPr/>
              <w:t>  </w:t>
            </w:r>
          </w:p>
        </w:tc>
        <w:tc>
          <w:tcPr>
            <w:tcW w:w="4820" w:type="dxa"/>
            <w:tcBorders/>
            <w:shd w:fill="CCEEFF" w:val="clear"/>
            <w:vAlign w:val="center"/>
          </w:tcPr>
          <w:p>
            <w:pPr>
              <w:pStyle w:val="TableContents"/>
              <w:bidi w:val="0"/>
              <w:spacing w:before="0" w:after="283"/>
              <w:jc w:val="left"/>
              <w:rPr/>
            </w:pPr>
            <w:r>
              <w:rPr/>
              <w:t>Former SVP and Chief Revenue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April of 2025 and October of 2025, the Company announced changes to certain of our executive leadership team members. Mr. Dave Davis, our former President and Chief Financial Officer and former member of our Board of Directors, resigned from his position as President and Chief Financial Officer and as a member of the Board of Directors, effective as of April 16, 2025. Mr. Gregory Mays, our former Chief Operating Officer, resigned from his position as Chief Operating Officer effective as of April 17, 2025, but remained an employee of the Company for a period of time thereafter, to assist in the transition of his duties and responsibilities. The departures of Messrs. Davis and Mays were unrelated, with each of them deciding to pursue their own respective opportunities. In 2025, the Company implemented a transition plan related to these departures as part of a broader transition in its executive leadership team roles/responsibilities.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Davis’ departure, our Board of Directors appointed Mr. Bill Trousdale to serve as interim Chief Financial Officer while the Company underwent a search process to identify a permanent Chief Financial Officer. In August of 2025, the Company announced the appointment of Mr. Daniel Torque Zubeck (referred to herein as D. Torque Zubeck) as our new Chief Financial Officer. Following Mr. Zubeck’s appointment, Mr. Trousdale returned to his prior role as Vice President of Financial Planning and Analysis and Treasurer and subsequently resigned from his position effective as of December 5,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2025 Compensation Overview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Compensation and Human Resources Committee, based on the recommendations and insight provided by Meridian in connection with the Board’s ongoing holistic review of the Company’s executive arrangements and to acknowledge the respective employee’s importance to us and our stockholders and to motivate and support retention and continuity of key management personnel, approved certain executive employment letters (each, an “employment letter”) that were entered into with each of our current NEOs (other than Mr. Bricker), which provide for certain severance payments and benefits in the event such NEO’s service with the Company is terminated without “cause” or for “good reason,” including accelerated vesting of all unvested time-based restricted stock units in the event such qualifying termination occurs on or within 24 months following a change in control of Sun Country. In October of 2025, the Compensation and Human Resources Committee further approved similar ‘double trigger’ vesting provisions for all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non-NEO</w:t>
      </w:r>
    </w:p>
    <w:p>
      <w:pPr>
        <w:pStyle w:val="TextBody"/>
        <w:bidi w:val="0"/>
        <w:spacing w:before="120" w:after="0"/>
        <w:jc w:val="left"/>
        <w:rPr>
          <w:rFonts w:ascii="Times New Roman" w:hAnsi="Times New Roman"/>
          <w:sz w:val="20"/>
        </w:rPr>
      </w:pPr>
      <w:r>
        <w:rPr>
          <w:rFonts w:ascii="Times New Roman" w:hAnsi="Times New Roman"/>
          <w:sz w:val="20"/>
        </w:rPr>
        <w:t>employees who hold time-based restricted stock units, which similarly provide for accelerated vesting of all unvested time-based restricted stock units in the event such employee’s employment is terminated without “cause” on or within 24 months following a change in control of Sun Country. Each of our employment agreements and employment letters entered into with our NEOs are described in further detail below under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Employment Arrangements with Named Executive Officers</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During 2025, the Compensation and Human Resources Committee continued its historical practice of granting both time-based restricted stock units (“RSUs”) and performance-based restricted stock units (“PSUs”) to our NEOs under the Company’s long-term incentive program (“LTI”), based on the recommendations and insight provided by Meridian. In connection with changes to our executive leadership team and to recruit key talent, the Compensation and Human Resources Committee also approved special equity grants to our NEOs who were either hired or promoted in 2025. The Compensation and Human Resources Committee believes it is important to encourage the long-term retention of the Company’s executives and align their interests with those of stockholders through the use of time-based and performance-based LTI awards. Each of the main elements of our 2025 compensation and why the Company chose to pay those elements of compensation are described in more detail below. </w:t>
      </w:r>
    </w:p>
    <w:p>
      <w:pPr>
        <w:pStyle w:val="TextBody"/>
        <w:bidi w:val="0"/>
        <w:spacing w:before="360" w:after="0"/>
        <w:jc w:val="left"/>
        <w:rPr/>
      </w:pPr>
      <w:r>
        <w:rPr/>
        <w:t>“</w:t>
      </w:r>
      <w:r>
        <w:rPr>
          <w:rFonts w:ascii="Times New Roman" w:hAnsi="Times New Roman"/>
          <w:b/>
          <w:sz w:val="20"/>
        </w:rPr>
        <w:t xml:space="preserve">Best Practices” in Compensation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120"/>
        <w:gridCol w:w="4201"/>
        <w:gridCol w:w="60"/>
        <w:gridCol w:w="200"/>
        <w:gridCol w:w="120"/>
        <w:gridCol w:w="5259"/>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59"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WHAT WE DO</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WHAT WE DON’T DO</w:t>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Compensation and Human Resources Committee engages an independent consultant</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“single trigger” severance or equity award payments payable solely upon the occurrence of a change in control.</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321"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5379"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Cap our incentive plans at 175% of target</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repricing, cash buyouts or share recycling of stock options and stock appreciation rights under our equity compensation plan</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321"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5379"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Robust clawback policy</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excessive perquisites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321"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5379"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0"/>
              <w:jc w:val="left"/>
              <w:rPr/>
            </w:pPr>
            <w:r>
              <w:rPr/>
              <w:t xml:space="preserve">Majority of target direct compensation is variable or </w:t>
            </w:r>
          </w:p>
          <w:p>
            <w:pPr>
              <w:pStyle w:val="TableContents"/>
              <w:bidi w:val="0"/>
              <w:spacing w:before="0" w:after="0"/>
              <w:jc w:val="left"/>
              <w:rPr>
                <w:spacing w:val="0"/>
              </w:rPr>
            </w:pPr>
            <w:r>
              <w:rPr>
                <w:spacing w:val="0"/>
              </w:rPr>
              <w:t>“</w:t>
            </w:r>
            <w:r>
              <w:rPr>
                <w:spacing w:val="0"/>
              </w:rPr>
              <w:t>at-risk”</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supplemental executive retirement (SERP) or deferred compensation plans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321"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5379"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Have double-trigger change in control provisions in our equity plans and employment agreements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excise tax reimbursement for payments made in connection with a change in control</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321"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5379"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Majority of directors are “independent”</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No hedging or pledging of equity securities</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Executive Compensation Objectives, Philosophy, and Design </w:t>
      </w: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Objectives.</w:t>
      </w:r>
    </w:p>
    <w:p>
      <w:pPr>
        <w:pStyle w:val="TextBody"/>
        <w:bidi w:val="0"/>
        <w:spacing w:before="120" w:after="0"/>
        <w:jc w:val="left"/>
        <w:rPr>
          <w:rFonts w:ascii="Times New Roman" w:hAnsi="Times New Roman"/>
          <w:sz w:val="20"/>
        </w:rPr>
      </w:pPr>
      <w:r>
        <w:rPr>
          <w:rFonts w:ascii="Times New Roman" w:hAnsi="Times New Roman"/>
          <w:sz w:val="20"/>
        </w:rPr>
        <w:t xml:space="preserve">The Company’s goal for its executive compensation program is to utilize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compensation program that is directly related to achievement of the Company’s financial and strategic objectives. This program is designed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compensation opportunities that will allow the Company to attract and retain talented executive officers who are essential to the Company’s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compensation that rewards corporate performance and motivates the executive officers to achieve corporate strategic objectives;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365"/>
        <w:gridCol w:w="5765"/>
      </w:tblGrid>
      <w:tr>
        <w:trPr/>
        <w:tc>
          <w:tcPr>
            <w:tcW w:w="365" w:type="dxa"/>
            <w:tcBorders/>
            <w:vAlign w:val="center"/>
          </w:tcPr>
          <w:p>
            <w:pPr>
              <w:pStyle w:val="TableContents"/>
              <w:bidi w:val="0"/>
              <w:spacing w:before="0" w:after="283"/>
              <w:jc w:val="left"/>
              <w:rPr/>
            </w:pPr>
            <w:r>
              <w:rPr/>
              <w:t>(iii)</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reward superior financial and operational performance in a given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6085" w:type="dxa"/>
        <w:jc w:val="left"/>
        <w:tblInd w:w="0" w:type="dxa"/>
        <w:tblLayout w:type="fixed"/>
        <w:tblCellMar>
          <w:top w:w="0" w:type="dxa"/>
          <w:left w:w="0" w:type="dxa"/>
          <w:bottom w:w="0" w:type="dxa"/>
          <w:right w:w="0" w:type="dxa"/>
        </w:tblCellMar>
      </w:tblPr>
      <w:tblGrid>
        <w:gridCol w:w="365"/>
        <w:gridCol w:w="5720"/>
      </w:tblGrid>
      <w:tr>
        <w:trPr/>
        <w:tc>
          <w:tcPr>
            <w:tcW w:w="365" w:type="dxa"/>
            <w:tcBorders/>
            <w:vAlign w:val="center"/>
          </w:tcPr>
          <w:p>
            <w:pPr>
              <w:pStyle w:val="TableContents"/>
              <w:bidi w:val="0"/>
              <w:spacing w:before="0" w:after="283"/>
              <w:jc w:val="left"/>
              <w:rPr/>
            </w:pPr>
            <w:r>
              <w:rPr/>
              <w:t>(iv)</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place compensation at risk if performance goals are not achieved; and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r>
              <w:rPr/>
              <w:t>(v)</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align the interests of executive officers with the long-term interests of stockholders through stock-based awards. </w:t>
            </w:r>
          </w:p>
        </w:tc>
      </w:tr>
    </w:tbl>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Philosophy.</w:t>
      </w:r>
    </w:p>
    <w:p>
      <w:pPr>
        <w:pStyle w:val="TextBody"/>
        <w:bidi w:val="0"/>
        <w:spacing w:before="240" w:after="0"/>
        <w:jc w:val="left"/>
        <w:rPr>
          <w:rFonts w:ascii="Times New Roman" w:hAnsi="Times New Roman"/>
          <w:sz w:val="20"/>
        </w:rPr>
      </w:pPr>
      <w:r>
        <w:rPr>
          <w:rFonts w:ascii="Times New Roman" w:hAnsi="Times New Roman"/>
          <w:sz w:val="20"/>
        </w:rPr>
        <w:t xml:space="preserve">As we continue our transition to a more steady-state public company, our compensation philosophy reflects an overall goal that pay incentives should be designed to both appropriately motivate key executive talent and promote retention, while also aligning with the longer-term interests of our shareholders more generally.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Design.</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designed to appropriately balance fixed compensation elements with variable compensation elements. It is intended to create both short-term and long-term compensation opportunities to complement the expectations that executive officers must focus on performance of the business over both time horizons.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Compensation-Setting Process </w:t>
      </w: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Role of Our Compensation and Human Resources Committee.</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and Human Resources Committee is responsible for overseeing all aspects of our executive compensation program, including executive salaries, payouts under our bonus plan, the size and structure of equity awards, and executive perquisites. The Compensation and Human Resources Committee is solely responsible for determining the compensation of our CEO and reviews and approves the compensation of our other executive officers. For more information regarding the responsibilities of the Compensation and Human Resources Committee, see the section entitled “Corporate Governance.”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Role of Management.</w:t>
      </w:r>
    </w:p>
    <w:p>
      <w:pPr>
        <w:pStyle w:val="TextBody"/>
        <w:bidi w:val="0"/>
        <w:spacing w:before="240" w:after="0"/>
        <w:jc w:val="left"/>
        <w:rPr>
          <w:rFonts w:ascii="Times New Roman" w:hAnsi="Times New Roman"/>
          <w:sz w:val="20"/>
        </w:rPr>
      </w:pPr>
      <w:r>
        <w:rPr>
          <w:rFonts w:ascii="Times New Roman" w:hAnsi="Times New Roman"/>
          <w:sz w:val="20"/>
        </w:rPr>
        <w:t xml:space="preserve">In setting compensation for 2025, our President and Chief Executive Officer provided his views to the Compensation and Human Resources Committee on how to implement our compensation philosophy through our executive compensation program and attended meetings of the Compensation and Human Resources Committee. Our President and Chief Executive Officer made recommendations to the Compensation and Human Resources Committee regarding compensation for our executive officers, other than for himself, because of his oversight and daily involvement with our executive team. No executive officer participated in or was present during the final deliberations or determinations regarding his or her own compensation package.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and the Compensation and Human Resources Committee each play a role in evaluating and mitigating any risk that may exist relating to our compensation plans, practices, and policies for all employees, including our NEOs, as further described in the section entitled “Corporate Governance-Compensation Risk Assessment” above.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Role of Compensation Consultant.</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charter, the Compensation and Human Resources Committee has the authority to engage its own advisors to assist in carrying out its responsibilities. During 2025, the Compensation and Human Resources Committee engaged Meridian as its independent compensation consultant. Meridian assisted the Compensation and Human Resources Committee in providing advice, reports and recommendations relating to pay levels, performance goals and LTI design. Meridian also attends meetings of the Compensation and Human Resources Committee by invitation. The Compensation and Human Resources Committee evaluates annually Meridian’s independence from management, taking into consideration all relevant factors, including the six independence factors specified in the Nasdaq listing rules and applicable SEC requirements. The Compensation and Human Resources Committee reviewed the independence of Meridian and concluded that Meridian is independent and that its work for the Compensation and Human Resources Committee does not raise any conflicts of interest.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Use of Comparative Market Data.</w:t>
      </w:r>
    </w:p>
    <w:p>
      <w:pPr>
        <w:pStyle w:val="TextBody"/>
        <w:bidi w:val="0"/>
        <w:spacing w:before="240" w:after="0"/>
        <w:jc w:val="left"/>
        <w:rPr>
          <w:rFonts w:ascii="Times New Roman" w:hAnsi="Times New Roman"/>
          <w:sz w:val="20"/>
        </w:rPr>
      </w:pPr>
      <w:r>
        <w:rPr>
          <w:rFonts w:ascii="Times New Roman" w:hAnsi="Times New Roman"/>
          <w:sz w:val="20"/>
        </w:rPr>
        <w:t xml:space="preserve">We aim to compensate our executive officers at levels that are commensurate with the most competitive levels of compensation for executives in similar positions at the group of publicly-traded peer companies set forth below, with whom we compete for hiring and retaining executive talent (our “Peer Group”). In making compensation decisions, the Compensation and Human Resources Committee also considers the scope of responsibility and tenure of each executive officer, the unvested balances of equity awards held by each executive officer, as well as the Compensation and Human Resources Committee’s assessment of each executive officer’s performance and impact on the organization. In determining 2025 compensation, the Compensation and Human Resources Committee did not use a set formula or other specific criteria for taking into account these different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analyze market data for executive compensation at least annually using the most relevant published survey sources, information available from public filings, and input from Meridian. Management and Meridian provided the Compensation and Human Resources Committee with both cash and equity compensation data for our Peer Group. With input from Meridian, the Compensation and Human Resources Committee considered the following selection criteria to identify the peer group: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245"/>
        <w:gridCol w:w="7115"/>
      </w:tblGrid>
      <w:tr>
        <w:trPr/>
        <w:tc>
          <w:tcPr>
            <w:tcW w:w="245" w:type="dxa"/>
            <w:tcBorders/>
            <w:vAlign w:val="center"/>
          </w:tcPr>
          <w:p>
            <w:pPr>
              <w:pStyle w:val="TableContents"/>
              <w:bidi w:val="0"/>
              <w:spacing w:before="0" w:after="283"/>
              <w:jc w:val="left"/>
              <w:rPr/>
            </w:pPr>
            <w:r>
              <w:rPr/>
              <w:t>(i)</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comparability, with a focus on Airline and Air Freight &amp; Logistics companies;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05"/>
        <w:gridCol w:w="3110"/>
      </w:tblGrid>
      <w:tr>
        <w:trPr/>
        <w:tc>
          <w:tcPr>
            <w:tcW w:w="305" w:type="dxa"/>
            <w:tcBorders/>
            <w:vAlign w:val="center"/>
          </w:tcPr>
          <w:p>
            <w:pPr>
              <w:pStyle w:val="TableContents"/>
              <w:bidi w:val="0"/>
              <w:spacing w:before="0" w:after="283"/>
              <w:jc w:val="left"/>
              <w:rPr/>
            </w:pPr>
            <w:r>
              <w:rPr/>
              <w:t>(ii)</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Trailing four quarters of revenue; and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365"/>
        <w:gridCol w:w="1880"/>
      </w:tblGrid>
      <w:tr>
        <w:trPr/>
        <w:tc>
          <w:tcPr>
            <w:tcW w:w="365" w:type="dxa"/>
            <w:tcBorders/>
            <w:vAlign w:val="center"/>
          </w:tcPr>
          <w:p>
            <w:pPr>
              <w:pStyle w:val="TableContents"/>
              <w:bidi w:val="0"/>
              <w:spacing w:before="0" w:after="283"/>
              <w:jc w:val="left"/>
              <w:rPr/>
            </w:pPr>
            <w:r>
              <w:rPr/>
              <w:t>(iii)</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these factors, the peer group used for setting 2025 compensation consisted of the following five companies: </w:t>
      </w:r>
    </w:p>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Alaska Air Group, Inc.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Allegiant Travel Company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Frontier Group Holdings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JetBlue Airways Corporation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Spirit Airlines, Inc.*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155"/>
        <w:gridCol w:w="9890"/>
      </w:tblGrid>
      <w:tr>
        <w:trPr/>
        <w:tc>
          <w:tcPr>
            <w:tcW w:w="15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Spirit Airlines was subsequently removed from the Peer Group after it filed for Chapter 11 bankruptcy protection in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the Compensation and Human Resources Committee reviewed our executive compensation against this Peer Group to ensure that our executive officer compensation was competitive and sufficient to recruit and retain our executive officers, and to ensure compensation pay levels were generally aligned with market. The Compensation and Human Resources Committee determined that this was a reasonable and appropriate peer group, taking into account the fact that the airline industry is highly competitive and there are a limited number of comparable airlines that are publicly traded. Therefore, in order to select a peer group of companies that is reasonable and appropriate for our business, the Compensation and Human Resources Committee focused on selecting publicly traded airlines consisting of “low fare” or cargo air carriers, in order to appropriately compare to our scheduled, charter, and cargo businesses. The Compensation and Human Resources Committee set target total direct compensation levels for 2025 that were generally within a competitive range of the market median, with consideration of other factors including individual and Company performance, retention, scope of role, and internal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expects to periodically review and update our Peer Group and the underlying criteria as our business and market environment continue to evolve. </w:t>
      </w:r>
    </w:p>
    <w:p>
      <w:pPr>
        <w:pStyle w:val="TextBody"/>
        <w:bidi w:val="0"/>
        <w:spacing w:before="360" w:after="0"/>
        <w:jc w:val="left"/>
        <w:rPr>
          <w:rFonts w:ascii="Times New Roman" w:hAnsi="Times New Roman"/>
          <w:b/>
          <w:sz w:val="20"/>
        </w:rPr>
      </w:pPr>
      <w:r>
        <w:rPr>
          <w:rFonts w:ascii="Times New Roman" w:hAnsi="Times New Roman"/>
          <w:b/>
          <w:sz w:val="20"/>
        </w:rPr>
        <w:t xml:space="preserve">2025 Say on Pay Voting Results </w:t>
      </w:r>
    </w:p>
    <w:p>
      <w:pPr>
        <w:pStyle w:val="TextBody"/>
        <w:bidi w:val="0"/>
        <w:spacing w:before="120" w:after="0"/>
        <w:jc w:val="left"/>
        <w:rPr>
          <w:rFonts w:ascii="Times New Roman" w:hAnsi="Times New Roman"/>
          <w:sz w:val="20"/>
        </w:rPr>
      </w:pPr>
      <w:r>
        <w:rPr>
          <w:rFonts w:ascii="Times New Roman" w:hAnsi="Times New Roman"/>
          <w:sz w:val="20"/>
        </w:rPr>
        <w:t xml:space="preserve">At our 2025 annual meeting of stockholders, stockholders were able to cast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non-binding,</w:t>
      </w:r>
    </w:p>
    <w:p>
      <w:pPr>
        <w:pStyle w:val="TextBody"/>
        <w:bidi w:val="0"/>
        <w:spacing w:before="120" w:after="0"/>
        <w:jc w:val="left"/>
        <w:rPr>
          <w:rFonts w:ascii="Times New Roman" w:hAnsi="Times New Roman"/>
          <w:sz w:val="20"/>
        </w:rPr>
      </w:pPr>
      <w:r>
        <w:rPr>
          <w:rFonts w:ascii="Times New Roman" w:hAnsi="Times New Roman"/>
          <w:sz w:val="20"/>
        </w:rPr>
        <w:t xml:space="preserve">advisory vote to approve the 2025 compensation of our 2025 NEOs. The holders of approximately 97% of the shares of common stock present and entitled to vote at the 2025 annual meeting voted “for” approval of the compensation of the 2025 NEOs. The Compensation and Human Resources Committee considered this a good outcome and took these results into consideration when designing the compensation of the NEOs for 2026. The Compensation and Human Resources Committee reviewed and considered the results of the say on pay vote held at the 2025 annual meeting when making compensation decisions going forward. At the 2024 annual meeting of stockholders, stockholders were also able to cast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non-binding,</w:t>
      </w:r>
    </w:p>
    <w:p>
      <w:pPr>
        <w:pStyle w:val="TextBody"/>
        <w:bidi w:val="0"/>
        <w:spacing w:before="120" w:after="0"/>
        <w:jc w:val="left"/>
        <w:rPr>
          <w:rFonts w:ascii="Times New Roman" w:hAnsi="Times New Roman"/>
          <w:sz w:val="20"/>
        </w:rPr>
      </w:pPr>
      <w:r>
        <w:rPr>
          <w:rFonts w:ascii="Times New Roman" w:hAnsi="Times New Roman"/>
          <w:sz w:val="20"/>
        </w:rPr>
        <w:t xml:space="preserve">advisory vote on the frequency with which say on pay votes should be held, with “every 1 year” receiving the most votes. In light of the voting results on this advisory vote, and consistent with its recommendation to the Company’s stockholders, the Company’s Board determined that the Company would hold an advisory vote to approve the compensation of the Company’s NEOs every year. The next say on frequency vote will occur at the 2030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Elements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 compensation package for 2025 generally consisted of the following three elements: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performance-based cash bonus (annual); and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equity-based compensation in the form of RSUs and PSUs.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compensation mix supports our objective of focusing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at-risk</w:t>
      </w:r>
    </w:p>
    <w:p>
      <w:pPr>
        <w:pStyle w:val="TextBody"/>
        <w:bidi w:val="0"/>
        <w:spacing w:before="240" w:after="0"/>
        <w:jc w:val="left"/>
        <w:rPr>
          <w:rFonts w:ascii="Times New Roman" w:hAnsi="Times New Roman"/>
          <w:sz w:val="20"/>
        </w:rPr>
      </w:pPr>
      <w:r>
        <w:rPr>
          <w:rFonts w:ascii="Times New Roman" w:hAnsi="Times New Roman"/>
          <w:sz w:val="20"/>
        </w:rPr>
        <w:t xml:space="preserve">compensation, which has the potential for significant financial upside based on our performance relative to the Company’s operational and financial goals. We expect to continue to emphasize equity awards because of the direct link that equity compensation provides between long-term shareholder interests and the interests of our executive officers, thereby motivating our executive officers to focus on increasing our value over the long term. We believe that a compensation mix that emphasizes elements of compensation that are “at risk”, meaning that the amount actually paid to the executive in respect of compensation element(s) is dependent on performance outcomes, such as operational goals or our stock price, enhances stockholder alignment.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Base Salary</w:t>
      </w:r>
    </w:p>
    <w:p>
      <w:pPr>
        <w:pStyle w:val="TextBody"/>
        <w:bidi w:val="0"/>
        <w:spacing w:before="240" w:after="0"/>
        <w:jc w:val="left"/>
        <w:rPr>
          <w:rFonts w:ascii="Times New Roman" w:hAnsi="Times New Roman"/>
          <w:sz w:val="20"/>
        </w:rPr>
      </w:pPr>
      <w:r>
        <w:rPr>
          <w:rFonts w:ascii="Times New Roman" w:hAnsi="Times New Roman"/>
          <w:sz w:val="20"/>
        </w:rPr>
        <w:t xml:space="preserve">. The Compensation and Human Resources Committee believes base salaries are a necessary element of compensation in order to attract and retain highly qualified executive officers. The Compensation and Human Resources Committee reviews the base salaries of our executive officers at least annually and may adjust them from time to time, if needed, to reflect changes in market conditions or other factors. </w:t>
      </w:r>
    </w:p>
    <w:p>
      <w:pPr>
        <w:pStyle w:val="TextBody"/>
        <w:bidi w:val="0"/>
        <w:spacing w:before="240" w:after="0"/>
        <w:jc w:val="left"/>
        <w:rPr>
          <w:rFonts w:ascii="Times New Roman" w:hAnsi="Times New Roman"/>
          <w:sz w:val="20"/>
        </w:rPr>
      </w:pPr>
      <w:r>
        <w:rPr>
          <w:rFonts w:ascii="Times New Roman" w:hAnsi="Times New Roman"/>
          <w:sz w:val="20"/>
        </w:rPr>
        <w:t xml:space="preserve">Base salary levels for each of the Named Executive Officers as of December 31, 2025, for those Named Executive Officers serving as of such date, are set forth below: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1865"/>
        <w:gridCol w:w="120"/>
        <w:gridCol w:w="136"/>
        <w:gridCol w:w="1819"/>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Named Executive Officer</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Base Salary as of</w:t>
              <w:br/>
              <w:t>December 31, 2025</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650,000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350,000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325,000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325,000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pacing w:val="0"/>
          <w:sz w:val="20"/>
        </w:rPr>
      </w:pPr>
      <w:r>
        <w:rPr>
          <w:rFonts w:ascii="Times New Roman" w:hAnsi="Times New Roman"/>
          <w:b/>
          <w:spacing w:val="0"/>
          <w:sz w:val="20"/>
        </w:rPr>
        <w:t>Cash Bonuses.</w:t>
      </w:r>
    </w:p>
    <w:p>
      <w:pPr>
        <w:pStyle w:val="TextBody"/>
        <w:bidi w:val="0"/>
        <w:spacing w:before="240" w:after="0"/>
        <w:jc w:val="left"/>
        <w:rPr>
          <w:rFonts w:ascii="Times New Roman" w:hAnsi="Times New Roman"/>
          <w:sz w:val="20"/>
        </w:rPr>
      </w:pPr>
      <w:r>
        <w:rPr>
          <w:rFonts w:ascii="Times New Roman" w:hAnsi="Times New Roman"/>
          <w:sz w:val="20"/>
        </w:rPr>
        <w:t xml:space="preserve">Our annual cash bonus program for 2025 was designed to deliver variable cash incentives, payable annually, that are designed to motivate our executive officers to focus on Company priorities and to reward them for performance achievements tied to financial and operational goals. In 2025, individual target bonus percentages for each NEO were established as a percentage of such executive’s base salary. Target annual bonus levels for each of the Named Executive Officers as of December 31, 2025, for those Named Executive Officers serving as of such date, are set forth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350" w:type="dxa"/>
        <w:jc w:val="left"/>
        <w:tblInd w:w="0" w:type="dxa"/>
        <w:tblLayout w:type="fixed"/>
        <w:tblCellMar>
          <w:top w:w="0" w:type="dxa"/>
          <w:left w:w="0" w:type="dxa"/>
          <w:bottom w:w="0" w:type="dxa"/>
          <w:right w:w="0" w:type="dxa"/>
        </w:tblCellMar>
      </w:tblPr>
      <w:tblGrid>
        <w:gridCol w:w="1865"/>
        <w:gridCol w:w="120"/>
        <w:gridCol w:w="282"/>
        <w:gridCol w:w="1793"/>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Named Executive Officer</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 Target Annual</w:t>
            </w:r>
          </w:p>
          <w:p>
            <w:pPr>
              <w:pStyle w:val="TableContents"/>
              <w:bidi w:val="0"/>
              <w:spacing w:before="0" w:after="0"/>
              <w:jc w:val="center"/>
              <w:rPr/>
            </w:pPr>
            <w:r>
              <w:rPr/>
            </w:r>
          </w:p>
          <w:p>
            <w:pPr>
              <w:pStyle w:val="TableContents"/>
              <w:bidi w:val="0"/>
              <w:spacing w:before="0" w:after="0"/>
              <w:jc w:val="center"/>
              <w:rPr>
                <w:b/>
                <w:spacing w:val="0"/>
              </w:rPr>
            </w:pPr>
            <w:r>
              <w:rPr>
                <w:b/>
                <w:spacing w:val="0"/>
              </w:rPr>
              <w:t>Bonus (as a % of</w:t>
            </w:r>
          </w:p>
          <w:p>
            <w:pPr>
              <w:pStyle w:val="TableContents"/>
              <w:bidi w:val="0"/>
              <w:spacing w:before="0" w:after="0"/>
              <w:jc w:val="center"/>
              <w:rPr/>
            </w:pPr>
            <w:r>
              <w:rPr/>
            </w:r>
          </w:p>
          <w:p>
            <w:pPr>
              <w:pStyle w:val="TableContents"/>
              <w:bidi w:val="0"/>
              <w:spacing w:before="0" w:after="0"/>
              <w:jc w:val="center"/>
              <w:rPr>
                <w:b/>
                <w:spacing w:val="0"/>
              </w:rPr>
            </w:pPr>
            <w:r>
              <w:rPr>
                <w:b/>
                <w:spacing w:val="0"/>
              </w:rPr>
              <w:t>Base Salary) as of</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 2025</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125</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2025 bonus program, our adjusted EBT must be positive in order for any portion of the bonus payable based on corporate performance metrics to be earned. The performance metrics established for our 2025 annual bonuses are illustrated in the chart below. For each of the performance metrics listed below, the Compensation and Human Resources Committee established threshold, target and maximum levels of performance, which correspond to the annual bonuses being earned at 25%, 100% and 175%, respectively.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9"/>
        <w:gridCol w:w="120"/>
        <w:gridCol w:w="119"/>
        <w:gridCol w:w="636"/>
        <w:gridCol w:w="275"/>
        <w:gridCol w:w="60"/>
        <w:gridCol w:w="128"/>
        <w:gridCol w:w="942"/>
        <w:gridCol w:w="275"/>
        <w:gridCol w:w="60"/>
        <w:gridCol w:w="60"/>
        <w:gridCol w:w="895"/>
        <w:gridCol w:w="275"/>
        <w:gridCol w:w="60"/>
        <w:gridCol w:w="128"/>
        <w:gridCol w:w="942"/>
        <w:gridCol w:w="275"/>
        <w:gridCol w:w="60"/>
        <w:gridCol w:w="79"/>
        <w:gridCol w:w="586"/>
        <w:gridCol w:w="275"/>
        <w:gridCol w:w="60"/>
        <w:gridCol w:w="110"/>
        <w:gridCol w:w="1035"/>
        <w:gridCol w:w="291"/>
      </w:tblGrid>
      <w:tr>
        <w:trPr/>
        <w:tc>
          <w:tcPr>
            <w:tcW w:w="24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59"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2025 Bonus Metric</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Threshold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Target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br/>
              <w:t>Result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Payout</w:t>
              <w:br/>
              <w:t>Percentage</w:t>
            </w:r>
          </w:p>
        </w:tc>
        <w:tc>
          <w:tcPr>
            <w:tcW w:w="291" w:type="dxa"/>
            <w:tcBorders/>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Fuel-neutral Adj. EBT Margin*</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0"/>
              <w:jc w:val="right"/>
              <w:rPr>
                <w:spacing w:val="0"/>
              </w:rPr>
            </w:pPr>
            <w:r>
              <w:rPr>
                <w:spacing w:val="0"/>
              </w:rPr>
              <w:t>7.5-9.0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23.23</w:t>
            </w:r>
          </w:p>
        </w:tc>
        <w:tc>
          <w:tcPr>
            <w:tcW w:w="291" w:type="dxa"/>
            <w:tcBorders/>
            <w:shd w:fill="CCEEFF" w:val="clear"/>
            <w:vAlign w:val="center"/>
          </w:tcPr>
          <w:p>
            <w:pPr>
              <w:pStyle w:val="TableContents"/>
              <w:bidi w:val="0"/>
              <w:spacing w:before="0" w:after="283"/>
              <w:jc w:val="left"/>
              <w:rPr/>
            </w:pPr>
            <w:r>
              <w:rPr/>
              <w:t>% </w:t>
            </w:r>
          </w:p>
        </w:tc>
      </w:tr>
      <w:tr>
        <w:trPr/>
        <w:tc>
          <w:tcPr>
            <w:tcW w:w="24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Peer Adj. EBT Margin Ranking*</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43.75</w:t>
            </w:r>
          </w:p>
        </w:tc>
        <w:tc>
          <w:tcPr>
            <w:tcW w:w="291" w:type="dxa"/>
            <w:tcBorders/>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CASM* (cents)</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0"/>
              <w:jc w:val="right"/>
              <w:rPr>
                <w:spacing w:val="0"/>
              </w:rPr>
            </w:pPr>
            <w:r>
              <w:rPr>
                <w:spacing w:val="0"/>
              </w:rPr>
              <w:t>8.30-8.20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8.17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24.30</w:t>
            </w:r>
          </w:p>
        </w:tc>
        <w:tc>
          <w:tcPr>
            <w:tcW w:w="291" w:type="dxa"/>
            <w:tcBorders/>
            <w:shd w:fill="CCEEFF" w:val="clear"/>
            <w:vAlign w:val="center"/>
          </w:tcPr>
          <w:p>
            <w:pPr>
              <w:pStyle w:val="TableContents"/>
              <w:bidi w:val="0"/>
              <w:spacing w:before="0" w:after="283"/>
              <w:jc w:val="left"/>
              <w:rPr/>
            </w:pPr>
            <w:r>
              <w:rPr/>
              <w:t>% </w:t>
            </w:r>
          </w:p>
        </w:tc>
      </w:tr>
      <w:tr>
        <w:trPr/>
        <w:tc>
          <w:tcPr>
            <w:tcW w:w="245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D-0</w:t>
            </w:r>
          </w:p>
          <w:p>
            <w:pPr>
              <w:pStyle w:val="TableContents"/>
              <w:bidi w:val="0"/>
              <w:spacing w:before="0" w:after="0"/>
              <w:jc w:val="left"/>
              <w:rPr>
                <w:rFonts w:ascii="Times New Roman" w:hAnsi="Times New Roman"/>
                <w:sz w:val="20"/>
              </w:rPr>
            </w:pPr>
            <w:r>
              <w:rPr>
                <w:rFonts w:ascii="Times New Roman" w:hAnsi="Times New Roman"/>
                <w:sz w:val="20"/>
              </w:rPr>
              <w:t>(Sched. Service)</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56.0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60.0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64.0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61.9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10.17</w:t>
            </w:r>
          </w:p>
        </w:tc>
        <w:tc>
          <w:tcPr>
            <w:tcW w:w="291" w:type="dxa"/>
            <w:tcBorders/>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CCF (Sched. Service)</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99.0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99.5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99.9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99.2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4.13</w:t>
            </w:r>
          </w:p>
        </w:tc>
        <w:tc>
          <w:tcPr>
            <w:tcW w:w="291" w:type="dxa"/>
            <w:tcBorders/>
            <w:shd w:fill="CCEEFF" w:val="clear"/>
            <w:vAlign w:val="center"/>
          </w:tcPr>
          <w:p>
            <w:pPr>
              <w:pStyle w:val="TableContents"/>
              <w:bidi w:val="0"/>
              <w:spacing w:before="0" w:after="283"/>
              <w:jc w:val="left"/>
              <w:rPr/>
            </w:pPr>
            <w:r>
              <w:rPr/>
              <w:t>% </w:t>
            </w:r>
          </w:p>
        </w:tc>
      </w:tr>
      <w:tr>
        <w:trPr/>
        <w:tc>
          <w:tcPr>
            <w:tcW w:w="24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Freighter Ops Performance</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96.5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97.3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98.0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96.8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7.97</w:t>
            </w:r>
          </w:p>
        </w:tc>
        <w:tc>
          <w:tcPr>
            <w:tcW w:w="291" w:type="dxa"/>
            <w:tcBorders/>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63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9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113.6</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i/>
                <w:caps w:val="false"/>
                <w:smallCaps w:val="false"/>
                <w:spacing w:val="0"/>
              </w:rPr>
            </w:pPr>
            <w:r>
              <w:rPr>
                <w:i/>
                <w:caps w:val="false"/>
                <w:smallCaps w:val="false"/>
                <w:spacing w:val="0"/>
              </w:rPr>
              <w:t>*</w:t>
            </w:r>
          </w:p>
        </w:tc>
        <w:tc>
          <w:tcPr>
            <w:tcW w:w="100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Fuel-neutral Adjusted EBT Margin, Adjusted EBT Margin Ranking and Adjusted CASM are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non-GAAP</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financial measures that are not calculated or presented in accordance with GAAP. We use these financial measures to incentivize executive performance given the importance of these metrics to the operation of our business. Below is an explanation of how these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non-GAAP</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financial measures are adjusted and reconciled to the most directly comparable GAAP measure.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determined that the 2025 bonus metrics described above were appropriate given that each of these metrics drives key aspects of our operational and financial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Fuel-neutral Adjusted EBT Margin measures the Company’s Earnings Before Taxes margin after removing stock compensation costs and other unusual items. Additionally, fuel expense and fuel-related charter reimbursements are adjusted to reflect the price of fuel that was anticipated to be paid when the Company’s 2025 operating budget was set, rather than the actual price paid during the year. We use fuel-neutral Adjusted EBT Margin as a bonus metric given the fact that the price of fuel can be volatile (depending on market and other macroeconomic conditions), and executive officers and other employees do not have control over fuel prices or the related impact from such market volatility.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EBT Margin Ranking measures the Company’s Earnings Before Taxes margin after removing stock compensation costs and other unusual items, as compared to the Adjusted EBT margins of other </w:t>
            </w:r>
          </w:p>
          <w:p>
            <w:pPr>
              <w:pStyle w:val="TableContents"/>
              <w:bidi w:val="0"/>
              <w:spacing w:before="0" w:after="0"/>
              <w:jc w:val="left"/>
              <w:rPr>
                <w:spacing w:val="0"/>
              </w:rPr>
            </w:pPr>
            <w:r>
              <w:rPr>
                <w:spacing w:val="0"/>
              </w:rPr>
              <w:t>“</w:t>
            </w:r>
            <w:r>
              <w:rPr>
                <w:rFonts w:ascii="Times New Roman" w:hAnsi="Times New Roman"/>
                <w:spacing w:val="0"/>
                <w:sz w:val="20"/>
              </w:rPr>
              <w:t>low-fare”</w:t>
            </w:r>
          </w:p>
          <w:p>
            <w:pPr>
              <w:pStyle w:val="TableContents"/>
              <w:bidi w:val="0"/>
              <w:spacing w:before="0" w:after="0"/>
              <w:jc w:val="left"/>
              <w:rPr>
                <w:rFonts w:ascii="Times New Roman" w:hAnsi="Times New Roman"/>
                <w:sz w:val="20"/>
              </w:rPr>
            </w:pPr>
            <w:r>
              <w:rPr>
                <w:rFonts w:ascii="Times New Roman" w:hAnsi="Times New Roman"/>
                <w:sz w:val="20"/>
              </w:rPr>
              <w:t xml:space="preserve">carriers in our industry peer set. For purposes of this measurement, these carriers are Alaska Air Group, Inc., Allegiant Travel Company, Frontier Group Holdings and JetBlue Airways Corporation. This list initially included Spirit Airlines, Inc. until it filed for Chapter 11 bankruptcy protection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CASM measures the cost per available seat mile (“ASM”) of our passenger service business. Adjusted CASM is calculated using the total operating expenses, excluding fuel costs,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management stock compensation expense, costs arising from our cargo operations, depreciation and amortization recognized on certain assets that generate lease income, certain commissions, other costs of selling our vacations product and other unusual items, divided by total ASMs.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D-0</w:t>
            </w:r>
          </w:p>
          <w:p>
            <w:pPr>
              <w:pStyle w:val="TableContents"/>
              <w:bidi w:val="0"/>
              <w:spacing w:before="0" w:after="0"/>
              <w:jc w:val="left"/>
              <w:rPr>
                <w:rFonts w:ascii="Times New Roman" w:hAnsi="Times New Roman"/>
                <w:sz w:val="20"/>
              </w:rPr>
            </w:pPr>
            <w:r>
              <w:rPr>
                <w:rFonts w:ascii="Times New Roman" w:hAnsi="Times New Roman"/>
                <w:sz w:val="20"/>
              </w:rPr>
              <w:t xml:space="preserve">(Scheduled Service) measures the percentage of our scheduled service flights that depart on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CCF, or controllable completion factor, measures the percentage of our scheduled flights that were actually flown. This metric excludes flights that were canceled for reasons beyond our control, including cancelations due to weather, air traffic control, or other government-directed actions affecting airspace or airport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Cargo Performance measures the percentage of our cargo service flights that arrive within 15 minutes of their scheduled arrival time. This metric excludes flights that arrive later than 15 minutes late for reasons beyond our control, including but not limited to: weather, air traffic control, or government-directed actions affecting airspace or airspace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resulted in an overall payout percentage of 113.6% of the overall target award, equating to the below individual payout amounts, which amounts are reflected in the Summary Compensation Table in the </w:t>
      </w:r>
    </w:p>
    <w:p>
      <w:pPr>
        <w:pStyle w:val="TextBody"/>
        <w:bidi w:val="0"/>
        <w:spacing w:before="240" w:after="0"/>
        <w:jc w:val="left"/>
        <w:rPr>
          <w:spacing w:val="0"/>
        </w:rPr>
      </w:pPr>
      <w:r>
        <w:rPr>
          <w:spacing w:val="0"/>
        </w:rPr>
        <w:t>“</w:t>
      </w:r>
      <w:r>
        <w:rPr>
          <w:rFonts w:ascii="Times New Roman" w:hAnsi="Times New Roman"/>
          <w:spacing w:val="0"/>
          <w:sz w:val="20"/>
        </w:rPr>
        <w:t>Non-Equity</w:t>
      </w:r>
    </w:p>
    <w:p>
      <w:pPr>
        <w:pStyle w:val="TextBody"/>
        <w:bidi w:val="0"/>
        <w:spacing w:before="240" w:after="0"/>
        <w:jc w:val="left"/>
        <w:rPr>
          <w:rFonts w:ascii="Times New Roman" w:hAnsi="Times New Roman"/>
          <w:sz w:val="20"/>
        </w:rPr>
      </w:pPr>
      <w:r>
        <w:rPr>
          <w:rFonts w:ascii="Times New Roman" w:hAnsi="Times New Roman"/>
          <w:sz w:val="20"/>
        </w:rPr>
        <w:t xml:space="preserve">Incentive Plan” column: </w:t>
      </w:r>
    </w:p>
    <w:p>
      <w:pPr>
        <w:pStyle w:val="TextBody"/>
        <w:bidi w:val="0"/>
        <w:spacing w:before="0" w:after="0"/>
        <w:jc w:val="left"/>
        <w:rPr/>
      </w:pPr>
      <w:r>
        <w:rPr/>
        <w:t> </w:t>
      </w:r>
    </w:p>
    <w:tbl>
      <w:tblPr>
        <w:tblW w:w="6645" w:type="dxa"/>
        <w:jc w:val="left"/>
        <w:tblInd w:w="0" w:type="dxa"/>
        <w:tblLayout w:type="fixed"/>
        <w:tblCellMar>
          <w:top w:w="0" w:type="dxa"/>
          <w:left w:w="0" w:type="dxa"/>
          <w:bottom w:w="0" w:type="dxa"/>
          <w:right w:w="0" w:type="dxa"/>
        </w:tblCellMar>
      </w:tblPr>
      <w:tblGrid>
        <w:gridCol w:w="1865"/>
        <w:gridCol w:w="120"/>
        <w:gridCol w:w="141"/>
        <w:gridCol w:w="1889"/>
        <w:gridCol w:w="60"/>
        <w:gridCol w:w="120"/>
        <w:gridCol w:w="165"/>
        <w:gridCol w:w="221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Named Executive Officer</w:t>
            </w:r>
          </w:p>
        </w:tc>
        <w:tc>
          <w:tcPr>
            <w:tcW w:w="12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 Annual Bonus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Bonus Payments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923,000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p>
            <w:pPr>
              <w:pStyle w:val="TableContents"/>
              <w:bidi w:val="0"/>
              <w:spacing w:before="0" w:after="0"/>
              <w:jc w:val="left"/>
              <w:rPr>
                <w:rFonts w:ascii="Times New Roman" w:hAnsi="Times New Roman"/>
                <w:b/>
                <w:sz w:val="12"/>
              </w:rPr>
            </w:pPr>
            <w:r>
              <w:rPr>
                <w:rFonts w:ascii="Times New Roman" w:hAnsi="Times New Roman"/>
                <w:b/>
                <w:sz w:val="12"/>
              </w:rPr>
              <w:t>(1) (2)</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79,084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117,005</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p>
            <w:pPr>
              <w:pStyle w:val="TableContents"/>
              <w:bidi w:val="0"/>
              <w:spacing w:before="0" w:after="0"/>
              <w:jc w:val="left"/>
              <w:rPr>
                <w:rFonts w:ascii="Times New Roman" w:hAnsi="Times New Roman"/>
                <w:b/>
                <w:sz w:val="12"/>
              </w:rPr>
            </w:pPr>
            <w:r>
              <w:rPr>
                <w:rFonts w:ascii="Times New Roman" w:hAnsi="Times New Roman"/>
                <w:b/>
                <w:sz w:val="12"/>
              </w:rPr>
              <w:t>(1) (2)</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197,767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78,003</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221,520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221,520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Bill Trousdale</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p>
            <w:pPr>
              <w:pStyle w:val="TableContents"/>
              <w:bidi w:val="0"/>
              <w:spacing w:before="0" w:after="0"/>
              <w:jc w:val="left"/>
              <w:rPr>
                <w:rFonts w:ascii="Times New Roman" w:hAnsi="Times New Roman"/>
                <w:b/>
                <w:sz w:val="12"/>
              </w:rPr>
            </w:pPr>
            <w:r>
              <w:rPr>
                <w:rFonts w:ascii="Times New Roman" w:hAnsi="Times New Roman"/>
                <w:b/>
                <w:sz w:val="12"/>
              </w:rPr>
              <w:t>(4)</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156,000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Zubeck, the amount shown in this column represents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relocation payment of $75,000,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grossed-up</w:t>
            </w:r>
          </w:p>
          <w:p>
            <w:pPr>
              <w:pStyle w:val="TableContents"/>
              <w:bidi w:val="0"/>
              <w:spacing w:before="0" w:after="0"/>
              <w:jc w:val="left"/>
              <w:rPr>
                <w:rFonts w:ascii="Times New Roman" w:hAnsi="Times New Roman"/>
                <w:sz w:val="20"/>
              </w:rPr>
            </w:pPr>
            <w:r>
              <w:rPr>
                <w:rFonts w:ascii="Times New Roman" w:hAnsi="Times New Roman"/>
                <w:sz w:val="20"/>
              </w:rPr>
              <w:t>for taxes, in connection with his relocation to Minneapolis, Minnesota upon his commencement of employment with the Company, which is subject to clawback in the event he resigns from the Company or is terminated by the Company for “cause” before the 18</w:t>
            </w:r>
          </w:p>
          <w:p>
            <w:pPr>
              <w:pStyle w:val="TableContents"/>
              <w:bidi w:val="0"/>
              <w:spacing w:before="0" w:after="0"/>
              <w:jc w:val="left"/>
              <w:rPr>
                <w:rFonts w:ascii="Times New Roman" w:hAnsi="Times New Roman"/>
                <w:sz w:val="12"/>
              </w:rPr>
            </w:pPr>
            <w:r>
              <w:rPr>
                <w:rFonts w:ascii="Times New Roman" w:hAnsi="Times New Roman"/>
                <w:sz w:val="12"/>
              </w:rPr>
              <w:t>th</w:t>
            </w:r>
          </w:p>
          <w:p>
            <w:pPr>
              <w:pStyle w:val="TableContents"/>
              <w:bidi w:val="0"/>
              <w:spacing w:before="0" w:after="0"/>
              <w:jc w:val="left"/>
              <w:rPr>
                <w:rFonts w:ascii="Times New Roman" w:hAnsi="Times New Roman"/>
                <w:sz w:val="20"/>
              </w:rPr>
            </w:pPr>
            <w:r>
              <w:rPr>
                <w:rFonts w:ascii="Times New Roman" w:hAnsi="Times New Roman"/>
                <w:sz w:val="20"/>
              </w:rPr>
              <w:t xml:space="preserve">month anniversary of his date of hire. For Mr. Coley, the amount shown in this column represents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signing bonus paid to Mr. Coley in the amount of $50,000,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grossed-up</w:t>
            </w:r>
          </w:p>
          <w:p>
            <w:pPr>
              <w:pStyle w:val="TableContents"/>
              <w:bidi w:val="0"/>
              <w:spacing w:before="0" w:after="0"/>
              <w:jc w:val="left"/>
              <w:rPr>
                <w:rFonts w:ascii="Times New Roman" w:hAnsi="Times New Roman"/>
                <w:sz w:val="20"/>
              </w:rPr>
            </w:pPr>
            <w:r>
              <w:rPr>
                <w:rFonts w:ascii="Times New Roman" w:hAnsi="Times New Roman"/>
                <w:sz w:val="20"/>
              </w:rPr>
              <w:t xml:space="preserve">for taxes, in connection with his commencement of employment with the Company, which is subject to clawback in the event he resigns from the Company or is terminated by the Company for “cause” within the first 12 months of his date of hire.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Zubeck and Mr. Coley, who commenced employment with the Company on September 2, 2025 and January 6, 2025, respectively, their annual bonus in respect of 2025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pro-rated</w:t>
            </w:r>
          </w:p>
          <w:p>
            <w:pPr>
              <w:pStyle w:val="TableContents"/>
              <w:bidi w:val="0"/>
              <w:spacing w:before="0" w:after="0"/>
              <w:jc w:val="left"/>
              <w:rPr>
                <w:rFonts w:ascii="Times New Roman" w:hAnsi="Times New Roman"/>
                <w:sz w:val="20"/>
              </w:rPr>
            </w:pPr>
            <w:r>
              <w:rPr>
                <w:rFonts w:ascii="Times New Roman" w:hAnsi="Times New Roman"/>
                <w:sz w:val="20"/>
              </w:rPr>
              <w:t xml:space="preserve">based on their respective dates of hire. Additionally, for Mr. Coley, his annual bonus opportunity in respect of 2025 was further adjusted to reflect an increase to his annual base salary amount following his promotion on August 1, 2025.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their respective departures, Mr. Davis, Mr. Mays and Mr. Trousdale did not earn an annual bonus in respect of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Whitney Separation Agreement (as described in further detail below), Mr. Whitney’s annual bonus in respect of 2025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pro-rated</w:t>
            </w:r>
          </w:p>
          <w:p>
            <w:pPr>
              <w:pStyle w:val="TableContents"/>
              <w:bidi w:val="0"/>
              <w:spacing w:before="0" w:after="0"/>
              <w:jc w:val="left"/>
              <w:rPr>
                <w:rFonts w:ascii="Times New Roman" w:hAnsi="Times New Roman"/>
                <w:sz w:val="20"/>
              </w:rPr>
            </w:pPr>
            <w:r>
              <w:rPr>
                <w:rFonts w:ascii="Times New Roman" w:hAnsi="Times New Roman"/>
                <w:sz w:val="20"/>
              </w:rPr>
              <w:t xml:space="preserve">based on his termination date of October 20, 2025. </w:t>
            </w:r>
          </w:p>
        </w:tc>
      </w:tr>
    </w:tbl>
    <w:p>
      <w:pPr>
        <w:pStyle w:val="TextBody"/>
        <w:bidi w:val="0"/>
        <w:spacing w:before="240" w:after="0"/>
        <w:jc w:val="left"/>
        <w:rPr>
          <w:rFonts w:ascii="Times New Roman" w:hAnsi="Times New Roman"/>
          <w:b/>
          <w:spacing w:val="0"/>
          <w:sz w:val="20"/>
        </w:rPr>
      </w:pPr>
      <w:r>
        <w:rPr>
          <w:rFonts w:ascii="Times New Roman" w:hAnsi="Times New Roman"/>
          <w:b/>
          <w:spacing w:val="0"/>
          <w:sz w:val="20"/>
        </w:rPr>
        <w:t>Equity Compensation</w:t>
      </w:r>
    </w:p>
    <w:p>
      <w:pPr>
        <w:pStyle w:val="TextBody"/>
        <w:bidi w:val="0"/>
        <w:spacing w:before="240" w:after="0"/>
        <w:jc w:val="left"/>
        <w:rPr>
          <w:rFonts w:ascii="Times New Roman" w:hAnsi="Times New Roman"/>
          <w:sz w:val="20"/>
        </w:rPr>
      </w:pPr>
      <w:r>
        <w:rPr>
          <w:rFonts w:ascii="Times New Roman" w:hAnsi="Times New Roman"/>
          <w:sz w:val="20"/>
        </w:rPr>
        <w:t xml:space="preserve">. We use equity compensation to align our executive officers’ financial interests with those of our stockholders, to attract industry leaders of the highest caliber, and to retain them for the long term. In January 2025, the Compensation and Human Resources Committee approved a 2025 LTI program consisting of both RSUs and PSUs. The introduction of PSUs under the LTI program reflects the Compensation and Human Resources Committee’s intention to continuously update our existing compensation programs to reflect the growth of our business and continued transition to a more mature organization. Because the ultimate value realized from the vesting and settlement of RSUs is directly tied to our stock price, time-based RSUs are intended to provide both retention over a longer-term time period while also delivering direct alignment with stockholder interests. PSUs are designed to incentivize the achievement of long-term operational goals in order to align our NEOs’ performance with long-term goals that are intended to enhance stockholder value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PSUs granted in 2025, the Compensation and Human Resources Committee approved the following performance metrics: Adjusted EPS (weighted at 50%) and Relative Adjusted </w:t>
      </w:r>
    </w:p>
    <w:p>
      <w:pPr>
        <w:pStyle w:val="TextBody"/>
        <w:bidi w:val="0"/>
        <w:spacing w:before="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0" w:after="0"/>
        <w:jc w:val="left"/>
        <w:rPr>
          <w:rFonts w:ascii="Times New Roman" w:hAnsi="Times New Roman"/>
          <w:sz w:val="20"/>
        </w:rPr>
      </w:pPr>
      <w:r>
        <w:rPr>
          <w:rFonts w:ascii="Times New Roman" w:hAnsi="Times New Roman"/>
          <w:sz w:val="20"/>
        </w:rPr>
        <w:t xml:space="preserve">Margin Ranking (weighted at 50%). The goals (i.e., threshold, target and maximum levels of performance) were established at the beginning of 2025 for all of the relevant performance periods. These goals are each </w:t>
      </w:r>
    </w:p>
    <w:p>
      <w:pPr>
        <w:pStyle w:val="TextBody"/>
        <w:bidi w:val="0"/>
        <w:spacing w:before="0" w:after="0"/>
        <w:jc w:val="left"/>
        <w:rPr>
          <w:rFonts w:ascii="Times New Roman" w:hAnsi="Times New Roman"/>
          <w:spacing w:val="0"/>
          <w:sz w:val="20"/>
        </w:rPr>
      </w:pPr>
      <w:r>
        <w:rPr>
          <w:rFonts w:ascii="Times New Roman" w:hAnsi="Times New Roman"/>
          <w:spacing w:val="0"/>
          <w:sz w:val="20"/>
        </w:rPr>
        <w:t>non-GAAP</w:t>
      </w:r>
    </w:p>
    <w:p>
      <w:pPr>
        <w:pStyle w:val="TextBody"/>
        <w:bidi w:val="0"/>
        <w:spacing w:before="0" w:after="0"/>
        <w:jc w:val="left"/>
        <w:rPr>
          <w:rFonts w:ascii="Times New Roman" w:hAnsi="Times New Roman"/>
          <w:sz w:val="20"/>
        </w:rPr>
      </w:pPr>
      <w:r>
        <w:rPr>
          <w:rFonts w:ascii="Times New Roman" w:hAnsi="Times New Roman"/>
          <w:sz w:val="20"/>
        </w:rPr>
        <w:t xml:space="preserve">financial measures that are not calculated or presented in accordance with GAAP. We use these financial measures to incentivize executive performance given the importance of these metrics to the operation of our business. Mr. Bricker and Mr. Davis received 60% of their 2025 LTI grant in the form of PSUs and 40% in the form of time-based RSUs, while the other NEOs received 37% in the form of PSUs and 63% in the form of time-based RSUs. The Compensation and Human Resources Committee also approved a “phase in” schedule for future PSU awards for executive officers (other than Mr. Bricker, who will continue to receive at least a 60%/40% split), which would provide that such executive officers’ LTI award for 2026 would be split 50% in the form of PSUs and 50% in the form of time-based RSUs. </w:t>
      </w:r>
    </w:p>
    <w:p>
      <w:pPr>
        <w:pStyle w:val="TextBody"/>
        <w:bidi w:val="0"/>
        <w:spacing w:before="240" w:after="0"/>
        <w:jc w:val="left"/>
        <w:rPr>
          <w:rFonts w:ascii="Times New Roman" w:hAnsi="Times New Roman"/>
          <w:sz w:val="20"/>
        </w:rPr>
      </w:pPr>
      <w:r>
        <w:rPr>
          <w:rFonts w:ascii="Times New Roman" w:hAnsi="Times New Roman"/>
          <w:sz w:val="20"/>
        </w:rPr>
        <w:t xml:space="preserve">During 2025, the Compensation and Human Resources Committee granted RSUs to the NEOs having the grant date values shown in the table below: </w:t>
      </w:r>
    </w:p>
    <w:p>
      <w:pPr>
        <w:pStyle w:val="TextBody"/>
        <w:bidi w:val="0"/>
        <w:spacing w:before="0" w:after="0"/>
        <w:jc w:val="left"/>
        <w:rPr/>
      </w:pPr>
      <w:r>
        <w:rPr/>
        <w:t> </w:t>
      </w:r>
    </w:p>
    <w:tbl>
      <w:tblPr>
        <w:tblW w:w="6900" w:type="dxa"/>
        <w:jc w:val="left"/>
        <w:tblInd w:w="0" w:type="dxa"/>
        <w:tblLayout w:type="fixed"/>
        <w:tblCellMar>
          <w:top w:w="0" w:type="dxa"/>
          <w:left w:w="0" w:type="dxa"/>
          <w:bottom w:w="0" w:type="dxa"/>
          <w:right w:w="0" w:type="dxa"/>
        </w:tblCellMar>
      </w:tblPr>
      <w:tblGrid>
        <w:gridCol w:w="1865"/>
        <w:gridCol w:w="120"/>
        <w:gridCol w:w="162"/>
        <w:gridCol w:w="2168"/>
        <w:gridCol w:w="60"/>
        <w:gridCol w:w="120"/>
        <w:gridCol w:w="134"/>
        <w:gridCol w:w="2196"/>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Named Executive Officer</w:t>
            </w:r>
          </w:p>
        </w:tc>
        <w:tc>
          <w:tcPr>
            <w:tcW w:w="12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Award Value of</w:t>
              <w:br/>
              <w:t>2025 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Award Value of</w:t>
              <w:br/>
              <w:t>2025 PSUs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800,000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196" w:type="dxa"/>
            <w:tcBorders/>
            <w:shd w:fill="CCEEFF" w:val="clear"/>
            <w:vAlign w:val="center"/>
          </w:tcPr>
          <w:p>
            <w:pPr>
              <w:pStyle w:val="TableContents"/>
              <w:bidi w:val="0"/>
              <w:spacing w:before="0" w:after="283"/>
              <w:jc w:val="right"/>
              <w:rPr/>
            </w:pPr>
            <w:r>
              <w:rPr/>
              <w:t>1,200,000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p>
            <w:pPr>
              <w:pStyle w:val="TableContents"/>
              <w:bidi w:val="0"/>
              <w:spacing w:before="0" w:after="0"/>
              <w:jc w:val="left"/>
              <w:rPr>
                <w:rFonts w:ascii="Times New Roman" w:hAnsi="Times New Roman"/>
                <w:b/>
                <w:sz w:val="12"/>
              </w:rPr>
            </w:pPr>
            <w:r>
              <w:rPr>
                <w:rFonts w:ascii="Times New Roman" w:hAnsi="Times New Roman"/>
                <w:b/>
                <w:sz w:val="12"/>
              </w:rPr>
              <w:t>(1)</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p>
            <w:pPr>
              <w:pStyle w:val="TableContents"/>
              <w:bidi w:val="0"/>
              <w:spacing w:before="0" w:after="0"/>
              <w:jc w:val="left"/>
              <w:rPr>
                <w:rFonts w:ascii="Times New Roman" w:hAnsi="Times New Roman"/>
                <w:b/>
                <w:sz w:val="12"/>
              </w:rPr>
            </w:pPr>
            <w:r>
              <w:rPr>
                <w:rFonts w:ascii="Times New Roman" w:hAnsi="Times New Roman"/>
                <w:b/>
                <w:sz w:val="12"/>
              </w:rPr>
              <w:t>(2)</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479,170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196" w:type="dxa"/>
            <w:tcBorders/>
            <w:shd w:fill="CCEEFF" w:val="clear"/>
            <w:vAlign w:val="center"/>
          </w:tcPr>
          <w:p>
            <w:pPr>
              <w:pStyle w:val="TableContents"/>
              <w:bidi w:val="0"/>
              <w:spacing w:before="0" w:after="283"/>
              <w:jc w:val="right"/>
              <w:rPr/>
            </w:pPr>
            <w:r>
              <w:rPr/>
              <w:t>169,830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252,000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148,000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220,500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196" w:type="dxa"/>
            <w:tcBorders/>
            <w:shd w:fill="CCEEFF" w:val="clear"/>
            <w:vAlign w:val="center"/>
          </w:tcPr>
          <w:p>
            <w:pPr>
              <w:pStyle w:val="TableContents"/>
              <w:bidi w:val="0"/>
              <w:spacing w:before="0" w:after="283"/>
              <w:jc w:val="right"/>
              <w:rPr/>
            </w:pPr>
            <w:r>
              <w:rPr/>
              <w:t>129,500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340,000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510,000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Bill Trousdale</w:t>
            </w:r>
          </w:p>
          <w:p>
            <w:pPr>
              <w:pStyle w:val="TableContents"/>
              <w:bidi w:val="0"/>
              <w:spacing w:before="0" w:after="0"/>
              <w:jc w:val="left"/>
              <w:rPr>
                <w:rFonts w:ascii="Times New Roman" w:hAnsi="Times New Roman"/>
                <w:b/>
                <w:sz w:val="12"/>
              </w:rPr>
            </w:pPr>
            <w:r>
              <w:rPr>
                <w:rFonts w:ascii="Times New Roman" w:hAnsi="Times New Roman"/>
                <w:b/>
                <w:sz w:val="12"/>
              </w:rPr>
              <w:t xml:space="preserve">(3)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107,069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196" w:type="dxa"/>
            <w:tcBorders/>
            <w:shd w:fill="CCEEFF" w:val="clear"/>
            <w:vAlign w:val="center"/>
          </w:tcPr>
          <w:p>
            <w:pPr>
              <w:pStyle w:val="TableContents"/>
              <w:bidi w:val="0"/>
              <w:spacing w:before="0" w:after="283"/>
              <w:jc w:val="right"/>
              <w:rPr/>
            </w:pPr>
            <w:r>
              <w:rPr/>
              <w:t>62,882</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491,400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288,600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p>
            <w:pPr>
              <w:pStyle w:val="TableContents"/>
              <w:bidi w:val="0"/>
              <w:spacing w:before="0" w:after="0"/>
              <w:jc w:val="left"/>
              <w:rPr>
                <w:rFonts w:ascii="Times New Roman" w:hAnsi="Times New Roman"/>
                <w:b/>
                <w:sz w:val="12"/>
              </w:rPr>
            </w:pPr>
            <w:r>
              <w:rPr>
                <w:rFonts w:ascii="Times New Roman" w:hAnsi="Times New Roman"/>
                <w:b/>
                <w:sz w:val="12"/>
              </w:rPr>
              <w:t>(3)</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220,500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196" w:type="dxa"/>
            <w:tcBorders/>
            <w:shd w:fill="CCEEFF" w:val="clear"/>
            <w:vAlign w:val="center"/>
          </w:tcPr>
          <w:p>
            <w:pPr>
              <w:pStyle w:val="TableContents"/>
              <w:bidi w:val="0"/>
              <w:spacing w:before="0" w:after="283"/>
              <w:jc w:val="right"/>
              <w:rPr/>
            </w:pPr>
            <w:r>
              <w:rPr/>
              <w:t>129,500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Zubeck, who commenced employment with the Company on September 2, 2025, did not participate in the Company’s 2025 annual equity grant program. Instead on October 1, 2025, Mr. Zubeck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time-based restricted stock units in connection with his commencement of employment with the Company.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Coley, who commenced employment with the Company on January 6, 2025,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performance-based restricted stock units and time-based restricted stock units in connection with his commencement of employment with the Company, which was granted on the same date as his grants under the Company’s 2025 annual equity grant program were made. Mr. Coley also received grants of performance-based restricted stock units and time-based restricted stock units as part of the Company’s 2025 annual equity grant program. In connection with Mr. Coley’s promotion during 2025, Mr. Coley also received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grants of time-based restricted stock units on both May 1, 2025, and October 1,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Davis, Mays, Trousdale and Whitney received grants of performance-based restricted stock units and time-based restricted stock units as part of the Company’s 2025 annual equity grant program. Mr. Trousdale also received an additional grant of time-based restricted stock units on May 1, 2025 in connection with his appointment as the Company’s Interim Chief Financial Officer and Senior Vice President. However, upon their respective terminations of employment, each of Messrs. Davis, Mays, Trousdale and Whitney forfeited their unvested grants as of their respective termination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RSUs generally vest over a three-year period on an annual basis, subject to continued employment on the applicable vesting dates. The PSUs subject to the Adjusted EPS goal (the “EPS PSUs”) are eligible to be earned based on achievement of the Adjusted EPS performance targets established for each of the three separately measured annual performance years (2025, 2026 and 2027) included in a total three-year performance period ending on December 31, 2027. At the end of each annual performance year, the Compensation and Human Resources Committee will determine the level at which the applicable Adjusted EPS target has been achieved, and the corresponding number of EPS PSUs that are determined to have been earned will remain eligible to vest following the end of the total three-year performance period after the time at which the Compensation and Human Resources Committee determines performance, but in no event later than March 15, 2028, subject to the NEO’s continued employment with the Company through such date. The PSUs subject to the Relative Adjusted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Margin Ranking goal (the “Margin PSUs”) are eligible to be earned based on cumulative achievement of the applicable performance target measured over the total three-year performance period ending on December 31, 2027. Margin PSUs that are determined to have been earned will remain eligible to vest following the end of the three-year performance period after the time at which the Compensation and Human Resources Committee determines performance, but in no event later than March 15, 2028, subject to the NEO’s continued employment with the Company through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each of the Relative Adjusted </w:t>
      </w:r>
    </w:p>
    <w:p>
      <w:pPr>
        <w:pStyle w:val="TextBody"/>
        <w:bidi w:val="0"/>
        <w:spacing w:before="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0" w:after="0"/>
        <w:jc w:val="left"/>
        <w:rPr>
          <w:rFonts w:ascii="Times New Roman" w:hAnsi="Times New Roman"/>
          <w:sz w:val="20"/>
        </w:rPr>
      </w:pPr>
      <w:r>
        <w:rPr>
          <w:rFonts w:ascii="Times New Roman" w:hAnsi="Times New Roman"/>
          <w:sz w:val="20"/>
        </w:rPr>
        <w:t xml:space="preserve">Margin Ranking goal and Adjusted EPS goal, the Compensation and Human Resources Committee established threshold, target and maximum levels of performance, which correspond to PSUs being earned at 50%, 100% and 150%, respectively, with linear interpolation between points. If the results are below threshold level, the applicable portion of the PSUs will be earned at 0%. The performance targets and corresponding payout levels are illustrated in the tables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Adjusted EPS Goal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2045"/>
        <w:gridCol w:w="120"/>
        <w:gridCol w:w="1415"/>
        <w:gridCol w:w="120"/>
        <w:gridCol w:w="75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Performance Level</w:t>
            </w:r>
          </w:p>
        </w:tc>
        <w:tc>
          <w:tcPr>
            <w:tcW w:w="12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Measurement</w:t>
            </w:r>
          </w:p>
        </w:tc>
        <w:tc>
          <w:tcPr>
            <w:tcW w:w="12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Payout</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Threshold / 0% Growth</w:t>
            </w:r>
          </w:p>
        </w:tc>
        <w:tc>
          <w:tcPr>
            <w:tcW w:w="1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0"/>
              <w:jc w:val="center"/>
              <w:rPr/>
            </w:pPr>
            <w:r>
              <w:rPr/>
              <w:t>2025:</w:t>
            </w:r>
          </w:p>
          <w:p>
            <w:pPr>
              <w:pStyle w:val="TableContents"/>
              <w:bidi w:val="0"/>
              <w:spacing w:before="0" w:after="0"/>
              <w:jc w:val="center"/>
              <w:rPr>
                <w:rFonts w:ascii="Times New Roman" w:hAnsi="Times New Roman"/>
                <w:sz w:val="20"/>
              </w:rPr>
            </w:pPr>
            <w:r>
              <w:rPr>
                <w:rFonts w:ascii="Times New Roman" w:hAnsi="Times New Roman"/>
                <w:sz w:val="20"/>
              </w:rPr>
              <w:t>$1.05</w:t>
            </w:r>
          </w:p>
          <w:p>
            <w:pPr>
              <w:pStyle w:val="TableContents"/>
              <w:bidi w:val="0"/>
              <w:spacing w:before="0" w:after="0"/>
              <w:jc w:val="center"/>
              <w:rPr>
                <w:rFonts w:ascii="Times New Roman" w:hAnsi="Times New Roman"/>
                <w:sz w:val="20"/>
              </w:rPr>
            </w:pPr>
            <w:r>
              <w:rPr>
                <w:rFonts w:ascii="Times New Roman" w:hAnsi="Times New Roman"/>
                <w:sz w:val="20"/>
              </w:rPr>
              <w:t>2026:</w:t>
            </w:r>
          </w:p>
          <w:p>
            <w:pPr>
              <w:pStyle w:val="TableContents"/>
              <w:bidi w:val="0"/>
              <w:spacing w:before="0" w:after="0"/>
              <w:jc w:val="center"/>
              <w:rPr>
                <w:rFonts w:ascii="Times New Roman" w:hAnsi="Times New Roman"/>
                <w:sz w:val="20"/>
              </w:rPr>
            </w:pPr>
            <w:r>
              <w:rPr>
                <w:rFonts w:ascii="Times New Roman" w:hAnsi="Times New Roman"/>
                <w:sz w:val="20"/>
              </w:rPr>
              <w:t>$1.05</w:t>
            </w:r>
          </w:p>
          <w:p>
            <w:pPr>
              <w:pStyle w:val="TableContents"/>
              <w:bidi w:val="0"/>
              <w:spacing w:before="0" w:after="0"/>
              <w:jc w:val="center"/>
              <w:rPr>
                <w:rFonts w:ascii="Times New Roman" w:hAnsi="Times New Roman"/>
                <w:sz w:val="20"/>
              </w:rPr>
            </w:pPr>
            <w:r>
              <w:rPr>
                <w:rFonts w:ascii="Times New Roman" w:hAnsi="Times New Roman"/>
                <w:sz w:val="20"/>
              </w:rPr>
              <w:t>2027:</w:t>
            </w:r>
          </w:p>
          <w:p>
            <w:pPr>
              <w:pStyle w:val="TableContents"/>
              <w:bidi w:val="0"/>
              <w:spacing w:before="0" w:after="20"/>
              <w:jc w:val="center"/>
              <w:rPr>
                <w:rFonts w:ascii="Times New Roman" w:hAnsi="Times New Roman"/>
                <w:sz w:val="20"/>
              </w:rPr>
            </w:pPr>
            <w:r>
              <w:rPr>
                <w:rFonts w:ascii="Times New Roman" w:hAnsi="Times New Roman"/>
                <w:sz w:val="20"/>
              </w:rPr>
              <w:t>$1.05</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50%</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 / 7% Growth</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center"/>
              <w:rPr/>
            </w:pPr>
            <w:r>
              <w:rPr/>
              <w:t>2025:</w:t>
            </w:r>
          </w:p>
          <w:p>
            <w:pPr>
              <w:pStyle w:val="TableContents"/>
              <w:bidi w:val="0"/>
              <w:spacing w:before="0" w:after="0"/>
              <w:jc w:val="center"/>
              <w:rPr>
                <w:rFonts w:ascii="Times New Roman" w:hAnsi="Times New Roman"/>
                <w:sz w:val="20"/>
              </w:rPr>
            </w:pPr>
            <w:r>
              <w:rPr>
                <w:rFonts w:ascii="Times New Roman" w:hAnsi="Times New Roman"/>
                <w:sz w:val="20"/>
              </w:rPr>
              <w:t>$1.12</w:t>
            </w:r>
          </w:p>
          <w:p>
            <w:pPr>
              <w:pStyle w:val="TableContents"/>
              <w:bidi w:val="0"/>
              <w:spacing w:before="0" w:after="0"/>
              <w:jc w:val="center"/>
              <w:rPr>
                <w:rFonts w:ascii="Times New Roman" w:hAnsi="Times New Roman"/>
                <w:sz w:val="20"/>
              </w:rPr>
            </w:pPr>
            <w:r>
              <w:rPr>
                <w:rFonts w:ascii="Times New Roman" w:hAnsi="Times New Roman"/>
                <w:sz w:val="20"/>
              </w:rPr>
              <w:t>2026:</w:t>
            </w:r>
          </w:p>
          <w:p>
            <w:pPr>
              <w:pStyle w:val="TableContents"/>
              <w:bidi w:val="0"/>
              <w:spacing w:before="0" w:after="0"/>
              <w:jc w:val="center"/>
              <w:rPr>
                <w:rFonts w:ascii="Times New Roman" w:hAnsi="Times New Roman"/>
                <w:sz w:val="20"/>
              </w:rPr>
            </w:pPr>
            <w:r>
              <w:rPr>
                <w:rFonts w:ascii="Times New Roman" w:hAnsi="Times New Roman"/>
                <w:sz w:val="20"/>
              </w:rPr>
              <w:t>$1.20</w:t>
            </w:r>
          </w:p>
          <w:p>
            <w:pPr>
              <w:pStyle w:val="TableContents"/>
              <w:bidi w:val="0"/>
              <w:spacing w:before="0" w:after="0"/>
              <w:jc w:val="center"/>
              <w:rPr>
                <w:rFonts w:ascii="Times New Roman" w:hAnsi="Times New Roman"/>
                <w:sz w:val="20"/>
              </w:rPr>
            </w:pPr>
            <w:r>
              <w:rPr>
                <w:rFonts w:ascii="Times New Roman" w:hAnsi="Times New Roman"/>
                <w:sz w:val="20"/>
              </w:rPr>
              <w:t>2027:</w:t>
            </w:r>
          </w:p>
          <w:p>
            <w:pPr>
              <w:pStyle w:val="TableContents"/>
              <w:bidi w:val="0"/>
              <w:spacing w:before="0" w:after="20"/>
              <w:jc w:val="center"/>
              <w:rPr>
                <w:rFonts w:ascii="Times New Roman" w:hAnsi="Times New Roman"/>
                <w:sz w:val="20"/>
              </w:rPr>
            </w:pPr>
            <w:r>
              <w:rPr>
                <w:rFonts w:ascii="Times New Roman" w:hAnsi="Times New Roman"/>
                <w:sz w:val="20"/>
              </w:rPr>
              <w:t>$1.29</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Maximum / 15% Growth</w:t>
            </w:r>
          </w:p>
        </w:tc>
        <w:tc>
          <w:tcPr>
            <w:tcW w:w="1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0"/>
              <w:jc w:val="center"/>
              <w:rPr/>
            </w:pPr>
            <w:r>
              <w:rPr/>
              <w:t>2025:</w:t>
            </w:r>
          </w:p>
          <w:p>
            <w:pPr>
              <w:pStyle w:val="TableContents"/>
              <w:bidi w:val="0"/>
              <w:spacing w:before="0" w:after="0"/>
              <w:jc w:val="center"/>
              <w:rPr>
                <w:rFonts w:ascii="Times New Roman" w:hAnsi="Times New Roman"/>
                <w:sz w:val="20"/>
              </w:rPr>
            </w:pPr>
            <w:r>
              <w:rPr>
                <w:rFonts w:ascii="Times New Roman" w:hAnsi="Times New Roman"/>
                <w:sz w:val="20"/>
              </w:rPr>
              <w:t>$1.21</w:t>
            </w:r>
          </w:p>
          <w:p>
            <w:pPr>
              <w:pStyle w:val="TableContents"/>
              <w:bidi w:val="0"/>
              <w:spacing w:before="0" w:after="0"/>
              <w:jc w:val="center"/>
              <w:rPr>
                <w:rFonts w:ascii="Times New Roman" w:hAnsi="Times New Roman"/>
                <w:sz w:val="20"/>
              </w:rPr>
            </w:pPr>
            <w:r>
              <w:rPr>
                <w:rFonts w:ascii="Times New Roman" w:hAnsi="Times New Roman"/>
                <w:sz w:val="20"/>
              </w:rPr>
              <w:t>2026:</w:t>
            </w:r>
          </w:p>
          <w:p>
            <w:pPr>
              <w:pStyle w:val="TableContents"/>
              <w:bidi w:val="0"/>
              <w:spacing w:before="0" w:after="0"/>
              <w:jc w:val="center"/>
              <w:rPr>
                <w:rFonts w:ascii="Times New Roman" w:hAnsi="Times New Roman"/>
                <w:sz w:val="20"/>
              </w:rPr>
            </w:pPr>
            <w:r>
              <w:rPr>
                <w:rFonts w:ascii="Times New Roman" w:hAnsi="Times New Roman"/>
                <w:sz w:val="20"/>
              </w:rPr>
              <w:t>$1.39</w:t>
            </w:r>
          </w:p>
          <w:p>
            <w:pPr>
              <w:pStyle w:val="TableContents"/>
              <w:bidi w:val="0"/>
              <w:spacing w:before="0" w:after="0"/>
              <w:jc w:val="center"/>
              <w:rPr>
                <w:rFonts w:ascii="Times New Roman" w:hAnsi="Times New Roman"/>
                <w:sz w:val="20"/>
              </w:rPr>
            </w:pPr>
            <w:r>
              <w:rPr>
                <w:rFonts w:ascii="Times New Roman" w:hAnsi="Times New Roman"/>
                <w:sz w:val="20"/>
              </w:rPr>
              <w:t>2027:</w:t>
            </w:r>
          </w:p>
          <w:p>
            <w:pPr>
              <w:pStyle w:val="TableContents"/>
              <w:bidi w:val="0"/>
              <w:spacing w:before="0" w:after="20"/>
              <w:jc w:val="center"/>
              <w:rPr>
                <w:rFonts w:ascii="Times New Roman" w:hAnsi="Times New Roman"/>
                <w:sz w:val="20"/>
              </w:rPr>
            </w:pPr>
            <w:r>
              <w:rPr>
                <w:rFonts w:ascii="Times New Roman" w:hAnsi="Times New Roman"/>
                <w:sz w:val="20"/>
              </w:rPr>
              <w:t>$1.60</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150%</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Relative Adjusted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Pre-Tax</w:t>
      </w:r>
    </w:p>
    <w:p>
      <w:pPr>
        <w:pStyle w:val="TextBody"/>
        <w:bidi w:val="0"/>
        <w:spacing w:before="240" w:after="0"/>
        <w:jc w:val="left"/>
        <w:rPr>
          <w:rFonts w:ascii="Times New Roman" w:hAnsi="Times New Roman"/>
          <w:b/>
          <w:sz w:val="20"/>
        </w:rPr>
      </w:pPr>
      <w:r>
        <w:rPr>
          <w:rFonts w:ascii="Times New Roman" w:hAnsi="Times New Roman"/>
          <w:b/>
          <w:sz w:val="20"/>
        </w:rPr>
        <w:t xml:space="preserve">Margin Ranking Goal </w:t>
      </w:r>
    </w:p>
    <w:p>
      <w:pPr>
        <w:pStyle w:val="TextBody"/>
        <w:bidi w:val="0"/>
        <w:spacing w:before="0" w:after="0"/>
        <w:jc w:val="left"/>
        <w:rPr/>
      </w:pPr>
      <w:r>
        <w:rPr/>
        <w:t> </w:t>
      </w:r>
    </w:p>
    <w:tbl>
      <w:tblPr>
        <w:tblW w:w="3945" w:type="dxa"/>
        <w:jc w:val="left"/>
        <w:tblInd w:w="0" w:type="dxa"/>
        <w:tblLayout w:type="fixed"/>
        <w:tblCellMar>
          <w:top w:w="0" w:type="dxa"/>
          <w:left w:w="0" w:type="dxa"/>
          <w:bottom w:w="0" w:type="dxa"/>
          <w:right w:w="0" w:type="dxa"/>
        </w:tblCellMar>
      </w:tblPr>
      <w:tblGrid>
        <w:gridCol w:w="1415"/>
        <w:gridCol w:w="120"/>
        <w:gridCol w:w="1535"/>
        <w:gridCol w:w="120"/>
        <w:gridCol w:w="75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Performance Level</w:t>
            </w:r>
          </w:p>
        </w:tc>
        <w:tc>
          <w:tcPr>
            <w:tcW w:w="1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Measurement*</w:t>
            </w:r>
          </w:p>
        </w:tc>
        <w:tc>
          <w:tcPr>
            <w:tcW w:w="12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Payout</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4</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50%</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1</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150%</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i/>
                <w:caps w:val="false"/>
                <w:smallCaps w:val="false"/>
                <w:spacing w:val="0"/>
              </w:rPr>
            </w:pPr>
            <w:r>
              <w:rPr>
                <w:i/>
                <w:caps w:val="false"/>
                <w:smallCaps w:val="false"/>
                <w:spacing w:val="0"/>
              </w:rPr>
              <w:t>*</w:t>
            </w:r>
          </w:p>
        </w:tc>
        <w:tc>
          <w:tcPr>
            <w:tcW w:w="100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At grant, performance was scheduled to be measured against 6 U.S. airlines: Alaska Air Group, Inc., Allegiant Travel Company, Frontier Group Holdings, JetBlue Airways, Spirit Airlines, Inc. and Sun Country Airlines. The Compensation and Human Resources Committee has reserved the ability to adjust the threshold and target measurement levels at the end of the performance period to reflect decreases to the number of airlines remaining in the comparator set at such time. Spirit Airlines was subsequently removed after it filed for Chapter 11 bankruptcy protection in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in further detail below, upon closing of the merger with Allegiant, all outstanding PSUs will be deemed to be achieved at an average performance factor of 125%, and will be assumed by Allegiant and converted into an Allegiant time-based restricted stock unit award representing the right to receive upon vesting a certain number of shares of Allegiant common stock as determined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Decisions Related to the Pending Merger with Allegiant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 entering into the Merger Agreement with Allegiant, the Compensation and Human Resources Committee approved/ratified the following actions in 2026, subject to consummation of the merger with Allegiant: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Sun Country’s ability to amend its 401(k) plan to provide for full vesting of company match credits upon closing of the merger with Allegiant.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closing of the merger with Allegiant, all outstanding PSUs will be deemed to be achieved at an average performance factor of 125%, and will be assumed by Allegiant and converted into an Allegiant time-based restricted stock unit award representing the right to receive upon vesting a certain number of shares of Allegiant common stock as determined in accordance with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the payment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pro-rated</w:t>
            </w:r>
          </w:p>
          <w:p>
            <w:pPr>
              <w:pStyle w:val="TableContents"/>
              <w:bidi w:val="0"/>
              <w:spacing w:before="0" w:after="0"/>
              <w:jc w:val="left"/>
              <w:rPr>
                <w:rFonts w:ascii="Times New Roman" w:hAnsi="Times New Roman"/>
                <w:sz w:val="20"/>
              </w:rPr>
            </w:pPr>
            <w:r>
              <w:rPr>
                <w:rFonts w:ascii="Times New Roman" w:hAnsi="Times New Roman"/>
                <w:sz w:val="20"/>
              </w:rPr>
              <w:t xml:space="preserve">annual bonuses upon closing of the merger with Allegiant based on the “greater of” target or actual performance, measured through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P</w:t>
      </w:r>
    </w:p>
    <w:p>
      <w:pPr>
        <w:pStyle w:val="TextBody"/>
        <w:bidi w:val="0"/>
        <w:spacing w:before="0" w:after="0"/>
        <w:jc w:val="left"/>
        <w:rPr>
          <w:rFonts w:ascii="Times New Roman" w:hAnsi="Times New Roman"/>
          <w:b/>
          <w:sz w:val="20"/>
          <w:u w:val="single"/>
        </w:rPr>
      </w:pPr>
      <w:r>
        <w:rPr>
          <w:rFonts w:ascii="Times New Roman" w:hAnsi="Times New Roman"/>
          <w:b/>
          <w:sz w:val="20"/>
          <w:u w:val="single"/>
        </w:rPr>
        <w:t>ERQUISITES</w:t>
      </w:r>
    </w:p>
    <w:p>
      <w:pPr>
        <w:pStyle w:val="TextBody"/>
        <w:bidi w:val="0"/>
        <w:spacing w:before="0" w:after="0"/>
        <w:jc w:val="left"/>
        <w:rPr>
          <w:rFonts w:ascii="Times New Roman" w:hAnsi="Times New Roman"/>
          <w:b/>
          <w:sz w:val="20"/>
          <w:u w:val="single"/>
        </w:rPr>
      </w:pPr>
      <w:r>
        <w:rPr>
          <w:rFonts w:ascii="Times New Roman" w:hAnsi="Times New Roman"/>
          <w:b/>
          <w:sz w:val="20"/>
          <w:u w:val="single"/>
        </w:rPr>
        <w:t>AND</w:t>
      </w:r>
    </w:p>
    <w:p>
      <w:pPr>
        <w:pStyle w:val="TextBody"/>
        <w:bidi w:val="0"/>
        <w:spacing w:before="0" w:after="0"/>
        <w:jc w:val="left"/>
        <w:rPr>
          <w:rFonts w:ascii="Times New Roman" w:hAnsi="Times New Roman"/>
          <w:b/>
          <w:sz w:val="20"/>
        </w:rPr>
      </w:pPr>
      <w:r>
        <w:rPr>
          <w:rFonts w:ascii="Times New Roman" w:hAnsi="Times New Roman"/>
          <w:b/>
          <w:sz w:val="20"/>
        </w:rPr>
        <w:t>O</w:t>
      </w:r>
    </w:p>
    <w:p>
      <w:pPr>
        <w:pStyle w:val="TextBody"/>
        <w:bidi w:val="0"/>
        <w:spacing w:before="0" w:after="0"/>
        <w:jc w:val="left"/>
        <w:rPr>
          <w:rFonts w:ascii="Times New Roman" w:hAnsi="Times New Roman"/>
          <w:b/>
          <w:sz w:val="20"/>
          <w:u w:val="single"/>
        </w:rPr>
      </w:pPr>
      <w:r>
        <w:rPr>
          <w:rFonts w:ascii="Times New Roman" w:hAnsi="Times New Roman"/>
          <w:b/>
          <w:sz w:val="20"/>
          <w:u w:val="single"/>
        </w:rPr>
        <w:t>THER</w:t>
      </w:r>
    </w:p>
    <w:p>
      <w:pPr>
        <w:pStyle w:val="TextBody"/>
        <w:bidi w:val="0"/>
        <w:spacing w:before="0" w:after="0"/>
        <w:jc w:val="left"/>
        <w:rPr>
          <w:rFonts w:ascii="Times New Roman" w:hAnsi="Times New Roman"/>
          <w:b/>
          <w:sz w:val="20"/>
        </w:rPr>
      </w:pPr>
      <w:r>
        <w:rPr>
          <w:rFonts w:ascii="Times New Roman" w:hAnsi="Times New Roman"/>
          <w:b/>
          <w:sz w:val="20"/>
        </w:rPr>
        <w:t>B</w:t>
      </w:r>
    </w:p>
    <w:p>
      <w:pPr>
        <w:pStyle w:val="TextBody"/>
        <w:bidi w:val="0"/>
        <w:spacing w:before="0" w:after="0"/>
        <w:jc w:val="left"/>
        <w:rPr>
          <w:rFonts w:ascii="Times New Roman" w:hAnsi="Times New Roman"/>
          <w:b/>
          <w:sz w:val="20"/>
          <w:u w:val="single"/>
        </w:rPr>
      </w:pPr>
      <w:r>
        <w:rPr>
          <w:rFonts w:ascii="Times New Roman" w:hAnsi="Times New Roman"/>
          <w:b/>
          <w:sz w:val="20"/>
          <w:u w:val="single"/>
        </w:rPr>
        <w:t>ENEFITS</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in the same ongoing retirement plans as our other employees generally, including a defined contribution plan. The Company also provides a cell phone allowance in certain circumstances, and contributes to life insurance and health savings accounts for the NEOs. Our NEOs are also entitled to receive flight benefits under our Universal Air Travel Plan (“ATP”). Under the ATP, certain executives, including our NEOs, receive an annual dollar value that they may use for personal travel on our flights for themselves and certain qualifying friends and family. Each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one-way</w:t>
      </w:r>
    </w:p>
    <w:p>
      <w:pPr>
        <w:pStyle w:val="TextBody"/>
        <w:bidi w:val="0"/>
        <w:spacing w:before="120" w:after="0"/>
        <w:jc w:val="left"/>
        <w:rPr>
          <w:rFonts w:ascii="Times New Roman" w:hAnsi="Times New Roman"/>
          <w:sz w:val="20"/>
        </w:rPr>
      </w:pPr>
      <w:r>
        <w:rPr>
          <w:rFonts w:ascii="Times New Roman" w:hAnsi="Times New Roman"/>
          <w:sz w:val="20"/>
        </w:rPr>
        <w:t xml:space="preserve">flight taken is valued at $75. As the ATP benefit utilized by the executive is taxable income to the NEOs, the Company pays such taxes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grossed-up</w:t>
      </w:r>
    </w:p>
    <w:p>
      <w:pPr>
        <w:pStyle w:val="TextBody"/>
        <w:bidi w:val="0"/>
        <w:spacing w:before="120" w:after="0"/>
        <w:jc w:val="left"/>
        <w:rPr>
          <w:rFonts w:ascii="Times New Roman" w:hAnsi="Times New Roman"/>
          <w:sz w:val="20"/>
        </w:rPr>
      </w:pPr>
      <w:r>
        <w:rPr>
          <w:rFonts w:ascii="Times New Roman" w:hAnsi="Times New Roman"/>
          <w:sz w:val="20"/>
        </w:rPr>
        <w:t xml:space="preserve">basis. </w:t>
      </w:r>
    </w:p>
    <w:p>
      <w:pPr>
        <w:pStyle w:val="TextBody"/>
        <w:bidi w:val="0"/>
        <w:spacing w:before="360" w:after="0"/>
        <w:jc w:val="left"/>
        <w:rPr>
          <w:rFonts w:ascii="Times New Roman" w:hAnsi="Times New Roman"/>
          <w:b/>
          <w:sz w:val="20"/>
        </w:rPr>
      </w:pPr>
      <w:r>
        <w:rPr>
          <w:rFonts w:ascii="Times New Roman" w:hAnsi="Times New Roman"/>
          <w:b/>
          <w:sz w:val="20"/>
        </w:rPr>
        <w:t>C</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LAWBACK</w:t>
      </w:r>
    </w:p>
    <w:p>
      <w:pPr>
        <w:pStyle w:val="TextBody"/>
        <w:bidi w:val="0"/>
        <w:spacing w:before="360" w:after="0"/>
        <w:jc w:val="left"/>
        <w:rPr>
          <w:rFonts w:ascii="Times New Roman" w:hAnsi="Times New Roman"/>
          <w:b/>
          <w:sz w:val="20"/>
        </w:rPr>
      </w:pPr>
      <w:r>
        <w:rPr>
          <w:rFonts w:ascii="Times New Roman" w:hAnsi="Times New Roman"/>
          <w:b/>
          <w:sz w:val="20"/>
        </w:rPr>
        <w:t>P</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OLICY</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 clawback policy (the “Clawback Policy”), which is included as an exhibit in our Original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ended December 31, 2025, and which became effective on November 3, 2023. The Clawback Policy applies to our executive officers, and provides that in the event of an accounting restatement, the Company must require an executive officer to repay incentive-based compensation, including cash or equity compensation, that would otherwise not have been received had such incentive-based compensation been determined correctly in accordance with the accounting restatement, for a period of three years preceding the date the Company concludes that it is required to prepare such accounting restatement.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award agreements applicable to executive officer RSU and PSU awards provide that the Company may cancel an RSU or PSU award, without the consent of the participant, if the participant engaged in or engages in activity that is in conflict with or adverse to the interests of the Company, including fraud, conduct contributing to any financial restatements or irregularities, or violation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non-competition,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non-solicitation,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non-disclosure</w:t>
      </w:r>
    </w:p>
    <w:p>
      <w:pPr>
        <w:pStyle w:val="TextBody"/>
        <w:bidi w:val="0"/>
        <w:spacing w:before="240" w:after="0"/>
        <w:jc w:val="left"/>
        <w:rPr>
          <w:rFonts w:ascii="Times New Roman" w:hAnsi="Times New Roman"/>
          <w:sz w:val="20"/>
        </w:rPr>
      </w:pPr>
      <w:r>
        <w:rPr>
          <w:rFonts w:ascii="Times New Roman" w:hAnsi="Times New Roman"/>
          <w:sz w:val="20"/>
        </w:rPr>
        <w:t xml:space="preserve">covenant or agreement with the Company or one of its subsidiaries. In such event, the participant will forfeit any compensation, gain or other value realized thereafter on the vesting or settlement of the RSUs or PSUs, the sale or other transfer of the RSUs or PSUs, or the sale of shares of common stock acquired in respect of the RSUs or PSUs (provided that the RSUs vested during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12-month</w:t>
      </w:r>
    </w:p>
    <w:p>
      <w:pPr>
        <w:pStyle w:val="TextBody"/>
        <w:bidi w:val="0"/>
        <w:spacing w:before="240" w:after="0"/>
        <w:jc w:val="left"/>
        <w:rPr>
          <w:rFonts w:ascii="Times New Roman" w:hAnsi="Times New Roman"/>
          <w:sz w:val="20"/>
        </w:rPr>
      </w:pPr>
      <w:r>
        <w:rPr>
          <w:rFonts w:ascii="Times New Roman" w:hAnsi="Times New Roman"/>
          <w:sz w:val="20"/>
        </w:rPr>
        <w:t xml:space="preserve">period immediately prior to the Participant’s adverse activity) and must promptly repay such amounts to the Company. If the Participant receives any amount in excess of what the participant should have received under the terms of the RSUs or PSUs for any reason (including without limitation by reason of a financial restatement, mistake in calculations or other administrative error), all as determined by the Compensation and Human Resources Committee, then the participant is required to promptly repay any such excess amount to the Company. </w:t>
      </w:r>
    </w:p>
    <w:p>
      <w:pPr>
        <w:pStyle w:val="TextBody"/>
        <w:bidi w:val="0"/>
        <w:spacing w:before="360" w:after="0"/>
        <w:jc w:val="left"/>
        <w:rPr>
          <w:rFonts w:ascii="Times New Roman" w:hAnsi="Times New Roman"/>
          <w:b/>
          <w:sz w:val="20"/>
        </w:rPr>
      </w:pPr>
      <w:r>
        <w:rPr>
          <w:rFonts w:ascii="Times New Roman" w:hAnsi="Times New Roman"/>
          <w:b/>
          <w:sz w:val="20"/>
        </w:rPr>
        <w:t>E</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QUITY</w:t>
      </w:r>
    </w:p>
    <w:p>
      <w:pPr>
        <w:pStyle w:val="TextBody"/>
        <w:bidi w:val="0"/>
        <w:spacing w:before="360" w:after="0"/>
        <w:jc w:val="left"/>
        <w:rPr>
          <w:rFonts w:ascii="Times New Roman" w:hAnsi="Times New Roman"/>
          <w:b/>
          <w:sz w:val="20"/>
        </w:rPr>
      </w:pPr>
      <w:r>
        <w:rPr>
          <w:rFonts w:ascii="Times New Roman" w:hAnsi="Times New Roman"/>
          <w:b/>
          <w:sz w:val="20"/>
        </w:rPr>
        <w:t>G</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RANT</w:t>
      </w:r>
    </w:p>
    <w:p>
      <w:pPr>
        <w:pStyle w:val="TextBody"/>
        <w:bidi w:val="0"/>
        <w:spacing w:before="360" w:after="0"/>
        <w:jc w:val="left"/>
        <w:rPr>
          <w:rFonts w:ascii="Times New Roman" w:hAnsi="Times New Roman"/>
          <w:b/>
          <w:sz w:val="20"/>
        </w:rPr>
      </w:pPr>
      <w:r>
        <w:rPr>
          <w:rFonts w:ascii="Times New Roman" w:hAnsi="Times New Roman"/>
          <w:b/>
          <w:sz w:val="20"/>
        </w:rPr>
        <w:t>P</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RACTICES</w:t>
      </w:r>
    </w:p>
    <w:p>
      <w:pPr>
        <w:pStyle w:val="TextBody"/>
        <w:bidi w:val="0"/>
        <w:spacing w:before="360" w:after="0"/>
        <w:jc w:val="left"/>
        <w:rPr>
          <w:rFonts w:ascii="Times New Roman" w:hAnsi="Times New Roman"/>
          <w:b/>
          <w:sz w:val="20"/>
        </w:rPr>
      </w:pPr>
      <w:r>
        <w:rPr>
          <w:rFonts w:ascii="Times New Roman" w:hAnsi="Times New Roman"/>
          <w:b/>
          <w:sz w:val="20"/>
        </w:rPr>
        <w:t>A</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ND</w:t>
      </w:r>
    </w:p>
    <w:p>
      <w:pPr>
        <w:pStyle w:val="TextBody"/>
        <w:bidi w:val="0"/>
        <w:spacing w:before="360" w:after="0"/>
        <w:jc w:val="left"/>
        <w:rPr>
          <w:rFonts w:ascii="Times New Roman" w:hAnsi="Times New Roman"/>
          <w:b/>
          <w:sz w:val="20"/>
        </w:rPr>
      </w:pPr>
      <w:r>
        <w:rPr>
          <w:rFonts w:ascii="Times New Roman" w:hAnsi="Times New Roman"/>
          <w:b/>
          <w:sz w:val="20"/>
        </w:rPr>
        <w:t>P</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OLICIES</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and Human Resources Committee approves all equity grants for executive officers. Annual equity grants are typically approved during the first quarter of each fiscal year. Outside of the annual grant cycle, we may make restricted stock unit awards in connection with a new hire package, retention grant or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off-cycle</w:t>
      </w:r>
    </w:p>
    <w:p>
      <w:pPr>
        <w:pStyle w:val="TextBody"/>
        <w:bidi w:val="0"/>
        <w:spacing w:before="120" w:after="0"/>
        <w:jc w:val="left"/>
        <w:rPr>
          <w:rFonts w:ascii="Times New Roman" w:hAnsi="Times New Roman"/>
          <w:sz w:val="20"/>
        </w:rPr>
      </w:pPr>
      <w:r>
        <w:rPr>
          <w:rFonts w:ascii="Times New Roman" w:hAnsi="Times New Roman"/>
          <w:sz w:val="20"/>
        </w:rPr>
        <w:t xml:space="preserve">award. The Compensation and Human Resources Committee has delegated authority to the CEO and CFO to approve grants to employees below the officer level, which grants are approved on a quarterly basis. To determine the number of RSUs and PSUs to be granted, each employee’s applicable target grant date value is divided by the closing price of a share of our common stock on the grant date. The Compensation and Human Resources Committee has not granted stock options or other equity awards with a similar strike price or floor price feature since 2021. If stock options were to be granted in the future, the Company would </w:t>
      </w:r>
    </w:p>
    <w:p>
      <w:pPr>
        <w:pStyle w:val="TextBody"/>
        <w:bidi w:val="0"/>
        <w:spacing w:before="120" w:after="0"/>
        <w:jc w:val="left"/>
        <w:rPr>
          <w:rFonts w:ascii="Times New Roman" w:hAnsi="Times New Roman"/>
          <w:sz w:val="20"/>
        </w:rPr>
      </w:pPr>
      <w:r>
        <w:rPr>
          <w:rFonts w:ascii="Times New Roman" w:hAnsi="Times New Roman"/>
          <w:sz w:val="20"/>
        </w:rPr>
        <w:t>not grant</w:t>
      </w:r>
    </w:p>
    <w:p>
      <w:pPr>
        <w:pStyle w:val="TextBody"/>
        <w:bidi w:val="0"/>
        <w:spacing w:before="120" w:after="0"/>
        <w:jc w:val="left"/>
        <w:rPr>
          <w:rFonts w:ascii="Times New Roman" w:hAnsi="Times New Roman"/>
          <w:sz w:val="20"/>
        </w:rPr>
      </w:pPr>
      <w:r>
        <w:rPr>
          <w:rFonts w:ascii="Times New Roman" w:hAnsi="Times New Roman"/>
          <w:sz w:val="20"/>
        </w:rPr>
        <w:t xml:space="preserve">such options in anticipation of the release of material nonpublic information that is likely to result in changes to the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E</w:t>
      </w:r>
    </w:p>
    <w:p>
      <w:pPr>
        <w:pStyle w:val="TextBody"/>
        <w:bidi w:val="0"/>
        <w:spacing w:before="0" w:after="0"/>
        <w:jc w:val="left"/>
        <w:rPr>
          <w:rFonts w:ascii="Times New Roman" w:hAnsi="Times New Roman"/>
          <w:b/>
          <w:sz w:val="20"/>
          <w:u w:val="single"/>
        </w:rPr>
      </w:pPr>
      <w:r>
        <w:rPr>
          <w:rFonts w:ascii="Times New Roman" w:hAnsi="Times New Roman"/>
          <w:b/>
          <w:sz w:val="20"/>
          <w:u w:val="single"/>
        </w:rPr>
        <w:t>XECUTIVE</w:t>
      </w:r>
    </w:p>
    <w:p>
      <w:pPr>
        <w:pStyle w:val="TextBody"/>
        <w:bidi w:val="0"/>
        <w:spacing w:before="0" w:after="0"/>
        <w:jc w:val="left"/>
        <w:rPr>
          <w:rFonts w:ascii="Times New Roman" w:hAnsi="Times New Roman"/>
          <w:b/>
          <w:sz w:val="20"/>
        </w:rPr>
      </w:pPr>
      <w:r>
        <w:rPr>
          <w:rFonts w:ascii="Times New Roman" w:hAnsi="Times New Roman"/>
          <w:b/>
          <w:sz w:val="20"/>
        </w:rPr>
        <w:t>C</w:t>
      </w:r>
    </w:p>
    <w:p>
      <w:pPr>
        <w:pStyle w:val="TextBody"/>
        <w:bidi w:val="0"/>
        <w:spacing w:before="0" w:after="0"/>
        <w:jc w:val="left"/>
        <w:rPr>
          <w:rFonts w:ascii="Times New Roman" w:hAnsi="Times New Roman"/>
          <w:b/>
          <w:sz w:val="20"/>
          <w:u w:val="single"/>
        </w:rPr>
      </w:pPr>
      <w:r>
        <w:rPr>
          <w:rFonts w:ascii="Times New Roman" w:hAnsi="Times New Roman"/>
          <w:b/>
          <w:sz w:val="20"/>
          <w:u w:val="single"/>
        </w:rPr>
        <w:t>OMPENSATION</w:t>
      </w:r>
    </w:p>
    <w:p>
      <w:pPr>
        <w:pStyle w:val="TextBody"/>
        <w:bidi w:val="0"/>
        <w:spacing w:before="0" w:after="0"/>
        <w:jc w:val="left"/>
        <w:rPr>
          <w:rFonts w:ascii="Times New Roman" w:hAnsi="Times New Roman"/>
          <w:b/>
          <w:sz w:val="20"/>
        </w:rPr>
      </w:pPr>
      <w:r>
        <w:rPr>
          <w:rFonts w:ascii="Times New Roman" w:hAnsi="Times New Roman"/>
          <w:b/>
          <w:sz w:val="20"/>
        </w:rPr>
        <w:t>T</w:t>
      </w:r>
    </w:p>
    <w:p>
      <w:pPr>
        <w:pStyle w:val="TextBody"/>
        <w:bidi w:val="0"/>
        <w:spacing w:before="0" w:after="0"/>
        <w:jc w:val="left"/>
        <w:rPr>
          <w:rFonts w:ascii="Times New Roman" w:hAnsi="Times New Roman"/>
          <w:b/>
          <w:sz w:val="20"/>
          <w:u w:val="single"/>
        </w:rPr>
      </w:pPr>
      <w:r>
        <w:rPr>
          <w:rFonts w:ascii="Times New Roman" w:hAnsi="Times New Roman"/>
          <w:b/>
          <w:sz w:val="20"/>
          <w:u w:val="single"/>
        </w:rPr>
        <w:t>ABLES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paid or awarded to our NEOs, by the Company and its affiliates for services rendered in all capacities to the Company and its affiliates in fiscal years 2023, 2024 and 2025: </w:t>
      </w:r>
    </w:p>
    <w:p>
      <w:pPr>
        <w:pStyle w:val="TextBody"/>
        <w:bidi w:val="0"/>
        <w:spacing w:before="24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8"/>
        <w:gridCol w:w="120"/>
        <w:gridCol w:w="60"/>
        <w:gridCol w:w="500"/>
        <w:gridCol w:w="60"/>
        <w:gridCol w:w="120"/>
        <w:gridCol w:w="141"/>
        <w:gridCol w:w="809"/>
        <w:gridCol w:w="60"/>
        <w:gridCol w:w="120"/>
        <w:gridCol w:w="140"/>
        <w:gridCol w:w="800"/>
        <w:gridCol w:w="60"/>
        <w:gridCol w:w="120"/>
        <w:gridCol w:w="140"/>
        <w:gridCol w:w="980"/>
        <w:gridCol w:w="60"/>
        <w:gridCol w:w="120"/>
        <w:gridCol w:w="181"/>
        <w:gridCol w:w="1039"/>
        <w:gridCol w:w="60"/>
        <w:gridCol w:w="120"/>
        <w:gridCol w:w="221"/>
        <w:gridCol w:w="1269"/>
        <w:gridCol w:w="60"/>
        <w:gridCol w:w="120"/>
        <w:gridCol w:w="140"/>
        <w:gridCol w:w="980"/>
        <w:gridCol w:w="77"/>
      </w:tblGrid>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2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Bonus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Non-Equity</w:t>
            </w:r>
          </w:p>
          <w:p>
            <w:pPr>
              <w:pStyle w:val="TableContents"/>
              <w:bidi w:val="0"/>
              <w:spacing w:before="0" w:after="0"/>
              <w:jc w:val="center"/>
              <w:rPr>
                <w:b/>
                <w:spacing w:val="0"/>
              </w:rPr>
            </w:pPr>
            <w:r>
              <w:rPr>
                <w:b/>
                <w:spacing w:val="0"/>
              </w:rPr>
              <w:br/>
              <w:t>Incentive</w:t>
              <w:br/>
              <w:t>Plan($)(3)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All Other</w:t>
              <w:br/>
              <w:t>Compensation</w:t>
              <w:b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649,999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923,000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29,349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3,602,349</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649,999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800,313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31,653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3,481,966</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546,875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670,204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32,727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3,249,806</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SVP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100,961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117,005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79,084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3,165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1,100,215</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Operating Officer and SVP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273,570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78,003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649,000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197,767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13,956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1,212,296</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 SVP and Corporate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221,520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27,022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973,542</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192,075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20,219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937,295</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273,542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168,712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16,690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631,444</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Commercial Officer and SVP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221,520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27,304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923,824</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Former President and Chief Financial Officer(6)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180,128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20,701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1,050,829</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499,999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492,500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22,385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1,864,885</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447,500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350,026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443,765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21,104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1,632,395</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Bill Trousdale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Former Interim Chief Financial Officer and SVP(6)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293,644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284,951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16,410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595,005</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230,768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20,745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1,031,513</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Former Chief Operating Officer(6)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315,200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25,409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1,520,610</w:t>
            </w:r>
          </w:p>
        </w:tc>
        <w:tc>
          <w:tcPr>
            <w:tcW w:w="77" w:type="dxa"/>
            <w:tcBorders/>
            <w:vAlign w:val="center"/>
          </w:tcPr>
          <w:p>
            <w:pPr>
              <w:pStyle w:val="TableContents"/>
              <w:bidi w:val="0"/>
              <w:spacing w:before="0" w:after="283"/>
              <w:jc w:val="left"/>
              <w:rPr/>
            </w:pPr>
            <w:r>
              <w:rPr/>
              <w:t> </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351,250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289,113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23,854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1,051,717</w:t>
            </w:r>
          </w:p>
        </w:tc>
        <w:tc>
          <w:tcPr>
            <w:tcW w:w="77" w:type="dxa"/>
            <w:tcBorders/>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280,833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156,000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359,272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1,146,105</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Former SVP and Chief Revenue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192,075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16,718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883,793</w:t>
            </w:r>
          </w:p>
        </w:tc>
        <w:tc>
          <w:tcPr>
            <w:tcW w:w="77" w:type="dxa"/>
            <w:tcBorders/>
            <w:shd w:fill="CCEEFF" w:val="clear"/>
            <w:vAlign w:val="center"/>
          </w:tcPr>
          <w:p>
            <w:pPr>
              <w:pStyle w:val="TableContents"/>
              <w:bidi w:val="0"/>
              <w:spacing w:before="0" w:after="283"/>
              <w:jc w:val="left"/>
              <w:rPr/>
            </w:pPr>
            <w:r>
              <w:rPr/>
              <w:t> </w:t>
            </w:r>
          </w:p>
        </w:tc>
      </w:tr>
      <w:tr>
        <w:trPr/>
        <w:tc>
          <w:tcPr>
            <w:tcW w:w="152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281,875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175,538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15,479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645,392</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Zubeck, the amount shown in this column represents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relocation payment of $75,000,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grossed-up</w:t>
            </w:r>
          </w:p>
          <w:p>
            <w:pPr>
              <w:pStyle w:val="TableContents"/>
              <w:bidi w:val="0"/>
              <w:spacing w:before="0" w:after="0"/>
              <w:jc w:val="left"/>
              <w:rPr>
                <w:rFonts w:ascii="Times New Roman" w:hAnsi="Times New Roman"/>
                <w:sz w:val="20"/>
              </w:rPr>
            </w:pPr>
            <w:r>
              <w:rPr>
                <w:rFonts w:ascii="Times New Roman" w:hAnsi="Times New Roman"/>
                <w:sz w:val="20"/>
              </w:rPr>
              <w:t xml:space="preserve">for taxes, in connection with his relocation to Minneapolis, Minnesota upon his commencement of employment with the Company, which is subject to clawback in the event he resigns from the Company or is terminated by the Company for “cause” before the 18th month anniversary of his date of hire. For Mr. Coley, the amount shown in this column represents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signing bonus paid to Mr. Coley in the amount of $50,000,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grossed-up</w:t>
            </w:r>
          </w:p>
          <w:p>
            <w:pPr>
              <w:pStyle w:val="TableContents"/>
              <w:bidi w:val="0"/>
              <w:spacing w:before="0" w:after="0"/>
              <w:jc w:val="left"/>
              <w:rPr>
                <w:rFonts w:ascii="Times New Roman" w:hAnsi="Times New Roman"/>
                <w:sz w:val="20"/>
              </w:rPr>
            </w:pPr>
            <w:r>
              <w:rPr>
                <w:rFonts w:ascii="Times New Roman" w:hAnsi="Times New Roman"/>
                <w:sz w:val="20"/>
              </w:rPr>
              <w:t xml:space="preserve">for taxes, in connection with his commencement of employment with the Company, which is subject to clawback in the event he resigns from the Company or is terminated by the Company for “cause” within the first 12 months of his date of hire. For Messrs. Bricker and Davis, the amounts shown in this column for 2023 reflect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agreement bonus paid in connection with the entry into their respective employment agreements in May of 2023, of $500,000 and $300,000, respectively. The amount reported for Mr. Davis in the 2023 proxy statement inadvertently omitted an additional bonus payment of $50,026 that was paid during 2023 pursuant to the terms of Mr. Davis’ prior employment agreement, which amount has been included for 2023 in the table above.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reflect the grant date fair value of restricted stock units (including, for 2025, performance-based restricted stock units) granted to our NEOs in the applicable fiscal year, calculated in accordance with FASB ASC Topic 718. The fair market value of both the restricted stock units and the performance-based restricted stock units granted in 2025 is based on the Company’s share price as of the grant date. For Mr. Zubeck, who commenced employment with the Company on September 2, 2025, the amount reported reflects the value of his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time-based restricted stock units for 2025. For Mr. Coley, who commenced employment with the Company on January 6, 2025, the amount reported reflects the value of (a)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performance-based restricted stock units and time-based restricted stock units that were granted to him at the same time as his grants under the Company’s 2025 annual equity grant program were made, (b) grants of performance-based restricted stock units and time-based restricted stock units that were made as part of the Company’s 2025 annual equity grant program and (c)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grants of time-based restricted stock units that were made on May 1, 2025 and October 1, 2025 in connection with his promotion. For Mr. Trousdale, the amount reported reflects (a) grants of performance-based restricted stock units and time-based restricted stock units as part of the Company’s 2025 annual equity grant program and (b) an additional grant of time-based restricted stock units that were granted to him on May 1, 2025 in connection with his promotion. For additional information on the valuation assumptions regarding the stock awards, refer to Note 9 to our audited consolidated financial statements for the year ended December 31, 2025, which are included in our Original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ended December 31, 2025 filed with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for 2023, 2024 and 2025 reflect the annual bonus amounts earned pursuant to the Company’s annual cash bonus program for 2023, 2024 and 2025, respectively, based on achievement of the applicable performance metrics. These amounts are being reported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Non-Equity</w:t>
            </w:r>
          </w:p>
          <w:p>
            <w:pPr>
              <w:pStyle w:val="TableContents"/>
              <w:bidi w:val="0"/>
              <w:spacing w:before="0" w:after="0"/>
              <w:jc w:val="left"/>
              <w:rPr>
                <w:rFonts w:ascii="Times New Roman" w:hAnsi="Times New Roman"/>
                <w:sz w:val="20"/>
              </w:rPr>
            </w:pPr>
            <w:r>
              <w:rPr>
                <w:rFonts w:ascii="Times New Roman" w:hAnsi="Times New Roman"/>
                <w:sz w:val="20"/>
              </w:rPr>
              <w:t xml:space="preserve">Incentive Plan compensation in order to reflect that the bonus amounts earned are based on formulaic performance metrics.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of our NEOs, the amounts under “All Other Compensation” for fiscal year 2025 represent the Company’s contributions in respect of life insurance and our 401(k) Plan ($14,029 for Mr. Bricker, $2,925 for Mr. Zubeck, $9,661 for Mr. Coley, $17,472 for Ms. Neale, $16,401 for Mr. Snow, $14,010 for Mr. Davis, $14,013 for Mr. Mays, $14,066 for Mr. Trousdale and $9,832 for Mr. Whitney), annual cell phone allowance ($720 for Messrs. Bricker, Coley, Snow, Trousdale and Ms. Neale, $240 for Messrs. Davis and Zubeck, $300 for Mr. Mays and $600 for Mr. Whitney), and the Company’s contributions in respect of health savings accounts ($500 for Messrs. Bricker, Snow, Trousdale and Ms. Neale, $166 for Mr. Davis, $250 for Mr. Mays, $417 for Mr. Whitney and $0 for Messrs. Coley and Zubeck) and flight benefits under our ATP. Under the ATP, certain executives, including our NEOs, receive an annual dollar value that they may use for personal travel on our flights for themselves and certain qualifying friends and family. Each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one-way</w:t>
            </w:r>
          </w:p>
          <w:p>
            <w:pPr>
              <w:pStyle w:val="TableContents"/>
              <w:bidi w:val="0"/>
              <w:spacing w:before="0" w:after="0"/>
              <w:jc w:val="left"/>
              <w:rPr>
                <w:rFonts w:ascii="Times New Roman" w:hAnsi="Times New Roman"/>
                <w:sz w:val="20"/>
              </w:rPr>
            </w:pPr>
            <w:r>
              <w:rPr>
                <w:rFonts w:ascii="Times New Roman" w:hAnsi="Times New Roman"/>
                <w:sz w:val="20"/>
              </w:rPr>
              <w:t xml:space="preserve">flight taken is valued at $75. For fiscal 2025, each NEO (other than Mr. Zubeck) utilized a travel bank under the ATP ($14,100 for Mr. Bricker, $3,575 for Mr. Coley, $5,725 for Ms. Neale, $6,600 for Mr. Snow, $4,650 for Mr. Davis, $2,475 for Mr. Mays, $1,125 for Mr. Trousdale and $750 for Mr. Whitney). The ATP benefit utilized by the executive is taxable income to the NEOs and the Company pays such taxes on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grossed-up</w:t>
            </w:r>
          </w:p>
          <w:p>
            <w:pPr>
              <w:pStyle w:val="TableContents"/>
              <w:bidi w:val="0"/>
              <w:spacing w:before="0" w:after="0"/>
              <w:jc w:val="left"/>
              <w:rPr>
                <w:rFonts w:ascii="Times New Roman" w:hAnsi="Times New Roman"/>
                <w:sz w:val="20"/>
              </w:rPr>
            </w:pPr>
            <w:r>
              <w:rPr>
                <w:rFonts w:ascii="Times New Roman" w:hAnsi="Times New Roman"/>
                <w:sz w:val="20"/>
              </w:rPr>
              <w:t xml:space="preserve">basis, and the amounts referred to in the prior sentence include the amount of any 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gross-up</w:t>
            </w:r>
          </w:p>
          <w:p>
            <w:pPr>
              <w:pStyle w:val="TableContents"/>
              <w:bidi w:val="0"/>
              <w:spacing w:before="0" w:after="0"/>
              <w:jc w:val="left"/>
              <w:rPr>
                <w:rFonts w:ascii="Times New Roman" w:hAnsi="Times New Roman"/>
                <w:sz w:val="20"/>
              </w:rPr>
            </w:pPr>
            <w:r>
              <w:rPr>
                <w:rFonts w:ascii="Times New Roman" w:hAnsi="Times New Roman"/>
                <w:sz w:val="20"/>
              </w:rPr>
              <w:t xml:space="preserve">paid. This column includes the cost to the Company of providing Company-paid annual health physical in the amount of $2,605 for Ms. Neale, $3,082 for Mr. Snow, $1,635 for Mr. Davis, and $3,707 for Mr. Mays. For Mr. Whitney, this column also includes the cost of his severance payments under the Whitney Separation Agreement (as described in further detail below), which provides him with 12 months of continued payment of his annual base salary ($325,000), and the cost of continued coverage under COBRA for a period of 12 months for Mr. Whitney and his spouse and eligible dependents with the employer portion of the premiums subsidized by the Company ($22,673).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24,258 restricted stock units to Jude Bricker on June 9, 2022, with a grant date fair value equal to $492,195. Based on Treasury and SEC guidance, the grant inadvertently caused Mr. Bricker’s total compensation for fiscal year 2022 to temporarily exceed certain compensation restrictions applicable to the Company in connection with the Coronavirus Aid, Relief and Economic Security Act (“CARES Act”) by $318,710. Once this was identified, in January 2023, Mr. Bricker voluntarily rescinded the unvested portion of the grant that caused the compensation to exceed the CARES Act limit. Because the original equity grant was a grant on paper only, it did not result in Mr. Bricker receiving cash benefits in excess of his relevant total compensation threshold, and, as noted here, the excess amount was related to a portion of the equity award grant which had not yet vested and was subsequently rescinded.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Davis resigned from his position as President and Chief Financial Officer and as a member of the Board of Directors, effective as of April 16, 2025. Mr. Mays resigned from his position as Chief Operating Officer effective as of April 17, 2025, but remained an employee of the Company for a period of time thereafter, to assist in the transition of his duties and responsibilities. Following Mr. Davis’ resignation from his position, the Board appointed Mr. Trousdale as Interim Chief Financial Officer while the Company underwent a search process to identify a permanent Chief Financial Officer. In August of 2025, the Board appointed Mr. Zubeck as Sun Country’s permanent Chief Financial Officer, effective as of September 2, 2025. Following Mr. Zubeck’s appointment, Mr. Trousdale returned to his prior role as Vice President of Financial Planning and Analysis and Treasurer and subsequently resigned from his position effective as of December 5,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Grants of Plan-Based Equity Awards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for each of the NEOs, information concerning each grant of an equity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non-equity</w:t>
      </w:r>
    </w:p>
    <w:p>
      <w:pPr>
        <w:pStyle w:val="TextBody"/>
        <w:bidi w:val="0"/>
        <w:spacing w:before="120" w:after="0"/>
        <w:jc w:val="left"/>
        <w:rPr>
          <w:rFonts w:ascii="Times New Roman" w:hAnsi="Times New Roman"/>
          <w:sz w:val="20"/>
        </w:rPr>
      </w:pPr>
      <w:r>
        <w:rPr>
          <w:rFonts w:ascii="Times New Roman" w:hAnsi="Times New Roman"/>
          <w:sz w:val="20"/>
        </w:rPr>
        <w:t xml:space="preserve">award made during the year ended December 31, 2025. This information supplements the information about these awards set forth in the Summary Compensation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Grants of Plan-Based Awards Table </w:t>
      </w:r>
    </w:p>
    <w:p>
      <w:pPr>
        <w:pStyle w:val="TextBody"/>
        <w:bidi w:val="0"/>
        <w:spacing w:before="0" w:after="0"/>
        <w:jc w:val="left"/>
        <w:rPr/>
      </w:pPr>
      <w:r>
        <w:rPr/>
        <w:t> </w:t>
      </w:r>
    </w:p>
    <w:tbl>
      <w:tblPr>
        <w:tblW w:w="10940" w:type="dxa"/>
        <w:jc w:val="left"/>
        <w:tblInd w:w="0" w:type="dxa"/>
        <w:tblLayout w:type="fixed"/>
        <w:tblCellMar>
          <w:top w:w="0" w:type="dxa"/>
          <w:left w:w="0" w:type="dxa"/>
          <w:bottom w:w="0" w:type="dxa"/>
          <w:right w:w="0" w:type="dxa"/>
        </w:tblCellMar>
      </w:tblPr>
      <w:tblGrid>
        <w:gridCol w:w="905"/>
        <w:gridCol w:w="120"/>
        <w:gridCol w:w="635"/>
        <w:gridCol w:w="120"/>
        <w:gridCol w:w="74"/>
        <w:gridCol w:w="996"/>
        <w:gridCol w:w="60"/>
        <w:gridCol w:w="120"/>
        <w:gridCol w:w="60"/>
        <w:gridCol w:w="800"/>
        <w:gridCol w:w="60"/>
        <w:gridCol w:w="120"/>
        <w:gridCol w:w="67"/>
        <w:gridCol w:w="1003"/>
        <w:gridCol w:w="60"/>
        <w:gridCol w:w="120"/>
        <w:gridCol w:w="86"/>
        <w:gridCol w:w="984"/>
        <w:gridCol w:w="60"/>
        <w:gridCol w:w="120"/>
        <w:gridCol w:w="60"/>
        <w:gridCol w:w="680"/>
        <w:gridCol w:w="60"/>
        <w:gridCol w:w="120"/>
        <w:gridCol w:w="74"/>
        <w:gridCol w:w="996"/>
        <w:gridCol w:w="60"/>
        <w:gridCol w:w="120"/>
        <w:gridCol w:w="73"/>
        <w:gridCol w:w="832"/>
        <w:gridCol w:w="60"/>
        <w:gridCol w:w="120"/>
        <w:gridCol w:w="60"/>
        <w:gridCol w:w="980"/>
        <w:gridCol w:w="75"/>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Possible Payouts Under</w:t>
            </w:r>
          </w:p>
          <w:p>
            <w:pPr>
              <w:pStyle w:val="TableContents"/>
              <w:bidi w:val="0"/>
              <w:spacing w:before="0" w:after="0"/>
              <w:jc w:val="center"/>
              <w:rPr>
                <w:b/>
                <w:spacing w:val="0"/>
              </w:rPr>
            </w:pPr>
            <w:r>
              <w:rPr>
                <w:b/>
                <w:spacing w:val="0"/>
              </w:rPr>
              <w:t>Non-Equity</w:t>
            </w:r>
          </w:p>
          <w:p>
            <w:pPr>
              <w:pStyle w:val="TableContents"/>
              <w:bidi w:val="0"/>
              <w:spacing w:before="0" w:after="0"/>
              <w:jc w:val="center"/>
              <w:rPr>
                <w:b/>
                <w:spacing w:val="0"/>
              </w:rPr>
            </w:pPr>
            <w:r>
              <w:rPr>
                <w:b/>
                <w:spacing w:val="0"/>
              </w:rPr>
              <w:t>Incentive Plan Awards</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Future Payouts</w:t>
            </w:r>
          </w:p>
          <w:p>
            <w:pPr>
              <w:pStyle w:val="TableContents"/>
              <w:bidi w:val="0"/>
              <w:spacing w:before="0" w:after="0"/>
              <w:jc w:val="center"/>
              <w:rPr/>
            </w:pPr>
            <w:r>
              <w:rPr/>
            </w:r>
          </w:p>
          <w:p>
            <w:pPr>
              <w:pStyle w:val="TableContents"/>
              <w:bidi w:val="0"/>
              <w:spacing w:before="0" w:after="0"/>
              <w:jc w:val="center"/>
              <w:rPr>
                <w:b/>
                <w:spacing w:val="0"/>
              </w:rPr>
            </w:pPr>
            <w:r>
              <w:rPr>
                <w:b/>
                <w:spacing w:val="0"/>
              </w:rPr>
              <w:t>under Equity Incentive</w:t>
            </w:r>
          </w:p>
          <w:p>
            <w:pPr>
              <w:pStyle w:val="TableContents"/>
              <w:bidi w:val="0"/>
              <w:spacing w:before="0" w:after="0"/>
              <w:jc w:val="center"/>
              <w:rPr/>
            </w:pPr>
            <w:r>
              <w:rPr/>
            </w:r>
          </w:p>
          <w:p>
            <w:pPr>
              <w:pStyle w:val="TableContents"/>
              <w:bidi w:val="0"/>
              <w:spacing w:before="0" w:after="0"/>
              <w:jc w:val="center"/>
              <w:rPr>
                <w:b/>
                <w:spacing w:val="0"/>
              </w:rPr>
            </w:pPr>
            <w:r>
              <w:rPr>
                <w:b/>
                <w:spacing w:val="0"/>
              </w:rPr>
              <w:t>Plan</w:t>
            </w:r>
          </w:p>
          <w:p>
            <w:pPr>
              <w:pStyle w:val="TableContents"/>
              <w:bidi w:val="0"/>
              <w:spacing w:before="0" w:after="0"/>
              <w:jc w:val="center"/>
              <w:rPr>
                <w:b/>
                <w:spacing w:val="0"/>
                <w:sz w:val="9"/>
              </w:rPr>
            </w:pPr>
            <w:r>
              <w:rPr>
                <w:b/>
                <w:spacing w:val="0"/>
                <w:sz w:val="9"/>
              </w:rPr>
              <w:t>(2)(3)</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All</w:t>
              <w:br/>
              <w:t>Other</w:t>
              <w:br/>
              <w:t>Stock</w:t>
              <w:br/>
              <w:t>Awards:</w:t>
              <w:br/>
              <w:t>Number</w:t>
              <w:br/>
              <w:t>of</w:t>
              <w:br/>
              <w:t>Units</w:t>
              <w:br/>
              <w:t>(#)</w:t>
            </w:r>
          </w:p>
          <w:p>
            <w:pPr>
              <w:pStyle w:val="TableContents"/>
              <w:bidi w:val="0"/>
              <w:spacing w:before="0" w:after="0"/>
              <w:jc w:val="center"/>
              <w:rPr>
                <w:b/>
                <w:spacing w:val="0"/>
                <w:sz w:val="9"/>
              </w:rPr>
            </w:pPr>
            <w:r>
              <w:rPr>
                <w:b/>
                <w:spacing w:val="0"/>
                <w:sz w:val="9"/>
              </w:rPr>
              <w:t>(2)</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 Fair</w:t>
              <w:br/>
              <w:t>Value of</w:t>
              <w:br/>
              <w:t>Shares</w:t>
              <w:br/>
              <w:t>Stock</w:t>
            </w:r>
          </w:p>
          <w:p>
            <w:pPr>
              <w:pStyle w:val="TableContents"/>
              <w:bidi w:val="0"/>
              <w:spacing w:before="0" w:after="0"/>
              <w:jc w:val="center"/>
              <w:rPr>
                <w:b/>
                <w:spacing w:val="0"/>
                <w:sz w:val="9"/>
              </w:rPr>
            </w:pPr>
            <w:r>
              <w:rPr>
                <w:b/>
                <w:spacing w:val="0"/>
                <w:sz w:val="9"/>
              </w:rPr>
              <w:t>(2)</w:t>
            </w:r>
          </w:p>
          <w:p>
            <w:pPr>
              <w:pStyle w:val="TableContents"/>
              <w:bidi w:val="0"/>
              <w:spacing w:before="0" w:after="0"/>
              <w:jc w:val="center"/>
              <w:rPr>
                <w:b/>
                <w:spacing w:val="0"/>
              </w:rPr>
            </w:pPr>
            <w:r>
              <w:rPr>
                <w:b/>
                <w:spacing w:val="0"/>
              </w:rPr>
              <w:t>($)</w:t>
            </w:r>
          </w:p>
        </w:tc>
        <w:tc>
          <w:tcPr>
            <w:tcW w:w="75" w:type="dxa"/>
            <w:vMerge w:val="restart"/>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Threshold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Threshold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0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9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N/A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201,500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1,423,500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35,150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70,299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105,449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46,866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p>
            <w:pPr>
              <w:pStyle w:val="TableContents"/>
              <w:bidi w:val="0"/>
              <w:spacing w:before="0" w:after="0"/>
              <w:jc w:val="left"/>
              <w:rPr>
                <w:rFonts w:ascii="Times New Roman" w:hAnsi="Times New Roman"/>
                <w:b/>
                <w:sz w:val="12"/>
              </w:rPr>
            </w:pPr>
            <w:r>
              <w:rPr>
                <w:rFonts w:ascii="Times New Roman" w:hAnsi="Times New Roman"/>
                <w:b/>
                <w:sz w:val="12"/>
              </w:rPr>
              <w:t>(4)</w:t>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N/A</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367,500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10/1/2025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67,970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p>
            <w:pPr>
              <w:pStyle w:val="TableContents"/>
              <w:bidi w:val="0"/>
              <w:spacing w:before="0" w:after="0"/>
              <w:jc w:val="left"/>
              <w:rPr>
                <w:rFonts w:ascii="Times New Roman" w:hAnsi="Times New Roman"/>
                <w:b/>
                <w:sz w:val="12"/>
              </w:rPr>
            </w:pPr>
            <w:r>
              <w:rPr>
                <w:rFonts w:ascii="Times New Roman" w:hAnsi="Times New Roman"/>
                <w:b/>
                <w:sz w:val="12"/>
              </w:rPr>
              <w:t>(5)</w:t>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N/A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341,250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4,974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169,830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16,942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289,170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5/1/2025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11,699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115,000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10/1/2025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6,372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N/A</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48,750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341,250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4,335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13,005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148,000</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14,763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252,000</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N/A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341,250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12,918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220,500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p>
            <w:pPr>
              <w:pStyle w:val="TableContents"/>
              <w:bidi w:val="0"/>
              <w:spacing w:before="0" w:after="0"/>
              <w:jc w:val="left"/>
              <w:rPr>
                <w:rFonts w:ascii="Times New Roman" w:hAnsi="Times New Roman"/>
                <w:b/>
                <w:sz w:val="12"/>
              </w:rPr>
            </w:pPr>
            <w:r>
              <w:rPr>
                <w:rFonts w:ascii="Times New Roman" w:hAnsi="Times New Roman"/>
                <w:b/>
                <w:sz w:val="12"/>
              </w:rPr>
              <w:t>(7)</w:t>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N/A</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875,000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14,938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44,816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510,000</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19,918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340,000</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Bill Trousdale</w:t>
            </w:r>
          </w:p>
          <w:p>
            <w:pPr>
              <w:pStyle w:val="TableContents"/>
              <w:bidi w:val="0"/>
              <w:spacing w:before="0" w:after="0"/>
              <w:jc w:val="left"/>
              <w:rPr>
                <w:rFonts w:ascii="Times New Roman" w:hAnsi="Times New Roman"/>
                <w:b/>
                <w:sz w:val="12"/>
              </w:rPr>
            </w:pPr>
            <w:r>
              <w:rPr>
                <w:rFonts w:ascii="Times New Roman" w:hAnsi="Times New Roman"/>
                <w:b/>
                <w:sz w:val="12"/>
              </w:rPr>
              <w:t>(6)</w:t>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N/A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297,413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1,842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62,882</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6,273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107,069</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5/1/2025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11,699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115,000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p>
            <w:pPr>
              <w:pStyle w:val="TableContents"/>
              <w:bidi w:val="0"/>
              <w:spacing w:before="0" w:after="0"/>
              <w:jc w:val="left"/>
              <w:rPr>
                <w:rFonts w:ascii="Times New Roman" w:hAnsi="Times New Roman"/>
                <w:b/>
                <w:sz w:val="12"/>
              </w:rPr>
            </w:pPr>
            <w:r>
              <w:rPr>
                <w:rFonts w:ascii="Times New Roman" w:hAnsi="Times New Roman"/>
                <w:b/>
                <w:sz w:val="12"/>
              </w:rPr>
              <w:t>(7)</w:t>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N/A</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560,000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8,453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288,600</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2/12/2025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28,788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491,400</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p>
            <w:pPr>
              <w:pStyle w:val="TableContents"/>
              <w:bidi w:val="0"/>
              <w:spacing w:before="0" w:after="0"/>
              <w:jc w:val="left"/>
              <w:rPr>
                <w:rFonts w:ascii="Times New Roman" w:hAnsi="Times New Roman"/>
                <w:b/>
                <w:sz w:val="12"/>
              </w:rPr>
            </w:pPr>
            <w:r>
              <w:rPr>
                <w:rFonts w:ascii="Times New Roman" w:hAnsi="Times New Roman"/>
                <w:b/>
                <w:sz w:val="12"/>
              </w:rPr>
              <w:t>(7)</w:t>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N/A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341,250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129,500</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2/12/2025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12,918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annual bonus opportunities at threshold, target and maximum level achievement, which, at target, would result in a payout of 100% of the target award. At threshold level achievement, the payout would be 25% of the target award and at maximum level achievement, the payout would be 175% of the target award. The amounts actually paid for the 2025 fiscal year are included in the </w:t>
            </w:r>
          </w:p>
          <w:p>
            <w:pPr>
              <w:pStyle w:val="TableContents"/>
              <w:bidi w:val="0"/>
              <w:spacing w:before="0" w:after="0"/>
              <w:jc w:val="left"/>
              <w:rPr>
                <w:spacing w:val="0"/>
              </w:rPr>
            </w:pPr>
            <w:r>
              <w:rPr>
                <w:spacing w:val="0"/>
              </w:rPr>
              <w:t>“</w:t>
            </w:r>
            <w:r>
              <w:rPr>
                <w:rFonts w:ascii="Times New Roman" w:hAnsi="Times New Roman"/>
                <w:spacing w:val="0"/>
                <w:sz w:val="20"/>
              </w:rPr>
              <w:t>Non-Equity</w:t>
            </w:r>
          </w:p>
          <w:p>
            <w:pPr>
              <w:pStyle w:val="TableContents"/>
              <w:bidi w:val="0"/>
              <w:spacing w:before="0" w:after="0"/>
              <w:jc w:val="left"/>
              <w:rPr>
                <w:rFonts w:ascii="Times New Roman" w:hAnsi="Times New Roman"/>
                <w:sz w:val="20"/>
              </w:rPr>
            </w:pPr>
            <w:r>
              <w:rPr>
                <w:rFonts w:ascii="Times New Roman" w:hAnsi="Times New Roman"/>
                <w:sz w:val="20"/>
              </w:rPr>
              <w:t xml:space="preserve">Incentive Plan” column of the 2025 Summary Compensation Table.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Awards reflect the grant date fair value of each award, determined in accordance with FASB ASC Topic 718. The fair market value of both the restricted stock units and the performance-based restricted stock units granted in 2025 is based on the Company’s closing share price as of the grant date. For additional information on the valuation assumptions regarding the stock awards, refer to Note 9 to our audited consolidated financial statements for the year ended December 31, 2025, which are included in our Original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ended December 31, 2025.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NEOs (other than Mr. Zubeck) were granted performance-based stock units on February 12, 2025, which are eligible to vest based on the attainment of the applicable performance criteria achieved in respect of a 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3-year</w:t>
            </w:r>
          </w:p>
          <w:p>
            <w:pPr>
              <w:pStyle w:val="TableContents"/>
              <w:bidi w:val="0"/>
              <w:spacing w:before="0" w:after="0"/>
              <w:jc w:val="left"/>
              <w:rPr>
                <w:rFonts w:ascii="Times New Roman" w:hAnsi="Times New Roman"/>
                <w:sz w:val="20"/>
              </w:rPr>
            </w:pPr>
            <w:r>
              <w:rPr>
                <w:rFonts w:ascii="Times New Roman" w:hAnsi="Times New Roman"/>
                <w:sz w:val="20"/>
              </w:rPr>
              <w:t xml:space="preserve">performance period ending on December 31, 2027. Specifically, 50% of the performance-based stock units are eligible to vest based on attainment of an Earnings Performance Factor and 50% are eligible to vest based on attainment of a Relative Adjusted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Pre-Tax</w:t>
            </w:r>
          </w:p>
          <w:p>
            <w:pPr>
              <w:pStyle w:val="TableContents"/>
              <w:bidi w:val="0"/>
              <w:spacing w:before="0" w:after="0"/>
              <w:jc w:val="left"/>
              <w:rPr>
                <w:rFonts w:ascii="Times New Roman" w:hAnsi="Times New Roman"/>
                <w:sz w:val="20"/>
              </w:rPr>
            </w:pPr>
            <w:r>
              <w:rPr>
                <w:rFonts w:ascii="Times New Roman" w:hAnsi="Times New Roman"/>
                <w:sz w:val="20"/>
              </w:rPr>
              <w:t xml:space="preserve">Margin Ranking goal. The number of performance-based stock units shown in the table above reflects the “target” number of performance-based stock units granted. However, up to 150% of the target number can be earned at “maximum” and 50% of the target level can be earned at “threshold”.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Zubeck, who commenced employment with the Company on September 2, 2025, did not participate in the Company’s 2025 annual equity grant program. Instead on October 1, 2025, Mr. Zubeck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time-based restricted stock units in connection with his commencement of employment with the Company.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Coley, who commenced employment with the Company on January 6, 2025,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performance-based restricted stock units and time-based restricted stock units in connection with his commencement of employment with the Company, which was granted on the same date and with similar terms as his grants under the Company’s 2025 annual equity grant program was made. Mr. Coley also received grants of performance-based restricted stock units and time-based restricted stock units as part of the Company’s 2025 annual equity grant program. In connection with Mr. Coley’s promotions during 2025, Mr. Coley also received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grants of time-based restricted stock units on both May 1, 2025, and October 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grants of performance-based restricted stock units and time-based restricted stock units granted as part of the Company’s 2025 annual equity grant program, Mr. Trousdale also received an additional grant of time-based restricted stock units on May 1, 2025 in connection with his appointment as the Company’s Interim Chief Financial Officer and Senior Vice President.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(7)</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Davis, Mays, Trousdale and Whitney forfeited their unvested grants on their respective termination dates.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2025 Outstanding Equity Award at Fiscal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Year-End</w:t>
      </w:r>
    </w:p>
    <w:p>
      <w:pPr>
        <w:pStyle w:val="TextBody"/>
        <w:bidi w:val="0"/>
        <w:spacing w:before="240" w:after="0"/>
        <w:jc w:val="left"/>
        <w:rPr>
          <w:rFonts w:ascii="Times New Roman" w:hAnsi="Times New Roman"/>
          <w:b/>
          <w:sz w:val="20"/>
        </w:rPr>
      </w:pPr>
      <w:r>
        <w:rPr>
          <w:rFonts w:ascii="Times New Roman" w:hAnsi="Times New Roman"/>
          <w:b/>
          <w:sz w:val="20"/>
        </w:rPr>
        <w:t xml:space="preserve">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21"/>
        <w:gridCol w:w="120"/>
        <w:gridCol w:w="72"/>
        <w:gridCol w:w="1193"/>
        <w:gridCol w:w="60"/>
        <w:gridCol w:w="120"/>
        <w:gridCol w:w="270"/>
        <w:gridCol w:w="1175"/>
        <w:gridCol w:w="60"/>
        <w:gridCol w:w="120"/>
        <w:gridCol w:w="237"/>
        <w:gridCol w:w="1028"/>
        <w:gridCol w:w="60"/>
        <w:gridCol w:w="120"/>
        <w:gridCol w:w="84"/>
        <w:gridCol w:w="791"/>
        <w:gridCol w:w="60"/>
        <w:gridCol w:w="120"/>
        <w:gridCol w:w="60"/>
        <w:gridCol w:w="1060"/>
        <w:gridCol w:w="60"/>
        <w:gridCol w:w="120"/>
        <w:gridCol w:w="70"/>
        <w:gridCol w:w="805"/>
        <w:gridCol w:w="230"/>
        <w:gridCol w:w="60"/>
        <w:gridCol w:w="60"/>
        <w:gridCol w:w="991"/>
        <w:gridCol w:w="78"/>
      </w:tblGrid>
      <w:tr>
        <w:trPr/>
        <w:tc>
          <w:tcPr>
            <w:tcW w:w="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1"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Executive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 (#)</w:t>
              <w:br/>
              <w:t>Exercisable</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br/>
              <w:t>Incentive</w:t>
              <w:br/>
              <w:t>Plan</w:t>
              <w:br/>
              <w:t>Awards:</w:t>
              <w:br/>
              <w:t>Number of</w:t>
              <w:br/>
              <w:t>Securities</w:t>
              <w:br/>
              <w:t>Underlying</w:t>
              <w:br/>
              <w:t>Unexercised</w:t>
              <w:br/>
              <w:t>Unearned</w:t>
              <w:br/>
              <w:t>Options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w:t>
              <w:br/>
              <w:t>of</w:t>
              <w:br/>
              <w:t>Shares</w:t>
              <w:br/>
              <w:t>or</w:t>
              <w:br/>
              <w:t>Units</w:t>
              <w:br/>
              <w:t>That</w:t>
              <w:br/>
              <w:t>Have</w:t>
              <w:br/>
              <w:t>Not</w:t>
              <w:br/>
              <w:t>Vested</w:t>
              <w:br/>
              <w:t>(#)</w:t>
            </w:r>
          </w:p>
          <w:p>
            <w:pPr>
              <w:pStyle w:val="TableContents"/>
              <w:bidi w:val="0"/>
              <w:spacing w:before="0" w:after="0"/>
              <w:jc w:val="center"/>
              <w:rPr>
                <w:b/>
                <w:spacing w:val="0"/>
                <w:sz w:val="9"/>
              </w:rPr>
            </w:pPr>
            <w:r>
              <w:rPr>
                <w:b/>
                <w:spacing w:val="0"/>
                <w:sz w:val="9"/>
              </w:rPr>
              <w:t>(2)</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Market</w:t>
              <w:br/>
              <w:t>Value of</w:t>
              <w:br/>
              <w:t>Shares or</w:t>
              <w:br/>
              <w:t>Units of</w:t>
              <w:br/>
              <w:t>Stock That</w:t>
              <w:br/>
              <w:t>Have Not</w:t>
              <w:br/>
              <w:t>Vested</w:t>
              <w:br/>
              <w:t>($)</w:t>
            </w:r>
          </w:p>
          <w:p>
            <w:pPr>
              <w:pStyle w:val="TableContents"/>
              <w:bidi w:val="0"/>
              <w:spacing w:before="0" w:after="0"/>
              <w:jc w:val="center"/>
              <w:rPr>
                <w:b/>
                <w:spacing w:val="0"/>
                <w:sz w:val="9"/>
              </w:rPr>
            </w:pPr>
            <w:r>
              <w:rPr>
                <w:b/>
                <w:spacing w:val="0"/>
                <w:sz w:val="9"/>
              </w:rPr>
              <w:t>(9)</w:t>
            </w:r>
          </w:p>
        </w:tc>
        <w:tc>
          <w:tcPr>
            <w:tcW w:w="78" w:type="dxa"/>
            <w:tcBorders/>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1,411,492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11/21/2028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36,807</w:t>
            </w:r>
          </w:p>
        </w:tc>
        <w:tc>
          <w:tcPr>
            <w:tcW w:w="23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529,653</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46,866</w:t>
            </w:r>
          </w:p>
        </w:tc>
        <w:tc>
          <w:tcPr>
            <w:tcW w:w="23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674,402</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82,816</w:t>
            </w:r>
          </w:p>
        </w:tc>
        <w:tc>
          <w:tcPr>
            <w:tcW w:w="23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1,191,722</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70,299</w:t>
            </w:r>
          </w:p>
        </w:tc>
        <w:tc>
          <w:tcPr>
            <w:tcW w:w="23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1,011,603</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Torque Zubeck</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67,970</w:t>
            </w:r>
          </w:p>
        </w:tc>
        <w:tc>
          <w:tcPr>
            <w:tcW w:w="23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978,088</w:t>
            </w:r>
          </w:p>
        </w:tc>
        <w:tc>
          <w:tcPr>
            <w:tcW w:w="78" w:type="dxa"/>
            <w:tcBorders/>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Coley</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16,942</w:t>
            </w:r>
          </w:p>
        </w:tc>
        <w:tc>
          <w:tcPr>
            <w:tcW w:w="23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243,795</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11,699</w:t>
            </w:r>
          </w:p>
        </w:tc>
        <w:tc>
          <w:tcPr>
            <w:tcW w:w="23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168,349</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6,373</w:t>
            </w:r>
          </w:p>
        </w:tc>
        <w:tc>
          <w:tcPr>
            <w:tcW w:w="23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91,707</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9,950</w:t>
            </w:r>
          </w:p>
        </w:tc>
        <w:tc>
          <w:tcPr>
            <w:tcW w:w="23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143,181</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20,150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07/27/2031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13,802</w:t>
            </w:r>
          </w:p>
        </w:tc>
        <w:tc>
          <w:tcPr>
            <w:tcW w:w="23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198,611</w:t>
            </w:r>
          </w:p>
        </w:tc>
        <w:tc>
          <w:tcPr>
            <w:tcW w:w="78" w:type="dxa"/>
            <w:tcBorders/>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14,763</w:t>
            </w:r>
          </w:p>
        </w:tc>
        <w:tc>
          <w:tcPr>
            <w:tcW w:w="23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212,440</w:t>
            </w:r>
          </w:p>
        </w:tc>
        <w:tc>
          <w:tcPr>
            <w:tcW w:w="78" w:type="dxa"/>
            <w:tcBorders/>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6,902</w:t>
            </w:r>
          </w:p>
        </w:tc>
        <w:tc>
          <w:tcPr>
            <w:tcW w:w="23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99,320</w:t>
            </w:r>
          </w:p>
        </w:tc>
        <w:tc>
          <w:tcPr>
            <w:tcW w:w="78" w:type="dxa"/>
            <w:tcBorders/>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8,671</w:t>
            </w:r>
          </w:p>
        </w:tc>
        <w:tc>
          <w:tcPr>
            <w:tcW w:w="23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124,776</w:t>
            </w:r>
          </w:p>
        </w:tc>
        <w:tc>
          <w:tcPr>
            <w:tcW w:w="78" w:type="dxa"/>
            <w:tcBorders/>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Colton M. Snow</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6,795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11/7/2028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4,658</w:t>
            </w:r>
          </w:p>
        </w:tc>
        <w:tc>
          <w:tcPr>
            <w:tcW w:w="23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67,029</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4/17/2029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4,225</w:t>
            </w:r>
          </w:p>
        </w:tc>
        <w:tc>
          <w:tcPr>
            <w:tcW w:w="23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60,798</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12,918</w:t>
            </w:r>
          </w:p>
        </w:tc>
        <w:tc>
          <w:tcPr>
            <w:tcW w:w="23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185,890</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2,330</w:t>
            </w:r>
          </w:p>
        </w:tc>
        <w:tc>
          <w:tcPr>
            <w:tcW w:w="23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33,529</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2,113</w:t>
            </w:r>
          </w:p>
        </w:tc>
        <w:tc>
          <w:tcPr>
            <w:tcW w:w="23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30,406</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7,587</w:t>
            </w:r>
          </w:p>
        </w:tc>
        <w:tc>
          <w:tcPr>
            <w:tcW w:w="23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109,177</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p>
            <w:pPr>
              <w:pStyle w:val="TableContents"/>
              <w:bidi w:val="0"/>
              <w:spacing w:before="0" w:after="0"/>
              <w:jc w:val="left"/>
              <w:rPr>
                <w:rFonts w:ascii="Times New Roman" w:hAnsi="Times New Roman"/>
                <w:sz w:val="12"/>
              </w:rPr>
            </w:pPr>
            <w:r>
              <w:rPr>
                <w:rFonts w:ascii="Times New Roman" w:hAnsi="Times New Roman"/>
                <w:sz w:val="12"/>
              </w:rPr>
              <w:t>(10)</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121,406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4/18/2026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Bill Trousdale</w:t>
            </w:r>
          </w:p>
          <w:p>
            <w:pPr>
              <w:pStyle w:val="TableContents"/>
              <w:bidi w:val="0"/>
              <w:spacing w:before="0" w:after="0"/>
              <w:jc w:val="left"/>
              <w:rPr>
                <w:rFonts w:ascii="Times New Roman" w:hAnsi="Times New Roman"/>
                <w:sz w:val="12"/>
              </w:rPr>
            </w:pPr>
            <w:r>
              <w:rPr>
                <w:rFonts w:ascii="Times New Roman" w:hAnsi="Times New Roman"/>
                <w:sz w:val="12"/>
              </w:rPr>
              <w:t>(10)</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p>
            <w:pPr>
              <w:pStyle w:val="TableContents"/>
              <w:bidi w:val="0"/>
              <w:spacing w:before="0" w:after="0"/>
              <w:jc w:val="left"/>
              <w:rPr>
                <w:rFonts w:ascii="Times New Roman" w:hAnsi="Times New Roman"/>
                <w:sz w:val="12"/>
              </w:rPr>
            </w:pPr>
            <w:r>
              <w:rPr>
                <w:rFonts w:ascii="Times New Roman" w:hAnsi="Times New Roman"/>
                <w:sz w:val="12"/>
              </w:rPr>
              <w:t>(10)</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81,877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6/16/2026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9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p>
            <w:pPr>
              <w:pStyle w:val="TableContents"/>
              <w:bidi w:val="0"/>
              <w:spacing w:before="0" w:after="0"/>
              <w:jc w:val="left"/>
              <w:rPr>
                <w:rFonts w:ascii="Times New Roman" w:hAnsi="Times New Roman"/>
                <w:sz w:val="12"/>
              </w:rPr>
            </w:pPr>
            <w:r>
              <w:rPr>
                <w:rFonts w:ascii="Times New Roman" w:hAnsi="Times New Roman"/>
                <w:sz w:val="12"/>
              </w:rPr>
              <w:t>(10)</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101,713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10/21/2026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were originally granted as options to purchase SGA common stock and were converted into options to purchase common stock in connection with the Reorganization Transactions. Reflects time-based and performance-based options previously granted that were fully vested as of December 31, 2023.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Bricker and Snow and Ms. Neale were granted RSUs on January 9, 2024, which vest in 1/3rd installments on each of the first three anniversaries of the grant date, subject to the NEO’s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Bricker, Coley, Snow and Ms. Neale were granted RSUs on February 12, 2025, which vest in 1/3rd installments on each of the first three anniversaries of the grant date (or in the case of Mr. Coley, on each of the first three anniversaries of his date of hire), subject to the NEO’s continued employment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Bricker, Snow and Ms. Neale were granted performance-based stock units on January 9, 2024, which are eligible to vest based on the attainment of the applicable performance criteria achieved in respect of a 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3-year</w:t>
            </w:r>
          </w:p>
          <w:p>
            <w:pPr>
              <w:pStyle w:val="TableContents"/>
              <w:bidi w:val="0"/>
              <w:spacing w:before="0" w:after="0"/>
              <w:jc w:val="left"/>
              <w:rPr>
                <w:rFonts w:ascii="Times New Roman" w:hAnsi="Times New Roman"/>
                <w:sz w:val="20"/>
              </w:rPr>
            </w:pPr>
            <w:r>
              <w:rPr>
                <w:rFonts w:ascii="Times New Roman" w:hAnsi="Times New Roman"/>
                <w:sz w:val="20"/>
              </w:rPr>
              <w:t xml:space="preserve">performance period ending on December 31, 2026. Specifically, 50% of the performance-based stock units are eligible to vest based on attainment of an Earnings Performance Factor and 50% are eligible to vest based on attainment of a Relative Adjusted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Pre-Tax</w:t>
            </w:r>
          </w:p>
          <w:p>
            <w:pPr>
              <w:pStyle w:val="TableContents"/>
              <w:bidi w:val="0"/>
              <w:spacing w:before="0" w:after="0"/>
              <w:jc w:val="left"/>
              <w:rPr>
                <w:rFonts w:ascii="Times New Roman" w:hAnsi="Times New Roman"/>
                <w:sz w:val="20"/>
              </w:rPr>
            </w:pPr>
            <w:r>
              <w:rPr>
                <w:rFonts w:ascii="Times New Roman" w:hAnsi="Times New Roman"/>
                <w:sz w:val="20"/>
              </w:rPr>
              <w:t xml:space="preserve">Margin Ranking goal. The number of performance-based stock units shown in the table above reflects the “target” number of performance-based stock units granted. However, up to 150% of the target number can be earned at “maximum” and 50% of the target level can be earned at “threshold”.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Bricker, Coley, Snow and Ms. Neale were granted performance-based stock units on February 12, 2025, which are eligible to vest based on the attainment of the applicable performance criteria achieved in respect of a 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3-year</w:t>
            </w:r>
          </w:p>
          <w:p>
            <w:pPr>
              <w:pStyle w:val="TableContents"/>
              <w:bidi w:val="0"/>
              <w:spacing w:before="0" w:after="0"/>
              <w:jc w:val="left"/>
              <w:rPr>
                <w:rFonts w:ascii="Times New Roman" w:hAnsi="Times New Roman"/>
                <w:sz w:val="20"/>
              </w:rPr>
            </w:pPr>
            <w:r>
              <w:rPr>
                <w:rFonts w:ascii="Times New Roman" w:hAnsi="Times New Roman"/>
                <w:sz w:val="20"/>
              </w:rPr>
              <w:t xml:space="preserve">performance period ending on December 31, 2027. Specifically, 50% of the performance-based stock units are eligible to vest based on attainment of an Earnings Performance Factor and 50% are eligible to vest based on attainment of a Relative Adjusted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Pre-Tax</w:t>
            </w:r>
          </w:p>
          <w:p>
            <w:pPr>
              <w:pStyle w:val="TableContents"/>
              <w:bidi w:val="0"/>
              <w:spacing w:before="0" w:after="0"/>
              <w:jc w:val="left"/>
              <w:rPr>
                <w:rFonts w:ascii="Times New Roman" w:hAnsi="Times New Roman"/>
                <w:sz w:val="20"/>
              </w:rPr>
            </w:pPr>
            <w:r>
              <w:rPr>
                <w:rFonts w:ascii="Times New Roman" w:hAnsi="Times New Roman"/>
                <w:sz w:val="20"/>
              </w:rPr>
              <w:t xml:space="preserve">Margin Ranking goal. The number of performance-based stock units shown in the table above reflects the “target” number of performance-based stock units granted. However, up to 150% of the target number can be earned at “maximum” and 50% of the target level can be earned at “threshold”.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(6)</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Mr. Zubeck’s entry into employment with the Company, Mr. Zubeck was granted restricted stock units on October 1, 2025, which vest in 1/3rd installments on each of the first three anniversaries of the grant date, subject to Mr. Zubeck’s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(7)</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Coley, who commenced employment with the Company on January 6, 2025,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sign-on</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performance-based restricted stock units and time-based restricted stock units in connection with his commencement of employment with the Company, which was granted on the same date and with similar terms as his grants under the Company’s 2025 annual equity grant program, as discussed above. In addition, in connection with Mr. Coley’s promotion in 2025, Mr. Coley was granted restricted stock units on May 1, 2025 and October 1, 2025, which vest in 1/3rd installments on each of the first three anniversaries of the grant date, subject to Mr. Coley’s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(8)</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Snow received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equity grant consisting of performance-based restricted stock units and time-based restricted stock units in connection with his promotion to Interim Chief Marketing Officer in January of 2024, with similar terms as his grants under the Company’s 2024 annual equity grant program, as discussed above.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(9)</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this column are determined by multiplying the number of shares or units reported in the “Number of Shares or Units That Have Not Vested” column by $14.39, the closing price of our common stock on December 31, 2025.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Messrs. Davis, Mays, Trousdale and Whitney forfeited their unvested awards upon their terminations of employment.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2025 Option Exercise and Stock Vested Table </w:t>
      </w:r>
    </w:p>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1865"/>
        <w:gridCol w:w="120"/>
        <w:gridCol w:w="120"/>
        <w:gridCol w:w="1610"/>
        <w:gridCol w:w="60"/>
        <w:gridCol w:w="120"/>
        <w:gridCol w:w="99"/>
        <w:gridCol w:w="1631"/>
        <w:gridCol w:w="60"/>
        <w:gridCol w:w="120"/>
        <w:gridCol w:w="105"/>
        <w:gridCol w:w="1190"/>
        <w:gridCol w:w="60"/>
        <w:gridCol w:w="120"/>
        <w:gridCol w:w="108"/>
        <w:gridCol w:w="1442"/>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 Awards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Named Executive Officer</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 Acquired</w:t>
              <w:br/>
              <w:t>on Exercise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Realized</w:t>
              <w:br/>
              <w:t>on Exercise Date</w:t>
              <w:br/>
              <w:t>($)</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w:t>
              <w:br/>
              <w:t>Acquired on</w:t>
              <w:br/>
              <w:t>Vesting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Realized</w:t>
              <w:br/>
              <w:t>on Vesting</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(2)</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46,088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637,094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16,340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229,943</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121,950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458,627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4,468,342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14,008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205,540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Bill Trousdale</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101,896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7,899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108,809</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455,465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4,155,594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19,103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286,538</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95,813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892,766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10,802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154,902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exercise of options is calculated by multiplying the number of shares exercised by the difference between the fair market value of a common share at the time of exercise and the exercise price of the options.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is calculated by multiplying the number of shares vested by the closing price of our shares on the date the stock awards vested.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Current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During 2025, Messrs. Bricker, Davis and Mays were party to employment agreements with the Company, and Messrs. Zubeck, Coley and Snow and Ms. Neale entered into new employment letters with the Company in connection with the Compensation Committee’s holistic review of the Company’s executive compensation arrangements following recommendations and insight provided by Meridian, and to acknowledge the respective employee’s importance to us and our stockholders and to motivate and support retention and continuity of key management personnel in the event of any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As more fully described in the section entitled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Potential Payments Upon Termination or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Change-in-Control</w:t>
      </w:r>
    </w:p>
    <w:p>
      <w:pPr>
        <w:pStyle w:val="TextBody"/>
        <w:bidi w:val="0"/>
        <w:spacing w:before="240" w:after="0"/>
        <w:jc w:val="left"/>
        <w:rPr/>
      </w:pPr>
      <w:r>
        <w:rPr/>
        <w:t xml:space="preserve">” </w:t>
      </w:r>
      <w:r>
        <w:rPr>
          <w:rFonts w:ascii="Times New Roman" w:hAnsi="Times New Roman"/>
          <w:sz w:val="20"/>
        </w:rPr>
        <w:t xml:space="preserve">below, these agreements entitle each of Messrs. Zubeck, Coley and Snow and Ms. Neale to certain payments and benefits if his or her employment is terminated without “cause,” or by him or her for “good reason,” within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period following a change in control. The Compensation and Human Resources Committee believes that this “double-trigger” structure provides an appropriate balance between the corporate objectives described above and the potential compensation payable upon a qualifying termination following a change of control.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Jude Bricker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Jude Bricker, dated as of April 11, 2023. The agreement extends for an initial term of four years from April 11, 2023 until April 11, 2027, and will continue to be automatically extended for successive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120" w:after="0"/>
        <w:jc w:val="left"/>
        <w:rPr>
          <w:rFonts w:ascii="Times New Roman" w:hAnsi="Times New Roman"/>
          <w:sz w:val="20"/>
        </w:rPr>
      </w:pPr>
      <w:r>
        <w:rPr>
          <w:rFonts w:ascii="Times New Roman" w:hAnsi="Times New Roman"/>
          <w:sz w:val="20"/>
        </w:rPr>
        <w:t xml:space="preserve">periods, unless either party provides written notice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non-renewal</w:t>
      </w:r>
    </w:p>
    <w:p>
      <w:pPr>
        <w:pStyle w:val="TextBody"/>
        <w:bidi w:val="0"/>
        <w:spacing w:before="120" w:after="0"/>
        <w:jc w:val="left"/>
        <w:rPr>
          <w:rFonts w:ascii="Times New Roman" w:hAnsi="Times New Roman"/>
          <w:sz w:val="20"/>
        </w:rPr>
      </w:pPr>
      <w:r>
        <w:rPr>
          <w:rFonts w:ascii="Times New Roman" w:hAnsi="Times New Roman"/>
          <w:sz w:val="20"/>
        </w:rPr>
        <w:t xml:space="preserve">at least 90 days prior to the expiration of the initial term or any extended term. Pursuant to the employment agreement, Mr. Bricker’s annual base salary beginning May 1, 2023 will be no less than $650,000. Mr. Bricker was also paid a signing cash bonus of $500,000 shortly following the date on which the employment agreement was signed, and he is also eligible for a discretionary performance-based annual bonus with a target equal to 125%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Bricker’s agreement, Mr. Bricker was granted $1,500,000 in the form of the restricted stock units, subject to the terms and conditions of the 2021 Omnibus Incentive Plan. For the 2024 fiscal year, Mr. Bricker received restricted stock units under the 2021 Omnibus Incentive Plan having a target value of $2,000,000, consisting of 60% performance-based restricted stock units and 40% time-based restricted stock units. For subsequent fiscal years, Mr. Bricker will be eligible to receive restricted stock units under the 2021 Omnibus Incentive Plan having a target value of $2,000,000 per annum and containing such other terms as determined by the Board, including with respect to any performance conditions applicable to such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Mr. Bricker is also entitled to travel benefits, including an annual credit of $20,000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Mr. Bricker’s travel benefits 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240" w:after="0"/>
        <w:jc w:val="left"/>
        <w:rPr>
          <w:rFonts w:ascii="Times New Roman" w:hAnsi="Times New Roman"/>
          <w:sz w:val="20"/>
        </w:rPr>
      </w:pPr>
      <w:r>
        <w:rPr>
          <w:rFonts w:ascii="Times New Roman" w:hAnsi="Times New Roman"/>
          <w:sz w:val="20"/>
        </w:rPr>
        <w:t xml:space="preserve">and therefore are useable by Mr. Bricker for the remainder of his life.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Bricker’s employment agreement also provides for compensation and benefits under specified circumstances in connection with the termination of his employment, as described below under “-Potential Payments Upon Termination.” </w:t>
      </w:r>
    </w:p>
    <w:p>
      <w:pPr>
        <w:pStyle w:val="TextBody"/>
        <w:bidi w:val="0"/>
        <w:spacing w:before="240" w:after="0"/>
        <w:jc w:val="left"/>
        <w:rPr>
          <w:rFonts w:ascii="Times New Roman" w:hAnsi="Times New Roman"/>
          <w:sz w:val="20"/>
        </w:rPr>
      </w:pPr>
      <w:r>
        <w:rPr>
          <w:rFonts w:ascii="Times New Roman" w:hAnsi="Times New Roman"/>
          <w:sz w:val="20"/>
        </w:rPr>
        <w:t xml:space="preserve">Mr. Bricker is subject to restrictive covenants,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non-competition</w:t>
      </w:r>
    </w:p>
    <w:p>
      <w:pPr>
        <w:pStyle w:val="TextBody"/>
        <w:bidi w:val="0"/>
        <w:spacing w:before="240" w:after="0"/>
        <w:jc w:val="left"/>
        <w:rPr>
          <w:rFonts w:ascii="Times New Roman" w:hAnsi="Times New Roman"/>
          <w:sz w:val="20"/>
        </w:rPr>
      </w:pPr>
      <w:r>
        <w:rPr>
          <w:rFonts w:ascii="Times New Roman" w:hAnsi="Times New Roman"/>
          <w:sz w:val="20"/>
        </w:rPr>
        <w:t xml:space="preserve">during employment and for 12 months thereafter,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non-solicitation</w:t>
      </w:r>
    </w:p>
    <w:p>
      <w:pPr>
        <w:pStyle w:val="TextBody"/>
        <w:bidi w:val="0"/>
        <w:spacing w:before="240" w:after="0"/>
        <w:jc w:val="left"/>
        <w:rPr>
          <w:rFonts w:ascii="Times New Roman" w:hAnsi="Times New Roman"/>
          <w:sz w:val="20"/>
        </w:rPr>
      </w:pPr>
      <w:r>
        <w:rPr>
          <w:rFonts w:ascii="Times New Roman" w:hAnsi="Times New Roman"/>
          <w:sz w:val="20"/>
        </w:rPr>
        <w:t xml:space="preserve">of employees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no-hire),</w:t>
      </w:r>
    </w:p>
    <w:p>
      <w:pPr>
        <w:pStyle w:val="TextBody"/>
        <w:bidi w:val="0"/>
        <w:spacing w:before="240" w:after="0"/>
        <w:jc w:val="left"/>
        <w:rPr>
          <w:rFonts w:ascii="Times New Roman" w:hAnsi="Times New Roman"/>
          <w:sz w:val="20"/>
        </w:rPr>
      </w:pPr>
      <w:r>
        <w:rPr>
          <w:rFonts w:ascii="Times New Roman" w:hAnsi="Times New Roman"/>
          <w:sz w:val="20"/>
        </w:rPr>
        <w:t xml:space="preserve">officers, customers, consultants and suppliers during employment and for 12 months thereafter,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non-disclosure</w:t>
      </w:r>
    </w:p>
    <w:p>
      <w:pPr>
        <w:pStyle w:val="TextBody"/>
        <w:bidi w:val="0"/>
        <w:spacing w:before="240" w:after="0"/>
        <w:jc w:val="left"/>
        <w:rPr>
          <w:rFonts w:ascii="Times New Roman" w:hAnsi="Times New Roman"/>
          <w:sz w:val="20"/>
        </w:rPr>
      </w:pPr>
      <w:r>
        <w:rPr>
          <w:rFonts w:ascii="Times New Roman" w:hAnsi="Times New Roman"/>
          <w:sz w:val="20"/>
        </w:rPr>
        <w:t xml:space="preserve">of confidential information for a perpetual period of time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by Mr. Bricker for a perpetual period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Torque Zubeck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D. Torque Zubeck, effective as of October 29, 2025,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at-will</w:t>
      </w:r>
    </w:p>
    <w:p>
      <w:pPr>
        <w:pStyle w:val="TextBody"/>
        <w:bidi w:val="0"/>
        <w:spacing w:before="120" w:after="0"/>
        <w:jc w:val="left"/>
        <w:rPr>
          <w:rFonts w:ascii="Times New Roman" w:hAnsi="Times New Roman"/>
          <w:sz w:val="20"/>
        </w:rPr>
      </w:pPr>
      <w:r>
        <w:rPr>
          <w:rFonts w:ascii="Times New Roman" w:hAnsi="Times New Roman"/>
          <w:sz w:val="20"/>
        </w:rPr>
        <w:t xml:space="preserve">basis. This employment letter superseded any and all prior employment agreements or any other similar arrangements between the Company and Mr. Zubeck, including the previously disclosed initial employment letter agreement, by and between the Company and Mr. Zubeck, which was effective as of September 2, 2025. The employment letter provides Mr. Zubeck with an annual base salary of $350,000. Mr. Zubeck is also eligible to receive a discretionary annual bonus. As part of the employment letter and to facilitate Mr. Zubeck’s relocation following his commencement of employment, Sun Country also agreed to directly pay or reimburse Mr. Zubeck for any reasonable and documented expenses actually incurred by Mr. Zubeck for temporary housing or as part of his commute to Minneapolis prior to his relocation, for up to 180 days following his date of hire of September 2, 2025; provided that, such amount is subject to repayment by Mr. Zubeck if he resigns from Sun Country or his employment is terminated for Cause by Sun Country before March 2, 2028. </w:t>
      </w:r>
    </w:p>
    <w:p>
      <w:pPr>
        <w:pStyle w:val="TextBody"/>
        <w:bidi w:val="0"/>
        <w:spacing w:before="240" w:after="0"/>
        <w:jc w:val="left"/>
        <w:rPr>
          <w:rFonts w:ascii="Times New Roman" w:hAnsi="Times New Roman"/>
          <w:sz w:val="20"/>
        </w:rPr>
      </w:pPr>
      <w:r>
        <w:rPr>
          <w:rFonts w:ascii="Times New Roman" w:hAnsi="Times New Roman"/>
          <w:sz w:val="20"/>
        </w:rPr>
        <w:t xml:space="preserve">Mr. Zubeck is also entitled to travel benefits, including an annual credit of $10,000 in his ATP account for personal travel on Company scheduled flights for him and certain qualifying friends and family. Mr. Zubeck may also travel on scheduled Company flights in accordance with the Company’s general employee travel policy, the cost of which is not deducted from Mr. Zubeck’s ATP account. Upon the earlier to occur of (x) reaching five (5) years of service with the Company measured from September 2, 2025; or (y) the consummation of certain change in control transaction(s), these travel benefits will vest and become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240" w:after="0"/>
        <w:jc w:val="left"/>
        <w:rPr>
          <w:rFonts w:ascii="Times New Roman" w:hAnsi="Times New Roman"/>
          <w:sz w:val="20"/>
        </w:rPr>
      </w:pPr>
      <w:r>
        <w:rPr>
          <w:rFonts w:ascii="Times New Roman" w:hAnsi="Times New Roman"/>
          <w:sz w:val="20"/>
        </w:rPr>
        <w:t xml:space="preserve">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Zubeck’s employment letter also provides for compensation and benefits under specified circumstances in connection with the termination of his employment, as described below under “-Potential Payments Upon Termination.”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Stephen Coley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Stephen Coley, effective as of October 29, 2025,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at-will</w:t>
      </w:r>
    </w:p>
    <w:p>
      <w:pPr>
        <w:pStyle w:val="TextBody"/>
        <w:bidi w:val="0"/>
        <w:spacing w:before="120" w:after="0"/>
        <w:jc w:val="left"/>
        <w:rPr>
          <w:rFonts w:ascii="Times New Roman" w:hAnsi="Times New Roman"/>
          <w:sz w:val="20"/>
        </w:rPr>
      </w:pPr>
      <w:r>
        <w:rPr>
          <w:rFonts w:ascii="Times New Roman" w:hAnsi="Times New Roman"/>
          <w:sz w:val="20"/>
        </w:rPr>
        <w:t xml:space="preserve">basis. This employment letter superseded any and all prior employment agreements or any other similar arrangements between the Company and Mr. Coley. The employment letter provides Mr. Coley with an annual base salary of $325,000. Mr. Coley is also eligible to receive a discretionary annual bonus. Following the parties’ entry into the employment letter, Mr. Coley was subsequently appointed as Sun Country’s Chief Operating Officer and Senior Vice President, effective as of January 6, 2026. </w:t>
      </w:r>
    </w:p>
    <w:p>
      <w:pPr>
        <w:pStyle w:val="TextBody"/>
        <w:bidi w:val="0"/>
        <w:spacing w:before="240" w:after="0"/>
        <w:jc w:val="left"/>
        <w:rPr>
          <w:rFonts w:ascii="Times New Roman" w:hAnsi="Times New Roman"/>
          <w:sz w:val="20"/>
        </w:rPr>
      </w:pPr>
      <w:r>
        <w:rPr>
          <w:rFonts w:ascii="Times New Roman" w:hAnsi="Times New Roman"/>
          <w:sz w:val="20"/>
        </w:rPr>
        <w:t xml:space="preserve">Mr. Coley is also entitled to travel benefits, including an annual credit of $10,000 in his ATP account for personal travel on Company scheduled flights for him and certain qualifying friends and family. Mr. Coley may also travel on scheduled Company flights in accordance with the Company’s general employee travel policy, the cost of which is not deducted from Mr. Coley’s ATP account. Upon the earlier to occur of (x) reaching five (5) years of service with the Company measured from January 6, 2025; or (y) the consummation of certain change in control transaction(s), these travel benefits will vest and become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240" w:after="0"/>
        <w:jc w:val="left"/>
        <w:rPr>
          <w:rFonts w:ascii="Times New Roman" w:hAnsi="Times New Roman"/>
          <w:sz w:val="20"/>
        </w:rPr>
      </w:pPr>
      <w:r>
        <w:rPr>
          <w:rFonts w:ascii="Times New Roman" w:hAnsi="Times New Roman"/>
          <w:sz w:val="20"/>
        </w:rPr>
        <w:t xml:space="preserve">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Coley’s employment letter also provides for compensation and benefits under specified circumstances in connection with the termination of his employment, as described below under “-Potential Payments Upon Termination.”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Rose Neale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Rose Neale, effective as of October 29, 2025,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at-will</w:t>
      </w:r>
    </w:p>
    <w:p>
      <w:pPr>
        <w:pStyle w:val="TextBody"/>
        <w:bidi w:val="0"/>
        <w:spacing w:before="120" w:after="0"/>
        <w:jc w:val="left"/>
        <w:rPr>
          <w:rFonts w:ascii="Times New Roman" w:hAnsi="Times New Roman"/>
          <w:sz w:val="20"/>
        </w:rPr>
      </w:pPr>
      <w:r>
        <w:rPr>
          <w:rFonts w:ascii="Times New Roman" w:hAnsi="Times New Roman"/>
          <w:sz w:val="20"/>
        </w:rPr>
        <w:t xml:space="preserve">basis. This employment letter superseded any and all prior employment agreements or any other similar arrangements between the Company and Ms. Neale, including the previously disclosed initial employment letter agreement, by and between the Company and Ms. Neale, which was effective as of July 1, 2023. The employment letter provides Ms. Neale with an annual base salary of $325,000. Ms. Neale is also eligible to receive a discretionary annual bonus.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Ms. Neale is also entitled to travel benefits, including an annual credit of $10,000 in her ATP account for personal travel on Company scheduled flights for her and certain qualifying friends and family. Ms. Neale may also travel on scheduled Company flights in accordance with the Company’s general employee travel policy, the cost of which is not deducted from Ms. Neale’s ATP account. Upon the earlier to occur of (x) reaching five (5) years of service with the Company measured from April 19, 2021; or (y) the consummation of certain change in control transaction(s), these travel benefits will vest and become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0" w:after="0"/>
        <w:jc w:val="left"/>
        <w:rPr>
          <w:rFonts w:ascii="Times New Roman" w:hAnsi="Times New Roman"/>
          <w:sz w:val="20"/>
        </w:rPr>
      </w:pPr>
      <w:r>
        <w:rPr>
          <w:rFonts w:ascii="Times New Roman" w:hAnsi="Times New Roman"/>
          <w:sz w:val="20"/>
        </w:rPr>
        <w:t xml:space="preserve">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Ms. Neale’s employment letter also provides for compensation and benefits under specified circumstances in connection with the termination of her employment, as described below under “-Potential Payments Upon Termination.”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Colton M. Snow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Colton M. Snow, effective as of October 29, 2025,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at-will</w:t>
      </w:r>
    </w:p>
    <w:p>
      <w:pPr>
        <w:pStyle w:val="TextBody"/>
        <w:bidi w:val="0"/>
        <w:spacing w:before="120" w:after="0"/>
        <w:jc w:val="left"/>
        <w:rPr>
          <w:rFonts w:ascii="Times New Roman" w:hAnsi="Times New Roman"/>
          <w:sz w:val="20"/>
        </w:rPr>
      </w:pPr>
      <w:r>
        <w:rPr>
          <w:rFonts w:ascii="Times New Roman" w:hAnsi="Times New Roman"/>
          <w:sz w:val="20"/>
        </w:rPr>
        <w:t xml:space="preserve">basis. The employment letter provides Mr. Snow with an annual base salary of $325,000. Mr. Snow is also eligible to receive a discretionary annual bonus. Following the parties’ entry into the employment letter, Mr. Snow was subsequently appointed as Sun Country’s Chief Commercial Officer and Senior Vice President, effective as of January 6, 2026. </w:t>
      </w:r>
    </w:p>
    <w:p>
      <w:pPr>
        <w:pStyle w:val="TextBody"/>
        <w:bidi w:val="0"/>
        <w:spacing w:before="240" w:after="0"/>
        <w:jc w:val="left"/>
        <w:rPr>
          <w:rFonts w:ascii="Times New Roman" w:hAnsi="Times New Roman"/>
          <w:sz w:val="20"/>
        </w:rPr>
      </w:pPr>
      <w:r>
        <w:rPr>
          <w:rFonts w:ascii="Times New Roman" w:hAnsi="Times New Roman"/>
          <w:sz w:val="20"/>
        </w:rPr>
        <w:t xml:space="preserve">Mr. Snow is also entitled to travel benefits, including an annual credit of $10,000 in his ATP account for personal travel on Company scheduled flights for him and certain qualifying friends and family. Mr. Snow may also travel on scheduled Company flights in accordance with the Company’s general employee travel policy, the cost of which is not deducted from Mr. Snow’s ATP account. Upon the earlier to occur of (x) reaching five (5) years of service with the Company measured from May 1, 2018; or (y) the consummation of certain change in control transaction(s), these travel benefits will vest and become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240" w:after="0"/>
        <w:jc w:val="left"/>
        <w:rPr>
          <w:rFonts w:ascii="Times New Roman" w:hAnsi="Times New Roman"/>
          <w:sz w:val="20"/>
        </w:rPr>
      </w:pPr>
      <w:r>
        <w:rPr>
          <w:rFonts w:ascii="Times New Roman" w:hAnsi="Times New Roman"/>
          <w:sz w:val="20"/>
        </w:rPr>
        <w:t xml:space="preserve">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Snow’s employment letter also provides for compensation and benefits under specified circumstances in connection with the termination of his employment, as described below under “-Potential Payments Upon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Employment Arrangements with Former Named Executive Officers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Dave Davis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Dave Davis, effective as of April 11, 2023. The agreement was for a term of two years until April 11, 2025. Pursuant to the employment agreement, Mr. Davis’ annual base salary beginning May 1, 2023, was no less than $500,000. Mr. Davis also became entitled to certain travel benefits that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120" w:after="0"/>
        <w:jc w:val="left"/>
        <w:rPr>
          <w:rFonts w:ascii="Times New Roman" w:hAnsi="Times New Roman"/>
          <w:sz w:val="20"/>
        </w:rPr>
      </w:pPr>
      <w:r>
        <w:rPr>
          <w:rFonts w:ascii="Times New Roman" w:hAnsi="Times New Roman"/>
          <w:sz w:val="20"/>
        </w:rPr>
        <w:t xml:space="preserve">and therefore are usable by Mr. Davis for the remainder of his life, including an annual credit of $12,500 in his ATP account for personal travel on Company scheduled flights for him and certain qualifying friends and family and travel on scheduled Company flights in accordance with the Company’s general employee travel policy, the cost of which is not deducted from Mr. Davis’ ATP account. Mr. Davis’ travel benefits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non-forfeitable</w:t>
      </w:r>
    </w:p>
    <w:p>
      <w:pPr>
        <w:pStyle w:val="TextBody"/>
        <w:bidi w:val="0"/>
        <w:spacing w:before="120" w:after="0"/>
        <w:jc w:val="left"/>
        <w:rPr>
          <w:rFonts w:ascii="Times New Roman" w:hAnsi="Times New Roman"/>
          <w:sz w:val="20"/>
        </w:rPr>
      </w:pPr>
      <w:r>
        <w:rPr>
          <w:rFonts w:ascii="Times New Roman" w:hAnsi="Times New Roman"/>
          <w:sz w:val="20"/>
        </w:rPr>
        <w:t xml:space="preserve">and therefore are useable by Mr. Davis for the remainder of his life.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2025, Mr. Davis’ employment agreement expired. Mr. Davis resigned from his position as President and Chief Financial Officer and as a member the Board of Directors, effective as of April 16, 2025. Pursuant to the terms of Mr. Davis’ employment agreement, in connection with his resignation following the expiration of the term, he will remain subject to certain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non-solicitation</w:t>
      </w:r>
    </w:p>
    <w:p>
      <w:pPr>
        <w:pStyle w:val="TextBody"/>
        <w:bidi w:val="0"/>
        <w:spacing w:before="240" w:after="0"/>
        <w:jc w:val="left"/>
        <w:rPr>
          <w:rFonts w:ascii="Times New Roman" w:hAnsi="Times New Roman"/>
          <w:sz w:val="20"/>
        </w:rPr>
      </w:pPr>
      <w:r>
        <w:rPr>
          <w:rFonts w:ascii="Times New Roman" w:hAnsi="Times New Roman"/>
          <w:sz w:val="20"/>
        </w:rPr>
        <w:t xml:space="preserve">restrictions applicable to employees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no-hire),</w:t>
      </w:r>
    </w:p>
    <w:p>
      <w:pPr>
        <w:pStyle w:val="TextBody"/>
        <w:bidi w:val="0"/>
        <w:spacing w:before="240" w:after="0"/>
        <w:jc w:val="left"/>
        <w:rPr>
          <w:rFonts w:ascii="Times New Roman" w:hAnsi="Times New Roman"/>
          <w:sz w:val="20"/>
        </w:rPr>
      </w:pPr>
      <w:r>
        <w:rPr>
          <w:rFonts w:ascii="Times New Roman" w:hAnsi="Times New Roman"/>
          <w:sz w:val="20"/>
        </w:rPr>
        <w:t xml:space="preserve">officers, consultants, certain customers and suppliers for 12 months following the last day of his employment with the Company, will remain subject to confidentiality restrictions for a period of three years following the last day of his employment with the Company, and will remain subject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restrictions for a perpetual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Davis’ employment agreement and Health Care Side Letter, as described in more detail below also provided for compensation and benefits under specified circumstances in connection with the termination of his employment. Upon his voluntary resignation of employment with the Company, Mr. Davis did not receive any severance payments, other than any accrued/vested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Gregory Mays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Gregory Mays, effective as of June 3, 2019. The agreement was for an initial term of five years until June 3, 2024 and provided that it would thereafter be automatically extended for successive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120" w:after="0"/>
        <w:jc w:val="left"/>
        <w:rPr>
          <w:rFonts w:ascii="Times New Roman" w:hAnsi="Times New Roman"/>
          <w:sz w:val="20"/>
        </w:rPr>
      </w:pPr>
      <w:r>
        <w:rPr>
          <w:rFonts w:ascii="Times New Roman" w:hAnsi="Times New Roman"/>
          <w:sz w:val="20"/>
        </w:rPr>
        <w:t xml:space="preserve">periods, unless either party provided written notice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non-renewal</w:t>
      </w:r>
    </w:p>
    <w:p>
      <w:pPr>
        <w:pStyle w:val="TextBody"/>
        <w:bidi w:val="0"/>
        <w:spacing w:before="120" w:after="0"/>
        <w:jc w:val="left"/>
        <w:rPr>
          <w:rFonts w:ascii="Times New Roman" w:hAnsi="Times New Roman"/>
          <w:sz w:val="20"/>
        </w:rPr>
      </w:pPr>
      <w:r>
        <w:rPr>
          <w:rFonts w:ascii="Times New Roman" w:hAnsi="Times New Roman"/>
          <w:sz w:val="20"/>
        </w:rPr>
        <w:t xml:space="preserve">at least 90 days prior to the expiration of the initial term or any extended term. Pursuant to the employment agreement, Mr. Mays’ annual base salary was no less than $300,000 with a discretionary annual bonus target to be no less than 75% of his annual base salary. Effective as of July 1, 2023, Mr. Mays’ annual base salary was adjusted to $400,000 with a discretionary annual bonus target equal to 80% of his annual base salary. Pursuant to the employment agreement, Mr. Mays also became entitled to certain travel benefits that vested for life after he attained five (5) years of service from June 3, 2019, including an annual credit of $12,500 in his ATP account for personal travel on Company scheduled flights for him and certain qualifying friends and family and travel on scheduled Company flights in accordance with the Company’s general employee travel policy, the cost of which is not deducted from Mr. Mays’ ATP account. </w:t>
      </w:r>
    </w:p>
    <w:p>
      <w:pPr>
        <w:pStyle w:val="TextBody"/>
        <w:bidi w:val="0"/>
        <w:spacing w:before="240" w:after="0"/>
        <w:jc w:val="left"/>
        <w:rPr>
          <w:rFonts w:ascii="Times New Roman" w:hAnsi="Times New Roman"/>
          <w:sz w:val="20"/>
        </w:rPr>
      </w:pPr>
      <w:r>
        <w:rPr>
          <w:rFonts w:ascii="Times New Roman" w:hAnsi="Times New Roman"/>
          <w:sz w:val="20"/>
        </w:rPr>
        <w:t xml:space="preserve">Mr. Mays resigned as Chief Operating Officer effective as of April 17, 2025 but remained an employee of the Company for a period of time thereafter to assist with the transition of his duties and responsibilities. Mr. Mays is subject to restrictive covenants,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non-competition</w:t>
      </w:r>
    </w:p>
    <w:p>
      <w:pPr>
        <w:pStyle w:val="TextBody"/>
        <w:bidi w:val="0"/>
        <w:spacing w:before="240" w:after="0"/>
        <w:jc w:val="left"/>
        <w:rPr>
          <w:rFonts w:ascii="Times New Roman" w:hAnsi="Times New Roman"/>
          <w:sz w:val="20"/>
        </w:rPr>
      </w:pPr>
      <w:r>
        <w:rPr>
          <w:rFonts w:ascii="Times New Roman" w:hAnsi="Times New Roman"/>
          <w:sz w:val="20"/>
        </w:rPr>
        <w:t xml:space="preserve">during employment and for 12 months thereafter,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non-solicitation</w:t>
      </w:r>
    </w:p>
    <w:p>
      <w:pPr>
        <w:pStyle w:val="TextBody"/>
        <w:bidi w:val="0"/>
        <w:spacing w:before="240" w:after="0"/>
        <w:jc w:val="left"/>
        <w:rPr>
          <w:rFonts w:ascii="Times New Roman" w:hAnsi="Times New Roman"/>
          <w:sz w:val="20"/>
        </w:rPr>
      </w:pPr>
      <w:r>
        <w:rPr>
          <w:rFonts w:ascii="Times New Roman" w:hAnsi="Times New Roman"/>
          <w:sz w:val="20"/>
        </w:rPr>
        <w:t xml:space="preserve">of employees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no-hire),</w:t>
      </w:r>
    </w:p>
    <w:p>
      <w:pPr>
        <w:pStyle w:val="TextBody"/>
        <w:bidi w:val="0"/>
        <w:spacing w:before="240" w:after="0"/>
        <w:jc w:val="left"/>
        <w:rPr>
          <w:rFonts w:ascii="Times New Roman" w:hAnsi="Times New Roman"/>
          <w:sz w:val="20"/>
        </w:rPr>
      </w:pPr>
      <w:r>
        <w:rPr>
          <w:rFonts w:ascii="Times New Roman" w:hAnsi="Times New Roman"/>
          <w:sz w:val="20"/>
        </w:rPr>
        <w:t xml:space="preserve">officers, consultants, customers and suppliers during employment and for 12 months thereafter,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non-disclosure</w:t>
      </w:r>
    </w:p>
    <w:p>
      <w:pPr>
        <w:pStyle w:val="TextBody"/>
        <w:bidi w:val="0"/>
        <w:spacing w:before="240" w:after="0"/>
        <w:jc w:val="left"/>
        <w:rPr>
          <w:rFonts w:ascii="Times New Roman" w:hAnsi="Times New Roman"/>
          <w:sz w:val="20"/>
        </w:rPr>
      </w:pPr>
      <w:r>
        <w:rPr>
          <w:rFonts w:ascii="Times New Roman" w:hAnsi="Times New Roman"/>
          <w:sz w:val="20"/>
        </w:rPr>
        <w:t xml:space="preserve">of confidential information for a perpetual period of time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by Mr. Mays for a perpetual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Mays’ employment agreement also provided for compensation and benefits under specified circumstances in connection with the termination of his employment. However, upon his voluntary resignation of employment with the Company, Mr. Mays is no longer eligible for these benefits, other than any accrued/vested benefits.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Grant Whitney Employment Letter and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Grant Whitney to serve as Senior Vice President and Chief Revenue Officer, effective as of July 1, 2023,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at-will</w:t>
      </w:r>
    </w:p>
    <w:p>
      <w:pPr>
        <w:pStyle w:val="TextBody"/>
        <w:bidi w:val="0"/>
        <w:spacing w:before="120" w:after="0"/>
        <w:jc w:val="left"/>
        <w:rPr>
          <w:rFonts w:ascii="Times New Roman" w:hAnsi="Times New Roman"/>
          <w:sz w:val="20"/>
        </w:rPr>
      </w:pPr>
      <w:r>
        <w:rPr>
          <w:rFonts w:ascii="Times New Roman" w:hAnsi="Times New Roman"/>
          <w:sz w:val="20"/>
        </w:rPr>
        <w:t xml:space="preserve">basis. Pursuant to the employment letter, Mr. Whitney’s annual base salary was $325,000 and he was also eligible to receive a discretionary annual bonus.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letter, Mr. Whitney also became entitled to certain travel benefits that vested for life after he attained five (5) years of service from May 20, 2019, including an annual credit of $10,000 in his ATP account for personal travel on Company scheduled flights for him and certain qualifying friends and family and travel on scheduled Company flights in accordance with the Company’s general employee travel policy, the cost of which is not deducted from Mr. Whitney’s ATP account. </w:t>
      </w:r>
    </w:p>
    <w:p>
      <w:pPr>
        <w:pStyle w:val="TextBody"/>
        <w:bidi w:val="0"/>
        <w:spacing w:before="240" w:after="0"/>
        <w:jc w:val="left"/>
        <w:rPr>
          <w:rFonts w:ascii="Times New Roman" w:hAnsi="Times New Roman"/>
          <w:sz w:val="20"/>
        </w:rPr>
      </w:pPr>
      <w:r>
        <w:rPr>
          <w:rFonts w:ascii="Times New Roman" w:hAnsi="Times New Roman"/>
          <w:sz w:val="20"/>
        </w:rPr>
        <w:t xml:space="preserve">Mr. Whitney terminated employment on October 20, 2025 and as consideration for his timely execution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non-revocation</w:t>
      </w:r>
    </w:p>
    <w:p>
      <w:pPr>
        <w:pStyle w:val="TextBody"/>
        <w:bidi w:val="0"/>
        <w:spacing w:before="240" w:after="0"/>
        <w:jc w:val="left"/>
        <w:rPr>
          <w:rFonts w:ascii="Times New Roman" w:hAnsi="Times New Roman"/>
          <w:sz w:val="20"/>
        </w:rPr>
      </w:pPr>
      <w:r>
        <w:rPr>
          <w:rFonts w:ascii="Times New Roman" w:hAnsi="Times New Roman"/>
          <w:sz w:val="20"/>
        </w:rPr>
        <w:t xml:space="preserve">of the Confidential Separation and Release Agreement (the “Whitney Separation Agreement”) with the Company and continued compliance with the restrictive covenants set forth therein he became eligible to receive certain severance payments and benefits as described in further detail below. </w:t>
      </w:r>
    </w:p>
    <w:p>
      <w:pPr>
        <w:pStyle w:val="TextBody"/>
        <w:bidi w:val="0"/>
        <w:spacing w:before="240" w:after="0"/>
        <w:jc w:val="left"/>
        <w:rPr>
          <w:rFonts w:ascii="Times New Roman" w:hAnsi="Times New Roman"/>
          <w:b/>
          <w:sz w:val="20"/>
        </w:rPr>
      </w:pPr>
      <w:r>
        <w:rPr>
          <w:rFonts w:ascii="Times New Roman" w:hAnsi="Times New Roman"/>
          <w:b/>
          <w:sz w:val="20"/>
        </w:rPr>
        <w:t xml:space="preserve">Potential Payments Upon Termination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of employment for any reason, each of the NEOs would be entitled to (i) any amount of annual base salary earned, but not yet paid, through the termination date, (ii) any annual bonus for the year prior to the year of termination that was earned, but not yet paid, (iii) any reimbursable expenses owed, (iv) any amount arising from participation in, or benefits under, any employee benefit plans, programs or arrangements (including, where applicable, any death and disability benefits), (v) any rights to indemnification to the extent required pursuant to the provisions of the Company’s and its subsidiaries’ bylaws, articles of incorporation or other governing documents or policies, (vi) any rights in his or her capacity as a holder of the Company’s equity or derivative securities (which, in the case of options or restricted stock units will be determined in accordance with the terms and conditions of the 2021 Omnibus Incentive Plan and applicable award agreement) and (vii) to the extent vested in his or her travel benefits as of the date of his or her termination of employment, vested travel benefits for the remainder of his or her lifetime (the “Accrued Obligations”). Mr. Bricker is also entitled to receive the health care benefits set forth in the Health Care Side Letter by and among Sun Country and Mr. Bricker, dated as of March 7, 2021, as described in more detail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Jude Bricker </w:t>
      </w:r>
    </w:p>
    <w:p>
      <w:pPr>
        <w:pStyle w:val="TextBody"/>
        <w:bidi w:val="0"/>
        <w:spacing w:before="120" w:after="0"/>
        <w:jc w:val="left"/>
        <w:rPr>
          <w:rFonts w:ascii="Times New Roman" w:hAnsi="Times New Roman"/>
          <w:sz w:val="20"/>
        </w:rPr>
      </w:pPr>
      <w:r>
        <w:rPr>
          <w:rFonts w:ascii="Times New Roman" w:hAnsi="Times New Roman"/>
          <w:sz w:val="20"/>
        </w:rPr>
        <w:t xml:space="preserve">Pursuant to Mr. Bricker’s employment agreement, upon a termination of employment by the Company without Cause or a resignation for Good Reason, or upon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non-renewal</w:t>
      </w:r>
    </w:p>
    <w:p>
      <w:pPr>
        <w:pStyle w:val="TextBody"/>
        <w:bidi w:val="0"/>
        <w:spacing w:before="120" w:after="0"/>
        <w:jc w:val="left"/>
        <w:rPr>
          <w:rFonts w:ascii="Times New Roman" w:hAnsi="Times New Roman"/>
          <w:sz w:val="20"/>
        </w:rPr>
      </w:pPr>
      <w:r>
        <w:rPr>
          <w:rFonts w:ascii="Times New Roman" w:hAnsi="Times New Roman"/>
          <w:sz w:val="20"/>
        </w:rPr>
        <w:t xml:space="preserve">of the initial four-year employment term, Mr. Bricker would be entitled to: (i) any Accrued Obligations, (ii) a severance payment equal to 1.5 times the sum of his base salary plus his target annual bonus, payable over 12 months (the “Bricker Severance Benefits”). The Bricker Severance Benefits are conditioned upon Mr. Bricker’s execution of a general release of claims and compliance with restrictive covenant obligations. Mr. Bricker would also become entitled to receive the health care benefits set forth in his Health Care Side Letter, as described in more detail below. The Bricker Agreement contemplates that Mr. Bricker may continue to provide services to the Company as a member of the Board and/or as a consultant to the Company for a period of time following a termination of his employment.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Mr. Bricker’s employment agreement, certain equity awards granted to Mr. Bricker are to also include certain double-trigger vesting protections in the event his employment is terminated due to death, Disability, by the Company without Cause or upon Mr. Bricker’s resignation for Good Reason.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Mr. Bricker’s employment agreement: </w:t>
      </w:r>
    </w:p>
    <w:p>
      <w:pPr>
        <w:pStyle w:val="TextBody"/>
        <w:bidi w:val="0"/>
        <w:spacing w:before="240" w:after="0"/>
        <w:jc w:val="left"/>
        <w:rPr/>
      </w:pPr>
      <w:r>
        <w:rPr/>
        <w:t>“</w:t>
      </w:r>
      <w:r>
        <w:rPr>
          <w:rFonts w:ascii="Times New Roman" w:hAnsi="Times New Roman"/>
          <w:sz w:val="20"/>
        </w:rPr>
        <w:t xml:space="preserve">Good Reason” means any of the following actions that are taken by the Company without Mr. Bricker’s express written consent: (i) a material reduction of Mr. Bricker’s duties and responsibilities in his capacity as Chief Executive Officer of the Company (which, without limitation, shall be deemed to occur if the common stock of the Company is no longer listed on a national securities exchange, unless Mr. Bricker becomes the Chief Executive Officer of the ultimate parent of the Company and such parent’s shares are listed on a national securities exchange) or change in title or a change that results in Mr. Bricker no longer reporting directly and exclusively to the full Board (except where, to the extent required by applicable law or listing standards, Mr. Bricker is required to report to a committee thereof, it being understood that as of the effective date of the employment agreement, no such requirement currently exists), (ii) a reduction in Mr. Bricker’s Base Salary or target annual bonus opportunity, (iii) a failure to pay an Annual Bonus (to the extent earned) in accordance with Section 3(b) or to make an LTI program award during the employment term in accordance with Section 3(d) of the employment agreement, (iv) the relocation of the Company’s principal executive offices to a location outside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50-mile</w:t>
      </w:r>
    </w:p>
    <w:p>
      <w:pPr>
        <w:pStyle w:val="TextBody"/>
        <w:bidi w:val="0"/>
        <w:spacing w:before="240" w:after="0"/>
        <w:jc w:val="left"/>
        <w:rPr>
          <w:rFonts w:ascii="Times New Roman" w:hAnsi="Times New Roman"/>
          <w:sz w:val="20"/>
        </w:rPr>
      </w:pPr>
      <w:r>
        <w:rPr>
          <w:rFonts w:ascii="Times New Roman" w:hAnsi="Times New Roman"/>
          <w:sz w:val="20"/>
        </w:rPr>
        <w:t xml:space="preserve">radius of the current location, or (v) any material breach by the Company of any material term or provision of the employment agreement or any other written agreement between Mr. Bricker and the Company and its affiliates; provided, however, that Mr. Bricker cannot terminate his employment for Good Reason unless Mr. Bricker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Mr. Bricker does not terminate his employment for Good Reason within thirty (30) days after the expiration of such cure period, then Mr. Bricker will be deemed to have waived Mr. Bricker’s right to terminate for Good Reason with respect to such grounds.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Current Named Executives (Other than Jude Bricker)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employment letters with Messrs. Zubeck, Coley and Snow and Ms. Neale, upon a termination of employment by the Company without Cause, these executives would be entitled to the following benefits, subject to his or her timely execution of a general release of claims: (i) his or her Accrued Obligations, (ii) continued payment of his or her base salary until the earlier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12-month</w:t>
      </w:r>
    </w:p>
    <w:p>
      <w:pPr>
        <w:pStyle w:val="TextBody"/>
        <w:bidi w:val="0"/>
        <w:spacing w:before="120" w:after="0"/>
        <w:jc w:val="left"/>
        <w:rPr>
          <w:rFonts w:ascii="Times New Roman" w:hAnsi="Times New Roman"/>
          <w:sz w:val="20"/>
        </w:rPr>
      </w:pPr>
      <w:r>
        <w:rPr>
          <w:rFonts w:ascii="Times New Roman" w:hAnsi="Times New Roman"/>
          <w:sz w:val="20"/>
        </w:rPr>
        <w:t xml:space="preserve">anniversary of the termination date or the first date that the executive violates any of his or her applicable restrictive covenants, (iii) payment of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120" w:after="0"/>
        <w:jc w:val="left"/>
        <w:rPr>
          <w:rFonts w:ascii="Times New Roman" w:hAnsi="Times New Roman"/>
          <w:sz w:val="20"/>
        </w:rPr>
      </w:pPr>
      <w:r>
        <w:rPr>
          <w:rFonts w:ascii="Times New Roman" w:hAnsi="Times New Roman"/>
          <w:sz w:val="20"/>
        </w:rPr>
        <w:t xml:space="preserve">portion of his or her annual bonus for the year in which the termination occurs for the portion of the year the executive officer was employed, to be paid out at or around the same time, in the same manner and means, and subject to the same performance criteria (including the resulting percentage of target payout) as annual cash bonuses paid to other executives of the Company; and (iv) if elected by the executive officer, continued coverage under COBRA for the executive officer and his or her spouse and eligible dependents with the employer portion of the premiums subsidized by the Company until the earlier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12-month</w:t>
      </w:r>
    </w:p>
    <w:p>
      <w:pPr>
        <w:pStyle w:val="TextBody"/>
        <w:bidi w:val="0"/>
        <w:spacing w:before="120" w:after="0"/>
        <w:jc w:val="left"/>
        <w:rPr>
          <w:rFonts w:ascii="Times New Roman" w:hAnsi="Times New Roman"/>
          <w:sz w:val="20"/>
        </w:rPr>
      </w:pPr>
      <w:r>
        <w:rPr>
          <w:rFonts w:ascii="Times New Roman" w:hAnsi="Times New Roman"/>
          <w:sz w:val="20"/>
        </w:rPr>
        <w:t xml:space="preserve">anniversary of the termination date or the first date that the executive officer becomes eligible for coverage under another employer’s benefit plans. The Merger Agreement provides that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120" w:after="0"/>
        <w:jc w:val="left"/>
        <w:rPr>
          <w:rFonts w:ascii="Times New Roman" w:hAnsi="Times New Roman"/>
          <w:sz w:val="20"/>
        </w:rPr>
      </w:pPr>
      <w:r>
        <w:rPr>
          <w:rFonts w:ascii="Times New Roman" w:hAnsi="Times New Roman"/>
          <w:sz w:val="20"/>
        </w:rPr>
        <w:t xml:space="preserve">bonuses would be paid at closing based on the “greater of” target or actual performance, measured through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if the termination of employment is by the Company without Cause or upon the executive’s resignation for Good Reason, in each case, on or within 24 months following a Change in Control (as defined in the employment letter), Messrs. Zubeck, Coley and Snow and Ms. Neale would be entitled to the same benefits detailed above; provided, that, such benefits would be enhanced as follows (i) the severance payments would instead be paid until the earlier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18-month</w:t>
      </w:r>
    </w:p>
    <w:p>
      <w:pPr>
        <w:pStyle w:val="TextBody"/>
        <w:bidi w:val="0"/>
        <w:spacing w:before="0" w:after="0"/>
        <w:jc w:val="left"/>
        <w:rPr>
          <w:rFonts w:ascii="Times New Roman" w:hAnsi="Times New Roman"/>
          <w:sz w:val="20"/>
        </w:rPr>
      </w:pPr>
      <w:r>
        <w:rPr>
          <w:rFonts w:ascii="Times New Roman" w:hAnsi="Times New Roman"/>
          <w:sz w:val="20"/>
        </w:rPr>
        <w:t xml:space="preserve">anniversary of the termination date or the first date that the executive violates any of his or her restrictive covenants, (ii)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0" w:after="0"/>
        <w:jc w:val="left"/>
        <w:rPr>
          <w:rFonts w:ascii="Times New Roman" w:hAnsi="Times New Roman"/>
          <w:sz w:val="20"/>
        </w:rPr>
      </w:pPr>
      <w:r>
        <w:rPr>
          <w:rFonts w:ascii="Times New Roman" w:hAnsi="Times New Roman"/>
          <w:sz w:val="20"/>
        </w:rPr>
        <w:t xml:space="preserve">annual bonus would instead be based on actual performance through the termination, to be paid on or around the later of the first pay period following the Company’s determination of the performance level achieved, (iii) all unvested time-based RSUs would accelerate vesting and vest, and (iv) in addition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0" w:after="0"/>
        <w:jc w:val="left"/>
        <w:rPr>
          <w:rFonts w:ascii="Times New Roman" w:hAnsi="Times New Roman"/>
          <w:sz w:val="20"/>
        </w:rPr>
      </w:pPr>
      <w:r>
        <w:rPr>
          <w:rFonts w:ascii="Times New Roman" w:hAnsi="Times New Roman"/>
          <w:sz w:val="20"/>
        </w:rPr>
        <w:t xml:space="preserve">annual bonus, the NEO would be eligible for payment of his or her full annual bonus for the year in which the termination occurs equal to 150% of the greater of target or actual performance through the termination date and payable on or around the later of the first pay period following The Company’s determination of the performance level achieved and the date the release becomes effective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non-revocable.</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employment letters with each of Messrs. Zubeck, Coley and Snow and Ms. Neale: </w:t>
      </w:r>
    </w:p>
    <w:p>
      <w:pPr>
        <w:pStyle w:val="TextBody"/>
        <w:bidi w:val="0"/>
        <w:spacing w:before="240" w:after="0"/>
        <w:jc w:val="left"/>
        <w:rPr/>
      </w:pPr>
      <w:r>
        <w:rPr/>
        <w:t>“</w:t>
      </w:r>
      <w:r>
        <w:rPr>
          <w:rFonts w:ascii="Times New Roman" w:hAnsi="Times New Roman"/>
          <w:sz w:val="20"/>
        </w:rPr>
        <w:t xml:space="preserve">Good Reason” means that the Company has taken any of the following actions without the executive officer’s express written consent: (i) a material reduction of executive officer’s duties and responsibilities in his or her capacity as related to his or her position (as set forth in the employment letter) or a change in title, (ii) a material reduction in the executive officer’s annual base salary or target annual bonus opportunity, (iii) the relocation of the executive officer’s principal work location to a location outside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50-mile</w:t>
      </w:r>
    </w:p>
    <w:p>
      <w:pPr>
        <w:pStyle w:val="TextBody"/>
        <w:bidi w:val="0"/>
        <w:spacing w:before="240" w:after="0"/>
        <w:jc w:val="left"/>
        <w:rPr>
          <w:rFonts w:ascii="Times New Roman" w:hAnsi="Times New Roman"/>
          <w:sz w:val="20"/>
        </w:rPr>
      </w:pPr>
      <w:r>
        <w:rPr>
          <w:rFonts w:ascii="Times New Roman" w:hAnsi="Times New Roman"/>
          <w:sz w:val="20"/>
        </w:rPr>
        <w:t xml:space="preserve">radius of the current location, or (iv) any material breach by the Company of any material term or provision of the employment letter or any other written agreement between the executive officer and the Company and its affiliates; provided, however, that the executive officer cannot terminate his or her employment for Good Reason unless the executive officer has first provided written notice to the Company of the existence of the circumstances providing grounds for termination for Good Reason within 30 days of becoming aware of the existence of such grounds and the Company has been afforded at least 30 days from the date on which such notice is provided to cure such circumstances and has failed to do so. If the executive officer does not terminate his or her employment for Good Reason within 30 days after the expiration of such cure period, then the executive officer will be deemed to have waived the executive officer’s right to terminate for Good Reason with respect to such grounds.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and employment letters with each of our named executive officers also provide that in the event that the payment of the severance benefits described above (together with any other payments or benefits) would result in any of the named executive officers being subject to the excise tax imposed on certain “golden parachute” arrangements under Sections 280G and 4999 of the Code, the employment agreements and the employment letters provide that such payments and benefits will be reduced to the largest amount which can be paid without the imposition of such excise tax, but only if such reduction would result in the executive retaining a larger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240" w:after="0"/>
        <w:jc w:val="left"/>
        <w:rPr>
          <w:rFonts w:ascii="Times New Roman" w:hAnsi="Times New Roman"/>
          <w:sz w:val="20"/>
        </w:rPr>
      </w:pPr>
      <w:r>
        <w:rPr>
          <w:rFonts w:ascii="Times New Roman" w:hAnsi="Times New Roman"/>
          <w:sz w:val="20"/>
        </w:rPr>
        <w:t xml:space="preserve">benefit than if he had received all payments and been subject to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Board of Directors approved letter agreements (each, a “Health Care Side Letter”)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the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Grant Whitney </w:t>
      </w:r>
    </w:p>
    <w:p>
      <w:pPr>
        <w:pStyle w:val="TextBody"/>
        <w:bidi w:val="0"/>
        <w:spacing w:before="120" w:after="0"/>
        <w:jc w:val="left"/>
        <w:rPr>
          <w:rFonts w:ascii="Times New Roman" w:hAnsi="Times New Roman"/>
          <w:sz w:val="20"/>
        </w:rPr>
      </w:pPr>
      <w:r>
        <w:rPr>
          <w:rFonts w:ascii="Times New Roman" w:hAnsi="Times New Roman"/>
          <w:sz w:val="20"/>
        </w:rPr>
        <w:t xml:space="preserve">Upon Mr. Whitney’s termination of employment, Mr. Whitney became eligible to receive payment of the Accrued Obligations and following his timely execution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non-revocation</w:t>
      </w:r>
    </w:p>
    <w:p>
      <w:pPr>
        <w:pStyle w:val="TextBody"/>
        <w:bidi w:val="0"/>
        <w:spacing w:before="120" w:after="0"/>
        <w:jc w:val="left"/>
        <w:rPr>
          <w:rFonts w:ascii="Times New Roman" w:hAnsi="Times New Roman"/>
          <w:sz w:val="20"/>
        </w:rPr>
      </w:pPr>
      <w:r>
        <w:rPr>
          <w:rFonts w:ascii="Times New Roman" w:hAnsi="Times New Roman"/>
          <w:sz w:val="20"/>
        </w:rPr>
        <w:t xml:space="preserve">of the Whitney Separation Agreement (and the release attached therein), he became eligible to receive (i) continued payment of his annual base salary in installments until the earlier of October 20, 2026 or the first date that he violates any restrictive covenants applicable to him and he receives written notice of such violation and does not cure such violation within 10 business days, (ii) payment of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120" w:after="0"/>
        <w:jc w:val="left"/>
        <w:rPr>
          <w:rFonts w:ascii="Times New Roman" w:hAnsi="Times New Roman"/>
          <w:sz w:val="20"/>
        </w:rPr>
      </w:pPr>
      <w:r>
        <w:rPr>
          <w:rFonts w:ascii="Times New Roman" w:hAnsi="Times New Roman"/>
          <w:sz w:val="20"/>
        </w:rPr>
        <w:t xml:space="preserve">portion of his annual bonus for 2025 based on actual performance for the portion of the year Mr. Whitney was employed by the Company during the year, to be paid at or around the same time and in the same manner as such bonus is paid to other executives of the Company and (iii) continued coverage under the Company’s medical and dental plans as in effect on his separation date through COBRA through October 31, 2026 for Mr. Whitney and his eligible dependents at the same premium rates as if he were still an active employee of Sun Country.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and quantifies the compensation that would have become payable to each current NEO upon a qualifying termination of employment or a change in control (and subsequent qualifying termination of employment) on December 31, 2025, given the NEO’s compensation and service levels as of such date and the amounts that became payable to Mr. Whitney pursuant to the terms of the Whitney Separation Agreement. The NEOs are not entitled to any additional compensation or benefits in the case of a termination (i) for cause by the Company, (ii) without good reason by the NEO or (iii) upon the NEO’s death or disability (other than in the case of Mr. Bricker, who would be eligible for accelerated vesting of a portion of his unvested RSUs and PSUs as described below). Messrs. Davis, Mays and Trousdale voluntarily resigned from employment in 2025 and as such are no longer eligible for any compensation or benefits. As such, Messrs. Davis, Mays and Trousdale are not reflected in the following table. </w:t>
      </w:r>
    </w:p>
    <w:p>
      <w:pPr>
        <w:pStyle w:val="TextBody"/>
        <w:bidi w:val="0"/>
        <w:spacing w:before="0" w:after="0"/>
        <w:jc w:val="left"/>
        <w:rPr/>
      </w:pPr>
      <w:r>
        <w:rPr/>
        <w:t> </w:t>
      </w:r>
    </w:p>
    <w:tbl>
      <w:tblPr>
        <w:tblW w:w="9320" w:type="dxa"/>
        <w:jc w:val="left"/>
        <w:tblInd w:w="0" w:type="dxa"/>
        <w:tblLayout w:type="fixed"/>
        <w:tblCellMar>
          <w:top w:w="0" w:type="dxa"/>
          <w:left w:w="0" w:type="dxa"/>
          <w:bottom w:w="0" w:type="dxa"/>
          <w:right w:w="0" w:type="dxa"/>
        </w:tblCellMar>
      </w:tblPr>
      <w:tblGrid>
        <w:gridCol w:w="1850"/>
        <w:gridCol w:w="120"/>
        <w:gridCol w:w="123"/>
        <w:gridCol w:w="2012"/>
        <w:gridCol w:w="60"/>
        <w:gridCol w:w="120"/>
        <w:gridCol w:w="186"/>
        <w:gridCol w:w="3044"/>
        <w:gridCol w:w="60"/>
        <w:gridCol w:w="120"/>
        <w:gridCol w:w="89"/>
        <w:gridCol w:w="1461"/>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Termination without</w:t>
            </w:r>
          </w:p>
          <w:p>
            <w:pPr>
              <w:pStyle w:val="TableContents"/>
              <w:bidi w:val="0"/>
              <w:spacing w:before="0" w:after="0"/>
              <w:jc w:val="center"/>
              <w:rPr/>
            </w:pPr>
            <w:r>
              <w:rPr/>
            </w:r>
          </w:p>
          <w:p>
            <w:pPr>
              <w:pStyle w:val="TableContents"/>
              <w:bidi w:val="0"/>
              <w:spacing w:before="0" w:after="0"/>
              <w:jc w:val="center"/>
              <w:rPr>
                <w:b/>
                <w:spacing w:val="0"/>
              </w:rPr>
            </w:pPr>
            <w:r>
              <w:rPr>
                <w:b/>
                <w:spacing w:val="0"/>
              </w:rPr>
              <w:t>Cause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Termination without Cause or</w:t>
              <w:br/>
              <w:t>for Good Reason in Connection</w:t>
              <w:br/>
              <w:t>with a Change in Control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Upon Death or</w:t>
              <w:br/>
              <w:t>Disability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0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30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46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2,193,750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2,193,750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(2)</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23,373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23,373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23,373</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489,634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1,204,054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489,634</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1,101,662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2,203,325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1,101,662</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3,808,419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5,624,502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1,614,669</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Torque Zubeck</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(4)</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840,000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(5)</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(2)</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15,641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25,641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978,088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575,641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2,053,729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Stephen Coley</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0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30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46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(4)</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325,000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780,000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(5)</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(2)</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23,906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33,906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503,851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71,590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143,181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615,496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1,655,938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(4)</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780,000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(5)</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195,000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195,000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(2)</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21,863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31,863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411,050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112,048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224,095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653,911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1,642,008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Colton M. Snow</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0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30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46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(4)</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325,000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780,000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(5)</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(2)</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23,373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33,373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313,716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(3)</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86,556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173,112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629,929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044" w:type="dxa"/>
            <w:tcBorders/>
            <w:shd w:fill="CCEEFF" w:val="clear"/>
            <w:vAlign w:val="center"/>
          </w:tcPr>
          <w:p>
            <w:pPr>
              <w:pStyle w:val="TableContents"/>
              <w:bidi w:val="0"/>
              <w:spacing w:before="0" w:after="283"/>
              <w:jc w:val="right"/>
              <w:rPr/>
            </w:pPr>
            <w:r>
              <w:rPr/>
              <w:t>1,495,201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p>
            <w:pPr>
              <w:pStyle w:val="TableContents"/>
              <w:bidi w:val="0"/>
              <w:spacing w:before="0" w:after="0"/>
              <w:jc w:val="left"/>
              <w:rPr>
                <w:rFonts w:ascii="Times New Roman" w:hAnsi="Times New Roman"/>
                <w:b/>
                <w:sz w:val="12"/>
              </w:rPr>
            </w:pPr>
            <w:r>
              <w:rPr>
                <w:rFonts w:ascii="Times New Roman" w:hAnsi="Times New Roman"/>
                <w:b/>
                <w:sz w:val="12"/>
              </w:rPr>
              <w:t>(6)</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Severance Amount</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Pro-Rata</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Bonus</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156,000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Continued Benefits</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22,673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RSUs</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Unvested PSUs</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Value</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503,673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bdr w:val="single" w:sz="2" w:space="1" w:color="000000"/>
              </w:rPr>
            </w:pPr>
            <w:r>
              <w:rPr>
                <w:bdr w:val="single" w:sz="2" w:space="1" w:color="000000"/>
              </w:rPr>
              <w:t> </w:t>
            </w:r>
          </w:p>
        </w:tc>
        <w:tc>
          <w:tcPr>
            <w:tcW w:w="304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Mr. Bricker, the severance amount represents 1.5 times the sum of Mr. Bricker’s annual base salary, plus his target annual bonus (as of December 31, 2025), payable over 12 months, subject to his execution of a release and continued compliance with the restrictive covenants set forth in his employment agreement as described in greater detail in “Jude Bricker Employment Agreement.” Under his employment agreement, Mr. Bricker is not eligible for any enhanced severance benefits regardless of whether his qualifying termination of employment occurs in connection with a Change in Control.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NEO listed in the table above, the ‘Continued Benefits’ amounts were calculated based on the employer paid portion of COBRA continuation coverage for medical, dental and vision (not including the 2% administrative fee) for up to one year for each current NEO (including Mr. Bricker) based on their current elections; however, the exact amount could be higher or lower depending on if and when a qualifying termination of employment occurs. Additionally, for Mr. Bricker we assumed a one-year COBRA continuation period as an actuarial valuation is not readily ascertainable at this time given that under the terms of his Health Care Side Letter upon termination of his employment for any reason (other than for Cause) he would be eligible for continued coverage until he becomes eligible for coverage under another employer’s benefit plans or he becomes eligible for Medicare. Additionally, for each of our current NEOs (other than Mr. Bricker who is already vested in his travel benefits), the ‘Continued Benefits’ amounts include the estimated cost of one year of travel benefits under the Sun Country Air Travel Plan which would vest for life in connection with a Change in Control (to the extent unvested).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value (as of December 31, 2025) of the accelerated vesting of unvested RSUs and PSUs (assuming achievement at “target”) upon a qualifying termination of employment or service, which may be subject to the applicable NEO’s timely execution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non-revocation</w:t>
            </w:r>
          </w:p>
          <w:p>
            <w:pPr>
              <w:pStyle w:val="TableContents"/>
              <w:bidi w:val="0"/>
              <w:spacing w:before="0" w:after="0"/>
              <w:jc w:val="left"/>
              <w:rPr>
                <w:rFonts w:ascii="Times New Roman" w:hAnsi="Times New Roman"/>
                <w:sz w:val="20"/>
              </w:rPr>
            </w:pPr>
            <w:r>
              <w:rPr>
                <w:rFonts w:ascii="Times New Roman" w:hAnsi="Times New Roman"/>
                <w:sz w:val="20"/>
              </w:rPr>
              <w:t xml:space="preserve">of a release of claims in favor of the Company, with settlement to occur within 30 days of the applicable termination date. For Mr. Bricker, his employment agreement provides for the accelerated vesting of the next tranche of time-based RSUs that are scheduled to vest, if his employment is terminated without Cause, for Good Reason, upon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non-renewal</w:t>
            </w:r>
          </w:p>
          <w:p>
            <w:pPr>
              <w:pStyle w:val="TableContents"/>
              <w:bidi w:val="0"/>
              <w:spacing w:before="0" w:after="0"/>
              <w:jc w:val="left"/>
              <w:rPr>
                <w:rFonts w:ascii="Times New Roman" w:hAnsi="Times New Roman"/>
                <w:sz w:val="20"/>
              </w:rPr>
            </w:pPr>
            <w:r>
              <w:rPr>
                <w:rFonts w:ascii="Times New Roman" w:hAnsi="Times New Roman"/>
                <w:sz w:val="20"/>
              </w:rPr>
              <w:t xml:space="preserve">of the employment term or for death or disability prior to the occurrence of a Change in Control. For all NEOs listed in the table above (other than Mr. Whitney), the table includes the value of the accelerated vesting in full of all unvested RSUs in connection with a Change in Control (assuming the occurrence of a qualifying subsequent termination of employment). These amounts also include the value (as of December 31, 2025) of the accelerated vesting of all unvested PSUs, based on the terms of the applicable award agreement, which provides that if the NEO’s employment with the Company or any of its affiliates is terminated prior to vesting by the Company without Cause or upon the NEO’s resignation for Good Reason (including upon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non-renewal</w:t>
            </w:r>
          </w:p>
          <w:p>
            <w:pPr>
              <w:pStyle w:val="TableContents"/>
              <w:bidi w:val="0"/>
              <w:spacing w:before="0" w:after="0"/>
              <w:jc w:val="left"/>
              <w:rPr>
                <w:rFonts w:ascii="Times New Roman" w:hAnsi="Times New Roman"/>
                <w:sz w:val="20"/>
              </w:rPr>
            </w:pPr>
            <w:r>
              <w:rPr>
                <w:rFonts w:ascii="Times New Roman" w:hAnsi="Times New Roman"/>
                <w:sz w:val="20"/>
              </w:rPr>
              <w:t xml:space="preserve">of the term or upon death or Disability, in the case of Mr. Bricker) prior to the occurrence of a Change in Control, then the NEO will become vested in any PSUs that previously became eligible to vest as of the termination date based on earnings (which, for purposes of the example above, we assumed to be at “target”). However, if there is a Change in Control where PSUs are assumed or continued and the NEO’s employment is subsequently terminated within 24 months following such Change in Control (or at any time thereafter, in the case of Mr. Bricker) without Cause or for Good Reason (or for any of the aforementioned reasons for Mr. Bricker) prior to the applicable vesting date, then any unvested PSUs are to be eligible to become fully vested, assuming “target” level performance (or actual performance, to the extent such PSUs are already considered earned). For purposes of this table, we assumed all PSUs would be earned at target as of December 31, 2025, however, the actual amount eligible to vest could be higher or lower depending on actual performance.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(i) 1.0 times the NEO’s annual base salary (as of December 31, 2025), assuming the termination of employment was by the Company without Cause not in connection with a change in control, payable over 12 months, or (ii) if such termination is by the Company without Cause or by Executive for Good Reason within 24 months following a change in control, 1.5 times the sum of the NEO’s annual base salary, payable over 18 months, plus 150% of his or her annual bonus based on the greater of actual or target, to be paid on or around the later of the first pay period following the Company’s determination of the performance level achieved. For purposes of this estimate, we assumed the annual bonus would be earned at target (without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pro-ration)</w:t>
            </w:r>
          </w:p>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however, the actual amount payable could be higher or lower depending on actual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pro-rated</w:t>
            </w:r>
          </w:p>
          <w:p>
            <w:pPr>
              <w:pStyle w:val="TableContents"/>
              <w:bidi w:val="0"/>
              <w:spacing w:before="0" w:after="0"/>
              <w:jc w:val="left"/>
              <w:rPr>
                <w:rFonts w:ascii="Times New Roman" w:hAnsi="Times New Roman"/>
                <w:sz w:val="20"/>
              </w:rPr>
            </w:pPr>
            <w:r>
              <w:rPr>
                <w:rFonts w:ascii="Times New Roman" w:hAnsi="Times New Roman"/>
                <w:sz w:val="20"/>
              </w:rPr>
              <w:t xml:space="preserve">annual bonus, we assumed this amount would become payable at target, although, the actual amount that could become payable would depend on actual performance.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for Mr. Whitney represent the amounts that became payable in connection with his termination of employment and timely execution of the Whitney Separation Agreement, pursuant to which he became eligible to receive (i) continued payment of his annual base salary in installments until the earlier of October 20, 2026 or the first date that he violates any restrictive covenants applicable to him and he receives written notice of such violation and does not cure such violation within 10 business days, (ii) payment of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pro-rated</w:t>
            </w:r>
          </w:p>
          <w:p>
            <w:pPr>
              <w:pStyle w:val="TableContents"/>
              <w:bidi w:val="0"/>
              <w:spacing w:before="0" w:after="0"/>
              <w:jc w:val="left"/>
              <w:rPr>
                <w:rFonts w:ascii="Times New Roman" w:hAnsi="Times New Roman"/>
                <w:sz w:val="20"/>
              </w:rPr>
            </w:pPr>
            <w:r>
              <w:rPr>
                <w:rFonts w:ascii="Times New Roman" w:hAnsi="Times New Roman"/>
                <w:sz w:val="20"/>
              </w:rPr>
              <w:t xml:space="preserve">portion of his annual bonus for 2025 based on actual performance for the portion of the year Mr. Whitney was employed by the Company during the year, to be paid at or around the same time and in the same manner as such bonus is paid to other executives of the Company and (iii) continued coverage under COBRA for a period of 12 months for Mr. Whitney and his spouse and eligible dependents with the employer portion of the premiums subsidized by the Company. For purposes of this disclosure, we have included the full amount that could become payable to Mr. Whitney under the Whitney Separation Agreement, although, such payments could cease in the event Mr. Whitney breaches any of the restrictive covenant obligations to which he is subject. Mr. Whitney is not eligible for any additional payments or benefits in connection with a change in control.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and Human Resources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and Human Resources Committee has reviewed and discussed with our Company’s management the CD&amp;A included in this Amendment and, based on that review and discussion, recommends to the Board that the CD&amp;A be included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Submitted by the Compensation and Human Resources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Patrick O’Keeffe, Chair </w:t>
      </w:r>
    </w:p>
    <w:p>
      <w:pPr>
        <w:pStyle w:val="TextBody"/>
        <w:bidi w:val="0"/>
        <w:spacing w:before="0" w:after="0"/>
        <w:jc w:val="left"/>
        <w:rPr>
          <w:rFonts w:ascii="Times New Roman" w:hAnsi="Times New Roman"/>
          <w:sz w:val="20"/>
        </w:rPr>
      </w:pPr>
      <w:r>
        <w:rPr>
          <w:rFonts w:ascii="Times New Roman" w:hAnsi="Times New Roman"/>
          <w:sz w:val="20"/>
        </w:rPr>
        <w:t xml:space="preserve">Marion Blakey </w:t>
      </w:r>
    </w:p>
    <w:p>
      <w:pPr>
        <w:pStyle w:val="TextBody"/>
        <w:bidi w:val="0"/>
        <w:spacing w:before="0" w:after="0"/>
        <w:jc w:val="left"/>
        <w:rPr>
          <w:rFonts w:ascii="Times New Roman" w:hAnsi="Times New Roman"/>
          <w:sz w:val="20"/>
        </w:rPr>
      </w:pPr>
      <w:r>
        <w:rPr>
          <w:rFonts w:ascii="Times New Roman" w:hAnsi="Times New Roman"/>
          <w:sz w:val="20"/>
        </w:rPr>
        <w:t xml:space="preserve">Gail Peterson </w:t>
      </w:r>
    </w:p>
    <w:p>
      <w:pPr>
        <w:pStyle w:val="TextBody"/>
        <w:bidi w:val="0"/>
        <w:spacing w:before="0" w:after="0"/>
        <w:jc w:val="left"/>
        <w:rPr>
          <w:rFonts w:ascii="Times New Roman" w:hAnsi="Times New Roman"/>
          <w:sz w:val="20"/>
        </w:rPr>
      </w:pPr>
      <w:r>
        <w:rPr>
          <w:rFonts w:ascii="Times New Roman" w:hAnsi="Times New Roman"/>
          <w:sz w:val="20"/>
        </w:rPr>
        <w:t xml:space="preserve">Jennifer Vogel </w:t>
      </w: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executive compensation actually paid and certain financial performance of the Company. </w:t>
      </w:r>
    </w:p>
    <w:p>
      <w:pPr>
        <w:pStyle w:val="TextBody"/>
        <w:bidi w:val="0"/>
        <w:spacing w:before="0" w:after="0"/>
        <w:jc w:val="left"/>
        <w:rPr/>
      </w:pPr>
      <w:r>
        <w:rPr/>
        <w:t> </w:t>
      </w:r>
    </w:p>
    <w:tbl>
      <w:tblPr>
        <w:tblW w:w="12760" w:type="dxa"/>
        <w:jc w:val="left"/>
        <w:tblInd w:w="0" w:type="dxa"/>
        <w:tblLayout w:type="fixed"/>
        <w:tblCellMar>
          <w:top w:w="0" w:type="dxa"/>
          <w:left w:w="0" w:type="dxa"/>
          <w:bottom w:w="0" w:type="dxa"/>
          <w:right w:w="0" w:type="dxa"/>
        </w:tblCellMar>
      </w:tblPr>
      <w:tblGrid>
        <w:gridCol w:w="455"/>
        <w:gridCol w:w="120"/>
        <w:gridCol w:w="186"/>
        <w:gridCol w:w="1304"/>
        <w:gridCol w:w="60"/>
        <w:gridCol w:w="120"/>
        <w:gridCol w:w="168"/>
        <w:gridCol w:w="1322"/>
        <w:gridCol w:w="155"/>
        <w:gridCol w:w="60"/>
        <w:gridCol w:w="186"/>
        <w:gridCol w:w="1304"/>
        <w:gridCol w:w="60"/>
        <w:gridCol w:w="120"/>
        <w:gridCol w:w="174"/>
        <w:gridCol w:w="1316"/>
        <w:gridCol w:w="155"/>
        <w:gridCol w:w="60"/>
        <w:gridCol w:w="256"/>
        <w:gridCol w:w="1024"/>
        <w:gridCol w:w="60"/>
        <w:gridCol w:w="120"/>
        <w:gridCol w:w="256"/>
        <w:gridCol w:w="1024"/>
        <w:gridCol w:w="60"/>
        <w:gridCol w:w="120"/>
        <w:gridCol w:w="192"/>
        <w:gridCol w:w="938"/>
        <w:gridCol w:w="60"/>
        <w:gridCol w:w="120"/>
        <w:gridCol w:w="168"/>
        <w:gridCol w:w="962"/>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vMerge w:val="restart"/>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Year</w:t>
              <w:br/>
              <w:t>(a)</w:t>
            </w:r>
          </w:p>
        </w:tc>
        <w:tc>
          <w:tcPr>
            <w:tcW w:w="12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b/>
                <w:spacing w:val="0"/>
              </w:rPr>
            </w:pPr>
            <w:r>
              <w:rPr>
                <w:b/>
                <w:spacing w:val="0"/>
              </w:rPr>
              <w:br/>
              <w:t>(b)</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r>
          </w:p>
          <w:p>
            <w:pPr>
              <w:pStyle w:val="TableContents"/>
              <w:bidi w:val="0"/>
              <w:spacing w:before="0" w:after="0"/>
              <w:jc w:val="center"/>
              <w:rPr/>
            </w:pPr>
            <w:r>
              <w:rPr/>
            </w:r>
          </w:p>
          <w:p>
            <w:pPr>
              <w:pStyle w:val="TableContents"/>
              <w:bidi w:val="0"/>
              <w:spacing w:before="0" w:after="0"/>
              <w:jc w:val="center"/>
              <w:rPr>
                <w:b/>
                <w:spacing w:val="0"/>
              </w:rPr>
            </w:pPr>
            <w:r>
              <w:rPr>
                <w:b/>
                <w:spacing w:val="0"/>
              </w:rPr>
              <w:t>Actually</w:t>
            </w:r>
          </w:p>
          <w:p>
            <w:pPr>
              <w:pStyle w:val="TableContents"/>
              <w:bidi w:val="0"/>
              <w:spacing w:before="0" w:after="0"/>
              <w:jc w:val="center"/>
              <w:rPr/>
            </w:pPr>
            <w:r>
              <w:rPr/>
            </w:r>
          </w:p>
          <w:p>
            <w:pPr>
              <w:pStyle w:val="TableContents"/>
              <w:bidi w:val="0"/>
              <w:spacing w:before="0" w:after="0"/>
              <w:jc w:val="center"/>
              <w:rPr>
                <w:b/>
                <w:spacing w:val="0"/>
              </w:rPr>
            </w:pPr>
            <w:r>
              <w:rPr>
                <w:b/>
                <w:spacing w:val="0"/>
              </w:rPr>
              <w:t>Paid to</w:t>
            </w:r>
          </w:p>
          <w:p>
            <w:pPr>
              <w:pStyle w:val="TableContents"/>
              <w:bidi w:val="0"/>
              <w:spacing w:before="0" w:after="0"/>
              <w:jc w:val="center"/>
              <w:rPr/>
            </w:pPr>
            <w:r>
              <w:rPr/>
            </w:r>
          </w:p>
          <w:p>
            <w:pPr>
              <w:pStyle w:val="TableContents"/>
              <w:bidi w:val="0"/>
              <w:spacing w:before="0" w:after="0"/>
              <w:jc w:val="center"/>
              <w:rPr>
                <w:b/>
                <w:spacing w:val="0"/>
              </w:rPr>
            </w:pPr>
            <w:r>
              <w:rPr>
                <w:b/>
                <w:spacing w:val="0"/>
              </w:rPr>
              <w:t>PEO</w:t>
            </w:r>
          </w:p>
          <w:p>
            <w:pPr>
              <w:pStyle w:val="TableContents"/>
              <w:bidi w:val="0"/>
              <w:spacing w:before="0" w:after="0"/>
              <w:jc w:val="center"/>
              <w:rPr>
                <w:b/>
                <w:spacing w:val="0"/>
                <w:sz w:val="9"/>
              </w:rPr>
            </w:pPr>
            <w:r>
              <w:rPr>
                <w:b/>
                <w:spacing w:val="0"/>
                <w:sz w:val="9"/>
              </w:rPr>
              <w:t>(2)</w:t>
            </w:r>
          </w:p>
          <w:p>
            <w:pPr>
              <w:pStyle w:val="TableContents"/>
              <w:bidi w:val="0"/>
              <w:spacing w:before="0" w:after="0"/>
              <w:jc w:val="center"/>
              <w:rPr>
                <w:b/>
                <w:spacing w:val="0"/>
              </w:rPr>
            </w:pPr>
            <w:r>
              <w:rPr>
                <w:b/>
                <w:spacing w:val="0"/>
              </w:rPr>
              <w:br/>
              <w:t>(c)</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(3)</w:t>
            </w:r>
          </w:p>
          <w:p>
            <w:pPr>
              <w:pStyle w:val="TableContents"/>
              <w:bidi w:val="0"/>
              <w:spacing w:before="0" w:after="0"/>
              <w:jc w:val="center"/>
              <w:rPr>
                <w:b/>
                <w:spacing w:val="0"/>
              </w:rPr>
            </w:pPr>
            <w:r>
              <w:rPr>
                <w:b/>
                <w:spacing w:val="0"/>
              </w:rPr>
              <w:br/>
              <w:t>(d)</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w:t>
            </w:r>
          </w:p>
          <w:p>
            <w:pPr>
              <w:pStyle w:val="TableContents"/>
              <w:bidi w:val="0"/>
              <w:spacing w:before="0" w:after="0"/>
              <w:jc w:val="center"/>
              <w:rPr/>
            </w:pPr>
            <w:r>
              <w:rPr/>
            </w:r>
          </w:p>
          <w:p>
            <w:pPr>
              <w:pStyle w:val="TableContents"/>
              <w:bidi w:val="0"/>
              <w:spacing w:before="0" w:after="0"/>
              <w:jc w:val="center"/>
              <w:rPr>
                <w:b/>
                <w:spacing w:val="0"/>
              </w:rPr>
            </w:pPr>
            <w:r>
              <w:rPr>
                <w:b/>
                <w:spacing w:val="0"/>
              </w:rPr>
              <w:t xml:space="preserve">Paid to </w:t>
            </w:r>
          </w:p>
          <w:p>
            <w:pPr>
              <w:pStyle w:val="TableContents"/>
              <w:bidi w:val="0"/>
              <w:spacing w:before="0" w:after="0"/>
              <w:jc w:val="center"/>
              <w:rPr>
                <w:b/>
                <w:spacing w:val="0"/>
              </w:rPr>
            </w:pPr>
            <w:r>
              <w:rPr>
                <w:b/>
                <w:spacing w:val="0"/>
              </w:rPr>
              <w:t>Non-</w:t>
            </w:r>
          </w:p>
          <w:p>
            <w:pPr>
              <w:pStyle w:val="TableContents"/>
              <w:bidi w:val="0"/>
              <w:spacing w:before="0" w:after="0"/>
              <w:jc w:val="center"/>
              <w:rPr/>
            </w:pPr>
            <w:r>
              <w:rPr/>
            </w:r>
          </w:p>
          <w:p>
            <w:pPr>
              <w:pStyle w:val="TableContents"/>
              <w:bidi w:val="0"/>
              <w:spacing w:before="0" w:after="0"/>
              <w:jc w:val="center"/>
              <w:rPr>
                <w:b/>
                <w:spacing w:val="0"/>
              </w:rPr>
            </w:pPr>
            <w:r>
              <w:rPr>
                <w:b/>
                <w:spacing w:val="0"/>
              </w:rPr>
              <w:t>PEO NEOs</w:t>
            </w:r>
          </w:p>
          <w:p>
            <w:pPr>
              <w:pStyle w:val="TableContents"/>
              <w:bidi w:val="0"/>
              <w:spacing w:before="0" w:after="0"/>
              <w:jc w:val="center"/>
              <w:rPr>
                <w:b/>
                <w:spacing w:val="0"/>
                <w:sz w:val="9"/>
              </w:rPr>
            </w:pPr>
            <w:r>
              <w:rPr>
                <w:b/>
                <w:spacing w:val="0"/>
                <w:sz w:val="9"/>
              </w:rPr>
              <w:t>(4)</w:t>
            </w:r>
          </w:p>
          <w:p>
            <w:pPr>
              <w:pStyle w:val="TableContents"/>
              <w:bidi w:val="0"/>
              <w:spacing w:before="0" w:after="0"/>
              <w:jc w:val="center"/>
              <w:rPr>
                <w:b/>
                <w:spacing w:val="0"/>
              </w:rPr>
            </w:pPr>
            <w:r>
              <w:rPr>
                <w:b/>
                <w:spacing w:val="0"/>
              </w:rPr>
              <w:br/>
              <w:t>(e)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w:t>
              <w:br/>
              <w:t>(thousands)</w:t>
            </w:r>
          </w:p>
          <w:p>
            <w:pPr>
              <w:pStyle w:val="TableContents"/>
              <w:bidi w:val="0"/>
              <w:spacing w:before="0" w:after="0"/>
              <w:jc w:val="center"/>
              <w:rPr>
                <w:b/>
                <w:spacing w:val="0"/>
                <w:sz w:val="9"/>
              </w:rPr>
            </w:pPr>
            <w:r>
              <w:rPr>
                <w:b/>
                <w:spacing w:val="0"/>
                <w:sz w:val="9"/>
              </w:rPr>
              <w:t>(7)</w:t>
            </w:r>
          </w:p>
          <w:p>
            <w:pPr>
              <w:pStyle w:val="TableContents"/>
              <w:bidi w:val="0"/>
              <w:spacing w:before="0" w:after="0"/>
              <w:jc w:val="center"/>
              <w:rPr>
                <w:b/>
                <w:spacing w:val="0"/>
              </w:rPr>
            </w:pPr>
            <w:r>
              <w:rPr>
                <w:b/>
                <w:spacing w:val="0"/>
              </w:rPr>
              <w:br/>
              <w:t>(h)</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Adjusted</w:t>
              <w:br/>
              <w:t>EBITDA</w:t>
              <w:br/>
              <w:t>(thousands)</w:t>
            </w:r>
          </w:p>
          <w:p>
            <w:pPr>
              <w:pStyle w:val="TableContents"/>
              <w:bidi w:val="0"/>
              <w:spacing w:before="0" w:after="0"/>
              <w:jc w:val="center"/>
              <w:rPr>
                <w:b/>
                <w:spacing w:val="0"/>
                <w:sz w:val="9"/>
              </w:rPr>
            </w:pPr>
            <w:r>
              <w:rPr>
                <w:b/>
                <w:spacing w:val="0"/>
                <w:sz w:val="9"/>
              </w:rPr>
              <w:t>(8)</w:t>
            </w:r>
          </w:p>
          <w:p>
            <w:pPr>
              <w:pStyle w:val="TableContents"/>
              <w:bidi w:val="0"/>
              <w:spacing w:before="0" w:after="0"/>
              <w:jc w:val="center"/>
              <w:rPr>
                <w:b/>
                <w:spacing w:val="0"/>
              </w:rPr>
            </w:pPr>
            <w:r>
              <w:rPr>
                <w:b/>
                <w:spacing w:val="0"/>
              </w:rPr>
              <w:br/>
              <w:t>(i)</w:t>
            </w:r>
          </w:p>
        </w:tc>
        <w:tc>
          <w:tcPr>
            <w:tcW w:w="75" w:type="dxa"/>
            <w:vMerge w:val="restart"/>
            <w:tcBorders/>
            <w:vAlign w:val="center"/>
          </w:tcPr>
          <w:p>
            <w:pPr>
              <w:pStyle w:val="TableContents"/>
              <w:bidi w:val="0"/>
              <w:spacing w:before="0" w:after="283"/>
              <w:jc w:val="left"/>
              <w:rPr/>
            </w:pPr>
            <w:r>
              <w:rPr/>
              <w:t> </w:t>
            </w:r>
          </w:p>
        </w:tc>
      </w:tr>
      <w:tr>
        <w:trPr/>
        <w:tc>
          <w:tcPr>
            <w:tcW w:w="455"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br/>
              <w:t>Initial</w:t>
              <w:br/>
              <w:t>Investment</w:t>
              <w:br/>
              <w:t>Total</w:t>
              <w:br/>
              <w:t>Shareholder</w:t>
              <w:br/>
              <w:t>Return</w:t>
            </w:r>
          </w:p>
          <w:p>
            <w:pPr>
              <w:pStyle w:val="TableContents"/>
              <w:bidi w:val="0"/>
              <w:spacing w:before="0" w:after="0"/>
              <w:jc w:val="center"/>
              <w:rPr>
                <w:b/>
                <w:spacing w:val="0"/>
                <w:sz w:val="9"/>
              </w:rPr>
            </w:pPr>
            <w:r>
              <w:rPr>
                <w:b/>
                <w:spacing w:val="0"/>
                <w:sz w:val="9"/>
              </w:rPr>
              <w:t>(5)</w:t>
            </w:r>
          </w:p>
          <w:p>
            <w:pPr>
              <w:pStyle w:val="TableContents"/>
              <w:bidi w:val="0"/>
              <w:spacing w:before="0" w:after="0"/>
              <w:jc w:val="center"/>
              <w:rPr>
                <w:b/>
                <w:spacing w:val="0"/>
              </w:rPr>
            </w:pPr>
            <w:r>
              <w:rPr>
                <w:b/>
                <w:spacing w:val="0"/>
              </w:rPr>
              <w:br/>
              <w:t>(f)</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Total</w:t>
              <w:br/>
              <w:t>Shareholder</w:t>
              <w:br/>
              <w:t>Return</w:t>
            </w:r>
          </w:p>
          <w:p>
            <w:pPr>
              <w:pStyle w:val="TableContents"/>
              <w:bidi w:val="0"/>
              <w:spacing w:before="0" w:after="0"/>
              <w:jc w:val="center"/>
              <w:rPr>
                <w:b/>
                <w:spacing w:val="0"/>
                <w:sz w:val="9"/>
              </w:rPr>
            </w:pPr>
            <w:r>
              <w:rPr>
                <w:b/>
                <w:spacing w:val="0"/>
                <w:sz w:val="9"/>
              </w:rPr>
              <w:t>(6)</w:t>
            </w:r>
          </w:p>
          <w:p>
            <w:pPr>
              <w:pStyle w:val="TableContents"/>
              <w:bidi w:val="0"/>
              <w:spacing w:before="0" w:after="0"/>
              <w:jc w:val="center"/>
              <w:rPr>
                <w:b/>
                <w:spacing w:val="0"/>
              </w:rPr>
            </w:pPr>
            <w:r>
              <w:rPr>
                <w:b/>
                <w:spacing w:val="0"/>
              </w:rPr>
              <w:br/>
              <w:t>(g)</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3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13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3,602,349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4,978,243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1,008,541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791,319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39.55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61.36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52,809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207,649</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3,481,966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3,805,705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1,301,646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right"/>
              <w:rPr/>
            </w:pPr>
            <w:r>
              <w:rPr/>
              <w:t>1,419,416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40.08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58.56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52,903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207,050</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p>
            <w:pPr>
              <w:pStyle w:val="TableContents"/>
              <w:bidi w:val="0"/>
              <w:spacing w:before="0" w:after="0"/>
              <w:jc w:val="left"/>
              <w:rPr>
                <w:rFonts w:ascii="Times New Roman" w:hAnsi="Times New Roman"/>
                <w:sz w:val="12"/>
              </w:rPr>
            </w:pPr>
            <w:r>
              <w:rPr>
                <w:rFonts w:ascii="Times New Roman" w:hAnsi="Times New Roman"/>
                <w:sz w:val="12"/>
              </w:rPr>
              <w:t>(9)</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3,249,806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10,128,470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919,235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2,637,379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43.24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59.15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72,181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224,835</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793,820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(7,215,267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793,020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right"/>
              <w:rPr/>
            </w:pPr>
            <w:r>
              <w:rPr/>
              <w:t>(1,349,647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43.60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46.12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17,676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125,570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(b) are the amounts of total compensation reported for Mr. Bricker (our Chief Executive Officer) for each corresponding year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Mr. Bricker,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Bricker during the applicable year. In accordance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 xml:space="preserve">with the requirements of Item 402(v) of Regulation </w:t>
            </w:r>
          </w:p>
          <w:p>
            <w:pPr>
              <w:pStyle w:val="TableContents"/>
              <w:bidi w:val="0"/>
              <w:spacing w:before="0" w:after="0"/>
              <w:jc w:val="left"/>
              <w:rPr>
                <w:spacing w:val="0"/>
              </w:rPr>
            </w:pPr>
            <w:r>
              <w:rPr>
                <w:spacing w:val="0"/>
              </w:rPr>
              <w:t>S-K,</w:t>
            </w:r>
          </w:p>
          <w:p>
            <w:pPr>
              <w:pStyle w:val="TableContents"/>
              <w:bidi w:val="0"/>
              <w:spacing w:before="0" w:after="0"/>
              <w:jc w:val="left"/>
              <w:rPr/>
            </w:pPr>
            <w:r>
              <w:rPr/>
              <w:t xml:space="preserve">the following adjustments were made to Mr. Bricker’s total compensation for each year to determine the compensation actually paid: </w:t>
            </w:r>
          </w:p>
        </w:tc>
      </w:tr>
    </w:tbl>
    <w:p>
      <w:pPr>
        <w:pStyle w:val="TextBody"/>
        <w:bidi w:val="0"/>
        <w:spacing w:before="0" w:after="0"/>
        <w:jc w:val="left"/>
        <w:rPr/>
      </w:pPr>
      <w:r>
        <w:rPr/>
        <w:t> </w:t>
      </w:r>
    </w:p>
    <w:tbl>
      <w:tblPr>
        <w:tblW w:w="7139" w:type="dxa"/>
        <w:jc w:val="left"/>
        <w:tblInd w:w="0" w:type="dxa"/>
        <w:tblLayout w:type="fixed"/>
        <w:tblCellMar>
          <w:top w:w="0" w:type="dxa"/>
          <w:left w:w="0" w:type="dxa"/>
          <w:bottom w:w="0" w:type="dxa"/>
          <w:right w:w="0" w:type="dxa"/>
        </w:tblCellMar>
      </w:tblPr>
      <w:tblGrid>
        <w:gridCol w:w="455"/>
        <w:gridCol w:w="120"/>
        <w:gridCol w:w="186"/>
        <w:gridCol w:w="1304"/>
        <w:gridCol w:w="60"/>
        <w:gridCol w:w="120"/>
        <w:gridCol w:w="140"/>
        <w:gridCol w:w="1055"/>
        <w:gridCol w:w="155"/>
        <w:gridCol w:w="120"/>
        <w:gridCol w:w="174"/>
        <w:gridCol w:w="1315"/>
        <w:gridCol w:w="155"/>
        <w:gridCol w:w="120"/>
        <w:gridCol w:w="168"/>
        <w:gridCol w:w="1322"/>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Reported</w:t>
              <w:br/>
              <w:t>Summary</w:t>
              <w:br/>
              <w:t>Compensation</w:t>
              <w:br/>
              <w:t>Table Total</w:t>
              <w:br/>
              <w:t>for 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Reported</w:t>
              <w:br/>
              <w:t>Value of</w:t>
              <w:br/>
              <w:t>Equity</w:t>
              <w:br/>
              <w:t>Awards</w:t>
            </w:r>
          </w:p>
          <w:p>
            <w:pPr>
              <w:pStyle w:val="TableContents"/>
              <w:bidi w:val="0"/>
              <w:spacing w:before="0" w:after="0"/>
              <w:jc w:val="center"/>
              <w:rPr>
                <w:b/>
                <w:spacing w:val="0"/>
                <w:sz w:val="9"/>
              </w:rPr>
            </w:pPr>
            <w:r>
              <w:rPr>
                <w:b/>
                <w:spacing w:val="0"/>
                <w:sz w:val="9"/>
              </w:rPr>
              <w:t>(a)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Award</w:t>
              <w:br/>
              <w:t>Adjustments</w:t>
            </w:r>
          </w:p>
          <w:p>
            <w:pPr>
              <w:pStyle w:val="TableContents"/>
              <w:bidi w:val="0"/>
              <w:spacing w:before="0" w:after="0"/>
              <w:jc w:val="center"/>
              <w:rPr>
                <w:b/>
                <w:spacing w:val="0"/>
                <w:sz w:val="9"/>
              </w:rPr>
            </w:pPr>
            <w:r>
              <w:rPr>
                <w:b/>
                <w:spacing w:val="0"/>
                <w:sz w:val="9"/>
              </w:rPr>
              <w:t>(b)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3,602,349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3,375,894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4,978,243</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3,481,966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right"/>
              <w:rPr/>
            </w:pPr>
            <w:r>
              <w:rPr/>
              <w:t>2,323,739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3,805,705</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3,249,806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8,378,664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10,128,470</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793,820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(492,195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right"/>
              <w:rPr/>
            </w:pPr>
            <w:r>
              <w:rPr/>
              <w:t>(7,516,892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(7,215,267</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“Stock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(b)</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equity award adjustments for each applicable year include the addition (or subtraction, as applicable) of the following: (i)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All performance-based stock options were fully-vested as of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amounts deducted or added in calculating the equity award adjustments are as follows: </w:t>
      </w:r>
    </w:p>
    <w:p>
      <w:pPr>
        <w:pStyle w:val="TextBody"/>
        <w:bidi w:val="0"/>
        <w:spacing w:before="0" w:after="0"/>
        <w:jc w:val="left"/>
        <w:rPr/>
      </w:pPr>
      <w:r>
        <w:rPr/>
        <w:t> </w:t>
      </w:r>
    </w:p>
    <w:tbl>
      <w:tblPr>
        <w:tblW w:w="10285" w:type="dxa"/>
        <w:jc w:val="left"/>
        <w:tblInd w:w="0" w:type="dxa"/>
        <w:tblLayout w:type="fixed"/>
        <w:tblCellMar>
          <w:top w:w="0" w:type="dxa"/>
          <w:left w:w="0" w:type="dxa"/>
          <w:bottom w:w="0" w:type="dxa"/>
          <w:right w:w="0" w:type="dxa"/>
        </w:tblCellMar>
      </w:tblPr>
      <w:tblGrid>
        <w:gridCol w:w="455"/>
        <w:gridCol w:w="120"/>
        <w:gridCol w:w="140"/>
        <w:gridCol w:w="980"/>
        <w:gridCol w:w="60"/>
        <w:gridCol w:w="120"/>
        <w:gridCol w:w="149"/>
        <w:gridCol w:w="1131"/>
        <w:gridCol w:w="155"/>
        <w:gridCol w:w="60"/>
        <w:gridCol w:w="140"/>
        <w:gridCol w:w="800"/>
        <w:gridCol w:w="60"/>
        <w:gridCol w:w="120"/>
        <w:gridCol w:w="140"/>
        <w:gridCol w:w="980"/>
        <w:gridCol w:w="155"/>
        <w:gridCol w:w="60"/>
        <w:gridCol w:w="565"/>
        <w:gridCol w:w="565"/>
        <w:gridCol w:w="60"/>
        <w:gridCol w:w="120"/>
        <w:gridCol w:w="745"/>
        <w:gridCol w:w="745"/>
        <w:gridCol w:w="60"/>
        <w:gridCol w:w="120"/>
        <w:gridCol w:w="153"/>
        <w:gridCol w:w="1157"/>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Year End</w:t>
              <w:br/>
              <w:t>Fair Value</w:t>
              <w:br/>
              <w:t>of Equity</w:t>
              <w:b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over</w:t>
              <w:br/>
              <w:t>Year Average</w:t>
              <w:br/>
              <w:t>Change in</w:t>
              <w:br/>
              <w:t>Fair Value of</w:t>
              <w:br/>
              <w:t>Outstanding</w:t>
              <w:br/>
              <w:t>and Unvested</w:t>
              <w:br/>
              <w:t>Equity</w:t>
              <w:br/>
              <w:t>Awards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 Value</w:t>
              <w:br/>
              <w:t>as of</w:t>
              <w:br/>
              <w:t>Vesting</w:t>
              <w:br/>
              <w:t>Date of</w:t>
              <w:br/>
              <w:t>Equity</w:t>
              <w:br/>
              <w:t>Awards</w:t>
              <w:br/>
              <w:t>Granted</w:t>
              <w:br/>
              <w:t>and</w:t>
              <w:br/>
              <w:t>Vested in</w:t>
              <w:br/>
              <w:t>the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of Equity</w:t>
              <w:br/>
              <w:t>Awards</w:t>
              <w:br/>
              <w:t>Granted in</w:t>
              <w:br/>
              <w:t>Prior Years</w:t>
              <w:br/>
              <w:t>that Vested</w:t>
              <w:br/>
              <w:t>in the Year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 Value</w:t>
              <w:br/>
              <w:t>at the End</w:t>
              <w:br/>
              <w:t>of the</w:t>
              <w:br/>
              <w:t>Prior Year</w:t>
              <w:br/>
              <w:t>of Equity</w:t>
              <w:br/>
              <w:t>Awards</w:t>
              <w:br/>
              <w:t>that Failed</w:t>
              <w:br/>
              <w:t>to Meet</w:t>
              <w:br/>
              <w:t>Vesting</w:t>
              <w:br/>
              <w:t>Conditions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Value of</w:t>
              <w:br/>
              <w:t>Dividends or</w:t>
              <w:br/>
              <w:t>other</w:t>
              <w:br/>
              <w:t>Earnings Paid</w:t>
              <w:br/>
              <w:t>on Stock or</w:t>
              <w:br/>
              <w:t>Option</w:t>
              <w:br/>
              <w:t>Awards not</w:t>
              <w:br/>
              <w:t>Otherwise</w:t>
              <w:br/>
              <w:t>Reflected in</w:t>
              <w:br/>
              <w:t>Fair Value or</w:t>
              <w:br/>
              <w:t>Total</w:t>
              <w:b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Equity</w:t>
              <w:br/>
              <w:t>Award</w:t>
              <w:br/>
              <w:t>Adjustments</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3,407,379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(22,728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(8,757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3,375,894</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2,416,066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(31,837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(60,490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2,323,739</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870,970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566,682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6,941,012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8,378,664</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352,663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(7,401,352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(495,722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(7,516,892</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the Company’s NEOs as a group (excluding Mr. Bricker, who serves as our PEO) in the “Total” column of the Summary Compensation Table in each applicable year. The names of each of these NEOs included for purposes of calculating the average amounts in each applicable year are as follows: (i) for 2022, Dave Davis and Rose Neale; (ii) for 2023, Dave Davis, Grant Whitney, Gregory Mays, Rose Neale and Eric Levenhagen, (iii) for 2024, Dave Davis, Grant Whitney, Gregory Mays, and Rose Neale and (iv) for 2025, Dave Davis, Gregory Mays, D. Torque Zubeck, Stephen Coley, Rose Neale, Bill Trousdale, Colton M. Snow and Grant Whitney. The amount reported in the Summary Compensation Table for Mr. Davis in the 2023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 xml:space="preserve">inadvertently omitted an additional bonus payment of $50,026 that was paid during 2023 pursuant to the terms of Mr. Davis’ prior employment agreement, which amount has been included for 2023 for purposes of the calculations included in this Pay Versus Performance disclosure. The Summary Compensation Table Total for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NEOs as shown for 2024 is higher as compared to 2023 as a result of the fact that there was one less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 during 2024 than during 2023, that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NEO’s Summary Compensation Table amount for 2023 was on the lower spectrum of all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 compensation reported for 2023, and as a result of the averaging of compensation for the remaining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NEOs, the amount for 2024 was calculated as being higher. The Summary Compensation Table Total for </w:t>
            </w:r>
          </w:p>
          <w:p>
            <w:pPr>
              <w:pStyle w:val="TableContents"/>
              <w:bidi w:val="0"/>
              <w:spacing w:before="0" w:after="0"/>
              <w:jc w:val="left"/>
              <w:rPr>
                <w:spacing w:val="0"/>
              </w:rPr>
            </w:pPr>
            <w:r>
              <w:rPr>
                <w:spacing w:val="0"/>
              </w:rPr>
              <w:t>Non-PEO</w:t>
            </w:r>
          </w:p>
          <w:p>
            <w:pPr>
              <w:pStyle w:val="TableContents"/>
              <w:bidi w:val="0"/>
              <w:spacing w:before="0" w:after="0"/>
              <w:jc w:val="left"/>
              <w:rPr/>
            </w:pPr>
            <w:r>
              <w:rPr/>
              <w:t xml:space="preserve">NEOs as shown for 2025 is slightly lower as compared to 2024 due to executive leadership changes during various points of the year.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NEOs as a group (excluding Mr. Bricker),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these NEOs as a group during the applicable year. The average amount of “compensation actually paid”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(excluding Mr. Bricker) is lower for 2025 as compared to 2024 resulting from changes within our executive leadership team during the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these NEOs as a group for each year to determine the compensation actually paid, using the same methodology described above in Note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148"/>
        <w:gridCol w:w="846"/>
        <w:gridCol w:w="60"/>
        <w:gridCol w:w="120"/>
        <w:gridCol w:w="154"/>
        <w:gridCol w:w="1176"/>
        <w:gridCol w:w="155"/>
        <w:gridCol w:w="60"/>
        <w:gridCol w:w="153"/>
        <w:gridCol w:w="749"/>
        <w:gridCol w:w="60"/>
        <w:gridCol w:w="120"/>
        <w:gridCol w:w="143"/>
        <w:gridCol w:w="1007"/>
        <w:gridCol w:w="155"/>
        <w:gridCol w:w="60"/>
        <w:gridCol w:w="395"/>
        <w:gridCol w:w="735"/>
        <w:gridCol w:w="60"/>
        <w:gridCol w:w="120"/>
        <w:gridCol w:w="521"/>
        <w:gridCol w:w="969"/>
        <w:gridCol w:w="60"/>
        <w:gridCol w:w="120"/>
        <w:gridCol w:w="153"/>
        <w:gridCol w:w="1157"/>
        <w:gridCol w:w="174"/>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Year End</w:t>
              <w:br/>
              <w:t>Fair Value</w:t>
              <w:br/>
              <w:t>of Equity</w:t>
              <w:b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over</w:t>
              <w:br/>
              <w:t>Year Average</w:t>
              <w:br/>
              <w:t>Change in</w:t>
              <w:br/>
              <w:t>Fair Value of</w:t>
              <w:br/>
              <w:t>Outstanding</w:t>
              <w:br/>
              <w:t>and Unvested</w:t>
              <w:br/>
              <w:t>Equity</w:t>
              <w:br/>
              <w:t>Awards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as</w:t>
              <w:br/>
              <w:t>of</w:t>
              <w:br/>
              <w:t>Vesting</w:t>
              <w:br/>
              <w:t>Date of</w:t>
              <w:br/>
              <w:t>Equity</w:t>
              <w:br/>
              <w:t>Awards</w:t>
              <w:br/>
              <w:t>Granted</w:t>
              <w:br/>
              <w:t>and</w:t>
              <w:br/>
              <w:t>Vested in</w:t>
              <w:br/>
              <w:t>the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of Equity</w:t>
              <w:br/>
              <w:t>Awards</w:t>
              <w:br/>
              <w:t>Granted in</w:t>
              <w:br/>
              <w:t>Prior Years</w:t>
              <w:br/>
              <w:t>that Vested</w:t>
              <w:br/>
              <w:t>in the Year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 Value</w:t>
              <w:br/>
              <w:t>at the End</w:t>
              <w:br/>
              <w:t>of the</w:t>
              <w:br/>
              <w:t>Prior Year</w:t>
              <w:br/>
              <w:t>of Equity</w:t>
              <w:br/>
              <w:t>Awards</w:t>
              <w:br/>
              <w:t>that Failed</w:t>
              <w:br/>
              <w:t>to Meet</w:t>
              <w:br/>
              <w:t>Vesting</w:t>
              <w:br/>
              <w:t>Conditions</w:t>
              <w:br/>
              <w:t>in the</w:t>
              <w:b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Value of</w:t>
              <w:br/>
              <w:t>Dividends or</w:t>
              <w:br/>
              <w:t>other</w:t>
              <w:br/>
              <w:t>Earnings Paid</w:t>
              <w:br/>
              <w:t>on Stock or</w:t>
              <w:br/>
              <w:t>Option</w:t>
              <w:br/>
              <w:t>Awards not</w:t>
              <w:br/>
              <w:t>Otherwise</w:t>
              <w:br/>
              <w:t>Reflected in</w:t>
              <w:br/>
              <w:t>Fair Value or</w:t>
              <w:br/>
              <w:t>Total</w:t>
              <w:b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Average</w:t>
              <w:br/>
              <w:t>Equity</w:t>
              <w:br/>
              <w:t>Award</w:t>
              <w:br/>
              <w:t>Adjustments</w:t>
            </w:r>
          </w:p>
        </w:tc>
        <w:tc>
          <w:tcPr>
            <w:tcW w:w="174"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343,387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(808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340,772</w:t>
            </w:r>
          </w:p>
        </w:tc>
        <w:tc>
          <w:tcPr>
            <w:tcW w:w="174"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745,661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283"/>
              <w:jc w:val="right"/>
              <w:rPr/>
            </w:pPr>
            <w:r>
              <w:rPr/>
              <w:t>(11,591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7" w:type="dxa"/>
            <w:tcBorders/>
            <w:vAlign w:val="center"/>
          </w:tcPr>
          <w:p>
            <w:pPr>
              <w:pStyle w:val="TableContents"/>
              <w:bidi w:val="0"/>
              <w:spacing w:before="0" w:after="283"/>
              <w:jc w:val="right"/>
              <w:rPr/>
            </w:pPr>
            <w:r>
              <w:rPr/>
              <w:t>(21,300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9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712,770</w:t>
            </w:r>
          </w:p>
        </w:tc>
        <w:tc>
          <w:tcPr>
            <w:tcW w:w="174"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221,412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(831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76,247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1,676,316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1,973,144</w:t>
            </w:r>
          </w:p>
        </w:tc>
        <w:tc>
          <w:tcPr>
            <w:tcW w:w="174"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283"/>
              <w:jc w:val="right"/>
              <w:rPr/>
            </w:pPr>
            <w:r>
              <w:rPr/>
              <w:t>264,220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283"/>
              <w:jc w:val="right"/>
              <w:rPr/>
            </w:pPr>
            <w:r>
              <w:rPr/>
              <w:t>(1,950,545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749" w:type="dxa"/>
            <w:tcBorders/>
            <w:vAlign w:val="center"/>
          </w:tcPr>
          <w:p>
            <w:pPr>
              <w:pStyle w:val="TableContents"/>
              <w:bidi w:val="0"/>
              <w:spacing w:before="0" w:after="283"/>
              <w:jc w:val="right"/>
              <w:rPr/>
            </w:pPr>
            <w:r>
              <w:rPr/>
              <w:t>20,619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7" w:type="dxa"/>
            <w:tcBorders/>
            <w:vAlign w:val="center"/>
          </w:tcPr>
          <w:p>
            <w:pPr>
              <w:pStyle w:val="TableContents"/>
              <w:bidi w:val="0"/>
              <w:spacing w:before="0" w:after="283"/>
              <w:jc w:val="right"/>
              <w:rPr/>
            </w:pPr>
            <w:r>
              <w:rPr/>
              <w:t>(108,208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9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(1,773,914</w:t>
            </w:r>
          </w:p>
        </w:tc>
        <w:tc>
          <w:tcPr>
            <w:tcW w:w="17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NYSE ARCA Airline Index.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(7)</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adjusted for interest expense, depreciation and amortization, interest income, provision for income taxes, stock-based compensation expense, impact of Special Items, net, adjustments to the Tax Receivable Agreement (“TRA”) for the period (as presented in Note 13 of Part II, Item 8 of the 2025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and other cash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charges resulting from matters we consider not to be indicative of our ongoing operations.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(9)</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for 2023 reflects the fact that a number of the NEOs’ performance-based stock options vested during 2023 and were fully vested by December 31, 2023. These options vested based on achievement of certain multiples of invested capital of our former major private equity holder and do not reflect amounts actually paid to the NEOs during such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greater detail in “Executive Compensation—Compensation Discussion and Analysis,” the Company’s executive compensation program reflects a variable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in no particular order: </w:t>
      </w:r>
    </w:p>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Fuel-neutral Adjusted EBT Margin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EBT Margin Ranking </w:t>
            </w:r>
          </w:p>
        </w:tc>
      </w:tr>
    </w:tbl>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110"/>
        <w:gridCol w:w="60"/>
        <w:gridCol w:w="1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CASM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110"/>
        <w:gridCol w:w="60"/>
        <w:gridCol w:w="1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Relative Adjusted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Pre-Tax</w:t>
            </w:r>
          </w:p>
          <w:p>
            <w:pPr>
              <w:pStyle w:val="TableContents"/>
              <w:bidi w:val="0"/>
              <w:spacing w:before="0" w:after="0"/>
              <w:jc w:val="left"/>
              <w:rPr>
                <w:rFonts w:ascii="Times New Roman" w:hAnsi="Times New Roman"/>
                <w:sz w:val="20"/>
              </w:rPr>
            </w:pPr>
            <w:r>
              <w:rPr>
                <w:rFonts w:ascii="Times New Roman" w:hAnsi="Times New Roman"/>
                <w:sz w:val="20"/>
              </w:rPr>
              <w:t xml:space="preserve">Margin Ranking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Earnings Per Share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Compensation Actually Paid and Total Shareholder Return </w:t>
      </w:r>
    </w:p>
    <w:p>
      <w:pPr>
        <w:pStyle w:val="TextBody"/>
        <w:bidi w:val="0"/>
        <w:spacing w:before="120" w:after="0"/>
        <w:jc w:val="left"/>
        <w:rPr>
          <w:rFonts w:ascii="Times New Roman" w:hAnsi="Times New Roman"/>
          <w:sz w:val="20"/>
        </w:rPr>
      </w:pPr>
      <w:r>
        <w:rPr>
          <w:rFonts w:ascii="Times New Roman" w:hAnsi="Times New Roman"/>
          <w:sz w:val="20"/>
        </w:rPr>
        <w:t xml:space="preserve">Compensation actually paid to our CEO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on average as a group (as calculated pursuant to Item 402(v) of Reg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was highest during 2023, which correlates with our total shareholder return for 2023, which was higher in 2023 than in 2022, 2024 or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Compensation actually paid to our CEO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on average as a group (as calculated pursuant to Item 402(v) of Reg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for 2022, 2023, 2024 and 2025 directly correlates to net income levels for those years. Specifically, compensation actually paid was lowest during 2022 (as compared to 2023, 2024 and 2025), and net income was lowest during 2022 (as compared to 2023, 2024 and 2025). Similarly, compensation actually paid was highest in 2023 (as compared to 2022, 2024 and 2025), and net income was highest during 2023 (as compared to 2022, 2024 and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Compensation Actually Paid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Compensation actually paid to our CEO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on average as a group (as calculated pursuant to Item 402(v) of Reg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for 2022, 2023, 2024 and 2025 directly correlates to Adjusted EBITDA for those years. Specifically, compensation actually paid was highest during 2023 (as compared to 2022, 2024 and 2025), and Adjusted EBITDA was highest during 2023 (as compared to 2022, 2024 and 2025). Similarly, compensation actually paid was lowest in 2022 (as compared to 2023, 2024 and 2025) and Adjusted EBITDA was lowest during 2022 (as compared to 2023, 2024 and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Company TSR and Peer Group TSR </w:t>
      </w:r>
    </w:p>
    <w:p>
      <w:pPr>
        <w:pStyle w:val="TextBody"/>
        <w:bidi w:val="0"/>
        <w:spacing w:before="120" w:after="0"/>
        <w:jc w:val="left"/>
        <w:rPr>
          <w:rFonts w:ascii="Times New Roman" w:hAnsi="Times New Roman"/>
          <w:sz w:val="20"/>
        </w:rPr>
      </w:pPr>
      <w:r>
        <w:rPr>
          <w:rFonts w:ascii="Times New Roman" w:hAnsi="Times New Roman"/>
          <w:sz w:val="20"/>
        </w:rPr>
        <w:t xml:space="preserve">During 2022, Company total shareholder return was slightly lower than peer group total shareholder return. Peer group total shareholder return in 2023 increased from 2022, whereas Company total shareholder return for 2023 remained relatively consistent with 2022 levels. Peer group total shareholder return in 2024 decreased slightly from 2023, and Company total shareholder return for 2024 also decreased slightly from 2023 levels. Peer group total shareholder return in 2025 increased slightly from 2024, whereas Company total shareholder return in 2025 decreased slightly from 2024 levels. </w:t>
      </w:r>
    </w:p>
    <w:p>
      <w:pPr>
        <w:pStyle w:val="TextBody"/>
        <w:bidi w:val="0"/>
        <w:spacing w:before="360" w:after="0"/>
        <w:jc w:val="left"/>
        <w:rPr>
          <w:rFonts w:ascii="Times New Roman" w:hAnsi="Times New Roman"/>
          <w:b/>
          <w:sz w:val="20"/>
        </w:rPr>
      </w:pPr>
      <w:r>
        <w:rPr>
          <w:rFonts w:ascii="Times New Roman" w:hAnsi="Times New Roman"/>
          <w:b/>
          <w:sz w:val="20"/>
        </w:rPr>
        <w:t xml:space="preserve">Pay Ratio Disclosure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953(b) of the Dodd-Frank Wall Street Reform and Consumer Protection Act, we are hereby disclosing the ratio of the median of the annual total compensation of all employees to the annual total compensation of our CEO.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determined the pay ratio under the requirements of Item 402(u) of Regulation </w:t>
      </w:r>
    </w:p>
    <w:p>
      <w:pPr>
        <w:pStyle w:val="TextBody"/>
        <w:bidi w:val="0"/>
        <w:spacing w:before="0" w:after="0"/>
        <w:jc w:val="left"/>
        <w:rPr>
          <w:rFonts w:ascii="Times New Roman" w:hAnsi="Times New Roman"/>
          <w:spacing w:val="0"/>
          <w:sz w:val="20"/>
        </w:rPr>
      </w:pPr>
      <w:r>
        <w:rPr>
          <w:rFonts w:ascii="Times New Roman" w:hAnsi="Times New Roman"/>
          <w:spacing w:val="0"/>
          <w:sz w:val="20"/>
        </w:rPr>
        <w:t>S-K.</w:t>
      </w:r>
    </w:p>
    <w:p>
      <w:pPr>
        <w:pStyle w:val="TextBody"/>
        <w:bidi w:val="0"/>
        <w:spacing w:before="0" w:after="0"/>
        <w:jc w:val="left"/>
        <w:rPr>
          <w:rFonts w:ascii="Times New Roman" w:hAnsi="Times New Roman"/>
          <w:sz w:val="20"/>
        </w:rPr>
      </w:pPr>
      <w:r>
        <w:rPr>
          <w:rFonts w:ascii="Times New Roman" w:hAnsi="Times New Roman"/>
          <w:sz w:val="20"/>
        </w:rPr>
        <w:t xml:space="preserve">Mr. Bricker was our principal executive officer during all of 2025, and his annual total compensation is disclosed, in detail, in the “Summary Compensation Table”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median employee by examining the 2025 total compensation for all individuals, excluding Mr. Bricker, who were employed by us on December 31, 2025, the last day of our payroll year. As of December 31, 2025, we had 3,281 employees. For the identified median employee, we did not make any assumptions, adjustments, or estimates to calculate the pay ratio, and only employees who were employed by us as of December 31, 2025 were included. We used Box 1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W-2</w:t>
      </w:r>
    </w:p>
    <w:p>
      <w:pPr>
        <w:pStyle w:val="TextBody"/>
        <w:bidi w:val="0"/>
        <w:spacing w:before="240" w:after="0"/>
        <w:jc w:val="left"/>
        <w:rPr>
          <w:rFonts w:ascii="Times New Roman" w:hAnsi="Times New Roman"/>
          <w:sz w:val="20"/>
        </w:rPr>
      </w:pPr>
      <w:r>
        <w:rPr>
          <w:rFonts w:ascii="Times New Roman" w:hAnsi="Times New Roman"/>
          <w:sz w:val="20"/>
        </w:rPr>
        <w:t xml:space="preserve">as a consistently applied compensation measure. After identifying the median employee based on this analysis, we calculated annual total compensation for such employee using the same methodology we use for our NEOs as outlined in the “Summary Compensation Table” in this Amendment. The SEC rules allow for varying methodologies for companies to identify their median employee. Other companies may have different employment and compensation practices and may utilize different methodologies, estimates and assumptions in calculating their own pay ratios. Therefore, the pay ratios reported by other companies are unlikely to be relevant for purposes of comparison to our pay ratio. </w:t>
      </w:r>
    </w:p>
    <w:p>
      <w:pPr>
        <w:pStyle w:val="TextBody"/>
        <w:bidi w:val="0"/>
        <w:spacing w:before="240" w:after="0"/>
        <w:jc w:val="left"/>
        <w:rPr>
          <w:rFonts w:ascii="Times New Roman" w:hAnsi="Times New Roman"/>
          <w:sz w:val="20"/>
        </w:rPr>
      </w:pPr>
      <w:r>
        <w:rPr>
          <w:rFonts w:ascii="Times New Roman" w:hAnsi="Times New Roman"/>
          <w:sz w:val="20"/>
        </w:rPr>
        <w:t xml:space="preserve">The median of the annual total compensation of all employees in 2025, excluding our CEO, was $40,632. The annual total compensation of Mr. Bricker in 2025 was $3,602,349. Accordingly, for 2025, the ratio of annual total compensation of our principal executive officer to the annual total compensation of our median employee was 89:1.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2025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2025, none of the members of our Board of Directors received any compensation from the Company for their services on the Board, except as set forth below. The Board of Directors periodically reviews director compensation to ensure that it is appropriate and in line with our Peer Group. During fiscal 2025,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received the following compensation: annual cash retainer fee equal to $75,000 ($125,000 for the Board Chair) and additional fees as follows: $25,000 for the Audit Committee Chair, $20,000 for the Compensation and Human Resources Committee Chair, $15,000 for the Nominating and Corporate Governance Committee Chair and $15,000 for the Safety Committee Chair. All cash retainers are paid quarterly.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also receive an annual equity retainer consisting of RSUs having a grant date value of $120,000 ($170,000 for the Board Chair). The annual equity retainers are generally granted in connection with the Company’s annual stockholders’ meeting each year; in addition, newly-appointed directors receive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120" w:after="0"/>
        <w:jc w:val="left"/>
        <w:rPr>
          <w:rFonts w:ascii="Times New Roman" w:hAnsi="Times New Roman"/>
          <w:sz w:val="20"/>
        </w:rPr>
      </w:pPr>
      <w:r>
        <w:rPr>
          <w:rFonts w:ascii="Times New Roman" w:hAnsi="Times New Roman"/>
          <w:sz w:val="20"/>
        </w:rPr>
        <w:t xml:space="preserve">annual equity grant at the time they join the Board. </w:t>
      </w:r>
    </w:p>
    <w:p>
      <w:pPr>
        <w:pStyle w:val="TextBody"/>
        <w:bidi w:val="0"/>
        <w:spacing w:before="0" w:after="0"/>
        <w:jc w:val="left"/>
        <w:rPr/>
      </w:pPr>
      <w:r>
        <w:rPr/>
        <w:t> </w:t>
      </w:r>
    </w:p>
    <w:tbl>
      <w:tblPr>
        <w:tblW w:w="6799" w:type="dxa"/>
        <w:jc w:val="left"/>
        <w:tblInd w:w="0" w:type="dxa"/>
        <w:tblLayout w:type="fixed"/>
        <w:tblCellMar>
          <w:top w:w="0" w:type="dxa"/>
          <w:left w:w="0" w:type="dxa"/>
          <w:bottom w:w="0" w:type="dxa"/>
          <w:right w:w="0" w:type="dxa"/>
        </w:tblCellMar>
      </w:tblPr>
      <w:tblGrid>
        <w:gridCol w:w="1685"/>
        <w:gridCol w:w="120"/>
        <w:gridCol w:w="150"/>
        <w:gridCol w:w="859"/>
        <w:gridCol w:w="60"/>
        <w:gridCol w:w="120"/>
        <w:gridCol w:w="140"/>
        <w:gridCol w:w="800"/>
        <w:gridCol w:w="60"/>
        <w:gridCol w:w="120"/>
        <w:gridCol w:w="298"/>
        <w:gridCol w:w="1192"/>
        <w:gridCol w:w="60"/>
        <w:gridCol w:w="120"/>
        <w:gridCol w:w="140"/>
        <w:gridCol w:w="800"/>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Fees</w:t>
              <w:br/>
              <w:t>earned or</w:t>
              <w:br/>
              <w:t>Paid in</w:t>
              <w:br/>
              <w:t>Cash ($)</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w:t>
              <w:br/>
              <w:t>Awards</w:t>
              <w:br/>
              <w:t>($)</w:t>
            </w:r>
          </w:p>
          <w:p>
            <w:pPr>
              <w:pStyle w:val="TableContents"/>
              <w:bidi w:val="0"/>
              <w:spacing w:before="0" w:after="0"/>
              <w:jc w:val="center"/>
              <w:rPr>
                <w:b/>
                <w:spacing w:val="0"/>
                <w:sz w:val="9"/>
              </w:rPr>
            </w:pPr>
            <w:r>
              <w:rPr>
                <w:b/>
                <w:spacing w:val="0"/>
                <w:sz w:val="9"/>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All Other</w:t>
              <w:br/>
              <w:t>Compensation</w:t>
              <w:br/>
              <w:t>($)</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p>
            <w:pPr>
              <w:pStyle w:val="TableContents"/>
              <w:bidi w:val="0"/>
              <w:spacing w:before="0" w:after="0"/>
              <w:jc w:val="left"/>
              <w:rPr>
                <w:rFonts w:ascii="Times New Roman" w:hAnsi="Times New Roman"/>
                <w:sz w:val="12"/>
              </w:rPr>
            </w:pPr>
            <w:r>
              <w:rPr>
                <w:rFonts w:ascii="Times New Roman" w:hAnsi="Times New Roman"/>
                <w:sz w:val="12"/>
              </w:rPr>
              <w:t>(4)</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88,750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208,750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220,000</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95,000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215,000</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196,875</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3,675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213,675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Wendy Schoppert</w:t>
            </w:r>
          </w:p>
          <w:p>
            <w:pPr>
              <w:pStyle w:val="TableContents"/>
              <w:bidi w:val="0"/>
              <w:spacing w:before="0" w:after="0"/>
              <w:jc w:val="left"/>
              <w:rPr>
                <w:rFonts w:ascii="Times New Roman" w:hAnsi="Times New Roman"/>
                <w:sz w:val="12"/>
              </w:rPr>
            </w:pPr>
            <w:r>
              <w:rPr>
                <w:rFonts w:ascii="Times New Roman" w:hAnsi="Times New Roman"/>
                <w:sz w:val="12"/>
              </w:rPr>
              <w:t>(5)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18,750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82,850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102,725</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reflects fees earned or paid in cash in respect of services provided in fiscal year 2025.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reflect the aggregate grant date fair value of each award granted in 2025, calculated in accordance with FASB ASC Topic 718. During 2025, certain of our directors were granted restricted stock units that vest on the first anniversary of the grant date, subject to continued service on our Board of Directors.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“All Other Compensation” represent the ATP benefit utilized by the director. For fiscal year 2025, directors received a travel bank of $10,000 under the ATP. The value of this benefit is reported as taxable income with taxes on such income paid for by the Company.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Davis resigned from his position as President and Chief Financial Officer and as a member of the Board of Directors, effective as of April 16, 2025. </w:t>
            </w:r>
          </w:p>
        </w:tc>
      </w:tr>
    </w:tbl>
    <w:tbl>
      <w:tblPr>
        <w:tblW w:w="5980" w:type="dxa"/>
        <w:jc w:val="left"/>
        <w:tblInd w:w="0" w:type="dxa"/>
        <w:tblLayout w:type="fixed"/>
        <w:tblCellMar>
          <w:top w:w="0" w:type="dxa"/>
          <w:left w:w="0" w:type="dxa"/>
          <w:bottom w:w="0" w:type="dxa"/>
          <w:right w:w="0" w:type="dxa"/>
        </w:tblCellMar>
      </w:tblPr>
      <w:tblGrid>
        <w:gridCol w:w="305"/>
        <w:gridCol w:w="5675"/>
      </w:tblGrid>
      <w:tr>
        <w:trPr/>
        <w:tc>
          <w:tcPr>
            <w:tcW w:w="305" w:type="dxa"/>
            <w:tcBorders/>
            <w:vAlign w:val="center"/>
          </w:tcPr>
          <w:p>
            <w:pPr>
              <w:pStyle w:val="TableContents"/>
              <w:bidi w:val="0"/>
              <w:spacing w:before="0" w:after="283"/>
              <w:jc w:val="left"/>
              <w:rPr/>
            </w:pPr>
            <w:r>
              <w:rPr/>
              <w:t>(5)</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Schoppert was appointed as a director, effective October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each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held unvested, outstanding stock awards as follows: Marion Blakey (10,390); Thomas C. Kennedy (10,390); Patrick O’Keeffe (10,390); Kerry Philipovitch (10,390); Gail Peterson (10,390); Wendy Schoppert (7,040); and Jennifer Vogel (14,719).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12: SECURITY OWNERSHIP OF CERTAIN BENEFICIAL OWNERS AND MANAGEMENT AND RELATED STOCKHOLDER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beneficial ownership of our common stock as of the Record Date (or such other date indicated in the footnotes below), by: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we know to beneficially own more than 5% of our common stock;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NEOs for fiscal year 2025;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 Each stockholder’s percentage ownership in the table below is based on 54,196,458 shares of Sun Country common stock issued and outstanding as of April 1, 2026 (the “Record Date”).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5870"/>
        <w:gridCol w:w="120"/>
        <w:gridCol w:w="114"/>
        <w:gridCol w:w="1871"/>
        <w:gridCol w:w="200"/>
        <w:gridCol w:w="120"/>
        <w:gridCol w:w="96"/>
        <w:gridCol w:w="704"/>
        <w:gridCol w:w="335"/>
      </w:tblGrid>
      <w:tr>
        <w:trPr/>
        <w:tc>
          <w:tcPr>
            <w:tcW w:w="5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 of Common</w:t>
              <w:br/>
              <w:t>Stock</w:t>
            </w:r>
          </w:p>
          <w:p>
            <w:pPr>
              <w:pStyle w:val="TableContents"/>
              <w:bidi w:val="0"/>
              <w:spacing w:before="0" w:after="0"/>
              <w:jc w:val="center"/>
              <w:rPr/>
            </w:pPr>
            <w:r>
              <w:rPr/>
            </w:r>
          </w:p>
          <w:p>
            <w:pPr>
              <w:pStyle w:val="TableContents"/>
              <w:bidi w:val="0"/>
              <w:spacing w:before="0" w:after="0"/>
              <w:jc w:val="center"/>
              <w:rPr>
                <w:b/>
                <w:spacing w:val="0"/>
              </w:rPr>
            </w:pPr>
            <w:r>
              <w:rPr>
                <w:b/>
                <w:spacing w:val="0"/>
              </w:rPr>
              <w:t>Beneficially Owned</w:t>
            </w:r>
          </w:p>
          <w:p>
            <w:pPr>
              <w:pStyle w:val="TableContents"/>
              <w:bidi w:val="0"/>
              <w:spacing w:before="0" w:after="0"/>
              <w:jc w:val="center"/>
              <w:rPr/>
            </w:pPr>
            <w:r>
              <w:rPr/>
            </w:r>
          </w:p>
          <w:p>
            <w:pPr>
              <w:pStyle w:val="TableContents"/>
              <w:bidi w:val="0"/>
              <w:spacing w:before="0" w:after="0"/>
              <w:jc w:val="center"/>
              <w:rPr>
                <w:b/>
                <w:spacing w:val="0"/>
              </w:rPr>
            </w:pPr>
            <w:r>
              <w:rPr>
                <w:b/>
                <w:spacing w:val="0"/>
              </w:rPr>
              <w:t>Number</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w:t>
            </w:r>
          </w:p>
        </w:tc>
        <w:tc>
          <w:tcPr>
            <w:tcW w:w="33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871"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Inc.(1)</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7,414,746</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13.7</w:t>
            </w:r>
          </w:p>
        </w:tc>
        <w:tc>
          <w:tcPr>
            <w:tcW w:w="33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Frontier Capital Management Co., LLC(2)</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3,533,617</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6.5</w:t>
            </w:r>
          </w:p>
        </w:tc>
        <w:tc>
          <w:tcPr>
            <w:tcW w:w="335"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Global Jets ETF(3)</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2,850,525</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5.3</w:t>
            </w:r>
          </w:p>
        </w:tc>
        <w:tc>
          <w:tcPr>
            <w:tcW w:w="33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871"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28,767</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1,474,616</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2.7</w:t>
            </w:r>
          </w:p>
        </w:tc>
        <w:tc>
          <w:tcPr>
            <w:tcW w:w="335"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Coley(4)</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7,496</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Dave Davis(5)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359,380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27,472</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Erin Rose Neale</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26,893</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28,703</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Mays(6)</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428,600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23,888</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31,380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Wendy Schoppert</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Colton M. Snow</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19,929</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Bill Trousdale(7)</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9,750</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44,869</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198,149</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 Torque Zubeck</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directors and executive officers as a group (12 persons)(8)</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rPr>
            </w:pPr>
            <w:r>
              <w:rPr>
                <w:spacing w:val="0"/>
              </w:rPr>
              <w:t> </w:t>
            </w:r>
          </w:p>
        </w:tc>
        <w:tc>
          <w:tcPr>
            <w:tcW w:w="1871" w:type="dxa"/>
            <w:tcBorders/>
            <w:vAlign w:val="center"/>
          </w:tcPr>
          <w:p>
            <w:pPr>
              <w:pStyle w:val="TableContents"/>
              <w:bidi w:val="0"/>
              <w:spacing w:before="0" w:after="0"/>
              <w:jc w:val="right"/>
              <w:rPr>
                <w:b/>
                <w:spacing w:val="0"/>
              </w:rPr>
            </w:pPr>
            <w:r>
              <w:rPr>
                <w:b/>
                <w:spacing w:val="0"/>
              </w:rPr>
              <w:t>1,715,345</w:t>
            </w:r>
          </w:p>
        </w:tc>
        <w:tc>
          <w:tcPr>
            <w:tcW w:w="2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rPr>
            </w:pPr>
            <w:r>
              <w:rPr>
                <w:spacing w:val="0"/>
              </w:rPr>
              <w:t> </w:t>
            </w:r>
          </w:p>
        </w:tc>
        <w:tc>
          <w:tcPr>
            <w:tcW w:w="704" w:type="dxa"/>
            <w:tcBorders/>
            <w:vAlign w:val="center"/>
          </w:tcPr>
          <w:p>
            <w:pPr>
              <w:pStyle w:val="TableContents"/>
              <w:bidi w:val="0"/>
              <w:spacing w:before="0" w:after="0"/>
              <w:jc w:val="right"/>
              <w:rPr>
                <w:b/>
                <w:spacing w:val="0"/>
              </w:rPr>
            </w:pPr>
            <w:r>
              <w:rPr>
                <w:b/>
                <w:spacing w:val="0"/>
              </w:rPr>
              <w:t>3.2</w:t>
            </w:r>
          </w:p>
        </w:tc>
        <w:tc>
          <w:tcPr>
            <w:tcW w:w="335" w:type="dxa"/>
            <w:tcBorders/>
            <w:vAlign w:val="center"/>
          </w:tcPr>
          <w:p>
            <w:pPr>
              <w:pStyle w:val="TableContents"/>
              <w:bidi w:val="0"/>
              <w:spacing w:before="0" w:after="0"/>
              <w:jc w:val="left"/>
              <w:rPr>
                <w:b/>
                <w:spacing w:val="0"/>
              </w:rPr>
            </w:pPr>
            <w:r>
              <w:rPr>
                <w:b/>
                <w:spacing w:val="0"/>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BlackRock, Inc. is included herein based on an Amendment No. 4 to a Schedule 13G filed with the SEC on October 17, 2025, relating to such shares beneficially owned as of September 30, 2025. BlackRock, Inc. has sole voting power with respect to 7,339,112 shares of the Company’s common stock and sole dispositive power with respect to 7,414,746 shares of the Company’s common stock. The address for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Frontier Capital Management Co., LLC is included herein based on a Schedule 13G filed with the SEC on August 14, 2025, relating to such shares beneficially owned as of June 30, 2025. Frontier Capital Management Co., LLC has shared voting power with respect to 1,632,086 shares of the Company’s common stock and shared dispositive power with respect to 3,533,617.00 shares of the Company’s common stock. The address for Frontier Capital Management Co., LLC is 99 Summer Street, Boston, MA 02110.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U.S. Global Jets ETF is included herein based on Schedule 13G filed with the SEC on February 8, 2024, relating to such shares beneficially owned as of December 31, 2023. U.S. Global Jets ETF has sole voting power and sole dispositive power with respect to all of its shares of the Company’s common stock. The address for U.S. Global Jets ETF is 615 East Michigan Street, Milwaukee, Wisconsin 53202.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3,900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as of April 18, 2025, the date of separation of employment from Sun Country.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(6)</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as of June 16, 2025, the date of separation of employment from Sun Country.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(7)</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as of December 24, 2025, the date of separation of employment from Sun Country.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(8)</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group includes (i) all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as of the Record Date and (ii) all executive officers as of the Record Date. For Mr. Coley, the number of shares of common stock beneficially owned includes 3,900 shares of common stock issuable upon the vesting of restricted stock units within 60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13: CERTAIN RELATIONSHIPS AND RELATED TRANSACTIONS AND DIRECTOR INDEPENDENCE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Other than compensation arrangements for our executive officers and directors (see “Executive Compensation” for a discussion of compensation arrangements for our NEOs and directors) and the transactions discussed below, there were no transactions since the beginning of our 2025 fiscal year, or any currently proposed transaction, to which we were a party or will be a party, in which: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125"/>
        <w:gridCol w:w="60"/>
        <w:gridCol w:w="50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any member of the immediate family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General Counsel and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policy requires that notice of a proposed related person transaction be provided to the Chief Legal Officer prior to entry into such transaction. If the Chief Legal Officer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If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 </w:t>
      </w:r>
    </w:p>
    <w:p>
      <w:pPr>
        <w:pStyle w:val="TextBody"/>
        <w:bidi w:val="0"/>
        <w:spacing w:before="360" w:after="0"/>
        <w:jc w:val="left"/>
        <w:rPr>
          <w:rFonts w:ascii="Times New Roman" w:hAnsi="Times New Roman"/>
          <w:b/>
          <w:sz w:val="20"/>
        </w:rPr>
      </w:pPr>
      <w:r>
        <w:rPr>
          <w:rFonts w:ascii="Times New Roman" w:hAnsi="Times New Roman"/>
          <w:b/>
          <w:sz w:val="20"/>
        </w:rPr>
        <w:t xml:space="preserve">Anuvu </w:t>
      </w:r>
    </w:p>
    <w:p>
      <w:pPr>
        <w:pStyle w:val="TextBody"/>
        <w:bidi w:val="0"/>
        <w:spacing w:before="120" w:after="0"/>
        <w:jc w:val="left"/>
        <w:rPr>
          <w:rFonts w:ascii="Times New Roman" w:hAnsi="Times New Roman"/>
          <w:sz w:val="20"/>
        </w:rPr>
      </w:pPr>
      <w:r>
        <w:rPr>
          <w:rFonts w:ascii="Times New Roman" w:hAnsi="Times New Roman"/>
          <w:sz w:val="20"/>
        </w:rPr>
        <w:t xml:space="preserve">We use Anuvu Corporation (“Anuvu”), a provider of media, content, connectivity, and data analytics, as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in-flight</w:t>
      </w:r>
    </w:p>
    <w:p>
      <w:pPr>
        <w:pStyle w:val="TextBody"/>
        <w:bidi w:val="0"/>
        <w:spacing w:before="120" w:after="0"/>
        <w:jc w:val="left"/>
        <w:rPr>
          <w:rFonts w:ascii="Times New Roman" w:hAnsi="Times New Roman"/>
          <w:spacing w:val="0"/>
          <w:sz w:val="20"/>
        </w:rPr>
      </w:pPr>
      <w:r>
        <w:rPr>
          <w:rFonts w:ascii="Times New Roman" w:hAnsi="Times New Roman"/>
          <w:spacing w:val="0"/>
          <w:sz w:val="20"/>
        </w:rPr>
        <w:t>Wi-Fi</w:t>
      </w:r>
    </w:p>
    <w:p>
      <w:pPr>
        <w:pStyle w:val="TextBody"/>
        <w:bidi w:val="0"/>
        <w:spacing w:before="120" w:after="0"/>
        <w:jc w:val="left"/>
        <w:rPr>
          <w:rFonts w:ascii="Times New Roman" w:hAnsi="Times New Roman"/>
          <w:sz w:val="20"/>
        </w:rPr>
      </w:pPr>
      <w:r>
        <w:rPr>
          <w:rFonts w:ascii="Times New Roman" w:hAnsi="Times New Roman"/>
          <w:sz w:val="20"/>
        </w:rPr>
        <w:t xml:space="preserve">provider for a select few of our aircraft. Anuvu is partially owned by investment funds managed by affiliates of Apollo. We expensed approximately $277,450 for services with Anuvu in 2025, which services were provided on an arms’ 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16, 2018, SCA Acquisition Holdings, LLC entered into the Amended and Restated Stockholders’ Agreement (as amended or modified from time to time, the “Stockholders Agreement”) with the Apollo Stockholder and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co-investors</w:t>
      </w:r>
    </w:p>
    <w:p>
      <w:pPr>
        <w:pStyle w:val="TextBody"/>
        <w:bidi w:val="0"/>
        <w:spacing w:before="120" w:after="0"/>
        <w:jc w:val="left"/>
        <w:rPr>
          <w:rFonts w:ascii="Times New Roman" w:hAnsi="Times New Roman"/>
          <w:sz w:val="20"/>
        </w:rPr>
      </w:pPr>
      <w:r>
        <w:rPr>
          <w:rFonts w:ascii="Times New Roman" w:hAnsi="Times New Roman"/>
          <w:sz w:val="20"/>
        </w:rPr>
        <w:t xml:space="preserve">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specifies that Amazon will have the right to nominate a member or an observer to our Board of Directors for so long as Amazon holds the 2019 Warrants or any shares of common stock issued upon exercise of the 2019 Warrants and the ATSA remains in effect. The Stockholders Agreement also provided the Apollo Stockholder with certain drag-along rights and the other holders party thereto with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tag-along</w:t>
      </w:r>
    </w:p>
    <w:p>
      <w:pPr>
        <w:pStyle w:val="TextBody"/>
        <w:bidi w:val="0"/>
        <w:spacing w:before="120" w:after="0"/>
        <w:jc w:val="left"/>
        <w:rPr>
          <w:rFonts w:ascii="Times New Roman" w:hAnsi="Times New Roman"/>
          <w:sz w:val="20"/>
        </w:rPr>
      </w:pPr>
      <w:r>
        <w:rPr>
          <w:rFonts w:ascii="Times New Roman" w:hAnsi="Times New Roman"/>
          <w:sz w:val="20"/>
        </w:rPr>
        <w:t xml:space="preserve">rights in the event of a disposition of the shares of common stock held by them. Apollo also held certain information rights, and certain consent rights pursuant to the Stockholders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31, 2020, in connection with the Reorganization Transactions, the Stockholders Agreement was amended and restated to reflect the Apollo Stockholder’s acquisition of SCA common stock and our conversion to a corporation. We further amended and restated the Stockholders Agreement in connection with our initial public offering to eliminate certain transfer restrictions and the repurchase, drag-along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tag-along</w:t>
      </w:r>
    </w:p>
    <w:p>
      <w:pPr>
        <w:pStyle w:val="TextBody"/>
        <w:bidi w:val="0"/>
        <w:spacing w:before="0" w:after="0"/>
        <w:jc w:val="left"/>
        <w:rPr>
          <w:rFonts w:ascii="Times New Roman" w:hAnsi="Times New Roman"/>
          <w:sz w:val="20"/>
        </w:rPr>
      </w:pPr>
      <w:r>
        <w:rPr>
          <w:rFonts w:ascii="Times New Roman" w:hAnsi="Times New Roman"/>
          <w:sz w:val="20"/>
        </w:rPr>
        <w:t xml:space="preserve">rights and to provide that the Apollo Stockholder had the right subject to holding a specific voting percentage to nominate a number of directors of the board. In February 2025, following a secondary public offering of all common stock held by the Apollo Stockholder in the Company, the rights of the Apollo Stockholder under the Stockholders Agreement were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2021, we entered into a registration rights agreement (the “Registration Rights Agreement”) with the Apollo Stockholder, Amazon, PAR Investment Partners, L.P.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z w:val="20"/>
        </w:rPr>
      </w:pPr>
      <w:r>
        <w:rPr>
          <w:rFonts w:ascii="Times New Roman" w:hAnsi="Times New Roman"/>
          <w:sz w:val="20"/>
        </w:rPr>
        <w:t xml:space="preserve">agreements, so long as the securities being registered in each registration statement or sold in any underwritten offering are reasonably expected to produce aggregate proceeds of at least $50.0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Apollo Stockholder and, under certain circumstances, Amazon, have the right to require us to register the sale of the common stock held by them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subject to offering size and other restrictions. The Apollo Stockholder also has the right to request marketed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non-marketed</w:t>
      </w:r>
    </w:p>
    <w:p>
      <w:pPr>
        <w:pStyle w:val="TextBody"/>
        <w:bidi w:val="0"/>
        <w:spacing w:before="240" w:after="0"/>
        <w:jc w:val="left"/>
        <w:rPr>
          <w:rFonts w:ascii="Times New Roman" w:hAnsi="Times New Roman"/>
          <w:sz w:val="20"/>
        </w:rPr>
      </w:pPr>
      <w:r>
        <w:rPr>
          <w:rFonts w:ascii="Times New Roman" w:hAnsi="Times New Roman"/>
          <w:sz w:val="20"/>
        </w:rPr>
        <w:t xml:space="preserve">underwritten offerings using a shelf registration statement, and all Holders have the right to participate in these underwritten offerings. </w:t>
      </w:r>
    </w:p>
    <w:p>
      <w:pPr>
        <w:pStyle w:val="TextBody"/>
        <w:bidi w:val="0"/>
        <w:spacing w:before="240" w:after="0"/>
        <w:jc w:val="left"/>
        <w:rPr>
          <w:rFonts w:ascii="Times New Roman" w:hAnsi="Times New Roman"/>
          <w:sz w:val="20"/>
        </w:rPr>
      </w:pPr>
      <w:r>
        <w:rPr>
          <w:rFonts w:ascii="Times New Roman" w:hAnsi="Times New Roman"/>
          <w:sz w:val="20"/>
        </w:rPr>
        <w:t xml:space="preserve">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 </w:t>
      </w:r>
    </w:p>
    <w:p>
      <w:pPr>
        <w:pStyle w:val="TextBody"/>
        <w:bidi w:val="0"/>
        <w:spacing w:before="240" w:after="0"/>
        <w:jc w:val="left"/>
        <w:rPr>
          <w:rFonts w:ascii="Times New Roman" w:hAnsi="Times New Roman"/>
          <w:sz w:val="20"/>
        </w:rPr>
      </w:pPr>
      <w:r>
        <w:rPr>
          <w:rFonts w:ascii="Times New Roman" w:hAnsi="Times New Roman"/>
          <w:sz w:val="20"/>
        </w:rPr>
        <w:t xml:space="preserve">All expenses of registration under the Registration Rights Agreement, including the legal fees of counsel chosen by stockholders participating in a registration, will be paid by us.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2025, following a secondary public offering of all common stock held by the Apollo Stockholder in the Company, the rights of the Apollo Stockholder under the Registration Rights Agreement were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Income 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2021, we entered into an income tax receivable agreement pursuant to which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120" w:after="0"/>
        <w:jc w:val="left"/>
        <w:rPr>
          <w:rFonts w:ascii="Times New Roman" w:hAnsi="Times New Roman"/>
          <w:sz w:val="20"/>
        </w:rPr>
      </w:pPr>
      <w:r>
        <w:rPr>
          <w:rFonts w:ascii="Times New Roman" w:hAnsi="Times New Roman"/>
          <w:sz w:val="20"/>
        </w:rPr>
        <w:t xml:space="preserve">stockholders, which includes certain members of the Company’s management and certain members of the Company’s Board of Directors,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w:t>
      </w:r>
    </w:p>
    <w:p>
      <w:pPr>
        <w:pStyle w:val="TextBody"/>
        <w:bidi w:val="0"/>
        <w:spacing w:before="120" w:after="0"/>
        <w:jc w:val="left"/>
        <w:rPr>
          <w:spacing w:val="0"/>
        </w:rPr>
      </w:pPr>
      <w:r>
        <w:rPr>
          <w:spacing w:val="0"/>
        </w:rPr>
        <w:t>“</w:t>
      </w:r>
      <w:r>
        <w:rPr>
          <w:rFonts w:ascii="Times New Roman" w:hAnsi="Times New Roman"/>
          <w:spacing w:val="0"/>
          <w:sz w:val="20"/>
        </w:rPr>
        <w:t>Pre-IPO</w:t>
      </w:r>
    </w:p>
    <w:p>
      <w:pPr>
        <w:pStyle w:val="TextBody"/>
        <w:bidi w:val="0"/>
        <w:spacing w:before="120" w:after="0"/>
        <w:jc w:val="left"/>
        <w:rPr>
          <w:rFonts w:ascii="Times New Roman" w:hAnsi="Times New Roman"/>
          <w:sz w:val="20"/>
        </w:rPr>
      </w:pPr>
      <w:r>
        <w:rPr>
          <w:rFonts w:ascii="Times New Roman" w:hAnsi="Times New Roman"/>
          <w:sz w:val="20"/>
        </w:rPr>
        <w:t xml:space="preserve">Tax Attributes,” include net operating loss carryforwards, deductions, tax basis and certain other tax attributes, in each case that relate to periods (or portions thereof) ending on or prior to the closing date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be able to utilize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Tax Attributes. We expect that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Tax Attributes will reduce the amount of tax that we and our subsidiaries would otherwise be required to pay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 </w:t>
      </w:r>
    </w:p>
    <w:p>
      <w:pPr>
        <w:pStyle w:val="TextBody"/>
        <w:bidi w:val="0"/>
        <w:spacing w:before="240" w:after="0"/>
        <w:jc w:val="left"/>
        <w:rPr>
          <w:rFonts w:ascii="Times New Roman" w:hAnsi="Times New Roman"/>
          <w:sz w:val="20"/>
        </w:rPr>
      </w:pPr>
      <w:r>
        <w:rPr>
          <w:rFonts w:ascii="Times New Roman" w:hAnsi="Times New Roman"/>
          <w:sz w:val="20"/>
        </w:rPr>
        <w:t xml:space="preserve">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 </w:t>
      </w:r>
    </w:p>
    <w:p>
      <w:pPr>
        <w:pStyle w:val="TextBody"/>
        <w:bidi w:val="0"/>
        <w:spacing w:before="240" w:after="0"/>
        <w:jc w:val="left"/>
        <w:rPr>
          <w:rFonts w:ascii="Times New Roman" w:hAnsi="Times New Roman"/>
          <w:sz w:val="20"/>
        </w:rPr>
      </w:pPr>
      <w:r>
        <w:rPr>
          <w:rFonts w:ascii="Times New Roman" w:hAnsi="Times New Roman"/>
          <w:sz w:val="20"/>
        </w:rPr>
        <w:t xml:space="preserve">Any future changes in the realizability of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Tax Attributes in each case, attributable to periods prior to our initial public offering, will impact the amount of the liability that will be paid to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stockholders, which includes certain members of the Company’s management and certain members of the Company’s Board of Directors.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$87,169 as of December 31, 2025. We plan to use cash flow from operations and availability under the Revolving Credit Facility to fund our obligations under the income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undergo certain mergers, stock and asset sales, other forms of business combinations or other transactions constituting a “change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240" w:after="0"/>
        <w:jc w:val="left"/>
        <w:rPr>
          <w:rFonts w:ascii="Times New Roman" w:hAnsi="Times New Roman"/>
          <w:sz w:val="20"/>
        </w:rPr>
      </w:pPr>
      <w:r>
        <w:rPr>
          <w:rFonts w:ascii="Times New Roman" w:hAnsi="Times New Roman"/>
          <w:sz w:val="20"/>
        </w:rPr>
        <w:t xml:space="preserve">Tax Attributes as well as the timing of any payments under the income tax receivable agreement will vary depending upon a number of factors, including the amount, character and timing of our and our subsidiaries’ taxable income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unable to make payments under the income tax receivable agreement, such payments will be deferred and will accrue interest until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our current income projections, we anticipate that payments under the income tax receivable agreement will be made when, and in amounts equal to 85% of, the cash tax saving we actually realize as a result of utilization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0" w:after="0"/>
        <w:jc w:val="left"/>
        <w:rPr>
          <w:rFonts w:ascii="Times New Roman" w:hAnsi="Times New Roman"/>
          <w:sz w:val="20"/>
        </w:rPr>
      </w:pPr>
      <w:r>
        <w:rPr>
          <w:rFonts w:ascii="Times New Roman" w:hAnsi="Times New Roman"/>
          <w:sz w:val="20"/>
        </w:rPr>
        <w:t xml:space="preserve">Tax Attributes. However, due to the manner in which payments under the income tax receivable agreement are calculated, such payments may be greater than, and made in advance of, our actual cash tax savings attributable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Pre-IPO</w:t>
      </w:r>
    </w:p>
    <w:p>
      <w:pPr>
        <w:pStyle w:val="TextBody"/>
        <w:bidi w:val="0"/>
        <w:spacing w:before="0" w:after="0"/>
        <w:jc w:val="left"/>
        <w:rPr>
          <w:rFonts w:ascii="Times New Roman" w:hAnsi="Times New Roman"/>
          <w:sz w:val="20"/>
        </w:rPr>
      </w:pPr>
      <w:r>
        <w:rPr>
          <w:rFonts w:ascii="Times New Roman" w:hAnsi="Times New Roman"/>
          <w:sz w:val="20"/>
        </w:rPr>
        <w:t xml:space="preserve">Tax Attributes.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14: PRINCIPAL ACCOUNTANT FEES AND SERVICES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Fees paid or accrued for professional services provided by our independent auditors in each of the categories listed are as follows for the periods presented. All such fees are in accordance with our approval policies described below. </w:t>
      </w:r>
    </w:p>
    <w:p>
      <w:pPr>
        <w:pStyle w:val="TextBody"/>
        <w:bidi w:val="0"/>
        <w:spacing w:before="0" w:after="0"/>
        <w:jc w:val="left"/>
        <w:rPr/>
      </w:pPr>
      <w:r>
        <w:rPr/>
        <w:t> </w:t>
      </w:r>
    </w:p>
    <w:tbl>
      <w:tblPr>
        <w:tblW w:w="4507" w:type="dxa"/>
        <w:jc w:val="left"/>
        <w:tblInd w:w="0" w:type="dxa"/>
        <w:tblLayout w:type="fixed"/>
        <w:tblCellMar>
          <w:top w:w="0" w:type="dxa"/>
          <w:left w:w="0" w:type="dxa"/>
          <w:bottom w:w="0" w:type="dxa"/>
          <w:right w:w="0" w:type="dxa"/>
        </w:tblCellMar>
      </w:tblPr>
      <w:tblGrid>
        <w:gridCol w:w="1595"/>
        <w:gridCol w:w="120"/>
        <w:gridCol w:w="157"/>
        <w:gridCol w:w="1101"/>
        <w:gridCol w:w="67"/>
        <w:gridCol w:w="134"/>
        <w:gridCol w:w="157"/>
        <w:gridCol w:w="110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0"/>
              <w:jc w:val="center"/>
              <w:rPr>
                <w:b/>
                <w:spacing w:val="0"/>
              </w:rPr>
            </w:pPr>
            <w:r>
              <w:rPr>
                <w:b/>
                <w:spacing w:val="0"/>
              </w:rPr>
              <w:t>2025</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Fee Category</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01"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0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1,447,000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1,305,500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0</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261,100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0</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1" w:type="dxa"/>
            <w:tcBorders/>
            <w:vAlign w:val="center"/>
          </w:tcPr>
          <w:p>
            <w:pPr>
              <w:pStyle w:val="TableContents"/>
              <w:bidi w:val="0"/>
              <w:spacing w:before="0" w:after="0"/>
              <w:jc w:val="left"/>
              <w:rPr>
                <w:bdr w:val="single" w:sz="2" w:space="1" w:color="000000"/>
              </w:rPr>
            </w:pPr>
            <w:r>
              <w:rPr>
                <w:bdr w:val="single" w:sz="2"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1,447,000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1,566,600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1" w:type="dxa"/>
            <w:tcBorders/>
            <w:vAlign w:val="center"/>
          </w:tcPr>
          <w:p>
            <w:pPr>
              <w:pStyle w:val="TableContents"/>
              <w:bidi w:val="0"/>
              <w:spacing w:before="0" w:after="0"/>
              <w:jc w:val="left"/>
              <w:rPr>
                <w:bdr w:val="double" w:sz="6" w:space="1" w:color="000000"/>
              </w:rPr>
            </w:pPr>
            <w:r>
              <w:rPr>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Audit Fees</w:t>
      </w:r>
    </w:p>
    <w:p>
      <w:pPr>
        <w:pStyle w:val="TextBody"/>
        <w:bidi w:val="0"/>
        <w:spacing w:before="240" w:after="0"/>
        <w:jc w:val="left"/>
        <w:rPr/>
      </w:pPr>
      <w:r>
        <w:rPr/>
        <w:t> – </w:t>
      </w:r>
      <w:r>
        <w:rPr>
          <w:rFonts w:ascii="Times New Roman" w:hAnsi="Times New Roman"/>
          <w:sz w:val="20"/>
        </w:rPr>
        <w:t xml:space="preserve">primarily represent amounts for services related to the audit of our consolidated financial statements, reviews of our interim condensed consolidated financial statements, and the issuance of consents and for other periodic reports or documents filed with the SEC.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Audit-Related Fees</w:t>
      </w:r>
    </w:p>
    <w:p>
      <w:pPr>
        <w:pStyle w:val="TextBody"/>
        <w:bidi w:val="0"/>
        <w:spacing w:before="240" w:after="0"/>
        <w:jc w:val="left"/>
        <w:rPr/>
      </w:pPr>
      <w:r>
        <w:rPr/>
        <w:t> – </w:t>
      </w:r>
      <w:r>
        <w:rPr>
          <w:rFonts w:ascii="Times New Roman" w:hAnsi="Times New Roman"/>
          <w:sz w:val="20"/>
        </w:rPr>
        <w:t xml:space="preserve">represent amounts for assurance and related services that are reasonably related to the performance of the audit or review of our financial statements, including fees related to the Company’s filings with the SEC and related comfort letters for its initial public offering and secondary offerings, and PFC audit.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Tax Fees</w:t>
      </w:r>
    </w:p>
    <w:p>
      <w:pPr>
        <w:pStyle w:val="TextBody"/>
        <w:bidi w:val="0"/>
        <w:spacing w:before="240" w:after="0"/>
        <w:jc w:val="left"/>
        <w:rPr/>
      </w:pPr>
      <w:r>
        <w:rPr/>
        <w:t> – </w:t>
      </w:r>
      <w:r>
        <w:rPr>
          <w:rFonts w:ascii="Times New Roman" w:hAnsi="Times New Roman"/>
          <w:sz w:val="20"/>
        </w:rPr>
        <w:t xml:space="preserve">represent amounts for tax compliance, tax advice, and tax planning services.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All Other Fees</w:t>
      </w:r>
    </w:p>
    <w:p>
      <w:pPr>
        <w:pStyle w:val="TextBody"/>
        <w:bidi w:val="0"/>
        <w:spacing w:before="240" w:after="0"/>
        <w:jc w:val="left"/>
        <w:rPr/>
      </w:pPr>
      <w:r>
        <w:rPr/>
        <w:t> – </w:t>
      </w:r>
      <w:r>
        <w:rPr>
          <w:rFonts w:ascii="Times New Roman" w:hAnsi="Times New Roman"/>
          <w:sz w:val="20"/>
        </w:rPr>
        <w:t xml:space="preserve">consist of all other fees for services other than those in the above categories.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adopted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pre-approval</w:t>
      </w:r>
    </w:p>
    <w:p>
      <w:pPr>
        <w:pStyle w:val="TextBody"/>
        <w:bidi w:val="0"/>
        <w:spacing w:before="240" w:after="0"/>
        <w:jc w:val="left"/>
        <w:rPr>
          <w:rFonts w:ascii="Times New Roman" w:hAnsi="Times New Roman"/>
          <w:sz w:val="20"/>
        </w:rPr>
      </w:pPr>
      <w:r>
        <w:rPr>
          <w:rFonts w:ascii="Times New Roman" w:hAnsi="Times New Roman"/>
          <w:sz w:val="20"/>
        </w:rPr>
        <w:t xml:space="preserve">policy that provides guidelines for the audit, audit-related, tax, and other permissible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240" w:after="0"/>
        <w:jc w:val="left"/>
        <w:rPr>
          <w:rFonts w:ascii="Times New Roman" w:hAnsi="Times New Roman"/>
          <w:sz w:val="20"/>
        </w:rPr>
      </w:pPr>
      <w:r>
        <w:rPr>
          <w:rFonts w:ascii="Times New Roman" w:hAnsi="Times New Roman"/>
          <w:sz w:val="20"/>
        </w:rPr>
        <w:t xml:space="preserve">services that may be provided by the independent auditors. The policy identifies the guiding principles that must be considered by the Audit Committee in approving services to ensure that the auditors’ independence is not impaired. Under the policy, the Audit Committee annually, and from time to time,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pre-approves</w:t>
      </w:r>
    </w:p>
    <w:p>
      <w:pPr>
        <w:pStyle w:val="TextBody"/>
        <w:bidi w:val="0"/>
        <w:spacing w:before="240" w:after="0"/>
        <w:jc w:val="left"/>
        <w:rPr>
          <w:rFonts w:ascii="Times New Roman" w:hAnsi="Times New Roman"/>
          <w:sz w:val="20"/>
        </w:rPr>
      </w:pPr>
      <w:r>
        <w:rPr>
          <w:rFonts w:ascii="Times New Roman" w:hAnsi="Times New Roman"/>
          <w:sz w:val="20"/>
        </w:rPr>
        <w:t xml:space="preserve">the audit engagement fees and terms of all audit and permitted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240" w:after="0"/>
        <w:jc w:val="left"/>
        <w:rPr>
          <w:rFonts w:ascii="Times New Roman" w:hAnsi="Times New Roman"/>
          <w:sz w:val="20"/>
        </w:rPr>
      </w:pPr>
      <w:r>
        <w:rPr>
          <w:rFonts w:ascii="Times New Roman" w:hAnsi="Times New Roman"/>
          <w:sz w:val="20"/>
        </w:rPr>
        <w:t xml:space="preserve">services to be provided by the independent auditor. </w:t>
      </w:r>
    </w:p>
    <w:p>
      <w:pPr>
        <w:pStyle w:val="TextBody"/>
        <w:bidi w:val="0"/>
        <w:spacing w:before="360" w:after="0"/>
        <w:jc w:val="left"/>
        <w:rPr>
          <w:rFonts w:ascii="Times New Roman" w:hAnsi="Times New Roman"/>
          <w:b/>
          <w:sz w:val="20"/>
        </w:rPr>
      </w:pPr>
      <w:r>
        <w:rPr>
          <w:rFonts w:ascii="Times New Roman" w:hAnsi="Times New Roman"/>
          <w:b/>
          <w:sz w:val="20"/>
        </w:rPr>
        <w:t xml:space="preserve">REPORT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and discussed with the Company’s management and with KPMG the audited financial statements of the Company for the fiscal year ended December 31, 2025. The Audit Committee has discussed with KPMG the matters required to be discussed under the standards of the Public Company Accounting Oversight Board (“PCAOB”) and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also received the written disclosures and the letter from KPMG required by the applicable requirements of the PCAOB regarding the independent accountant’s communication with the Audit Committee concerning independence and the Audit Committee has discussed the independence of KPMG with that firm. </w:t>
      </w:r>
    </w:p>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of the matters noted above, the Audit Committee recommended to the Board of Directors that the Company’s audited financial statements be included in the Company’s Original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Thomas C. Kennedy, Chairperson </w:t>
      </w:r>
    </w:p>
    <w:p>
      <w:pPr>
        <w:pStyle w:val="TextBody"/>
        <w:bidi w:val="0"/>
        <w:spacing w:before="120" w:after="0"/>
        <w:jc w:val="left"/>
        <w:rPr>
          <w:rFonts w:ascii="Times New Roman" w:hAnsi="Times New Roman"/>
          <w:sz w:val="20"/>
        </w:rPr>
      </w:pPr>
      <w:r>
        <w:rPr>
          <w:rFonts w:ascii="Times New Roman" w:hAnsi="Times New Roman"/>
          <w:sz w:val="20"/>
        </w:rPr>
        <w:t xml:space="preserve">Kerry Philipovitch </w:t>
      </w:r>
    </w:p>
    <w:p>
      <w:pPr>
        <w:pStyle w:val="TextBody"/>
        <w:bidi w:val="0"/>
        <w:spacing w:before="120" w:after="0"/>
        <w:jc w:val="left"/>
        <w:rPr>
          <w:rFonts w:ascii="Times New Roman" w:hAnsi="Times New Roman"/>
          <w:sz w:val="20"/>
        </w:rPr>
      </w:pPr>
      <w:r>
        <w:rPr>
          <w:rFonts w:ascii="Times New Roman" w:hAnsi="Times New Roman"/>
          <w:sz w:val="20"/>
        </w:rPr>
        <w:t xml:space="preserve">Jennifer Vogel </w:t>
      </w:r>
    </w:p>
    <w:p>
      <w:pPr>
        <w:pStyle w:val="TextBody"/>
        <w:bidi w:val="0"/>
        <w:spacing w:before="120" w:after="0"/>
        <w:jc w:val="left"/>
        <w:rPr>
          <w:rFonts w:ascii="Times New Roman" w:hAnsi="Times New Roman"/>
          <w:sz w:val="20"/>
        </w:rPr>
      </w:pPr>
      <w:r>
        <w:rPr>
          <w:rFonts w:ascii="Times New Roman" w:hAnsi="Times New Roman"/>
          <w:sz w:val="20"/>
        </w:rPr>
        <w:t xml:space="preserve">Wendy Schoppert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3" w:name="tx117254_7"/>
      <w:bookmarkEnd w:id="3"/>
      <w:r>
        <w:rPr>
          <w:rFonts w:ascii="Times New Roman" w:hAnsi="Times New Roman"/>
          <w:b/>
          <w:sz w:val="20"/>
        </w:rPr>
        <w:t xml:space="preserve">PART IV </w:t>
      </w:r>
    </w:p>
    <w:p>
      <w:pPr>
        <w:pStyle w:val="TextBody"/>
        <w:bidi w:val="0"/>
        <w:spacing w:before="120" w:after="0"/>
        <w:jc w:val="left"/>
        <w:rPr>
          <w:rFonts w:ascii="Times New Roman" w:hAnsi="Times New Roman"/>
          <w:b/>
          <w:sz w:val="20"/>
        </w:rPr>
      </w:pPr>
      <w:bookmarkStart w:id="4" w:name="tx117254_8"/>
      <w:bookmarkEnd w:id="4"/>
      <w:r>
        <w:rPr>
          <w:rFonts w:ascii="Times New Roman" w:hAnsi="Times New Roman"/>
          <w:b/>
          <w:sz w:val="20"/>
        </w:rPr>
        <w:t xml:space="preserve">ITEM 15: EXHIBITS </w:t>
      </w:r>
    </w:p>
    <w:p>
      <w:pPr>
        <w:pStyle w:val="TextBody"/>
        <w:bidi w:val="0"/>
        <w:spacing w:before="120" w:after="0"/>
        <w:jc w:val="left"/>
        <w:rPr>
          <w:rFonts w:ascii="Times New Roman" w:hAnsi="Times New Roman"/>
          <w:sz w:val="20"/>
        </w:rPr>
      </w:pPr>
      <w:r>
        <w:rPr>
          <w:rFonts w:ascii="Times New Roman" w:hAnsi="Times New Roman"/>
          <w:sz w:val="20"/>
        </w:rPr>
        <w:t xml:space="preserve">(a)Exhibits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b/>
              </w:rPr>
            </w:pPr>
            <w:r>
              <w:rPr>
                <w:b/>
              </w:rPr>
              <w:t>Exhibit 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7254dex311.htm">
              <w:r>
                <w:rPr>
                  <w:rStyle w:val="InternetLink"/>
                </w:rPr>
                <w:t xml:space="preserve">Certification of Principal Executive Officer pursuant to Rules 13a-14(a) and 15d-14(a) under the Securities Exchange Act of 1934, as amended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17254dex312.htm">
              <w:r>
                <w:rPr>
                  <w:rStyle w:val="InternetLink"/>
                </w:rPr>
                <w:t xml:space="preserve">Certification of Principal Financial Officer pursuant to Rules 13a-14(a) and 15d-14(a) under the Securities Exchange Act of 1934, as amended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Files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Amendment No. 1 to Form 10-K to be signed on its behalf by the undersigned thereunto duly authorized. </w:t>
      </w:r>
    </w:p>
    <w:p>
      <w:pPr>
        <w:pStyle w:val="TextBody"/>
        <w:bidi w:val="0"/>
        <w:spacing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1430"/>
        <w:gridCol w:w="60"/>
        <w:gridCol w:w="23"/>
        <w:gridCol w:w="60"/>
        <w:gridCol w:w="23"/>
        <w:gridCol w:w="60"/>
        <w:gridCol w:w="474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Sun Country Airlines Holdings, Inc.</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(Registrant)</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Torque Zubeck</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Daniel Torque Zubeck</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(Principal Financial and Accounting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April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sz w:val="20"/>
        </w:rPr>
      </w:pPr>
      <w:bookmarkStart w:id="5" w:name="tx117254_9"/>
      <w:bookmarkEnd w:id="5"/>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Amendment No. 1 to Form 10-K has been signed by the following persons on behalf of the registrant in the capacities and on the dates indicated. </w:t>
      </w:r>
    </w:p>
    <w:p>
      <w:pPr>
        <w:pStyle w:val="TextBody"/>
        <w:bidi w:val="0"/>
        <w:spacing w:before="0" w:after="0"/>
        <w:jc w:val="left"/>
        <w:rPr/>
      </w:pPr>
      <w:r>
        <w:rPr/>
        <w:t> </w:t>
      </w:r>
    </w:p>
    <w:tbl>
      <w:tblPr>
        <w:tblW w:w="8205" w:type="dxa"/>
        <w:jc w:val="left"/>
        <w:tblInd w:w="0" w:type="dxa"/>
        <w:tblLayout w:type="fixed"/>
        <w:tblCellMar>
          <w:top w:w="0" w:type="dxa"/>
          <w:left w:w="0" w:type="dxa"/>
          <w:bottom w:w="0" w:type="dxa"/>
          <w:right w:w="0" w:type="dxa"/>
        </w:tblCellMar>
      </w:tblPr>
      <w:tblGrid>
        <w:gridCol w:w="2015"/>
        <w:gridCol w:w="120"/>
        <w:gridCol w:w="4520"/>
        <w:gridCol w:w="120"/>
        <w:gridCol w:w="143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center"/>
              <w:rPr>
                <w:b/>
              </w:rPr>
            </w:pPr>
            <w:r>
              <w:rPr>
                <w:b/>
              </w:rPr>
              <w:t>Signature</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b/>
              </w:rPr>
            </w:pPr>
            <w:r>
              <w:rPr>
                <w:b/>
              </w:rPr>
              <w:t>Title</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Date</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Jude Bricker</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President and Chief Executive Officer; 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Jude Bricker</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(Principal Executive Officer)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Jennifer Vogel</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Chair of the Board; 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Jennifer Vogel</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Patrick O’Keeffe</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Patrick O’Keeffe</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C. Kennedy</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Thomas C. Kennedy</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Marion Blakey</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Marion Blakey</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Kerry Philipovitch</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Kerry Philipovitch</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Gail Peterson</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Gail Peterson</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Wendy Schoppert</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30, 2026</w:t>
            </w:r>
          </w:p>
        </w:tc>
      </w:tr>
      <w:tr>
        <w:trPr/>
        <w:tc>
          <w:tcPr>
            <w:tcW w:w="2015" w:type="dxa"/>
            <w:tcBorders/>
            <w:vAlign w:val="center"/>
          </w:tcPr>
          <w:p>
            <w:pPr>
              <w:pStyle w:val="TableContents"/>
              <w:bidi w:val="0"/>
              <w:spacing w:before="0" w:after="283"/>
              <w:jc w:val="center"/>
              <w:rPr/>
            </w:pPr>
            <w:r>
              <w:rPr/>
              <w:t>Wendy Schoppert</w:t>
            </w:r>
          </w:p>
        </w:tc>
        <w:tc>
          <w:tcPr>
            <w:tcW w:w="12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right"/>
        <w:rPr>
          <w:rFonts w:ascii="Times New Roman" w:hAnsi="Times New Roman"/>
          <w:b/>
          <w:sz w:val="20"/>
        </w:rPr>
      </w:pPr>
      <w:bookmarkStart w:id="6" w:name="d117254dex311.htm"/>
      <w:bookmarkStart w:id="7" w:name="ksd117254dex311"/>
      <w:bookmarkEnd w:id="6"/>
      <w:bookmarkEnd w:id="7"/>
      <w:r>
        <w:rPr>
          <w:rFonts w:ascii="Times New Roman" w:hAnsi="Times New Roman"/>
          <w:b/>
          <w:sz w:val="20"/>
        </w:rPr>
        <w:t xml:space="preserve">Exhibit 31.1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RULE 13a-14(a) OR 15d-14(a) </w:t>
      </w:r>
    </w:p>
    <w:p>
      <w:pPr>
        <w:pStyle w:val="TextBody"/>
        <w:bidi w:val="0"/>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Jude Bricker,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10-K/A of Sun Country Airlines Holdings, Inc. (“Sun Country”)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121"/>
        <w:gridCol w:w="4906"/>
      </w:tblGrid>
      <w:tr>
        <w:trPr/>
        <w:tc>
          <w:tcPr>
            <w:tcW w:w="51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283"/>
              <w:jc w:val="left"/>
              <w:rPr/>
            </w:pPr>
            <w:r>
              <w:rPr/>
              <w:t>April 30, 2026</w:t>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Jude Bricker</w:t>
            </w:r>
          </w:p>
        </w:tc>
      </w:tr>
      <w:tr>
        <w:trPr/>
        <w:tc>
          <w:tcPr>
            <w:tcW w:w="51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Jude Bricker</w:t>
            </w:r>
          </w:p>
        </w:tc>
      </w:tr>
      <w:tr>
        <w:trPr/>
        <w:tc>
          <w:tcPr>
            <w:tcW w:w="51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8" w:name="d117254dex312.htm"/>
      <w:bookmarkStart w:id="9" w:name="ksd117254dex312"/>
      <w:bookmarkEnd w:id="8"/>
      <w:bookmarkEnd w:id="9"/>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RULE 13a-14(a) OR 15d-14(a) </w:t>
      </w:r>
    </w:p>
    <w:p>
      <w:pPr>
        <w:pStyle w:val="TextBody"/>
        <w:bidi w:val="0"/>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Daniel Torque Zubeck,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10-K/A of Sun Country Airlines Holdings, Inc. (“Sun Country”)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Daniel Torque Zubeck</w:t>
            </w:r>
          </w:p>
        </w:tc>
      </w:tr>
      <w:tr>
        <w:trPr/>
        <w:tc>
          <w:tcPr>
            <w:tcW w:w="4082" w:type="dxa"/>
            <w:tcBorders/>
            <w:vAlign w:val="bottom"/>
          </w:tcPr>
          <w:p>
            <w:pPr>
              <w:pStyle w:val="TableContents"/>
              <w:bidi w:val="0"/>
              <w:spacing w:before="0" w:after="283"/>
              <w:jc w:val="left"/>
              <w:rPr/>
            </w:pPr>
            <w:r>
              <w:rPr/>
              <w:t>Daniel Torque Zubeck</w:t>
            </w:r>
          </w:p>
        </w:tc>
      </w:tr>
      <w:tr>
        <w:trPr/>
        <w:tc>
          <w:tcPr>
            <w:tcW w:w="4082" w:type="dxa"/>
            <w:tcBorders/>
            <w:vAlign w:val="bottom"/>
          </w:tcPr>
          <w:p>
            <w:pPr>
              <w:pStyle w:val="TableContents"/>
              <w:bidi w:val="0"/>
              <w:spacing w:before="0" w:after="283"/>
              <w:jc w:val="left"/>
              <w:rPr/>
            </w:pPr>
            <w:r>
              <w:rPr/>
              <w:t>Senior Vice President and Chief Financial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30384</Words>
  <Characters>163463</Characters>
  <CharactersWithSpaces>196466</CharactersWithSpaces>
  <Paragraphs>6108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EX-31.2</dc:title>
</cp:coreProperties>
</file>