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60" w:type="dxa"/>
            <w:vAlign w:val="bottom"/>
            <w:gridSpan w:val="3"/>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8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95732</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1678995.41</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01/12/2026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2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95732</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8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32482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491741.75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1500.50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12/16/2025 4133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62243.81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13563.99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12/22/2025 2400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36001.92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01/05/2026 2434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36637.05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01/09/2026 3547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57068.04</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623" w:lineRule="exact"/>
        <w:rPr>
          <w:sz w:val="20"/>
          <w:szCs w:val="20"/>
          <w:color w:val="auto"/>
        </w:rPr>
      </w:pPr>
    </w:p>
    <w:p>
      <w:pPr>
        <w:sectPr>
          <w:pgSz w:w="11900" w:h="16838" w:orient="portrait"/>
          <w:cols w:equalWidth="0" w:num="2">
            <w:col w:w="3420" w:space="720"/>
            <w:col w:w="7020"/>
          </w:cols>
          <w:pgMar w:left="360" w:top="153"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LLC, as attorney-in-fact for Grant N. Whitney</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2026-01-12T15:24:46Z</dcterms:created>
  <dcterms:modified xsi:type="dcterms:W3CDTF">2026-01-12T15:24:46Z</dcterms:modified>
</cp:coreProperties>
</file>