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SVP, Chief Legal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77"/>
              <w:spacing w:after="0"/>
              <w:rPr>
                <w:sz w:val="20"/>
                <w:szCs w:val="20"/>
                <w:color w:val="auto"/>
              </w:rPr>
            </w:pPr>
            <w:r>
              <w:rPr>
                <w:rFonts w:ascii="Times New Roman" w:cs="Times New Roman" w:eastAsia="Times New Roman" w:hAnsi="Times New Roman"/>
                <w:sz w:val="34"/>
                <w:szCs w:val="34"/>
                <w:color w:val="0000FF"/>
                <w:vertAlign w:val="subscript"/>
              </w:rPr>
              <w:t>280</w:t>
            </w:r>
            <w:r>
              <w:rPr>
                <w:rFonts w:ascii="Times New Roman" w:cs="Times New Roman" w:eastAsia="Times New Roman" w:hAnsi="Times New Roman"/>
                <w:sz w:val="11"/>
                <w:szCs w:val="11"/>
                <w:color w:val="008000"/>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14.231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29,187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13,803</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42,990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made under the Sun Country Airlines Holdings, Inc. 2021 Omnibus Incentive Plan ("RSUs"). 1/3rd of these RSUs will vest and be settled on each of the first three anniversaries of the grant date, subject to continued employment.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2026-01-06T09:30:26Z</dcterms:created>
  <dcterms:modified xsi:type="dcterms:W3CDTF">2026-01-06T09:30:26Z</dcterms:modified>
</cp:coreProperties>
</file>